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CC9310">
      <w:pPr>
        <w:spacing w:before="312" w:after="156" w:line="360" w:lineRule="auto"/>
        <w:jc w:val="center"/>
        <w:rPr>
          <w:rFonts w:hint="eastAsia" w:ascii="宋体" w:hAnsi="宋体"/>
          <w:color w:val="auto"/>
          <w:sz w:val="44"/>
          <w:szCs w:val="44"/>
          <w:highlight w:val="none"/>
          <w:u w:val="single"/>
          <w:lang w:val="en-US" w:eastAsia="zh-CN"/>
        </w:rPr>
      </w:pPr>
      <w:r>
        <w:drawing>
          <wp:inline distT="0" distB="0" distL="114300" distR="114300">
            <wp:extent cx="6115050" cy="8315325"/>
            <wp:effectExtent l="0" t="0" r="0" b="9525"/>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15"/>
                    <a:stretch>
                      <a:fillRect/>
                    </a:stretch>
                  </pic:blipFill>
                  <pic:spPr>
                    <a:xfrm>
                      <a:off x="0" y="0"/>
                      <a:ext cx="6115050" cy="8315325"/>
                    </a:xfrm>
                    <a:prstGeom prst="rect">
                      <a:avLst/>
                    </a:prstGeom>
                    <a:noFill/>
                    <a:ln>
                      <a:noFill/>
                    </a:ln>
                  </pic:spPr>
                </pic:pic>
              </a:graphicData>
            </a:graphic>
          </wp:inline>
        </w:drawing>
      </w:r>
    </w:p>
    <w:p w14:paraId="27DA02C9">
      <w:pPr>
        <w:spacing w:before="312" w:after="156" w:line="360" w:lineRule="auto"/>
        <w:jc w:val="center"/>
        <w:rPr>
          <w:rFonts w:hint="eastAsia" w:ascii="方正小标宋简体" w:hAnsi="方正小标宋简体" w:eastAsia="方正小标宋简体" w:cs="方正小标宋简体"/>
          <w:color w:val="auto"/>
          <w:sz w:val="44"/>
          <w:szCs w:val="44"/>
          <w:highlight w:val="none"/>
          <w:u w:val="single"/>
        </w:rPr>
      </w:pPr>
      <w:r>
        <w:rPr>
          <w:rFonts w:hint="eastAsia" w:ascii="宋体" w:hAnsi="宋体"/>
          <w:color w:val="auto"/>
          <w:sz w:val="44"/>
          <w:szCs w:val="44"/>
          <w:highlight w:val="none"/>
          <w:u w:val="single"/>
          <w:lang w:val="en-US" w:eastAsia="zh-CN"/>
        </w:rPr>
        <w:t>广西建标建设工程咨询有限责任公司</w:t>
      </w:r>
    </w:p>
    <w:p w14:paraId="5AE338E8">
      <w:pPr>
        <w:spacing w:before="312" w:after="156" w:line="360" w:lineRule="auto"/>
        <w:jc w:val="center"/>
        <w:rPr>
          <w:rFonts w:hint="eastAsia" w:ascii="方正小标宋简体" w:hAnsi="方正小标宋简体" w:eastAsia="方正小标宋简体" w:cs="方正小标宋简体"/>
          <w:b/>
          <w:color w:val="auto"/>
          <w:sz w:val="44"/>
          <w:szCs w:val="44"/>
          <w:highlight w:val="none"/>
        </w:rPr>
      </w:pPr>
    </w:p>
    <w:p w14:paraId="1A815434">
      <w:pPr>
        <w:spacing w:before="312" w:after="156" w:line="360" w:lineRule="auto"/>
        <w:jc w:val="center"/>
        <w:rPr>
          <w:rFonts w:hint="eastAsia" w:ascii="方正小标宋简体" w:hAnsi="方正小标宋简体" w:eastAsia="方正小标宋简体" w:cs="方正小标宋简体"/>
          <w:b/>
          <w:color w:val="auto"/>
          <w:sz w:val="44"/>
          <w:szCs w:val="44"/>
          <w:highlight w:val="none"/>
        </w:rPr>
      </w:pPr>
    </w:p>
    <w:p w14:paraId="299891D9">
      <w:pPr>
        <w:spacing w:before="156" w:line="360" w:lineRule="auto"/>
        <w:jc w:val="center"/>
        <w:rPr>
          <w:rFonts w:hint="eastAsia" w:ascii="华文新魏" w:hAnsi="宋体" w:eastAsia="华文新魏"/>
          <w:color w:val="auto"/>
          <w:sz w:val="72"/>
          <w:szCs w:val="72"/>
          <w:highlight w:val="none"/>
        </w:rPr>
      </w:pPr>
      <w:r>
        <w:rPr>
          <w:rFonts w:hint="eastAsia" w:ascii="华文新魏" w:hAnsi="宋体" w:eastAsia="华文新魏"/>
          <w:color w:val="auto"/>
          <w:sz w:val="72"/>
          <w:szCs w:val="72"/>
          <w:highlight w:val="none"/>
        </w:rPr>
        <w:t>竞争性</w:t>
      </w:r>
      <w:r>
        <w:rPr>
          <w:rFonts w:hint="eastAsia" w:ascii="华文新魏" w:hAnsi="宋体" w:eastAsia="华文新魏"/>
          <w:color w:val="auto"/>
          <w:sz w:val="72"/>
          <w:szCs w:val="72"/>
          <w:highlight w:val="none"/>
          <w:lang w:val="en-US" w:eastAsia="zh-CN"/>
        </w:rPr>
        <w:t>谈判</w:t>
      </w:r>
      <w:r>
        <w:rPr>
          <w:rFonts w:hint="eastAsia" w:ascii="华文新魏" w:hAnsi="宋体" w:eastAsia="华文新魏"/>
          <w:color w:val="auto"/>
          <w:sz w:val="72"/>
          <w:szCs w:val="72"/>
          <w:highlight w:val="none"/>
        </w:rPr>
        <w:t>文件</w:t>
      </w:r>
    </w:p>
    <w:p w14:paraId="42039131">
      <w:pPr>
        <w:pStyle w:val="13"/>
        <w:ind w:firstLine="3740" w:firstLineChars="1700"/>
        <w:rPr>
          <w:rFonts w:hint="eastAsia" w:eastAsia="华文新魏"/>
          <w:color w:val="auto"/>
          <w:sz w:val="22"/>
          <w:szCs w:val="22"/>
          <w:highlight w:val="none"/>
          <w:lang w:eastAsia="zh-CN"/>
        </w:rPr>
      </w:pPr>
      <w:r>
        <w:rPr>
          <w:rFonts w:hint="eastAsia" w:ascii="华文新魏" w:hAnsi="宋体" w:eastAsia="华文新魏"/>
          <w:color w:val="auto"/>
          <w:sz w:val="22"/>
          <w:szCs w:val="22"/>
          <w:highlight w:val="none"/>
          <w:lang w:eastAsia="zh-CN"/>
        </w:rPr>
        <w:t>（</w:t>
      </w:r>
      <w:r>
        <w:rPr>
          <w:rFonts w:hint="eastAsia" w:ascii="华文新魏" w:hAnsi="宋体" w:eastAsia="华文新魏"/>
          <w:color w:val="auto"/>
          <w:sz w:val="22"/>
          <w:szCs w:val="22"/>
          <w:highlight w:val="none"/>
          <w:lang w:val="en-US" w:eastAsia="zh-CN"/>
        </w:rPr>
        <w:t>全流程电子化评标</w:t>
      </w:r>
      <w:r>
        <w:rPr>
          <w:rFonts w:hint="eastAsia" w:ascii="华文新魏" w:hAnsi="宋体" w:eastAsia="华文新魏"/>
          <w:color w:val="auto"/>
          <w:sz w:val="22"/>
          <w:szCs w:val="22"/>
          <w:highlight w:val="none"/>
          <w:lang w:eastAsia="zh-CN"/>
        </w:rPr>
        <w:t>）</w:t>
      </w:r>
    </w:p>
    <w:p w14:paraId="3BA3D5CE">
      <w:pPr>
        <w:spacing w:line="360" w:lineRule="auto"/>
        <w:rPr>
          <w:rFonts w:hint="eastAsia" w:ascii="宋体" w:hAnsi="宋体"/>
          <w:b/>
          <w:color w:val="auto"/>
          <w:sz w:val="32"/>
          <w:szCs w:val="32"/>
          <w:highlight w:val="none"/>
        </w:rPr>
      </w:pPr>
    </w:p>
    <w:p w14:paraId="6E723B72">
      <w:pPr>
        <w:spacing w:line="360" w:lineRule="auto"/>
        <w:rPr>
          <w:rFonts w:hint="eastAsia" w:ascii="宋体" w:hAnsi="宋体"/>
          <w:b/>
          <w:color w:val="auto"/>
          <w:sz w:val="32"/>
          <w:szCs w:val="32"/>
          <w:highlight w:val="none"/>
        </w:rPr>
      </w:pPr>
    </w:p>
    <w:p w14:paraId="4729A533">
      <w:pPr>
        <w:spacing w:line="360" w:lineRule="auto"/>
        <w:rPr>
          <w:rFonts w:hint="eastAsia" w:ascii="宋体" w:hAnsi="宋体"/>
          <w:b/>
          <w:color w:val="auto"/>
          <w:sz w:val="32"/>
          <w:szCs w:val="32"/>
          <w:highlight w:val="none"/>
        </w:rPr>
      </w:pPr>
    </w:p>
    <w:p w14:paraId="3018E03A">
      <w:pPr>
        <w:spacing w:line="360" w:lineRule="auto"/>
        <w:jc w:val="center"/>
        <w:rPr>
          <w:rFonts w:hint="eastAsia" w:ascii="宋体" w:hAnsi="宋体"/>
          <w:b/>
          <w:color w:val="auto"/>
          <w:sz w:val="32"/>
          <w:szCs w:val="32"/>
          <w:highlight w:val="none"/>
        </w:rPr>
      </w:pPr>
    </w:p>
    <w:p w14:paraId="5D849D12">
      <w:pPr>
        <w:spacing w:line="360" w:lineRule="auto"/>
        <w:ind w:firstLine="1430" w:firstLineChars="445"/>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项目名称：</w:t>
      </w:r>
      <w:r>
        <w:rPr>
          <w:rFonts w:hint="eastAsia" w:ascii="仿宋_GB2312" w:hAnsi="宋体" w:eastAsia="仿宋_GB2312"/>
          <w:b/>
          <w:color w:val="auto"/>
          <w:sz w:val="32"/>
          <w:szCs w:val="32"/>
          <w:highlight w:val="none"/>
          <w:u w:val="single"/>
        </w:rPr>
        <w:t>中文纸质图书采购</w:t>
      </w:r>
    </w:p>
    <w:p w14:paraId="30DBB3DF">
      <w:pPr>
        <w:spacing w:line="360" w:lineRule="auto"/>
        <w:jc w:val="center"/>
        <w:rPr>
          <w:rFonts w:hint="eastAsia" w:ascii="仿宋_GB2312" w:hAnsi="宋体" w:eastAsia="仿宋_GB2312"/>
          <w:b/>
          <w:color w:val="auto"/>
          <w:sz w:val="32"/>
          <w:szCs w:val="32"/>
          <w:highlight w:val="none"/>
        </w:rPr>
      </w:pPr>
    </w:p>
    <w:p w14:paraId="24C24BCD">
      <w:pPr>
        <w:spacing w:line="360" w:lineRule="auto"/>
        <w:ind w:firstLine="1430" w:firstLineChars="445"/>
        <w:rPr>
          <w:rFonts w:ascii="仿宋_GB2312" w:hAnsi="宋体" w:eastAsia="仿宋_GB2312"/>
          <w:b/>
          <w:color w:val="auto"/>
          <w:sz w:val="32"/>
          <w:szCs w:val="32"/>
          <w:highlight w:val="none"/>
          <w:lang w:val="en-US"/>
        </w:rPr>
      </w:pPr>
      <w:r>
        <w:rPr>
          <w:rFonts w:hint="eastAsia" w:ascii="仿宋_GB2312" w:hAnsi="宋体" w:eastAsia="仿宋_GB2312"/>
          <w:b/>
          <w:color w:val="auto"/>
          <w:sz w:val="32"/>
          <w:szCs w:val="32"/>
          <w:highlight w:val="none"/>
        </w:rPr>
        <w:t>项目编号：</w:t>
      </w:r>
      <w:r>
        <w:rPr>
          <w:rFonts w:hint="eastAsia" w:ascii="仿宋_GB2312" w:hAnsi="宋体" w:eastAsia="仿宋_GB2312" w:cs="Times New Roman"/>
          <w:b/>
          <w:bCs/>
          <w:color w:val="auto"/>
          <w:kern w:val="2"/>
          <w:sz w:val="30"/>
          <w:szCs w:val="30"/>
          <w:highlight w:val="none"/>
          <w:u w:val="single"/>
          <w:lang w:val="en-US" w:eastAsia="zh-CN" w:bidi="ar-SA"/>
        </w:rPr>
        <w:t xml:space="preserve"> GXZC2025-J1-001518-GXJB </w:t>
      </w:r>
    </w:p>
    <w:p w14:paraId="598A28D1">
      <w:pPr>
        <w:spacing w:line="360" w:lineRule="auto"/>
        <w:jc w:val="center"/>
        <w:rPr>
          <w:rFonts w:hint="eastAsia" w:ascii="仿宋_GB2312" w:hAnsi="宋体" w:eastAsia="仿宋_GB2312"/>
          <w:b/>
          <w:color w:val="auto"/>
          <w:sz w:val="32"/>
          <w:szCs w:val="32"/>
          <w:highlight w:val="none"/>
        </w:rPr>
      </w:pPr>
    </w:p>
    <w:p w14:paraId="40253CB7">
      <w:pPr>
        <w:spacing w:line="360" w:lineRule="auto"/>
        <w:ind w:firstLine="1430" w:firstLineChars="445"/>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采 购 人：</w:t>
      </w:r>
      <w:r>
        <w:rPr>
          <w:rFonts w:hint="eastAsia" w:ascii="仿宋_GB2312" w:hAnsi="宋体" w:eastAsia="仿宋_GB2312" w:cs="Times New Roman"/>
          <w:b/>
          <w:bCs/>
          <w:color w:val="auto"/>
          <w:kern w:val="2"/>
          <w:sz w:val="30"/>
          <w:szCs w:val="30"/>
          <w:highlight w:val="none"/>
          <w:u w:val="single"/>
          <w:lang w:val="en-US" w:eastAsia="zh-CN" w:bidi="ar-SA"/>
        </w:rPr>
        <w:t>广西生态工程职业技术学院</w:t>
      </w:r>
    </w:p>
    <w:p w14:paraId="3A4A29FB">
      <w:pPr>
        <w:spacing w:line="360" w:lineRule="auto"/>
        <w:jc w:val="center"/>
        <w:rPr>
          <w:rFonts w:hint="eastAsia" w:ascii="仿宋_GB2312" w:hAnsi="宋体" w:eastAsia="仿宋_GB2312"/>
          <w:b/>
          <w:color w:val="auto"/>
          <w:sz w:val="32"/>
          <w:szCs w:val="32"/>
          <w:highlight w:val="none"/>
        </w:rPr>
      </w:pPr>
    </w:p>
    <w:p w14:paraId="74B75E1C">
      <w:pPr>
        <w:spacing w:line="360" w:lineRule="auto"/>
        <w:ind w:firstLine="1430" w:firstLineChars="445"/>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采购代理机构：</w:t>
      </w:r>
      <w:r>
        <w:rPr>
          <w:rFonts w:hint="eastAsia" w:ascii="仿宋_GB2312" w:hAnsi="宋体" w:eastAsia="仿宋_GB2312" w:cs="Times New Roman"/>
          <w:b/>
          <w:bCs/>
          <w:color w:val="auto"/>
          <w:kern w:val="2"/>
          <w:sz w:val="30"/>
          <w:szCs w:val="30"/>
          <w:highlight w:val="none"/>
          <w:u w:val="single"/>
          <w:lang w:val="en-US" w:eastAsia="zh-CN" w:bidi="ar-SA"/>
        </w:rPr>
        <w:t>广西建标建设工程咨询有限责任公司</w:t>
      </w:r>
      <w:r>
        <w:rPr>
          <w:rFonts w:hint="eastAsia" w:ascii="仿宋_GB2312" w:hAnsi="宋体" w:eastAsia="仿宋_GB2312"/>
          <w:b/>
          <w:color w:val="auto"/>
          <w:sz w:val="32"/>
          <w:szCs w:val="32"/>
          <w:highlight w:val="none"/>
        </w:rPr>
        <w:t xml:space="preserve"> </w:t>
      </w:r>
    </w:p>
    <w:p w14:paraId="5DF7AA6E">
      <w:pPr>
        <w:spacing w:line="360" w:lineRule="auto"/>
        <w:jc w:val="center"/>
        <w:rPr>
          <w:rFonts w:hint="eastAsia" w:ascii="仿宋_GB2312" w:hAnsi="宋体" w:eastAsia="仿宋_GB2312"/>
          <w:b/>
          <w:color w:val="auto"/>
          <w:sz w:val="32"/>
          <w:szCs w:val="32"/>
          <w:highlight w:val="none"/>
        </w:rPr>
      </w:pPr>
    </w:p>
    <w:p w14:paraId="332B91BD">
      <w:pPr>
        <w:spacing w:line="360" w:lineRule="auto"/>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lang w:val="en-US" w:eastAsia="zh-CN"/>
        </w:rPr>
        <w:t>2025</w:t>
      </w:r>
      <w:r>
        <w:rPr>
          <w:rFonts w:hint="eastAsia" w:ascii="仿宋_GB2312" w:hAnsi="宋体" w:eastAsia="仿宋_GB2312"/>
          <w:b/>
          <w:color w:val="auto"/>
          <w:sz w:val="32"/>
          <w:szCs w:val="32"/>
          <w:highlight w:val="none"/>
        </w:rPr>
        <w:t>年</w:t>
      </w:r>
      <w:r>
        <w:rPr>
          <w:rFonts w:hint="eastAsia" w:ascii="仿宋_GB2312" w:hAnsi="宋体" w:eastAsia="仿宋_GB2312"/>
          <w:b/>
          <w:color w:val="auto"/>
          <w:sz w:val="32"/>
          <w:szCs w:val="32"/>
          <w:highlight w:val="none"/>
          <w:lang w:val="en-US" w:eastAsia="zh-CN"/>
        </w:rPr>
        <w:t xml:space="preserve"> 6 </w:t>
      </w:r>
      <w:r>
        <w:rPr>
          <w:rFonts w:hint="eastAsia" w:ascii="仿宋_GB2312" w:hAnsi="宋体" w:eastAsia="仿宋_GB2312"/>
          <w:b/>
          <w:color w:val="auto"/>
          <w:sz w:val="32"/>
          <w:szCs w:val="32"/>
          <w:highlight w:val="none"/>
        </w:rPr>
        <w:t xml:space="preserve">月 </w:t>
      </w:r>
      <w:r>
        <w:rPr>
          <w:rFonts w:hint="eastAsia" w:ascii="仿宋_GB2312" w:hAnsi="宋体" w:eastAsia="仿宋_GB2312"/>
          <w:b/>
          <w:color w:val="auto"/>
          <w:sz w:val="32"/>
          <w:szCs w:val="32"/>
          <w:highlight w:val="none"/>
          <w:lang w:val="en-US" w:eastAsia="zh-CN"/>
        </w:rPr>
        <w:t xml:space="preserve">16 </w:t>
      </w:r>
      <w:r>
        <w:rPr>
          <w:rFonts w:hint="eastAsia" w:ascii="仿宋_GB2312" w:hAnsi="宋体" w:eastAsia="仿宋_GB2312"/>
          <w:b/>
          <w:color w:val="auto"/>
          <w:sz w:val="32"/>
          <w:szCs w:val="32"/>
          <w:highlight w:val="none"/>
        </w:rPr>
        <w:t>日</w:t>
      </w:r>
    </w:p>
    <w:p w14:paraId="58D4E264">
      <w:pPr>
        <w:jc w:val="center"/>
        <w:rPr>
          <w:rFonts w:ascii="宋体" w:hAnsi="宋体" w:cs="宋体"/>
          <w:b/>
          <w:color w:val="auto"/>
          <w:sz w:val="24"/>
          <w:szCs w:val="24"/>
          <w:highlight w:val="none"/>
        </w:rPr>
      </w:pPr>
      <w:r>
        <w:rPr>
          <w:rFonts w:ascii="黑体" w:hAnsi="黑体" w:eastAsia="黑体" w:cs="宋体"/>
          <w:b/>
          <w:bCs/>
          <w:color w:val="auto"/>
          <w:kern w:val="0"/>
          <w:sz w:val="32"/>
          <w:szCs w:val="32"/>
          <w:highlight w:val="none"/>
        </w:rPr>
        <w:br w:type="page"/>
      </w:r>
      <w:r>
        <w:rPr>
          <w:rFonts w:hint="eastAsia" w:ascii="宋体" w:hAnsi="宋体" w:cs="宋体"/>
          <w:b/>
          <w:color w:val="auto"/>
          <w:sz w:val="24"/>
          <w:szCs w:val="24"/>
          <w:highlight w:val="none"/>
        </w:rPr>
        <w:t>目   录</w:t>
      </w:r>
    </w:p>
    <w:p w14:paraId="5FE386CB">
      <w:pPr>
        <w:pStyle w:val="23"/>
        <w:keepNext w:val="0"/>
        <w:keepLines w:val="0"/>
        <w:pageBreakBefore w:val="0"/>
        <w:widowControl w:val="0"/>
        <w:tabs>
          <w:tab w:val="right" w:leader="dot" w:pos="9746"/>
        </w:tabs>
        <w:kinsoku/>
        <w:wordWrap/>
        <w:overflowPunct/>
        <w:topLinePunct w:val="0"/>
        <w:autoSpaceDE/>
        <w:autoSpaceDN/>
        <w:bidi w:val="0"/>
        <w:adjustRightInd/>
        <w:snapToGrid/>
        <w:spacing w:line="500" w:lineRule="exact"/>
        <w:textAlignment w:val="auto"/>
        <w:rPr>
          <w:color w:val="auto"/>
          <w:highlight w:val="none"/>
        </w:rPr>
      </w:pP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TOC \o "1-3" \h \z \u </w:instrText>
      </w:r>
      <w:r>
        <w:rPr>
          <w:rFonts w:hint="eastAsia" w:ascii="宋体" w:hAnsi="宋体" w:cs="宋体"/>
          <w:b/>
          <w:color w:val="auto"/>
          <w:sz w:val="24"/>
          <w:szCs w:val="24"/>
          <w:highlight w:val="none"/>
        </w:rPr>
        <w:fldChar w:fldCharType="separate"/>
      </w: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_Toc27494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第一章 竞争性谈判公告</w:t>
      </w:r>
      <w:r>
        <w:rPr>
          <w:color w:val="auto"/>
          <w:highlight w:val="none"/>
        </w:rPr>
        <w:tab/>
      </w:r>
      <w:r>
        <w:rPr>
          <w:color w:val="auto"/>
          <w:highlight w:val="none"/>
        </w:rPr>
        <w:fldChar w:fldCharType="begin"/>
      </w:r>
      <w:r>
        <w:rPr>
          <w:color w:val="auto"/>
          <w:highlight w:val="none"/>
        </w:rPr>
        <w:instrText xml:space="preserve"> PAGEREF _Toc27494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cs="宋体"/>
          <w:color w:val="auto"/>
          <w:szCs w:val="24"/>
          <w:highlight w:val="none"/>
        </w:rPr>
        <w:fldChar w:fldCharType="end"/>
      </w:r>
    </w:p>
    <w:p w14:paraId="2B3B7BB6">
      <w:pPr>
        <w:pStyle w:val="23"/>
        <w:keepNext w:val="0"/>
        <w:keepLines w:val="0"/>
        <w:pageBreakBefore w:val="0"/>
        <w:widowControl w:val="0"/>
        <w:tabs>
          <w:tab w:val="right" w:leader="dot" w:pos="9746"/>
        </w:tabs>
        <w:kinsoku/>
        <w:wordWrap/>
        <w:overflowPunct/>
        <w:topLinePunct w:val="0"/>
        <w:autoSpaceDE/>
        <w:autoSpaceDN/>
        <w:bidi w:val="0"/>
        <w:adjustRightInd/>
        <w:snapToGrid/>
        <w:spacing w:line="500" w:lineRule="exact"/>
        <w:textAlignment w:val="auto"/>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_Toc28376 </w:instrText>
      </w:r>
      <w:r>
        <w:rPr>
          <w:rFonts w:hint="eastAsia" w:ascii="宋体" w:hAnsi="宋体" w:cs="宋体"/>
          <w:color w:val="auto"/>
          <w:szCs w:val="24"/>
          <w:highlight w:val="none"/>
        </w:rPr>
        <w:fldChar w:fldCharType="separate"/>
      </w:r>
      <w:r>
        <w:rPr>
          <w:rFonts w:hint="eastAsia" w:ascii="宋体" w:hAnsi="宋体" w:eastAsia="宋体" w:cs="宋体"/>
          <w:bCs/>
          <w:color w:val="auto"/>
          <w:szCs w:val="24"/>
          <w:highlight w:val="none"/>
        </w:rPr>
        <w:t>第二章 采购需求</w:t>
      </w:r>
      <w:r>
        <w:rPr>
          <w:color w:val="auto"/>
          <w:highlight w:val="none"/>
        </w:rPr>
        <w:tab/>
      </w:r>
      <w:r>
        <w:rPr>
          <w:color w:val="auto"/>
          <w:highlight w:val="none"/>
        </w:rPr>
        <w:fldChar w:fldCharType="begin"/>
      </w:r>
      <w:r>
        <w:rPr>
          <w:color w:val="auto"/>
          <w:highlight w:val="none"/>
        </w:rPr>
        <w:instrText xml:space="preserve"> PAGEREF _Toc28376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cs="宋体"/>
          <w:color w:val="auto"/>
          <w:szCs w:val="24"/>
          <w:highlight w:val="none"/>
        </w:rPr>
        <w:fldChar w:fldCharType="end"/>
      </w:r>
    </w:p>
    <w:p w14:paraId="177BE272">
      <w:pPr>
        <w:pStyle w:val="23"/>
        <w:keepNext w:val="0"/>
        <w:keepLines w:val="0"/>
        <w:pageBreakBefore w:val="0"/>
        <w:widowControl w:val="0"/>
        <w:tabs>
          <w:tab w:val="right" w:leader="dot" w:pos="9746"/>
        </w:tabs>
        <w:kinsoku/>
        <w:wordWrap/>
        <w:overflowPunct/>
        <w:topLinePunct w:val="0"/>
        <w:autoSpaceDE/>
        <w:autoSpaceDN/>
        <w:bidi w:val="0"/>
        <w:adjustRightInd/>
        <w:snapToGrid/>
        <w:spacing w:line="500" w:lineRule="exact"/>
        <w:textAlignment w:val="auto"/>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_Toc26383 </w:instrText>
      </w:r>
      <w:r>
        <w:rPr>
          <w:rFonts w:hint="eastAsia" w:ascii="宋体" w:hAnsi="宋体" w:cs="宋体"/>
          <w:color w:val="auto"/>
          <w:szCs w:val="24"/>
          <w:highlight w:val="none"/>
        </w:rPr>
        <w:fldChar w:fldCharType="separate"/>
      </w:r>
      <w:r>
        <w:rPr>
          <w:rFonts w:hint="eastAsia" w:ascii="宋体" w:hAnsi="宋体" w:cs="宋体"/>
          <w:bCs w:val="0"/>
          <w:color w:val="auto"/>
          <w:szCs w:val="24"/>
          <w:highlight w:val="none"/>
        </w:rPr>
        <w:t>第三章 供应商须知</w:t>
      </w:r>
      <w:r>
        <w:rPr>
          <w:color w:val="auto"/>
          <w:highlight w:val="none"/>
        </w:rPr>
        <w:tab/>
      </w:r>
      <w:r>
        <w:rPr>
          <w:color w:val="auto"/>
          <w:highlight w:val="none"/>
        </w:rPr>
        <w:fldChar w:fldCharType="begin"/>
      </w:r>
      <w:r>
        <w:rPr>
          <w:color w:val="auto"/>
          <w:highlight w:val="none"/>
        </w:rPr>
        <w:instrText xml:space="preserve"> PAGEREF _Toc26383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cs="宋体"/>
          <w:color w:val="auto"/>
          <w:szCs w:val="24"/>
          <w:highlight w:val="none"/>
        </w:rPr>
        <w:fldChar w:fldCharType="end"/>
      </w:r>
    </w:p>
    <w:p w14:paraId="2913834F">
      <w:pPr>
        <w:pStyle w:val="26"/>
        <w:keepNext w:val="0"/>
        <w:keepLines w:val="0"/>
        <w:pageBreakBefore w:val="0"/>
        <w:widowControl w:val="0"/>
        <w:tabs>
          <w:tab w:val="right" w:leader="dot" w:pos="9746"/>
          <w:tab w:val="clear" w:pos="8296"/>
        </w:tabs>
        <w:kinsoku/>
        <w:wordWrap/>
        <w:overflowPunct/>
        <w:topLinePunct w:val="0"/>
        <w:autoSpaceDE/>
        <w:autoSpaceDN/>
        <w:bidi w:val="0"/>
        <w:adjustRightInd/>
        <w:snapToGrid/>
        <w:spacing w:line="500" w:lineRule="exact"/>
        <w:textAlignment w:val="auto"/>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_Toc565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第一节 供应商须知前附表</w:t>
      </w:r>
      <w:r>
        <w:rPr>
          <w:color w:val="auto"/>
          <w:highlight w:val="none"/>
        </w:rPr>
        <w:tab/>
      </w:r>
      <w:r>
        <w:rPr>
          <w:color w:val="auto"/>
          <w:highlight w:val="none"/>
        </w:rPr>
        <w:fldChar w:fldCharType="begin"/>
      </w:r>
      <w:r>
        <w:rPr>
          <w:color w:val="auto"/>
          <w:highlight w:val="none"/>
        </w:rPr>
        <w:instrText xml:space="preserve"> PAGEREF _Toc565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cs="宋体"/>
          <w:color w:val="auto"/>
          <w:szCs w:val="24"/>
          <w:highlight w:val="none"/>
        </w:rPr>
        <w:fldChar w:fldCharType="end"/>
      </w:r>
    </w:p>
    <w:p w14:paraId="05728B0F">
      <w:pPr>
        <w:pStyle w:val="26"/>
        <w:keepNext w:val="0"/>
        <w:keepLines w:val="0"/>
        <w:pageBreakBefore w:val="0"/>
        <w:widowControl w:val="0"/>
        <w:tabs>
          <w:tab w:val="right" w:leader="dot" w:pos="9746"/>
          <w:tab w:val="clear" w:pos="8296"/>
        </w:tabs>
        <w:kinsoku/>
        <w:wordWrap/>
        <w:overflowPunct/>
        <w:topLinePunct w:val="0"/>
        <w:autoSpaceDE/>
        <w:autoSpaceDN/>
        <w:bidi w:val="0"/>
        <w:adjustRightInd/>
        <w:snapToGrid/>
        <w:spacing w:line="500" w:lineRule="exact"/>
        <w:textAlignment w:val="auto"/>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_Toc17168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第二节 供应商须知正文</w:t>
      </w:r>
      <w:r>
        <w:rPr>
          <w:color w:val="auto"/>
          <w:highlight w:val="none"/>
        </w:rPr>
        <w:tab/>
      </w:r>
      <w:r>
        <w:rPr>
          <w:color w:val="auto"/>
          <w:highlight w:val="none"/>
        </w:rPr>
        <w:fldChar w:fldCharType="begin"/>
      </w:r>
      <w:r>
        <w:rPr>
          <w:color w:val="auto"/>
          <w:highlight w:val="none"/>
        </w:rPr>
        <w:instrText xml:space="preserve"> PAGEREF _Toc17168 \h </w:instrText>
      </w:r>
      <w:r>
        <w:rPr>
          <w:color w:val="auto"/>
          <w:highlight w:val="none"/>
        </w:rPr>
        <w:fldChar w:fldCharType="separate"/>
      </w:r>
      <w:r>
        <w:rPr>
          <w:color w:val="auto"/>
          <w:highlight w:val="none"/>
        </w:rPr>
        <w:t>35</w:t>
      </w:r>
      <w:r>
        <w:rPr>
          <w:color w:val="auto"/>
          <w:highlight w:val="none"/>
        </w:rPr>
        <w:fldChar w:fldCharType="end"/>
      </w:r>
      <w:r>
        <w:rPr>
          <w:rFonts w:hint="eastAsia" w:ascii="宋体" w:hAnsi="宋体" w:cs="宋体"/>
          <w:color w:val="auto"/>
          <w:szCs w:val="24"/>
          <w:highlight w:val="none"/>
        </w:rPr>
        <w:fldChar w:fldCharType="end"/>
      </w:r>
    </w:p>
    <w:p w14:paraId="16157117">
      <w:pPr>
        <w:pStyle w:val="17"/>
        <w:keepNext w:val="0"/>
        <w:keepLines w:val="0"/>
        <w:pageBreakBefore w:val="0"/>
        <w:widowControl w:val="0"/>
        <w:tabs>
          <w:tab w:val="right" w:leader="dot" w:pos="9746"/>
        </w:tabs>
        <w:kinsoku/>
        <w:wordWrap/>
        <w:overflowPunct/>
        <w:topLinePunct w:val="0"/>
        <w:autoSpaceDE/>
        <w:autoSpaceDN/>
        <w:bidi w:val="0"/>
        <w:adjustRightInd/>
        <w:snapToGrid/>
        <w:spacing w:line="500" w:lineRule="exact"/>
        <w:textAlignment w:val="auto"/>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_Toc12423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一、总则</w:t>
      </w:r>
      <w:r>
        <w:rPr>
          <w:color w:val="auto"/>
          <w:highlight w:val="none"/>
        </w:rPr>
        <w:tab/>
      </w:r>
      <w:r>
        <w:rPr>
          <w:color w:val="auto"/>
          <w:highlight w:val="none"/>
        </w:rPr>
        <w:fldChar w:fldCharType="begin"/>
      </w:r>
      <w:r>
        <w:rPr>
          <w:color w:val="auto"/>
          <w:highlight w:val="none"/>
        </w:rPr>
        <w:instrText xml:space="preserve"> PAGEREF _Toc12423 \h </w:instrText>
      </w:r>
      <w:r>
        <w:rPr>
          <w:color w:val="auto"/>
          <w:highlight w:val="none"/>
        </w:rPr>
        <w:fldChar w:fldCharType="separate"/>
      </w:r>
      <w:r>
        <w:rPr>
          <w:color w:val="auto"/>
          <w:highlight w:val="none"/>
        </w:rPr>
        <w:t>35</w:t>
      </w:r>
      <w:r>
        <w:rPr>
          <w:color w:val="auto"/>
          <w:highlight w:val="none"/>
        </w:rPr>
        <w:fldChar w:fldCharType="end"/>
      </w:r>
      <w:r>
        <w:rPr>
          <w:rFonts w:hint="eastAsia" w:ascii="宋体" w:hAnsi="宋体" w:cs="宋体"/>
          <w:color w:val="auto"/>
          <w:szCs w:val="24"/>
          <w:highlight w:val="none"/>
        </w:rPr>
        <w:fldChar w:fldCharType="end"/>
      </w:r>
    </w:p>
    <w:p w14:paraId="763C4C44">
      <w:pPr>
        <w:pStyle w:val="17"/>
        <w:keepNext w:val="0"/>
        <w:keepLines w:val="0"/>
        <w:pageBreakBefore w:val="0"/>
        <w:widowControl w:val="0"/>
        <w:tabs>
          <w:tab w:val="right" w:leader="dot" w:pos="9746"/>
        </w:tabs>
        <w:kinsoku/>
        <w:wordWrap/>
        <w:overflowPunct/>
        <w:topLinePunct w:val="0"/>
        <w:autoSpaceDE/>
        <w:autoSpaceDN/>
        <w:bidi w:val="0"/>
        <w:adjustRightInd/>
        <w:snapToGrid/>
        <w:spacing w:line="500" w:lineRule="exact"/>
        <w:textAlignment w:val="auto"/>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_Toc25400 </w:instrText>
      </w:r>
      <w:r>
        <w:rPr>
          <w:rFonts w:hint="eastAsia" w:ascii="宋体" w:hAnsi="宋体" w:cs="宋体"/>
          <w:color w:val="auto"/>
          <w:szCs w:val="24"/>
          <w:highlight w:val="none"/>
        </w:rPr>
        <w:fldChar w:fldCharType="separate"/>
      </w:r>
      <w:r>
        <w:rPr>
          <w:rFonts w:hint="eastAsia" w:ascii="宋体" w:hAnsi="宋体" w:cs="宋体"/>
          <w:bCs/>
          <w:color w:val="auto"/>
          <w:szCs w:val="28"/>
          <w:highlight w:val="none"/>
        </w:rPr>
        <w:t>二、谈判文件</w:t>
      </w:r>
      <w:r>
        <w:rPr>
          <w:color w:val="auto"/>
          <w:highlight w:val="none"/>
        </w:rPr>
        <w:tab/>
      </w:r>
      <w:r>
        <w:rPr>
          <w:color w:val="auto"/>
          <w:highlight w:val="none"/>
        </w:rPr>
        <w:fldChar w:fldCharType="begin"/>
      </w:r>
      <w:r>
        <w:rPr>
          <w:color w:val="auto"/>
          <w:highlight w:val="none"/>
        </w:rPr>
        <w:instrText xml:space="preserve"> PAGEREF _Toc25400 \h </w:instrText>
      </w:r>
      <w:r>
        <w:rPr>
          <w:color w:val="auto"/>
          <w:highlight w:val="none"/>
        </w:rPr>
        <w:fldChar w:fldCharType="separate"/>
      </w:r>
      <w:r>
        <w:rPr>
          <w:color w:val="auto"/>
          <w:highlight w:val="none"/>
        </w:rPr>
        <w:t>38</w:t>
      </w:r>
      <w:r>
        <w:rPr>
          <w:color w:val="auto"/>
          <w:highlight w:val="none"/>
        </w:rPr>
        <w:fldChar w:fldCharType="end"/>
      </w:r>
      <w:r>
        <w:rPr>
          <w:rFonts w:hint="eastAsia" w:ascii="宋体" w:hAnsi="宋体" w:cs="宋体"/>
          <w:color w:val="auto"/>
          <w:szCs w:val="24"/>
          <w:highlight w:val="none"/>
        </w:rPr>
        <w:fldChar w:fldCharType="end"/>
      </w:r>
    </w:p>
    <w:p w14:paraId="207A726D">
      <w:pPr>
        <w:pStyle w:val="17"/>
        <w:keepNext w:val="0"/>
        <w:keepLines w:val="0"/>
        <w:pageBreakBefore w:val="0"/>
        <w:widowControl w:val="0"/>
        <w:tabs>
          <w:tab w:val="right" w:leader="dot" w:pos="9746"/>
        </w:tabs>
        <w:kinsoku/>
        <w:wordWrap/>
        <w:overflowPunct/>
        <w:topLinePunct w:val="0"/>
        <w:autoSpaceDE/>
        <w:autoSpaceDN/>
        <w:bidi w:val="0"/>
        <w:adjustRightInd/>
        <w:snapToGrid/>
        <w:spacing w:line="500" w:lineRule="exact"/>
        <w:textAlignment w:val="auto"/>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_Toc30807 </w:instrText>
      </w:r>
      <w:r>
        <w:rPr>
          <w:rFonts w:hint="eastAsia" w:ascii="宋体" w:hAnsi="宋体" w:cs="宋体"/>
          <w:color w:val="auto"/>
          <w:szCs w:val="24"/>
          <w:highlight w:val="none"/>
        </w:rPr>
        <w:fldChar w:fldCharType="separate"/>
      </w:r>
      <w:r>
        <w:rPr>
          <w:rFonts w:hint="eastAsia" w:ascii="宋体" w:hAnsi="宋体" w:cs="宋体"/>
          <w:bCs w:val="0"/>
          <w:color w:val="auto"/>
          <w:szCs w:val="28"/>
          <w:highlight w:val="none"/>
        </w:rPr>
        <w:t>三、响应文件的编制</w:t>
      </w:r>
      <w:r>
        <w:rPr>
          <w:color w:val="auto"/>
          <w:highlight w:val="none"/>
        </w:rPr>
        <w:tab/>
      </w:r>
      <w:r>
        <w:rPr>
          <w:color w:val="auto"/>
          <w:highlight w:val="none"/>
        </w:rPr>
        <w:fldChar w:fldCharType="begin"/>
      </w:r>
      <w:r>
        <w:rPr>
          <w:color w:val="auto"/>
          <w:highlight w:val="none"/>
        </w:rPr>
        <w:instrText xml:space="preserve"> PAGEREF _Toc30807 \h </w:instrText>
      </w:r>
      <w:r>
        <w:rPr>
          <w:color w:val="auto"/>
          <w:highlight w:val="none"/>
        </w:rPr>
        <w:fldChar w:fldCharType="separate"/>
      </w:r>
      <w:r>
        <w:rPr>
          <w:color w:val="auto"/>
          <w:highlight w:val="none"/>
        </w:rPr>
        <w:t>39</w:t>
      </w:r>
      <w:r>
        <w:rPr>
          <w:color w:val="auto"/>
          <w:highlight w:val="none"/>
        </w:rPr>
        <w:fldChar w:fldCharType="end"/>
      </w:r>
      <w:r>
        <w:rPr>
          <w:rFonts w:hint="eastAsia" w:ascii="宋体" w:hAnsi="宋体" w:cs="宋体"/>
          <w:color w:val="auto"/>
          <w:szCs w:val="24"/>
          <w:highlight w:val="none"/>
        </w:rPr>
        <w:fldChar w:fldCharType="end"/>
      </w:r>
    </w:p>
    <w:p w14:paraId="11F90EAA">
      <w:pPr>
        <w:pStyle w:val="17"/>
        <w:keepNext w:val="0"/>
        <w:keepLines w:val="0"/>
        <w:pageBreakBefore w:val="0"/>
        <w:widowControl w:val="0"/>
        <w:tabs>
          <w:tab w:val="right" w:leader="dot" w:pos="9746"/>
        </w:tabs>
        <w:kinsoku/>
        <w:wordWrap/>
        <w:overflowPunct/>
        <w:topLinePunct w:val="0"/>
        <w:autoSpaceDE/>
        <w:autoSpaceDN/>
        <w:bidi w:val="0"/>
        <w:adjustRightInd/>
        <w:snapToGrid/>
        <w:spacing w:line="500" w:lineRule="exact"/>
        <w:textAlignment w:val="auto"/>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_Toc5654 </w:instrText>
      </w:r>
      <w:r>
        <w:rPr>
          <w:rFonts w:hint="eastAsia" w:ascii="宋体" w:hAnsi="宋体" w:cs="宋体"/>
          <w:color w:val="auto"/>
          <w:szCs w:val="24"/>
          <w:highlight w:val="none"/>
        </w:rPr>
        <w:fldChar w:fldCharType="separate"/>
      </w:r>
      <w:r>
        <w:rPr>
          <w:rFonts w:hint="eastAsia" w:ascii="宋体" w:hAnsi="宋体" w:cs="宋体"/>
          <w:bCs w:val="0"/>
          <w:color w:val="auto"/>
          <w:szCs w:val="24"/>
          <w:highlight w:val="none"/>
        </w:rPr>
        <w:t>四、评审及谈判</w:t>
      </w:r>
      <w:r>
        <w:rPr>
          <w:color w:val="auto"/>
          <w:highlight w:val="none"/>
        </w:rPr>
        <w:tab/>
      </w:r>
      <w:r>
        <w:rPr>
          <w:color w:val="auto"/>
          <w:highlight w:val="none"/>
        </w:rPr>
        <w:fldChar w:fldCharType="begin"/>
      </w:r>
      <w:r>
        <w:rPr>
          <w:color w:val="auto"/>
          <w:highlight w:val="none"/>
        </w:rPr>
        <w:instrText xml:space="preserve"> PAGEREF _Toc5654 \h </w:instrText>
      </w:r>
      <w:r>
        <w:rPr>
          <w:color w:val="auto"/>
          <w:highlight w:val="none"/>
        </w:rPr>
        <w:fldChar w:fldCharType="separate"/>
      </w:r>
      <w:r>
        <w:rPr>
          <w:color w:val="auto"/>
          <w:highlight w:val="none"/>
        </w:rPr>
        <w:t>41</w:t>
      </w:r>
      <w:r>
        <w:rPr>
          <w:color w:val="auto"/>
          <w:highlight w:val="none"/>
        </w:rPr>
        <w:fldChar w:fldCharType="end"/>
      </w:r>
      <w:r>
        <w:rPr>
          <w:rFonts w:hint="eastAsia" w:ascii="宋体" w:hAnsi="宋体" w:cs="宋体"/>
          <w:color w:val="auto"/>
          <w:szCs w:val="24"/>
          <w:highlight w:val="none"/>
        </w:rPr>
        <w:fldChar w:fldCharType="end"/>
      </w:r>
    </w:p>
    <w:p w14:paraId="4C1054CE">
      <w:pPr>
        <w:pStyle w:val="17"/>
        <w:keepNext w:val="0"/>
        <w:keepLines w:val="0"/>
        <w:pageBreakBefore w:val="0"/>
        <w:widowControl w:val="0"/>
        <w:tabs>
          <w:tab w:val="right" w:leader="dot" w:pos="9746"/>
        </w:tabs>
        <w:kinsoku/>
        <w:wordWrap/>
        <w:overflowPunct/>
        <w:topLinePunct w:val="0"/>
        <w:autoSpaceDE/>
        <w:autoSpaceDN/>
        <w:bidi w:val="0"/>
        <w:adjustRightInd/>
        <w:snapToGrid/>
        <w:spacing w:line="500" w:lineRule="exact"/>
        <w:textAlignment w:val="auto"/>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_Toc14196 </w:instrText>
      </w:r>
      <w:r>
        <w:rPr>
          <w:rFonts w:hint="eastAsia" w:ascii="宋体" w:hAnsi="宋体" w:cs="宋体"/>
          <w:color w:val="auto"/>
          <w:szCs w:val="24"/>
          <w:highlight w:val="none"/>
        </w:rPr>
        <w:fldChar w:fldCharType="separate"/>
      </w:r>
      <w:r>
        <w:rPr>
          <w:rFonts w:hint="eastAsia" w:ascii="宋体" w:hAnsi="宋体" w:cs="宋体"/>
          <w:bCs w:val="0"/>
          <w:color w:val="auto"/>
          <w:szCs w:val="24"/>
          <w:highlight w:val="none"/>
        </w:rPr>
        <w:t>五、成交及合同</w:t>
      </w:r>
      <w:r>
        <w:rPr>
          <w:color w:val="auto"/>
          <w:highlight w:val="none"/>
        </w:rPr>
        <w:tab/>
      </w:r>
      <w:r>
        <w:rPr>
          <w:color w:val="auto"/>
          <w:highlight w:val="none"/>
        </w:rPr>
        <w:fldChar w:fldCharType="begin"/>
      </w:r>
      <w:r>
        <w:rPr>
          <w:color w:val="auto"/>
          <w:highlight w:val="none"/>
        </w:rPr>
        <w:instrText xml:space="preserve"> PAGEREF _Toc14196 \h </w:instrText>
      </w:r>
      <w:r>
        <w:rPr>
          <w:color w:val="auto"/>
          <w:highlight w:val="none"/>
        </w:rPr>
        <w:fldChar w:fldCharType="separate"/>
      </w:r>
      <w:r>
        <w:rPr>
          <w:color w:val="auto"/>
          <w:highlight w:val="none"/>
        </w:rPr>
        <w:t>42</w:t>
      </w:r>
      <w:r>
        <w:rPr>
          <w:color w:val="auto"/>
          <w:highlight w:val="none"/>
        </w:rPr>
        <w:fldChar w:fldCharType="end"/>
      </w:r>
      <w:r>
        <w:rPr>
          <w:rFonts w:hint="eastAsia" w:ascii="宋体" w:hAnsi="宋体" w:cs="宋体"/>
          <w:color w:val="auto"/>
          <w:szCs w:val="24"/>
          <w:highlight w:val="none"/>
        </w:rPr>
        <w:fldChar w:fldCharType="end"/>
      </w:r>
    </w:p>
    <w:p w14:paraId="533D23B9">
      <w:pPr>
        <w:pStyle w:val="17"/>
        <w:keepNext w:val="0"/>
        <w:keepLines w:val="0"/>
        <w:pageBreakBefore w:val="0"/>
        <w:widowControl w:val="0"/>
        <w:tabs>
          <w:tab w:val="right" w:leader="dot" w:pos="9746"/>
        </w:tabs>
        <w:kinsoku/>
        <w:wordWrap/>
        <w:overflowPunct/>
        <w:topLinePunct w:val="0"/>
        <w:autoSpaceDE/>
        <w:autoSpaceDN/>
        <w:bidi w:val="0"/>
        <w:adjustRightInd/>
        <w:snapToGrid/>
        <w:spacing w:line="500" w:lineRule="exact"/>
        <w:textAlignment w:val="auto"/>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_Toc28084 </w:instrText>
      </w:r>
      <w:r>
        <w:rPr>
          <w:rFonts w:hint="eastAsia" w:ascii="宋体" w:hAnsi="宋体" w:cs="宋体"/>
          <w:color w:val="auto"/>
          <w:szCs w:val="24"/>
          <w:highlight w:val="none"/>
        </w:rPr>
        <w:fldChar w:fldCharType="separate"/>
      </w:r>
      <w:r>
        <w:rPr>
          <w:rFonts w:hint="eastAsia" w:ascii="宋体" w:hAnsi="宋体" w:cs="宋体"/>
          <w:bCs w:val="0"/>
          <w:color w:val="auto"/>
          <w:szCs w:val="24"/>
          <w:highlight w:val="none"/>
        </w:rPr>
        <w:t>六、验收</w:t>
      </w:r>
      <w:r>
        <w:rPr>
          <w:color w:val="auto"/>
          <w:highlight w:val="none"/>
        </w:rPr>
        <w:tab/>
      </w:r>
      <w:r>
        <w:rPr>
          <w:color w:val="auto"/>
          <w:highlight w:val="none"/>
        </w:rPr>
        <w:fldChar w:fldCharType="begin"/>
      </w:r>
      <w:r>
        <w:rPr>
          <w:color w:val="auto"/>
          <w:highlight w:val="none"/>
        </w:rPr>
        <w:instrText xml:space="preserve"> PAGEREF _Toc28084 \h </w:instrText>
      </w:r>
      <w:r>
        <w:rPr>
          <w:color w:val="auto"/>
          <w:highlight w:val="none"/>
        </w:rPr>
        <w:fldChar w:fldCharType="separate"/>
      </w:r>
      <w:r>
        <w:rPr>
          <w:color w:val="auto"/>
          <w:highlight w:val="none"/>
        </w:rPr>
        <w:t>45</w:t>
      </w:r>
      <w:r>
        <w:rPr>
          <w:color w:val="auto"/>
          <w:highlight w:val="none"/>
        </w:rPr>
        <w:fldChar w:fldCharType="end"/>
      </w:r>
      <w:r>
        <w:rPr>
          <w:rFonts w:hint="eastAsia" w:ascii="宋体" w:hAnsi="宋体" w:cs="宋体"/>
          <w:color w:val="auto"/>
          <w:szCs w:val="24"/>
          <w:highlight w:val="none"/>
        </w:rPr>
        <w:fldChar w:fldCharType="end"/>
      </w:r>
    </w:p>
    <w:p w14:paraId="1394CB29">
      <w:pPr>
        <w:pStyle w:val="17"/>
        <w:keepNext w:val="0"/>
        <w:keepLines w:val="0"/>
        <w:pageBreakBefore w:val="0"/>
        <w:widowControl w:val="0"/>
        <w:tabs>
          <w:tab w:val="right" w:leader="dot" w:pos="9746"/>
        </w:tabs>
        <w:kinsoku/>
        <w:wordWrap/>
        <w:overflowPunct/>
        <w:topLinePunct w:val="0"/>
        <w:autoSpaceDE/>
        <w:autoSpaceDN/>
        <w:bidi w:val="0"/>
        <w:adjustRightInd/>
        <w:snapToGrid/>
        <w:spacing w:line="500" w:lineRule="exact"/>
        <w:textAlignment w:val="auto"/>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_Toc7514 </w:instrText>
      </w:r>
      <w:r>
        <w:rPr>
          <w:rFonts w:hint="eastAsia" w:ascii="宋体" w:hAnsi="宋体" w:cs="宋体"/>
          <w:color w:val="auto"/>
          <w:szCs w:val="24"/>
          <w:highlight w:val="none"/>
        </w:rPr>
        <w:fldChar w:fldCharType="separate"/>
      </w:r>
      <w:r>
        <w:rPr>
          <w:rFonts w:hint="eastAsia" w:ascii="宋体" w:hAnsi="宋体" w:cs="宋体"/>
          <w:bCs w:val="0"/>
          <w:color w:val="auto"/>
          <w:szCs w:val="24"/>
          <w:highlight w:val="none"/>
        </w:rPr>
        <w:t>七、其他事项</w:t>
      </w:r>
      <w:r>
        <w:rPr>
          <w:color w:val="auto"/>
          <w:highlight w:val="none"/>
        </w:rPr>
        <w:tab/>
      </w:r>
      <w:r>
        <w:rPr>
          <w:color w:val="auto"/>
          <w:highlight w:val="none"/>
        </w:rPr>
        <w:fldChar w:fldCharType="begin"/>
      </w:r>
      <w:r>
        <w:rPr>
          <w:color w:val="auto"/>
          <w:highlight w:val="none"/>
        </w:rPr>
        <w:instrText xml:space="preserve"> PAGEREF _Toc7514 \h </w:instrText>
      </w:r>
      <w:r>
        <w:rPr>
          <w:color w:val="auto"/>
          <w:highlight w:val="none"/>
        </w:rPr>
        <w:fldChar w:fldCharType="separate"/>
      </w:r>
      <w:r>
        <w:rPr>
          <w:color w:val="auto"/>
          <w:highlight w:val="none"/>
        </w:rPr>
        <w:t>46</w:t>
      </w:r>
      <w:r>
        <w:rPr>
          <w:color w:val="auto"/>
          <w:highlight w:val="none"/>
        </w:rPr>
        <w:fldChar w:fldCharType="end"/>
      </w:r>
      <w:r>
        <w:rPr>
          <w:rFonts w:hint="eastAsia" w:ascii="宋体" w:hAnsi="宋体" w:cs="宋体"/>
          <w:color w:val="auto"/>
          <w:szCs w:val="24"/>
          <w:highlight w:val="none"/>
        </w:rPr>
        <w:fldChar w:fldCharType="end"/>
      </w:r>
    </w:p>
    <w:p w14:paraId="599E2A2A">
      <w:pPr>
        <w:pStyle w:val="23"/>
        <w:keepNext w:val="0"/>
        <w:keepLines w:val="0"/>
        <w:pageBreakBefore w:val="0"/>
        <w:widowControl w:val="0"/>
        <w:tabs>
          <w:tab w:val="right" w:leader="dot" w:pos="9746"/>
        </w:tabs>
        <w:kinsoku/>
        <w:wordWrap/>
        <w:overflowPunct/>
        <w:topLinePunct w:val="0"/>
        <w:autoSpaceDE/>
        <w:autoSpaceDN/>
        <w:bidi w:val="0"/>
        <w:adjustRightInd/>
        <w:snapToGrid/>
        <w:spacing w:line="500" w:lineRule="exact"/>
        <w:textAlignment w:val="auto"/>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_Toc29422 </w:instrText>
      </w:r>
      <w:r>
        <w:rPr>
          <w:rFonts w:hint="eastAsia" w:ascii="宋体" w:hAnsi="宋体" w:cs="宋体"/>
          <w:color w:val="auto"/>
          <w:szCs w:val="24"/>
          <w:highlight w:val="none"/>
        </w:rPr>
        <w:fldChar w:fldCharType="separate"/>
      </w:r>
      <w:r>
        <w:rPr>
          <w:rFonts w:hint="eastAsia"/>
          <w:color w:val="auto"/>
          <w:szCs w:val="24"/>
          <w:highlight w:val="none"/>
        </w:rPr>
        <w:t>第四章  评审程序、评审方法和成交标准</w:t>
      </w:r>
      <w:r>
        <w:rPr>
          <w:color w:val="auto"/>
          <w:highlight w:val="none"/>
        </w:rPr>
        <w:tab/>
      </w:r>
      <w:r>
        <w:rPr>
          <w:color w:val="auto"/>
          <w:highlight w:val="none"/>
        </w:rPr>
        <w:fldChar w:fldCharType="begin"/>
      </w:r>
      <w:r>
        <w:rPr>
          <w:color w:val="auto"/>
          <w:highlight w:val="none"/>
        </w:rPr>
        <w:instrText xml:space="preserve"> PAGEREF _Toc29422 \h </w:instrText>
      </w:r>
      <w:r>
        <w:rPr>
          <w:color w:val="auto"/>
          <w:highlight w:val="none"/>
        </w:rPr>
        <w:fldChar w:fldCharType="separate"/>
      </w:r>
      <w:r>
        <w:rPr>
          <w:color w:val="auto"/>
          <w:highlight w:val="none"/>
        </w:rPr>
        <w:t>47</w:t>
      </w:r>
      <w:r>
        <w:rPr>
          <w:color w:val="auto"/>
          <w:highlight w:val="none"/>
        </w:rPr>
        <w:fldChar w:fldCharType="end"/>
      </w:r>
      <w:r>
        <w:rPr>
          <w:rFonts w:hint="eastAsia" w:ascii="宋体" w:hAnsi="宋体" w:cs="宋体"/>
          <w:color w:val="auto"/>
          <w:szCs w:val="24"/>
          <w:highlight w:val="none"/>
        </w:rPr>
        <w:fldChar w:fldCharType="end"/>
      </w:r>
    </w:p>
    <w:p w14:paraId="41C6B312">
      <w:pPr>
        <w:pStyle w:val="26"/>
        <w:keepNext w:val="0"/>
        <w:keepLines w:val="0"/>
        <w:pageBreakBefore w:val="0"/>
        <w:widowControl w:val="0"/>
        <w:tabs>
          <w:tab w:val="right" w:leader="dot" w:pos="9746"/>
          <w:tab w:val="clear" w:pos="8296"/>
        </w:tabs>
        <w:kinsoku/>
        <w:wordWrap/>
        <w:overflowPunct/>
        <w:topLinePunct w:val="0"/>
        <w:autoSpaceDE/>
        <w:autoSpaceDN/>
        <w:bidi w:val="0"/>
        <w:adjustRightInd/>
        <w:snapToGrid/>
        <w:spacing w:line="500" w:lineRule="exact"/>
        <w:textAlignment w:val="auto"/>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_Toc29070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第一节 评审程序和评审方法</w:t>
      </w:r>
      <w:r>
        <w:rPr>
          <w:color w:val="auto"/>
          <w:highlight w:val="none"/>
        </w:rPr>
        <w:tab/>
      </w:r>
      <w:r>
        <w:rPr>
          <w:color w:val="auto"/>
          <w:highlight w:val="none"/>
        </w:rPr>
        <w:fldChar w:fldCharType="begin"/>
      </w:r>
      <w:r>
        <w:rPr>
          <w:color w:val="auto"/>
          <w:highlight w:val="none"/>
        </w:rPr>
        <w:instrText xml:space="preserve"> PAGEREF _Toc29070 \h </w:instrText>
      </w:r>
      <w:r>
        <w:rPr>
          <w:color w:val="auto"/>
          <w:highlight w:val="none"/>
        </w:rPr>
        <w:fldChar w:fldCharType="separate"/>
      </w:r>
      <w:r>
        <w:rPr>
          <w:color w:val="auto"/>
          <w:highlight w:val="none"/>
        </w:rPr>
        <w:t>47</w:t>
      </w:r>
      <w:r>
        <w:rPr>
          <w:color w:val="auto"/>
          <w:highlight w:val="none"/>
        </w:rPr>
        <w:fldChar w:fldCharType="end"/>
      </w:r>
      <w:r>
        <w:rPr>
          <w:rFonts w:hint="eastAsia" w:ascii="宋体" w:hAnsi="宋体" w:cs="宋体"/>
          <w:color w:val="auto"/>
          <w:szCs w:val="24"/>
          <w:highlight w:val="none"/>
        </w:rPr>
        <w:fldChar w:fldCharType="end"/>
      </w:r>
    </w:p>
    <w:p w14:paraId="64838C14">
      <w:pPr>
        <w:pStyle w:val="26"/>
        <w:keepNext w:val="0"/>
        <w:keepLines w:val="0"/>
        <w:pageBreakBefore w:val="0"/>
        <w:widowControl w:val="0"/>
        <w:tabs>
          <w:tab w:val="right" w:leader="dot" w:pos="9746"/>
          <w:tab w:val="clear" w:pos="8296"/>
        </w:tabs>
        <w:kinsoku/>
        <w:wordWrap/>
        <w:overflowPunct/>
        <w:topLinePunct w:val="0"/>
        <w:autoSpaceDE/>
        <w:autoSpaceDN/>
        <w:bidi w:val="0"/>
        <w:adjustRightInd/>
        <w:snapToGrid/>
        <w:spacing w:line="500" w:lineRule="exact"/>
        <w:textAlignment w:val="auto"/>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_Toc10142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第二节 评审原则</w:t>
      </w:r>
      <w:r>
        <w:rPr>
          <w:color w:val="auto"/>
          <w:highlight w:val="none"/>
        </w:rPr>
        <w:tab/>
      </w:r>
      <w:r>
        <w:rPr>
          <w:color w:val="auto"/>
          <w:highlight w:val="none"/>
        </w:rPr>
        <w:fldChar w:fldCharType="begin"/>
      </w:r>
      <w:r>
        <w:rPr>
          <w:color w:val="auto"/>
          <w:highlight w:val="none"/>
        </w:rPr>
        <w:instrText xml:space="preserve"> PAGEREF _Toc10142 \h </w:instrText>
      </w:r>
      <w:r>
        <w:rPr>
          <w:color w:val="auto"/>
          <w:highlight w:val="none"/>
        </w:rPr>
        <w:fldChar w:fldCharType="separate"/>
      </w:r>
      <w:r>
        <w:rPr>
          <w:color w:val="auto"/>
          <w:highlight w:val="none"/>
        </w:rPr>
        <w:t>53</w:t>
      </w:r>
      <w:r>
        <w:rPr>
          <w:color w:val="auto"/>
          <w:highlight w:val="none"/>
        </w:rPr>
        <w:fldChar w:fldCharType="end"/>
      </w:r>
      <w:r>
        <w:rPr>
          <w:rFonts w:hint="eastAsia" w:ascii="宋体" w:hAnsi="宋体" w:cs="宋体"/>
          <w:color w:val="auto"/>
          <w:szCs w:val="24"/>
          <w:highlight w:val="none"/>
        </w:rPr>
        <w:fldChar w:fldCharType="end"/>
      </w:r>
    </w:p>
    <w:p w14:paraId="6F57E576">
      <w:pPr>
        <w:pStyle w:val="26"/>
        <w:keepNext w:val="0"/>
        <w:keepLines w:val="0"/>
        <w:pageBreakBefore w:val="0"/>
        <w:widowControl w:val="0"/>
        <w:tabs>
          <w:tab w:val="right" w:leader="dot" w:pos="9746"/>
          <w:tab w:val="clear" w:pos="8296"/>
        </w:tabs>
        <w:kinsoku/>
        <w:wordWrap/>
        <w:overflowPunct/>
        <w:topLinePunct w:val="0"/>
        <w:autoSpaceDE/>
        <w:autoSpaceDN/>
        <w:bidi w:val="0"/>
        <w:adjustRightInd/>
        <w:snapToGrid/>
        <w:spacing w:line="500" w:lineRule="exact"/>
        <w:textAlignment w:val="auto"/>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_Toc10465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第三节 评标报告</w:t>
      </w:r>
      <w:r>
        <w:rPr>
          <w:color w:val="auto"/>
          <w:highlight w:val="none"/>
        </w:rPr>
        <w:tab/>
      </w:r>
      <w:r>
        <w:rPr>
          <w:color w:val="auto"/>
          <w:highlight w:val="none"/>
        </w:rPr>
        <w:fldChar w:fldCharType="begin"/>
      </w:r>
      <w:r>
        <w:rPr>
          <w:color w:val="auto"/>
          <w:highlight w:val="none"/>
        </w:rPr>
        <w:instrText xml:space="preserve"> PAGEREF _Toc10465 \h </w:instrText>
      </w:r>
      <w:r>
        <w:rPr>
          <w:color w:val="auto"/>
          <w:highlight w:val="none"/>
        </w:rPr>
        <w:fldChar w:fldCharType="separate"/>
      </w:r>
      <w:r>
        <w:rPr>
          <w:color w:val="auto"/>
          <w:highlight w:val="none"/>
        </w:rPr>
        <w:t>54</w:t>
      </w:r>
      <w:r>
        <w:rPr>
          <w:color w:val="auto"/>
          <w:highlight w:val="none"/>
        </w:rPr>
        <w:fldChar w:fldCharType="end"/>
      </w:r>
      <w:r>
        <w:rPr>
          <w:rFonts w:hint="eastAsia" w:ascii="宋体" w:hAnsi="宋体" w:cs="宋体"/>
          <w:color w:val="auto"/>
          <w:szCs w:val="24"/>
          <w:highlight w:val="none"/>
        </w:rPr>
        <w:fldChar w:fldCharType="end"/>
      </w:r>
    </w:p>
    <w:p w14:paraId="22BA97A7">
      <w:pPr>
        <w:pStyle w:val="26"/>
        <w:keepNext w:val="0"/>
        <w:keepLines w:val="0"/>
        <w:pageBreakBefore w:val="0"/>
        <w:widowControl w:val="0"/>
        <w:tabs>
          <w:tab w:val="right" w:leader="dot" w:pos="9746"/>
          <w:tab w:val="clear" w:pos="8296"/>
        </w:tabs>
        <w:kinsoku/>
        <w:wordWrap/>
        <w:overflowPunct/>
        <w:topLinePunct w:val="0"/>
        <w:autoSpaceDE/>
        <w:autoSpaceDN/>
        <w:bidi w:val="0"/>
        <w:adjustRightInd/>
        <w:snapToGrid/>
        <w:spacing w:line="500" w:lineRule="exact"/>
        <w:textAlignment w:val="auto"/>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_Toc7462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第四节 评审过程的保密与录像</w:t>
      </w:r>
      <w:r>
        <w:rPr>
          <w:color w:val="auto"/>
          <w:highlight w:val="none"/>
        </w:rPr>
        <w:tab/>
      </w:r>
      <w:r>
        <w:rPr>
          <w:color w:val="auto"/>
          <w:highlight w:val="none"/>
        </w:rPr>
        <w:fldChar w:fldCharType="begin"/>
      </w:r>
      <w:r>
        <w:rPr>
          <w:color w:val="auto"/>
          <w:highlight w:val="none"/>
        </w:rPr>
        <w:instrText xml:space="preserve"> PAGEREF _Toc7462 \h </w:instrText>
      </w:r>
      <w:r>
        <w:rPr>
          <w:color w:val="auto"/>
          <w:highlight w:val="none"/>
        </w:rPr>
        <w:fldChar w:fldCharType="separate"/>
      </w:r>
      <w:r>
        <w:rPr>
          <w:color w:val="auto"/>
          <w:highlight w:val="none"/>
        </w:rPr>
        <w:t>55</w:t>
      </w:r>
      <w:r>
        <w:rPr>
          <w:color w:val="auto"/>
          <w:highlight w:val="none"/>
        </w:rPr>
        <w:fldChar w:fldCharType="end"/>
      </w:r>
      <w:r>
        <w:rPr>
          <w:rFonts w:hint="eastAsia" w:ascii="宋体" w:hAnsi="宋体" w:cs="宋体"/>
          <w:color w:val="auto"/>
          <w:szCs w:val="24"/>
          <w:highlight w:val="none"/>
        </w:rPr>
        <w:fldChar w:fldCharType="end"/>
      </w:r>
    </w:p>
    <w:p w14:paraId="26C1C285">
      <w:pPr>
        <w:pStyle w:val="23"/>
        <w:keepNext w:val="0"/>
        <w:keepLines w:val="0"/>
        <w:pageBreakBefore w:val="0"/>
        <w:widowControl w:val="0"/>
        <w:tabs>
          <w:tab w:val="right" w:leader="dot" w:pos="9746"/>
        </w:tabs>
        <w:kinsoku/>
        <w:wordWrap/>
        <w:overflowPunct/>
        <w:topLinePunct w:val="0"/>
        <w:autoSpaceDE/>
        <w:autoSpaceDN/>
        <w:bidi w:val="0"/>
        <w:adjustRightInd/>
        <w:snapToGrid/>
        <w:spacing w:line="500" w:lineRule="exact"/>
        <w:textAlignment w:val="auto"/>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_Toc8856 </w:instrText>
      </w:r>
      <w:r>
        <w:rPr>
          <w:rFonts w:hint="eastAsia" w:ascii="宋体" w:hAnsi="宋体" w:cs="宋体"/>
          <w:color w:val="auto"/>
          <w:szCs w:val="24"/>
          <w:highlight w:val="none"/>
        </w:rPr>
        <w:fldChar w:fldCharType="separate"/>
      </w:r>
      <w:r>
        <w:rPr>
          <w:rFonts w:hint="eastAsia" w:ascii="宋体" w:hAnsi="宋体" w:cs="宋体"/>
          <w:bCs/>
          <w:color w:val="auto"/>
          <w:szCs w:val="32"/>
          <w:highlight w:val="none"/>
        </w:rPr>
        <w:t>第五章 响应文件格式第</w:t>
      </w:r>
      <w:r>
        <w:rPr>
          <w:rFonts w:hint="eastAsia" w:ascii="宋体" w:hAnsi="宋体" w:cs="宋体"/>
          <w:bCs/>
          <w:color w:val="auto"/>
          <w:szCs w:val="32"/>
          <w:highlight w:val="none"/>
          <w:lang w:eastAsia="zh-CN"/>
        </w:rPr>
        <w:t>一</w:t>
      </w:r>
      <w:r>
        <w:rPr>
          <w:rFonts w:hint="eastAsia" w:ascii="宋体" w:hAnsi="宋体" w:cs="宋体"/>
          <w:bCs/>
          <w:color w:val="auto"/>
          <w:szCs w:val="32"/>
          <w:highlight w:val="none"/>
        </w:rPr>
        <w:t>节 资格证明文件格式</w:t>
      </w:r>
      <w:r>
        <w:rPr>
          <w:color w:val="auto"/>
          <w:highlight w:val="none"/>
        </w:rPr>
        <w:tab/>
      </w:r>
      <w:r>
        <w:rPr>
          <w:color w:val="auto"/>
          <w:highlight w:val="none"/>
        </w:rPr>
        <w:fldChar w:fldCharType="begin"/>
      </w:r>
      <w:r>
        <w:rPr>
          <w:color w:val="auto"/>
          <w:highlight w:val="none"/>
        </w:rPr>
        <w:instrText xml:space="preserve"> PAGEREF _Toc8856 \h </w:instrText>
      </w:r>
      <w:r>
        <w:rPr>
          <w:color w:val="auto"/>
          <w:highlight w:val="none"/>
        </w:rPr>
        <w:fldChar w:fldCharType="separate"/>
      </w:r>
      <w:r>
        <w:rPr>
          <w:color w:val="auto"/>
          <w:highlight w:val="none"/>
        </w:rPr>
        <w:t>56</w:t>
      </w:r>
      <w:r>
        <w:rPr>
          <w:color w:val="auto"/>
          <w:highlight w:val="none"/>
        </w:rPr>
        <w:fldChar w:fldCharType="end"/>
      </w:r>
      <w:r>
        <w:rPr>
          <w:rFonts w:hint="eastAsia" w:ascii="宋体" w:hAnsi="宋体" w:cs="宋体"/>
          <w:color w:val="auto"/>
          <w:szCs w:val="24"/>
          <w:highlight w:val="none"/>
        </w:rPr>
        <w:fldChar w:fldCharType="end"/>
      </w:r>
    </w:p>
    <w:p w14:paraId="3A192A7A">
      <w:pPr>
        <w:pStyle w:val="26"/>
        <w:keepNext w:val="0"/>
        <w:keepLines w:val="0"/>
        <w:pageBreakBefore w:val="0"/>
        <w:widowControl w:val="0"/>
        <w:tabs>
          <w:tab w:val="right" w:leader="dot" w:pos="9746"/>
          <w:tab w:val="clear" w:pos="8296"/>
        </w:tabs>
        <w:kinsoku/>
        <w:wordWrap/>
        <w:overflowPunct/>
        <w:topLinePunct w:val="0"/>
        <w:autoSpaceDE/>
        <w:autoSpaceDN/>
        <w:bidi w:val="0"/>
        <w:adjustRightInd/>
        <w:snapToGrid/>
        <w:spacing w:line="500" w:lineRule="exact"/>
        <w:textAlignment w:val="auto"/>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_Toc19505 </w:instrText>
      </w:r>
      <w:r>
        <w:rPr>
          <w:rFonts w:hint="eastAsia" w:ascii="宋体" w:hAnsi="宋体" w:cs="宋体"/>
          <w:color w:val="auto"/>
          <w:szCs w:val="24"/>
          <w:highlight w:val="none"/>
        </w:rPr>
        <w:fldChar w:fldCharType="separate"/>
      </w:r>
      <w:r>
        <w:rPr>
          <w:rFonts w:hint="eastAsia" w:ascii="宋体" w:hAnsi="宋体" w:cs="宋体"/>
          <w:bCs/>
          <w:color w:val="auto"/>
          <w:szCs w:val="24"/>
          <w:highlight w:val="none"/>
        </w:rPr>
        <w:t>第二节 商务</w:t>
      </w:r>
      <w:r>
        <w:rPr>
          <w:rFonts w:hint="eastAsia" w:ascii="宋体" w:hAnsi="宋体" w:cs="宋体"/>
          <w:bCs/>
          <w:color w:val="auto"/>
          <w:szCs w:val="24"/>
          <w:highlight w:val="none"/>
          <w:lang w:val="en-US" w:eastAsia="zh-CN"/>
        </w:rPr>
        <w:t>技术</w:t>
      </w:r>
      <w:r>
        <w:rPr>
          <w:rFonts w:hint="eastAsia" w:ascii="宋体" w:hAnsi="宋体" w:cs="宋体"/>
          <w:bCs/>
          <w:color w:val="auto"/>
          <w:szCs w:val="24"/>
          <w:highlight w:val="none"/>
        </w:rPr>
        <w:t>格式</w:t>
      </w:r>
      <w:r>
        <w:rPr>
          <w:color w:val="auto"/>
          <w:highlight w:val="none"/>
        </w:rPr>
        <w:tab/>
      </w:r>
      <w:r>
        <w:rPr>
          <w:color w:val="auto"/>
          <w:highlight w:val="none"/>
        </w:rPr>
        <w:fldChar w:fldCharType="begin"/>
      </w:r>
      <w:r>
        <w:rPr>
          <w:color w:val="auto"/>
          <w:highlight w:val="none"/>
        </w:rPr>
        <w:instrText xml:space="preserve"> PAGEREF _Toc19505 \h </w:instrText>
      </w:r>
      <w:r>
        <w:rPr>
          <w:color w:val="auto"/>
          <w:highlight w:val="none"/>
        </w:rPr>
        <w:fldChar w:fldCharType="separate"/>
      </w:r>
      <w:r>
        <w:rPr>
          <w:color w:val="auto"/>
          <w:highlight w:val="none"/>
        </w:rPr>
        <w:t>63</w:t>
      </w:r>
      <w:r>
        <w:rPr>
          <w:color w:val="auto"/>
          <w:highlight w:val="none"/>
        </w:rPr>
        <w:fldChar w:fldCharType="end"/>
      </w:r>
      <w:r>
        <w:rPr>
          <w:rFonts w:hint="eastAsia" w:ascii="宋体" w:hAnsi="宋体" w:cs="宋体"/>
          <w:color w:val="auto"/>
          <w:szCs w:val="24"/>
          <w:highlight w:val="none"/>
        </w:rPr>
        <w:fldChar w:fldCharType="end"/>
      </w:r>
    </w:p>
    <w:p w14:paraId="79A71B30">
      <w:pPr>
        <w:pStyle w:val="26"/>
        <w:keepNext w:val="0"/>
        <w:keepLines w:val="0"/>
        <w:pageBreakBefore w:val="0"/>
        <w:widowControl w:val="0"/>
        <w:tabs>
          <w:tab w:val="right" w:leader="dot" w:pos="9746"/>
          <w:tab w:val="clear" w:pos="8296"/>
        </w:tabs>
        <w:kinsoku/>
        <w:wordWrap/>
        <w:overflowPunct/>
        <w:topLinePunct w:val="0"/>
        <w:autoSpaceDE/>
        <w:autoSpaceDN/>
        <w:bidi w:val="0"/>
        <w:adjustRightInd/>
        <w:snapToGrid/>
        <w:spacing w:line="500" w:lineRule="exact"/>
        <w:textAlignment w:val="auto"/>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_Toc16265 </w:instrText>
      </w:r>
      <w:r>
        <w:rPr>
          <w:rFonts w:hint="eastAsia" w:ascii="宋体" w:hAnsi="宋体" w:cs="宋体"/>
          <w:color w:val="auto"/>
          <w:szCs w:val="24"/>
          <w:highlight w:val="none"/>
        </w:rPr>
        <w:fldChar w:fldCharType="separate"/>
      </w:r>
      <w:r>
        <w:rPr>
          <w:rFonts w:hint="eastAsia" w:ascii="宋体" w:hAnsi="宋体" w:cs="宋体"/>
          <w:color w:val="auto"/>
          <w:highlight w:val="none"/>
        </w:rPr>
        <w:t>第</w:t>
      </w:r>
      <w:r>
        <w:rPr>
          <w:rFonts w:hint="eastAsia" w:ascii="宋体" w:hAnsi="宋体" w:cs="宋体"/>
          <w:color w:val="auto"/>
          <w:highlight w:val="none"/>
          <w:lang w:val="en-US" w:eastAsia="zh-CN"/>
        </w:rPr>
        <w:t>三</w:t>
      </w:r>
      <w:r>
        <w:rPr>
          <w:rFonts w:hint="eastAsia" w:ascii="宋体" w:hAnsi="宋体" w:cs="宋体"/>
          <w:color w:val="auto"/>
          <w:highlight w:val="none"/>
        </w:rPr>
        <w:t>节 报价文件格式</w:t>
      </w:r>
      <w:r>
        <w:rPr>
          <w:color w:val="auto"/>
          <w:highlight w:val="none"/>
        </w:rPr>
        <w:tab/>
      </w:r>
      <w:r>
        <w:rPr>
          <w:color w:val="auto"/>
          <w:highlight w:val="none"/>
        </w:rPr>
        <w:fldChar w:fldCharType="begin"/>
      </w:r>
      <w:r>
        <w:rPr>
          <w:color w:val="auto"/>
          <w:highlight w:val="none"/>
        </w:rPr>
        <w:instrText xml:space="preserve"> PAGEREF _Toc16265 \h </w:instrText>
      </w:r>
      <w:r>
        <w:rPr>
          <w:color w:val="auto"/>
          <w:highlight w:val="none"/>
        </w:rPr>
        <w:fldChar w:fldCharType="separate"/>
      </w:r>
      <w:r>
        <w:rPr>
          <w:color w:val="auto"/>
          <w:highlight w:val="none"/>
        </w:rPr>
        <w:t>72</w:t>
      </w:r>
      <w:r>
        <w:rPr>
          <w:color w:val="auto"/>
          <w:highlight w:val="none"/>
        </w:rPr>
        <w:fldChar w:fldCharType="end"/>
      </w:r>
      <w:r>
        <w:rPr>
          <w:rFonts w:hint="eastAsia" w:ascii="宋体" w:hAnsi="宋体" w:cs="宋体"/>
          <w:color w:val="auto"/>
          <w:szCs w:val="24"/>
          <w:highlight w:val="none"/>
        </w:rPr>
        <w:fldChar w:fldCharType="end"/>
      </w:r>
    </w:p>
    <w:p w14:paraId="3B357820">
      <w:pPr>
        <w:pStyle w:val="23"/>
        <w:keepNext w:val="0"/>
        <w:keepLines w:val="0"/>
        <w:pageBreakBefore w:val="0"/>
        <w:widowControl w:val="0"/>
        <w:tabs>
          <w:tab w:val="right" w:leader="dot" w:pos="9746"/>
        </w:tabs>
        <w:kinsoku/>
        <w:wordWrap/>
        <w:overflowPunct/>
        <w:topLinePunct w:val="0"/>
        <w:autoSpaceDE/>
        <w:autoSpaceDN/>
        <w:bidi w:val="0"/>
        <w:adjustRightInd/>
        <w:snapToGrid/>
        <w:spacing w:line="500" w:lineRule="exact"/>
        <w:textAlignment w:val="auto"/>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_Toc31558 </w:instrText>
      </w:r>
      <w:r>
        <w:rPr>
          <w:rFonts w:hint="eastAsia" w:ascii="宋体" w:hAnsi="宋体" w:cs="宋体"/>
          <w:color w:val="auto"/>
          <w:szCs w:val="24"/>
          <w:highlight w:val="none"/>
        </w:rPr>
        <w:fldChar w:fldCharType="separate"/>
      </w:r>
      <w:r>
        <w:rPr>
          <w:rFonts w:hint="eastAsia"/>
          <w:color w:val="auto"/>
          <w:szCs w:val="44"/>
          <w:highlight w:val="none"/>
        </w:rPr>
        <w:t>第六章 合同文本</w:t>
      </w:r>
      <w:r>
        <w:rPr>
          <w:color w:val="auto"/>
          <w:highlight w:val="none"/>
        </w:rPr>
        <w:tab/>
      </w:r>
      <w:r>
        <w:rPr>
          <w:color w:val="auto"/>
          <w:highlight w:val="none"/>
        </w:rPr>
        <w:fldChar w:fldCharType="begin"/>
      </w:r>
      <w:r>
        <w:rPr>
          <w:color w:val="auto"/>
          <w:highlight w:val="none"/>
        </w:rPr>
        <w:instrText xml:space="preserve"> PAGEREF _Toc31558 \h </w:instrText>
      </w:r>
      <w:r>
        <w:rPr>
          <w:color w:val="auto"/>
          <w:highlight w:val="none"/>
        </w:rPr>
        <w:fldChar w:fldCharType="separate"/>
      </w:r>
      <w:r>
        <w:rPr>
          <w:color w:val="auto"/>
          <w:highlight w:val="none"/>
        </w:rPr>
        <w:t>79</w:t>
      </w:r>
      <w:r>
        <w:rPr>
          <w:color w:val="auto"/>
          <w:highlight w:val="none"/>
        </w:rPr>
        <w:fldChar w:fldCharType="end"/>
      </w:r>
      <w:r>
        <w:rPr>
          <w:rFonts w:hint="eastAsia" w:ascii="宋体" w:hAnsi="宋体" w:cs="宋体"/>
          <w:color w:val="auto"/>
          <w:szCs w:val="24"/>
          <w:highlight w:val="none"/>
        </w:rPr>
        <w:fldChar w:fldCharType="end"/>
      </w:r>
    </w:p>
    <w:p w14:paraId="57A4D85F">
      <w:pPr>
        <w:pStyle w:val="23"/>
        <w:keepNext w:val="0"/>
        <w:keepLines w:val="0"/>
        <w:pageBreakBefore w:val="0"/>
        <w:widowControl w:val="0"/>
        <w:tabs>
          <w:tab w:val="right" w:leader="dot" w:pos="9746"/>
        </w:tabs>
        <w:kinsoku/>
        <w:wordWrap/>
        <w:overflowPunct/>
        <w:topLinePunct w:val="0"/>
        <w:autoSpaceDE/>
        <w:autoSpaceDN/>
        <w:bidi w:val="0"/>
        <w:adjustRightInd/>
        <w:snapToGrid/>
        <w:spacing w:line="500" w:lineRule="exact"/>
        <w:textAlignment w:val="auto"/>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_Toc5171 </w:instrText>
      </w:r>
      <w:r>
        <w:rPr>
          <w:rFonts w:hint="eastAsia" w:ascii="宋体" w:hAnsi="宋体" w:cs="宋体"/>
          <w:color w:val="auto"/>
          <w:szCs w:val="24"/>
          <w:highlight w:val="none"/>
        </w:rPr>
        <w:fldChar w:fldCharType="separate"/>
      </w:r>
      <w:r>
        <w:rPr>
          <w:rFonts w:hint="eastAsia" w:ascii="宋体" w:hAnsi="宋体"/>
          <w:color w:val="auto"/>
          <w:szCs w:val="44"/>
          <w:highlight w:val="none"/>
        </w:rPr>
        <w:t>合同文本</w:t>
      </w:r>
      <w:r>
        <w:rPr>
          <w:color w:val="auto"/>
          <w:highlight w:val="none"/>
        </w:rPr>
        <w:tab/>
      </w:r>
      <w:r>
        <w:rPr>
          <w:color w:val="auto"/>
          <w:highlight w:val="none"/>
        </w:rPr>
        <w:fldChar w:fldCharType="begin"/>
      </w:r>
      <w:r>
        <w:rPr>
          <w:color w:val="auto"/>
          <w:highlight w:val="none"/>
        </w:rPr>
        <w:instrText xml:space="preserve"> PAGEREF _Toc5171 \h </w:instrText>
      </w:r>
      <w:r>
        <w:rPr>
          <w:color w:val="auto"/>
          <w:highlight w:val="none"/>
        </w:rPr>
        <w:fldChar w:fldCharType="separate"/>
      </w:r>
      <w:r>
        <w:rPr>
          <w:color w:val="auto"/>
          <w:highlight w:val="none"/>
        </w:rPr>
        <w:t>80</w:t>
      </w:r>
      <w:r>
        <w:rPr>
          <w:color w:val="auto"/>
          <w:highlight w:val="none"/>
        </w:rPr>
        <w:fldChar w:fldCharType="end"/>
      </w:r>
      <w:r>
        <w:rPr>
          <w:rFonts w:hint="eastAsia" w:ascii="宋体" w:hAnsi="宋体" w:cs="宋体"/>
          <w:color w:val="auto"/>
          <w:szCs w:val="24"/>
          <w:highlight w:val="none"/>
        </w:rPr>
        <w:fldChar w:fldCharType="end"/>
      </w:r>
    </w:p>
    <w:p w14:paraId="23E58FE7">
      <w:pPr>
        <w:pStyle w:val="23"/>
        <w:keepNext w:val="0"/>
        <w:keepLines w:val="0"/>
        <w:pageBreakBefore w:val="0"/>
        <w:widowControl w:val="0"/>
        <w:tabs>
          <w:tab w:val="right" w:leader="dot" w:pos="9746"/>
        </w:tabs>
        <w:kinsoku/>
        <w:wordWrap/>
        <w:overflowPunct/>
        <w:topLinePunct w:val="0"/>
        <w:autoSpaceDE/>
        <w:autoSpaceDN/>
        <w:bidi w:val="0"/>
        <w:adjustRightInd/>
        <w:snapToGrid/>
        <w:spacing w:line="500" w:lineRule="exact"/>
        <w:textAlignment w:val="auto"/>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_Toc31925 </w:instrText>
      </w:r>
      <w:r>
        <w:rPr>
          <w:rFonts w:hint="eastAsia" w:ascii="宋体" w:hAnsi="宋体" w:cs="宋体"/>
          <w:color w:val="auto"/>
          <w:szCs w:val="24"/>
          <w:highlight w:val="none"/>
        </w:rPr>
        <w:fldChar w:fldCharType="separate"/>
      </w:r>
      <w:r>
        <w:rPr>
          <w:rFonts w:hint="eastAsia" w:ascii="宋体" w:hAnsi="宋体" w:cs="宋体"/>
          <w:color w:val="auto"/>
          <w:highlight w:val="none"/>
        </w:rPr>
        <w:t>第七章 质疑、投诉材料格式</w:t>
      </w:r>
      <w:r>
        <w:rPr>
          <w:color w:val="auto"/>
          <w:highlight w:val="none"/>
        </w:rPr>
        <w:tab/>
      </w:r>
      <w:r>
        <w:rPr>
          <w:color w:val="auto"/>
          <w:highlight w:val="none"/>
        </w:rPr>
        <w:fldChar w:fldCharType="begin"/>
      </w:r>
      <w:r>
        <w:rPr>
          <w:color w:val="auto"/>
          <w:highlight w:val="none"/>
        </w:rPr>
        <w:instrText xml:space="preserve"> PAGEREF _Toc31925 \h </w:instrText>
      </w:r>
      <w:r>
        <w:rPr>
          <w:color w:val="auto"/>
          <w:highlight w:val="none"/>
        </w:rPr>
        <w:fldChar w:fldCharType="separate"/>
      </w:r>
      <w:r>
        <w:rPr>
          <w:color w:val="auto"/>
          <w:highlight w:val="none"/>
        </w:rPr>
        <w:t>87</w:t>
      </w:r>
      <w:r>
        <w:rPr>
          <w:color w:val="auto"/>
          <w:highlight w:val="none"/>
        </w:rPr>
        <w:fldChar w:fldCharType="end"/>
      </w:r>
      <w:r>
        <w:rPr>
          <w:rFonts w:hint="eastAsia" w:ascii="宋体" w:hAnsi="宋体" w:cs="宋体"/>
          <w:color w:val="auto"/>
          <w:szCs w:val="24"/>
          <w:highlight w:val="none"/>
        </w:rPr>
        <w:fldChar w:fldCharType="end"/>
      </w:r>
    </w:p>
    <w:p w14:paraId="58B41A4C">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s="宋体"/>
          <w:b/>
          <w:color w:val="auto"/>
          <w:sz w:val="24"/>
          <w:szCs w:val="24"/>
          <w:highlight w:val="none"/>
        </w:rPr>
        <w:sectPr>
          <w:headerReference r:id="rId4" w:type="first"/>
          <w:footerReference r:id="rId6" w:type="first"/>
          <w:headerReference r:id="rId3" w:type="default"/>
          <w:footerReference r:id="rId5" w:type="default"/>
          <w:pgSz w:w="11906" w:h="16838"/>
          <w:pgMar w:top="1440" w:right="1080" w:bottom="1440" w:left="1080" w:header="851" w:footer="992" w:gutter="0"/>
          <w:pgNumType w:start="0"/>
          <w:cols w:space="720" w:num="1"/>
          <w:titlePg/>
          <w:docGrid w:type="lines" w:linePitch="312" w:charSpace="0"/>
        </w:sectPr>
      </w:pPr>
      <w:r>
        <w:rPr>
          <w:rFonts w:hint="eastAsia" w:ascii="宋体" w:hAnsi="宋体" w:cs="宋体"/>
          <w:color w:val="auto"/>
          <w:szCs w:val="24"/>
          <w:highlight w:val="none"/>
        </w:rPr>
        <w:fldChar w:fldCharType="end"/>
      </w:r>
    </w:p>
    <w:p w14:paraId="3DEB862B">
      <w:pPr>
        <w:pStyle w:val="2"/>
        <w:spacing w:before="0" w:after="0" w:line="360" w:lineRule="auto"/>
        <w:jc w:val="center"/>
        <w:rPr>
          <w:rFonts w:ascii="宋体" w:hAnsi="宋体" w:cs="宋体"/>
          <w:color w:val="auto"/>
          <w:sz w:val="24"/>
          <w:szCs w:val="24"/>
          <w:highlight w:val="none"/>
        </w:rPr>
      </w:pPr>
      <w:bookmarkStart w:id="0" w:name="_Toc27494"/>
      <w:r>
        <w:rPr>
          <w:rFonts w:hint="eastAsia" w:ascii="宋体" w:hAnsi="宋体" w:cs="宋体"/>
          <w:color w:val="auto"/>
          <w:sz w:val="24"/>
          <w:szCs w:val="24"/>
          <w:highlight w:val="none"/>
        </w:rPr>
        <w:t>第一章 竞争性谈判公告</w:t>
      </w:r>
      <w:bookmarkEnd w:id="0"/>
      <w:bookmarkStart w:id="1" w:name="_Toc28359012"/>
      <w:bookmarkStart w:id="2" w:name="_Toc35393629"/>
      <w:bookmarkStart w:id="3" w:name="_Toc28359089"/>
      <w:bookmarkStart w:id="4" w:name="_Toc35393798"/>
      <w:bookmarkStart w:id="5" w:name="_Toc44229878"/>
      <w:bookmarkStart w:id="6" w:name="_Toc35393792"/>
      <w:bookmarkStart w:id="7" w:name="_Toc35393623"/>
      <w:bookmarkStart w:id="8" w:name="_Toc28359004"/>
      <w:bookmarkStart w:id="9" w:name="_Toc28359081"/>
    </w:p>
    <w:p w14:paraId="63471E1F">
      <w:pPr>
        <w:keepNext w:val="0"/>
        <w:keepLines w:val="0"/>
        <w:pageBreakBefore w:val="0"/>
        <w:pBdr>
          <w:top w:val="single" w:color="000000" w:sz="4" w:space="1"/>
          <w:left w:val="single" w:color="000000" w:sz="4" w:space="4"/>
          <w:bottom w:val="single" w:color="000000" w:sz="4" w:space="1"/>
          <w:right w:val="single" w:color="000000" w:sz="4" w:space="4"/>
        </w:pBdr>
        <w:kinsoku/>
        <w:overflowPunct/>
        <w:topLinePunct w:val="0"/>
        <w:autoSpaceDE/>
        <w:autoSpaceDN/>
        <w:bidi w:val="0"/>
        <w:spacing w:line="500" w:lineRule="exact"/>
        <w:rPr>
          <w:rFonts w:ascii="宋体" w:hAnsi="宋体"/>
          <w:color w:val="auto"/>
          <w:sz w:val="24"/>
          <w:szCs w:val="24"/>
          <w:highlight w:val="none"/>
        </w:rPr>
      </w:pPr>
      <w:r>
        <w:rPr>
          <w:rFonts w:hint="eastAsia" w:ascii="宋体" w:hAnsi="宋体"/>
          <w:color w:val="auto"/>
          <w:sz w:val="24"/>
          <w:szCs w:val="24"/>
          <w:highlight w:val="none"/>
        </w:rPr>
        <w:t>项目概况</w:t>
      </w:r>
    </w:p>
    <w:p w14:paraId="2170D86E">
      <w:pPr>
        <w:keepNext w:val="0"/>
        <w:keepLines w:val="0"/>
        <w:pageBreakBefore w:val="0"/>
        <w:pBdr>
          <w:top w:val="single" w:color="000000" w:sz="4" w:space="1"/>
          <w:left w:val="single" w:color="000000" w:sz="4" w:space="4"/>
          <w:bottom w:val="single" w:color="000000" w:sz="4" w:space="1"/>
          <w:right w:val="single" w:color="000000" w:sz="4" w:space="4"/>
        </w:pBdr>
        <w:kinsoku/>
        <w:wordWrap w:val="0"/>
        <w:overflowPunct/>
        <w:topLinePunct w:val="0"/>
        <w:autoSpaceDE/>
        <w:autoSpaceDN/>
        <w:bidi w:val="0"/>
        <w:spacing w:line="500" w:lineRule="exact"/>
        <w:ind w:firstLine="480" w:firstLineChars="200"/>
        <w:rPr>
          <w:rFonts w:ascii="宋体" w:hAnsi="宋体" w:cs="宋体"/>
          <w:bCs/>
          <w:color w:val="auto"/>
          <w:sz w:val="24"/>
          <w:szCs w:val="24"/>
          <w:highlight w:val="none"/>
        </w:rPr>
      </w:pPr>
      <w:r>
        <w:rPr>
          <w:rFonts w:hint="eastAsia" w:ascii="宋体" w:hAnsi="宋体" w:eastAsia="宋体" w:cs="Times New Roman"/>
          <w:color w:val="auto"/>
          <w:sz w:val="24"/>
          <w:szCs w:val="24"/>
          <w:highlight w:val="none"/>
          <w:u w:val="single"/>
        </w:rPr>
        <w:t>中文纸质</w:t>
      </w:r>
      <w:r>
        <w:rPr>
          <w:rFonts w:hint="eastAsia" w:ascii="宋体" w:hAnsi="宋体" w:eastAsia="宋体" w:cs="Times New Roman"/>
          <w:color w:val="auto"/>
          <w:sz w:val="24"/>
          <w:szCs w:val="24"/>
          <w:highlight w:val="none"/>
          <w:u w:val="single"/>
          <w:lang w:val="en-US" w:eastAsia="zh-CN"/>
        </w:rPr>
        <w:t>图书</w:t>
      </w:r>
      <w:r>
        <w:rPr>
          <w:rFonts w:hint="eastAsia" w:ascii="宋体" w:hAnsi="宋体" w:eastAsia="宋体" w:cs="Times New Roman"/>
          <w:color w:val="auto"/>
          <w:sz w:val="24"/>
          <w:szCs w:val="24"/>
          <w:highlight w:val="none"/>
          <w:u w:val="single"/>
        </w:rPr>
        <w:t>采购</w:t>
      </w:r>
      <w:r>
        <w:rPr>
          <w:rFonts w:hint="eastAsia" w:ascii="宋体" w:hAnsi="宋体" w:eastAsia="宋体" w:cs="Times New Roman"/>
          <w:color w:val="auto"/>
          <w:sz w:val="24"/>
          <w:szCs w:val="24"/>
          <w:highlight w:val="none"/>
          <w:u w:val="none"/>
          <w:lang w:eastAsia="zh-CN"/>
        </w:rPr>
        <w:t>项目</w:t>
      </w:r>
      <w:r>
        <w:rPr>
          <w:rFonts w:hint="eastAsia" w:ascii="宋体" w:hAnsi="宋体"/>
          <w:color w:val="auto"/>
          <w:sz w:val="24"/>
          <w:szCs w:val="24"/>
          <w:highlight w:val="none"/>
        </w:rPr>
        <w:t>的潜在供应商应在广西政府采购云平台（https://www.gcy.zfcg.gxzf.gov.cn/）获取（下载）获取竞争性谈判文件，并于</w:t>
      </w:r>
      <w:r>
        <w:rPr>
          <w:rFonts w:hint="eastAsia" w:ascii="宋体" w:hAnsi="宋体"/>
          <w:color w:val="auto"/>
          <w:sz w:val="24"/>
          <w:szCs w:val="24"/>
          <w:highlight w:val="none"/>
          <w:u w:val="single"/>
          <w:lang w:eastAsia="zh-CN"/>
        </w:rPr>
        <w:t>202</w:t>
      </w:r>
      <w:r>
        <w:rPr>
          <w:rFonts w:hint="eastAsia" w:ascii="宋体" w:hAnsi="宋体"/>
          <w:color w:val="auto"/>
          <w:sz w:val="24"/>
          <w:szCs w:val="24"/>
          <w:highlight w:val="none"/>
          <w:u w:val="single"/>
          <w:lang w:val="en-US" w:eastAsia="zh-CN"/>
        </w:rPr>
        <w:t>5</w:t>
      </w:r>
      <w:r>
        <w:rPr>
          <w:rFonts w:hint="eastAsia" w:ascii="宋体" w:hAnsi="宋体"/>
          <w:color w:val="auto"/>
          <w:sz w:val="24"/>
          <w:szCs w:val="24"/>
          <w:highlight w:val="none"/>
          <w:u w:val="single"/>
          <w:lang w:eastAsia="zh-CN"/>
        </w:rPr>
        <w:t>年</w:t>
      </w:r>
      <w:r>
        <w:rPr>
          <w:rFonts w:hint="eastAsia" w:ascii="宋体" w:hAnsi="宋体"/>
          <w:color w:val="auto"/>
          <w:sz w:val="24"/>
          <w:szCs w:val="24"/>
          <w:highlight w:val="none"/>
          <w:u w:val="single"/>
          <w:lang w:val="en-US" w:eastAsia="zh-CN"/>
        </w:rPr>
        <w:t xml:space="preserve"> 6 </w:t>
      </w:r>
      <w:r>
        <w:rPr>
          <w:rFonts w:hint="eastAsia" w:ascii="宋体" w:hAnsi="宋体"/>
          <w:color w:val="auto"/>
          <w:sz w:val="24"/>
          <w:szCs w:val="24"/>
          <w:highlight w:val="none"/>
          <w:u w:val="single"/>
          <w:lang w:eastAsia="zh-CN"/>
        </w:rPr>
        <w:t>月</w:t>
      </w:r>
      <w:r>
        <w:rPr>
          <w:rFonts w:hint="eastAsia" w:ascii="宋体" w:hAnsi="宋体"/>
          <w:color w:val="auto"/>
          <w:sz w:val="24"/>
          <w:szCs w:val="24"/>
          <w:highlight w:val="none"/>
          <w:u w:val="single"/>
          <w:lang w:val="en-US" w:eastAsia="zh-CN"/>
        </w:rPr>
        <w:t xml:space="preserve"> 24 </w:t>
      </w:r>
      <w:r>
        <w:rPr>
          <w:rFonts w:hint="eastAsia" w:ascii="宋体" w:hAnsi="宋体"/>
          <w:color w:val="auto"/>
          <w:sz w:val="24"/>
          <w:szCs w:val="24"/>
          <w:highlight w:val="none"/>
          <w:u w:val="single"/>
          <w:lang w:eastAsia="zh-CN"/>
        </w:rPr>
        <w:t>日</w:t>
      </w:r>
      <w:r>
        <w:rPr>
          <w:rFonts w:hint="eastAsia" w:ascii="宋体" w:hAnsi="宋体"/>
          <w:color w:val="auto"/>
          <w:sz w:val="24"/>
          <w:szCs w:val="24"/>
          <w:highlight w:val="none"/>
          <w:u w:val="single"/>
          <w:lang w:val="en-US" w:eastAsia="zh-CN"/>
        </w:rPr>
        <w:t xml:space="preserve">09 </w:t>
      </w:r>
      <w:r>
        <w:rPr>
          <w:rFonts w:hint="eastAsia" w:ascii="宋体" w:hAnsi="宋体"/>
          <w:color w:val="auto"/>
          <w:sz w:val="24"/>
          <w:szCs w:val="24"/>
          <w:highlight w:val="none"/>
          <w:u w:val="single"/>
        </w:rPr>
        <w:t>时</w:t>
      </w:r>
      <w:r>
        <w:rPr>
          <w:rFonts w:hint="eastAsia" w:ascii="宋体" w:hAnsi="宋体"/>
          <w:color w:val="auto"/>
          <w:sz w:val="24"/>
          <w:szCs w:val="24"/>
          <w:highlight w:val="none"/>
          <w:u w:val="single"/>
          <w:lang w:val="en-US" w:eastAsia="zh-CN"/>
        </w:rPr>
        <w:t>30</w:t>
      </w:r>
      <w:r>
        <w:rPr>
          <w:rFonts w:hint="eastAsia" w:ascii="宋体" w:hAnsi="宋体"/>
          <w:color w:val="auto"/>
          <w:sz w:val="24"/>
          <w:szCs w:val="24"/>
          <w:highlight w:val="none"/>
          <w:u w:val="single"/>
        </w:rPr>
        <w:t>分</w:t>
      </w:r>
      <w:r>
        <w:rPr>
          <w:rFonts w:hint="eastAsia" w:ascii="宋体" w:hAnsi="宋体"/>
          <w:bCs/>
          <w:color w:val="auto"/>
          <w:sz w:val="24"/>
          <w:szCs w:val="24"/>
          <w:highlight w:val="none"/>
        </w:rPr>
        <w:t>（北京时间）前提交响应</w:t>
      </w:r>
      <w:r>
        <w:rPr>
          <w:rFonts w:ascii="宋体" w:hAnsi="宋体"/>
          <w:bCs/>
          <w:color w:val="auto"/>
          <w:sz w:val="24"/>
          <w:szCs w:val="24"/>
          <w:highlight w:val="none"/>
        </w:rPr>
        <w:t>文件</w:t>
      </w:r>
      <w:r>
        <w:rPr>
          <w:rFonts w:hint="eastAsia" w:ascii="宋体" w:hAnsi="宋体"/>
          <w:color w:val="auto"/>
          <w:sz w:val="24"/>
          <w:szCs w:val="24"/>
          <w:highlight w:val="none"/>
        </w:rPr>
        <w:t>。</w:t>
      </w:r>
    </w:p>
    <w:p w14:paraId="63CE4D5D">
      <w:pPr>
        <w:keepNext w:val="0"/>
        <w:keepLines w:val="0"/>
        <w:pageBreakBefore w:val="0"/>
        <w:kinsoku/>
        <w:overflowPunct/>
        <w:topLinePunct w:val="0"/>
        <w:autoSpaceDE/>
        <w:autoSpaceDN/>
        <w:bidi w:val="0"/>
        <w:spacing w:line="500" w:lineRule="exact"/>
        <w:rPr>
          <w:rFonts w:ascii="宋体" w:hAnsi="宋体" w:cs="宋体"/>
          <w:color w:val="auto"/>
          <w:sz w:val="24"/>
          <w:szCs w:val="24"/>
          <w:highlight w:val="none"/>
        </w:rPr>
      </w:pPr>
      <w:r>
        <w:rPr>
          <w:rFonts w:hint="eastAsia" w:ascii="宋体" w:hAnsi="宋体" w:cs="宋体"/>
          <w:bCs/>
          <w:color w:val="auto"/>
          <w:sz w:val="24"/>
          <w:szCs w:val="24"/>
          <w:highlight w:val="none"/>
        </w:rPr>
        <w:t>一、项目基本情况</w:t>
      </w:r>
      <w:bookmarkEnd w:id="1"/>
      <w:bookmarkEnd w:id="2"/>
      <w:bookmarkEnd w:id="3"/>
      <w:bookmarkEnd w:id="4"/>
      <w:bookmarkEnd w:id="5"/>
    </w:p>
    <w:p w14:paraId="16027F9F">
      <w:pPr>
        <w:keepNext w:val="0"/>
        <w:keepLines w:val="0"/>
        <w:pageBreakBefore w:val="0"/>
        <w:kinsoku/>
        <w:overflowPunct/>
        <w:topLinePunct w:val="0"/>
        <w:autoSpaceDE/>
        <w:autoSpaceDN/>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项目编号：GXZC2025-J1-001518-GXJB</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p>
    <w:p w14:paraId="5744CE68">
      <w:pPr>
        <w:keepNext w:val="0"/>
        <w:keepLines w:val="0"/>
        <w:pageBreakBefore w:val="0"/>
        <w:kinsoku/>
        <w:overflowPunct/>
        <w:topLinePunct w:val="0"/>
        <w:autoSpaceDE/>
        <w:autoSpaceDN/>
        <w:bidi w:val="0"/>
        <w:spacing w:line="500" w:lineRule="exact"/>
        <w:ind w:firstLine="480" w:firstLineChars="200"/>
        <w:rPr>
          <w:rFonts w:ascii="宋体" w:hAnsi="宋体" w:cs="宋体"/>
          <w:color w:val="auto"/>
          <w:sz w:val="24"/>
          <w:szCs w:val="24"/>
          <w:highlight w:val="none"/>
        </w:rPr>
      </w:pPr>
      <w:r>
        <w:rPr>
          <w:rFonts w:hint="eastAsia" w:ascii="宋体" w:hAnsi="宋体" w:eastAsia="宋体" w:cs="宋体"/>
          <w:color w:val="auto"/>
          <w:sz w:val="24"/>
          <w:szCs w:val="24"/>
          <w:highlight w:val="none"/>
        </w:rPr>
        <w:t>项目名称：中文纸质</w:t>
      </w:r>
      <w:r>
        <w:rPr>
          <w:rFonts w:hint="eastAsia" w:ascii="宋体" w:hAnsi="宋体" w:eastAsia="宋体" w:cs="宋体"/>
          <w:color w:val="auto"/>
          <w:sz w:val="24"/>
          <w:szCs w:val="24"/>
          <w:highlight w:val="none"/>
          <w:lang w:val="en-US" w:eastAsia="zh-CN"/>
        </w:rPr>
        <w:t>图书采购</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rPr>
        <w:t xml:space="preserve">                                           </w:t>
      </w:r>
    </w:p>
    <w:p w14:paraId="77DDC110">
      <w:pPr>
        <w:pStyle w:val="91"/>
        <w:keepNext w:val="0"/>
        <w:keepLines w:val="0"/>
        <w:pageBreakBefore w:val="0"/>
        <w:kinsoku/>
        <w:overflowPunct/>
        <w:topLinePunct w:val="0"/>
        <w:autoSpaceDE/>
        <w:autoSpaceDN/>
        <w:bidi w:val="0"/>
        <w:spacing w:line="500" w:lineRule="exact"/>
        <w:rPr>
          <w:color w:val="auto"/>
          <w:sz w:val="24"/>
          <w:szCs w:val="24"/>
          <w:highlight w:val="none"/>
        </w:rPr>
      </w:pPr>
      <w:r>
        <w:rPr>
          <w:rFonts w:hint="eastAsia" w:ascii="宋体" w:hAnsi="宋体" w:cs="宋体"/>
          <w:color w:val="auto"/>
          <w:sz w:val="24"/>
          <w:szCs w:val="24"/>
          <w:highlight w:val="none"/>
        </w:rPr>
        <w:t>采购计划文号：</w:t>
      </w:r>
      <w:r>
        <w:rPr>
          <w:color w:val="auto"/>
          <w:sz w:val="24"/>
          <w:szCs w:val="24"/>
          <w:highlight w:val="none"/>
        </w:rPr>
        <w:t>窗体顶端</w:t>
      </w:r>
    </w:p>
    <w:p w14:paraId="6EEA0A7F">
      <w:pPr>
        <w:keepNext w:val="0"/>
        <w:keepLines w:val="0"/>
        <w:pageBreakBefore w:val="0"/>
        <w:widowControl/>
        <w:kinsoku/>
        <w:overflowPunct/>
        <w:topLinePunct w:val="0"/>
        <w:autoSpaceDE/>
        <w:autoSpaceDN/>
        <w:bidi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采购方式：竞争性谈判</w:t>
      </w:r>
    </w:p>
    <w:p w14:paraId="76085CF1">
      <w:pPr>
        <w:keepNext w:val="0"/>
        <w:keepLines w:val="0"/>
        <w:pageBreakBefore w:val="0"/>
        <w:widowControl/>
        <w:kinsoku/>
        <w:overflowPunct/>
        <w:topLinePunct w:val="0"/>
        <w:autoSpaceDE/>
        <w:autoSpaceDN/>
        <w:bidi w:val="0"/>
        <w:spacing w:line="5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预算金额</w:t>
      </w:r>
      <w:r>
        <w:rPr>
          <w:rFonts w:hint="eastAsia" w:ascii="宋体" w:hAnsi="宋体" w:cs="宋体"/>
          <w:color w:val="auto"/>
          <w:sz w:val="24"/>
          <w:szCs w:val="24"/>
          <w:highlight w:val="none"/>
          <w:lang w:eastAsia="zh-CN"/>
        </w:rPr>
        <w:t>及最高限价</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万元（其中分标1：</w:t>
      </w:r>
      <w:r>
        <w:rPr>
          <w:rFonts w:hint="eastAsia" w:ascii="宋体" w:hAnsi="宋体" w:eastAsia="宋体" w:cs="宋体"/>
          <w:color w:val="auto"/>
          <w:sz w:val="24"/>
          <w:szCs w:val="24"/>
          <w:highlight w:val="none"/>
          <w:lang w:val="en-US" w:eastAsia="zh-CN"/>
        </w:rPr>
        <w:t>75</w:t>
      </w:r>
      <w:r>
        <w:rPr>
          <w:rFonts w:hint="eastAsia" w:ascii="宋体" w:hAnsi="宋体" w:eastAsia="宋体" w:cs="宋体"/>
          <w:color w:val="auto"/>
          <w:sz w:val="24"/>
          <w:szCs w:val="24"/>
          <w:highlight w:val="none"/>
        </w:rPr>
        <w:t>万元；分标2：</w:t>
      </w:r>
      <w:r>
        <w:rPr>
          <w:rFonts w:hint="eastAsia" w:ascii="宋体" w:hAnsi="宋体" w:eastAsia="宋体" w:cs="宋体"/>
          <w:color w:val="auto"/>
          <w:sz w:val="24"/>
          <w:szCs w:val="24"/>
          <w:highlight w:val="none"/>
          <w:lang w:val="en-US" w:eastAsia="zh-CN"/>
        </w:rPr>
        <w:t>75</w:t>
      </w:r>
      <w:r>
        <w:rPr>
          <w:rFonts w:hint="eastAsia" w:ascii="宋体" w:hAnsi="宋体" w:eastAsia="宋体" w:cs="宋体"/>
          <w:color w:val="auto"/>
          <w:sz w:val="24"/>
          <w:szCs w:val="24"/>
          <w:highlight w:val="none"/>
        </w:rPr>
        <w:t>万元）</w:t>
      </w:r>
    </w:p>
    <w:p w14:paraId="02058069">
      <w:pPr>
        <w:keepNext w:val="0"/>
        <w:keepLines w:val="0"/>
        <w:pageBreakBefore w:val="0"/>
        <w:widowControl/>
        <w:kinsoku/>
        <w:overflowPunct/>
        <w:topLinePunct w:val="0"/>
        <w:autoSpaceDE/>
        <w:autoSpaceDN/>
        <w:bidi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p w14:paraId="528F8D12">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分标1：</w:t>
      </w:r>
      <w:r>
        <w:rPr>
          <w:rFonts w:hint="eastAsia" w:ascii="宋体" w:hAnsi="宋体" w:eastAsia="宋体" w:cs="宋体"/>
          <w:color w:val="auto"/>
          <w:sz w:val="24"/>
          <w:szCs w:val="24"/>
          <w:highlight w:val="none"/>
          <w:lang w:val="zh-CN"/>
        </w:rPr>
        <w:t>中文纸质新书</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万册；</w:t>
      </w:r>
    </w:p>
    <w:p w14:paraId="39EDA5C8">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分标2：中文</w:t>
      </w:r>
      <w:r>
        <w:rPr>
          <w:rFonts w:hint="eastAsia" w:ascii="宋体" w:hAnsi="宋体" w:eastAsia="宋体" w:cs="宋体"/>
          <w:color w:val="auto"/>
          <w:sz w:val="24"/>
          <w:szCs w:val="24"/>
          <w:highlight w:val="none"/>
          <w:lang w:val="en-US" w:eastAsia="zh-CN"/>
        </w:rPr>
        <w:t>纸质新书2.4</w:t>
      </w:r>
      <w:r>
        <w:rPr>
          <w:rFonts w:hint="eastAsia" w:ascii="宋体" w:hAnsi="宋体" w:eastAsia="宋体" w:cs="宋体"/>
          <w:color w:val="auto"/>
          <w:sz w:val="24"/>
          <w:szCs w:val="24"/>
          <w:highlight w:val="none"/>
          <w:lang w:val="zh-CN"/>
        </w:rPr>
        <w:t>万册。</w:t>
      </w:r>
    </w:p>
    <w:p w14:paraId="2B5EF2EC">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如需进一步了解，详见竞争性</w:t>
      </w:r>
      <w:r>
        <w:rPr>
          <w:rFonts w:hint="eastAsia" w:ascii="宋体" w:hAnsi="宋体" w:eastAsia="宋体" w:cs="宋体"/>
          <w:color w:val="auto"/>
          <w:sz w:val="24"/>
          <w:szCs w:val="24"/>
          <w:highlight w:val="none"/>
          <w:lang w:val="zh-CN" w:eastAsia="zh-CN"/>
        </w:rPr>
        <w:t>谈判</w:t>
      </w:r>
      <w:r>
        <w:rPr>
          <w:rFonts w:hint="eastAsia" w:ascii="宋体" w:hAnsi="宋体" w:eastAsia="宋体" w:cs="宋体"/>
          <w:color w:val="auto"/>
          <w:sz w:val="24"/>
          <w:szCs w:val="24"/>
          <w:highlight w:val="none"/>
          <w:lang w:val="zh-CN"/>
        </w:rPr>
        <w:t>文件</w:t>
      </w:r>
    </w:p>
    <w:p w14:paraId="01AD5A6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合同履行期限：</w:t>
      </w:r>
    </w:p>
    <w:p w14:paraId="4F212F7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分标1：按采购人订单分批交付已加工好的图书，全部于202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年12月1日之前交付完毕。</w:t>
      </w:r>
    </w:p>
    <w:p w14:paraId="3156160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分标2：按采购人订单分批交付已加工好的图书，全部于202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年12月1日之前交付完毕。</w:t>
      </w:r>
    </w:p>
    <w:p w14:paraId="1F8BE0A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w:t>
      </w:r>
    </w:p>
    <w:p w14:paraId="1527786B">
      <w:pPr>
        <w:keepNext w:val="0"/>
        <w:keepLines w:val="0"/>
        <w:pageBreakBefore w:val="0"/>
        <w:kinsoku/>
        <w:overflowPunct/>
        <w:topLinePunct w:val="0"/>
        <w:autoSpaceDE/>
        <w:autoSpaceDN/>
        <w:bidi w:val="0"/>
        <w:spacing w:line="500" w:lineRule="exact"/>
        <w:ind w:firstLine="482" w:firstLineChars="200"/>
        <w:rPr>
          <w:rFonts w:ascii="宋体" w:hAnsi="宋体" w:cs="宋体"/>
          <w:bCs/>
          <w:color w:val="auto"/>
          <w:sz w:val="24"/>
          <w:szCs w:val="24"/>
          <w:highlight w:val="none"/>
        </w:rPr>
      </w:pPr>
      <w:bookmarkStart w:id="10" w:name="_Toc35393630"/>
      <w:bookmarkStart w:id="11" w:name="_Toc28359013"/>
      <w:bookmarkStart w:id="12" w:name="_Toc44229879"/>
      <w:bookmarkStart w:id="13" w:name="_Toc28359090"/>
      <w:bookmarkStart w:id="14" w:name="_Toc35393799"/>
      <w:r>
        <w:rPr>
          <w:rFonts w:hint="eastAsia" w:ascii="宋体" w:hAnsi="宋体" w:cs="宋体"/>
          <w:b/>
          <w:color w:val="auto"/>
          <w:kern w:val="44"/>
          <w:sz w:val="24"/>
          <w:szCs w:val="24"/>
          <w:highlight w:val="none"/>
        </w:rPr>
        <w:t>二、供应商的资格条件</w:t>
      </w:r>
      <w:bookmarkEnd w:id="10"/>
      <w:bookmarkEnd w:id="11"/>
      <w:bookmarkEnd w:id="12"/>
      <w:bookmarkEnd w:id="13"/>
      <w:bookmarkEnd w:id="14"/>
    </w:p>
    <w:p w14:paraId="667C8B71">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1.满足《中华人民共和国政府采购法》第二十二条规定。</w:t>
      </w:r>
    </w:p>
    <w:p w14:paraId="75A0EA88">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2.落实政府采购政策需满足的资格要求：无</w:t>
      </w:r>
    </w:p>
    <w:p w14:paraId="24545A0C">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3.本项目的特定资格要求：分标1：（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lang w:eastAsia="zh-CN"/>
        </w:rPr>
        <w:t>有效的《中华人民共和国出版物发行许可证》或《中华人民共和国出版物经营许可证》（经营许可包含图书类经营许可，</w:t>
      </w:r>
      <w:r>
        <w:rPr>
          <w:rFonts w:hint="eastAsia" w:ascii="宋体" w:hAnsi="宋体" w:eastAsia="宋体" w:cs="宋体"/>
          <w:color w:val="auto"/>
          <w:sz w:val="24"/>
          <w:szCs w:val="24"/>
          <w:highlight w:val="none"/>
          <w:lang w:val="en-US" w:eastAsia="zh-CN"/>
        </w:rPr>
        <w:t>必须在有效期内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自2022年1月1日以来至少完成过一个为学校图书供货的类似业绩（提供类似业绩合同复印件）；</w:t>
      </w:r>
    </w:p>
    <w:p w14:paraId="3CA99C42">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标2：（1）提供有效的《中华人民共和国出版物发行许可证》或《中华人民共和国出版物经营许可证》（经营许可包含图书类经营许可，必须在有效期内）；（2）自2022年1月1日以来至少完成过一个为学校图书供货的类似业绩（提供类似业绩合同复印件）；</w:t>
      </w:r>
    </w:p>
    <w:p w14:paraId="3EAF2201">
      <w:pPr>
        <w:keepNext w:val="0"/>
        <w:keepLines w:val="0"/>
        <w:pageBreakBefore w:val="0"/>
        <w:kinsoku/>
        <w:overflowPunct/>
        <w:topLinePunct w:val="0"/>
        <w:autoSpaceDE/>
        <w:autoSpaceDN/>
        <w:bidi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.单位负责人为同一人或者存在直接控股、管理关系的不同供应商，不得参加同一合同项下的政府采购活动。</w:t>
      </w:r>
    </w:p>
    <w:p w14:paraId="7458B2A4">
      <w:pPr>
        <w:spacing w:line="500" w:lineRule="exact"/>
        <w:ind w:firstLine="480" w:firstLineChars="200"/>
        <w:jc w:val="left"/>
        <w:rPr>
          <w:color w:val="auto"/>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.对在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信用中国</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63897218">
      <w:pPr>
        <w:keepNext w:val="0"/>
        <w:keepLines w:val="0"/>
        <w:pageBreakBefore w:val="0"/>
        <w:kinsoku/>
        <w:overflowPunct/>
        <w:topLinePunct w:val="0"/>
        <w:autoSpaceDE/>
        <w:autoSpaceDN/>
        <w:bidi w:val="0"/>
        <w:spacing w:line="50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三、获取竞争性谈判文件</w:t>
      </w:r>
      <w:bookmarkEnd w:id="6"/>
      <w:bookmarkEnd w:id="7"/>
      <w:bookmarkEnd w:id="8"/>
      <w:bookmarkEnd w:id="9"/>
    </w:p>
    <w:p w14:paraId="1C5885CF">
      <w:pPr>
        <w:keepNext w:val="0"/>
        <w:keepLines w:val="0"/>
        <w:pageBreakBefore w:val="0"/>
        <w:kinsoku/>
        <w:overflowPunct/>
        <w:topLinePunct w:val="0"/>
        <w:autoSpaceDE/>
        <w:autoSpaceDN/>
        <w:bidi w:val="0"/>
        <w:spacing w:line="500" w:lineRule="exact"/>
        <w:ind w:firstLine="480" w:firstLineChars="200"/>
        <w:rPr>
          <w:rFonts w:ascii="宋体" w:hAnsi="宋体" w:cs="宋体"/>
          <w:color w:val="auto"/>
          <w:sz w:val="24"/>
          <w:szCs w:val="24"/>
          <w:highlight w:val="none"/>
        </w:rPr>
      </w:pPr>
      <w:bookmarkStart w:id="15" w:name="_Toc35393624"/>
      <w:bookmarkStart w:id="16" w:name="_Toc28359005"/>
      <w:bookmarkStart w:id="17" w:name="_Toc35393793"/>
      <w:bookmarkStart w:id="18" w:name="_Toc28359082"/>
      <w:r>
        <w:rPr>
          <w:rFonts w:hint="eastAsia" w:ascii="宋体" w:hAnsi="宋体" w:cs="宋体"/>
          <w:color w:val="auto"/>
          <w:sz w:val="24"/>
          <w:szCs w:val="24"/>
          <w:highlight w:val="none"/>
        </w:rPr>
        <w:t>时间：202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 xml:space="preserve"> 6</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 xml:space="preserve">16 </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eastAsia="zh-CN"/>
        </w:rPr>
        <w:t>至</w:t>
      </w:r>
      <w:r>
        <w:rPr>
          <w:rFonts w:hint="eastAsia" w:ascii="宋体" w:hAnsi="宋体" w:cs="宋体"/>
          <w:color w:val="auto"/>
          <w:sz w:val="24"/>
          <w:szCs w:val="24"/>
          <w:highlight w:val="none"/>
          <w:lang w:val="en-US" w:eastAsia="zh-CN"/>
        </w:rPr>
        <w:t>2025年 6 月 19 日</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（工作日：上午</w:t>
      </w:r>
      <w:r>
        <w:rPr>
          <w:rFonts w:hint="eastAsia" w:ascii="宋体" w:hAnsi="宋体" w:cs="宋体"/>
          <w:color w:val="auto"/>
          <w:sz w:val="24"/>
          <w:szCs w:val="24"/>
          <w:highlight w:val="none"/>
          <w:lang w:val="en-US" w:eastAsia="zh-CN"/>
        </w:rPr>
        <w:t>8:00-12:00；下午：15:00-18:00</w:t>
      </w:r>
      <w:r>
        <w:rPr>
          <w:rFonts w:hint="eastAsia" w:ascii="宋体" w:hAnsi="宋体" w:cs="宋体"/>
          <w:color w:val="auto"/>
          <w:sz w:val="24"/>
          <w:szCs w:val="24"/>
          <w:highlight w:val="none"/>
          <w:lang w:eastAsia="zh-CN"/>
        </w:rPr>
        <w:t>）</w:t>
      </w:r>
    </w:p>
    <w:p w14:paraId="69B864C3">
      <w:pPr>
        <w:keepNext w:val="0"/>
        <w:keepLines w:val="0"/>
        <w:pageBreakBefore w:val="0"/>
        <w:kinsoku/>
        <w:overflowPunct/>
        <w:topLinePunct w:val="0"/>
        <w:autoSpaceDE/>
        <w:autoSpaceDN/>
        <w:bidi w:val="0"/>
        <w:spacing w:line="500" w:lineRule="exact"/>
        <w:ind w:firstLine="240" w:firstLineChars="1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地点（网址）：广西政府采购云平台（https://www.gcy.zfcg.gxzf.gov.cn/） </w:t>
      </w:r>
    </w:p>
    <w:p w14:paraId="2ECDCA53">
      <w:pPr>
        <w:keepNext w:val="0"/>
        <w:keepLines w:val="0"/>
        <w:pageBreakBefore w:val="0"/>
        <w:kinsoku/>
        <w:overflowPunct/>
        <w:topLinePunct w:val="0"/>
        <w:autoSpaceDE/>
        <w:autoSpaceDN/>
        <w:bidi w:val="0"/>
        <w:spacing w:line="500" w:lineRule="exact"/>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方式：网上下载。本项目不提供纸质文件，潜在供应商需在广西政府采购云平台（https://www.gcy.zfcg.gxzf.gov.cn/）-进入“项目采购”应用，在获取采购文件菜单中选择项目，获取竞争性谈判文件。电子响应文件制作需要基于广西政府采购云平台获取的谈判文件编制，通过其他方式获取谈判文件的，将有可能导致供应商无法在广西政府采购云平台编制及上传响应文件。 </w:t>
      </w:r>
    </w:p>
    <w:p w14:paraId="6F1D590F">
      <w:pPr>
        <w:keepNext w:val="0"/>
        <w:keepLines w:val="0"/>
        <w:pageBreakBefore w:val="0"/>
        <w:kinsoku/>
        <w:overflowPunct/>
        <w:topLinePunct w:val="0"/>
        <w:autoSpaceDE/>
        <w:autoSpaceDN/>
        <w:bidi w:val="0"/>
        <w:spacing w:line="500" w:lineRule="exact"/>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售价：0元。</w:t>
      </w:r>
    </w:p>
    <w:p w14:paraId="1586865C">
      <w:pPr>
        <w:keepNext w:val="0"/>
        <w:keepLines w:val="0"/>
        <w:pageBreakBefore w:val="0"/>
        <w:kinsoku/>
        <w:overflowPunct/>
        <w:topLinePunct w:val="0"/>
        <w:autoSpaceDE/>
        <w:autoSpaceDN/>
        <w:bidi w:val="0"/>
        <w:spacing w:line="500" w:lineRule="exact"/>
        <w:ind w:firstLine="482" w:firstLineChars="200"/>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四、</w:t>
      </w:r>
      <w:bookmarkEnd w:id="15"/>
      <w:bookmarkEnd w:id="16"/>
      <w:bookmarkEnd w:id="17"/>
      <w:bookmarkEnd w:id="18"/>
      <w:r>
        <w:rPr>
          <w:rFonts w:hint="eastAsia" w:ascii="宋体" w:hAnsi="宋体" w:eastAsia="宋体" w:cs="Times New Roman"/>
          <w:b/>
          <w:bCs/>
          <w:color w:val="auto"/>
          <w:kern w:val="2"/>
          <w:sz w:val="24"/>
          <w:szCs w:val="24"/>
          <w:highlight w:val="none"/>
          <w:lang w:val="en-US" w:eastAsia="zh-CN" w:bidi="ar-SA"/>
        </w:rPr>
        <w:t>响应文件提交</w:t>
      </w:r>
    </w:p>
    <w:p w14:paraId="66D3E477">
      <w:pPr>
        <w:keepNext w:val="0"/>
        <w:keepLines w:val="0"/>
        <w:pageBreakBefore w:val="0"/>
        <w:kinsoku/>
        <w:overflowPunct/>
        <w:topLinePunct w:val="0"/>
        <w:autoSpaceDE/>
        <w:autoSpaceDN/>
        <w:bidi w:val="0"/>
        <w:spacing w:line="500" w:lineRule="exact"/>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 xml:space="preserve">截止时间：2025年  </w:t>
      </w:r>
      <w:r>
        <w:rPr>
          <w:rFonts w:hint="eastAsia" w:ascii="宋体" w:hAnsi="宋体" w:cs="Times New Roman"/>
          <w:color w:val="auto"/>
          <w:kern w:val="2"/>
          <w:sz w:val="24"/>
          <w:szCs w:val="24"/>
          <w:highlight w:val="none"/>
          <w:lang w:val="en-US" w:eastAsia="zh-CN" w:bidi="ar-SA"/>
        </w:rPr>
        <w:t>6</w:t>
      </w:r>
      <w:r>
        <w:rPr>
          <w:rFonts w:hint="eastAsia" w:ascii="宋体" w:hAnsi="宋体" w:eastAsia="宋体" w:cs="Times New Roman"/>
          <w:color w:val="auto"/>
          <w:kern w:val="2"/>
          <w:sz w:val="24"/>
          <w:szCs w:val="24"/>
          <w:highlight w:val="none"/>
          <w:lang w:val="en-US" w:eastAsia="zh-CN" w:bidi="ar-SA"/>
        </w:rPr>
        <w:t xml:space="preserve"> 月 </w:t>
      </w:r>
      <w:r>
        <w:rPr>
          <w:rFonts w:hint="eastAsia" w:ascii="宋体" w:hAnsi="宋体" w:cs="Times New Roman"/>
          <w:color w:val="auto"/>
          <w:kern w:val="2"/>
          <w:sz w:val="24"/>
          <w:szCs w:val="24"/>
          <w:highlight w:val="none"/>
          <w:lang w:val="en-US" w:eastAsia="zh-CN" w:bidi="ar-SA"/>
        </w:rPr>
        <w:t>24</w:t>
      </w:r>
      <w:r>
        <w:rPr>
          <w:rFonts w:hint="eastAsia" w:ascii="宋体" w:hAnsi="宋体" w:eastAsia="宋体" w:cs="Times New Roman"/>
          <w:color w:val="auto"/>
          <w:kern w:val="2"/>
          <w:sz w:val="24"/>
          <w:szCs w:val="24"/>
          <w:highlight w:val="none"/>
          <w:lang w:val="en-US" w:eastAsia="zh-CN" w:bidi="ar-SA"/>
        </w:rPr>
        <w:t xml:space="preserve"> 日</w:t>
      </w:r>
      <w:r>
        <w:rPr>
          <w:rFonts w:hint="eastAsia" w:ascii="宋体" w:hAnsi="宋体"/>
          <w:color w:val="auto"/>
          <w:sz w:val="24"/>
          <w:szCs w:val="24"/>
          <w:highlight w:val="none"/>
          <w:u w:val="single"/>
          <w:lang w:val="en-US" w:eastAsia="zh-CN"/>
        </w:rPr>
        <w:t xml:space="preserve">09 </w:t>
      </w:r>
      <w:r>
        <w:rPr>
          <w:rFonts w:hint="eastAsia" w:ascii="宋体" w:hAnsi="宋体"/>
          <w:color w:val="auto"/>
          <w:sz w:val="24"/>
          <w:szCs w:val="24"/>
          <w:highlight w:val="none"/>
          <w:u w:val="single"/>
        </w:rPr>
        <w:t>时</w:t>
      </w:r>
      <w:r>
        <w:rPr>
          <w:rFonts w:hint="eastAsia" w:ascii="宋体" w:hAnsi="宋体"/>
          <w:color w:val="auto"/>
          <w:sz w:val="24"/>
          <w:szCs w:val="24"/>
          <w:highlight w:val="none"/>
          <w:u w:val="single"/>
          <w:lang w:val="en-US" w:eastAsia="zh-CN"/>
        </w:rPr>
        <w:t>30</w:t>
      </w:r>
      <w:r>
        <w:rPr>
          <w:rFonts w:hint="eastAsia" w:ascii="宋体" w:hAnsi="宋体"/>
          <w:color w:val="auto"/>
          <w:sz w:val="24"/>
          <w:szCs w:val="24"/>
          <w:highlight w:val="none"/>
          <w:u w:val="single"/>
        </w:rPr>
        <w:t>分</w:t>
      </w:r>
      <w:r>
        <w:rPr>
          <w:rFonts w:hint="eastAsia" w:ascii="宋体" w:hAnsi="宋体" w:eastAsia="宋体" w:cs="Times New Roman"/>
          <w:color w:val="auto"/>
          <w:kern w:val="2"/>
          <w:sz w:val="24"/>
          <w:szCs w:val="24"/>
          <w:highlight w:val="none"/>
          <w:lang w:val="en-US" w:eastAsia="zh-CN" w:bidi="ar-SA"/>
        </w:rPr>
        <w:t xml:space="preserve">  （北京时间）</w:t>
      </w:r>
    </w:p>
    <w:p w14:paraId="47EFC33B">
      <w:pPr>
        <w:keepNext w:val="0"/>
        <w:keepLines w:val="0"/>
        <w:pageBreakBefore w:val="0"/>
        <w:kinsoku/>
        <w:overflowPunct/>
        <w:topLinePunct w:val="0"/>
        <w:autoSpaceDE/>
        <w:autoSpaceDN/>
        <w:bidi w:val="0"/>
        <w:spacing w:line="500" w:lineRule="exac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地点（网址）：广西政府采购云平台（https://www.gcy.zfcg.gxzf.gov.cn/） </w:t>
      </w:r>
    </w:p>
    <w:p w14:paraId="0D6C81D1">
      <w:pPr>
        <w:keepNext w:val="0"/>
        <w:keepLines w:val="0"/>
        <w:pageBreakBefore w:val="0"/>
        <w:kinsoku/>
        <w:overflowPunct/>
        <w:topLinePunct w:val="0"/>
        <w:autoSpaceDE/>
        <w:autoSpaceDN/>
        <w:bidi w:val="0"/>
        <w:spacing w:line="500" w:lineRule="exact"/>
        <w:ind w:firstLine="482" w:firstLineChars="200"/>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五、开启（首次响应文件开启时间）</w:t>
      </w:r>
    </w:p>
    <w:p w14:paraId="3F372F5C">
      <w:pPr>
        <w:keepNext w:val="0"/>
        <w:keepLines w:val="0"/>
        <w:pageBreakBefore w:val="0"/>
        <w:kinsoku/>
        <w:overflowPunct/>
        <w:topLinePunct w:val="0"/>
        <w:autoSpaceDE/>
        <w:autoSpaceDN/>
        <w:bidi w:val="0"/>
        <w:spacing w:line="500" w:lineRule="exact"/>
        <w:ind w:firstLine="480" w:firstLineChars="200"/>
        <w:rPr>
          <w:rFonts w:hint="eastAsia" w:ascii="宋体" w:hAnsi="宋体" w:eastAsia="宋体" w:cs="Times New Roman"/>
          <w:color w:val="auto"/>
          <w:kern w:val="2"/>
          <w:sz w:val="24"/>
          <w:szCs w:val="24"/>
          <w:highlight w:val="none"/>
          <w:lang w:val="en-US" w:eastAsia="zh-CN" w:bidi="ar-SA"/>
        </w:rPr>
      </w:pPr>
      <w:bookmarkStart w:id="19" w:name="_Toc28359007"/>
      <w:bookmarkStart w:id="20" w:name="_Toc35393625"/>
      <w:bookmarkStart w:id="21" w:name="_Toc28359084"/>
      <w:bookmarkStart w:id="22" w:name="_Toc35393794"/>
      <w:r>
        <w:rPr>
          <w:rFonts w:hint="eastAsia" w:ascii="宋体" w:hAnsi="宋体" w:eastAsia="宋体" w:cs="Times New Roman"/>
          <w:color w:val="auto"/>
          <w:kern w:val="2"/>
          <w:sz w:val="24"/>
          <w:szCs w:val="24"/>
          <w:highlight w:val="none"/>
          <w:lang w:val="en-US" w:eastAsia="zh-CN" w:bidi="ar-SA"/>
        </w:rPr>
        <w:t xml:space="preserve">开启时间：2025年 </w:t>
      </w:r>
      <w:r>
        <w:rPr>
          <w:rFonts w:hint="eastAsia" w:ascii="宋体" w:hAnsi="宋体" w:cs="Times New Roman"/>
          <w:color w:val="auto"/>
          <w:kern w:val="2"/>
          <w:sz w:val="24"/>
          <w:szCs w:val="24"/>
          <w:highlight w:val="none"/>
          <w:lang w:val="en-US" w:eastAsia="zh-CN" w:bidi="ar-SA"/>
        </w:rPr>
        <w:t>6</w:t>
      </w:r>
      <w:r>
        <w:rPr>
          <w:rFonts w:hint="eastAsia" w:ascii="宋体" w:hAnsi="宋体" w:eastAsia="宋体" w:cs="Times New Roman"/>
          <w:color w:val="auto"/>
          <w:kern w:val="2"/>
          <w:sz w:val="24"/>
          <w:szCs w:val="24"/>
          <w:highlight w:val="none"/>
          <w:lang w:val="en-US" w:eastAsia="zh-CN" w:bidi="ar-SA"/>
        </w:rPr>
        <w:t xml:space="preserve"> 月 </w:t>
      </w:r>
      <w:r>
        <w:rPr>
          <w:rFonts w:hint="eastAsia" w:ascii="宋体" w:hAnsi="宋体" w:cs="Times New Roman"/>
          <w:color w:val="auto"/>
          <w:kern w:val="2"/>
          <w:sz w:val="24"/>
          <w:szCs w:val="24"/>
          <w:highlight w:val="none"/>
          <w:lang w:val="en-US" w:eastAsia="zh-CN" w:bidi="ar-SA"/>
        </w:rPr>
        <w:t>24</w:t>
      </w:r>
      <w:r>
        <w:rPr>
          <w:rFonts w:hint="eastAsia" w:ascii="宋体" w:hAnsi="宋体" w:eastAsia="宋体" w:cs="Times New Roman"/>
          <w:color w:val="auto"/>
          <w:kern w:val="2"/>
          <w:sz w:val="24"/>
          <w:szCs w:val="24"/>
          <w:highlight w:val="none"/>
          <w:lang w:val="en-US" w:eastAsia="zh-CN" w:bidi="ar-SA"/>
        </w:rPr>
        <w:t xml:space="preserve"> 日</w:t>
      </w:r>
      <w:r>
        <w:rPr>
          <w:rFonts w:hint="eastAsia" w:ascii="宋体" w:hAnsi="宋体"/>
          <w:color w:val="auto"/>
          <w:sz w:val="24"/>
          <w:szCs w:val="24"/>
          <w:highlight w:val="none"/>
          <w:u w:val="single"/>
          <w:lang w:val="en-US" w:eastAsia="zh-CN"/>
        </w:rPr>
        <w:t xml:space="preserve">09 </w:t>
      </w:r>
      <w:r>
        <w:rPr>
          <w:rFonts w:hint="eastAsia" w:ascii="宋体" w:hAnsi="宋体"/>
          <w:color w:val="auto"/>
          <w:sz w:val="24"/>
          <w:szCs w:val="24"/>
          <w:highlight w:val="none"/>
          <w:u w:val="single"/>
        </w:rPr>
        <w:t>时</w:t>
      </w:r>
      <w:r>
        <w:rPr>
          <w:rFonts w:hint="eastAsia" w:ascii="宋体" w:hAnsi="宋体"/>
          <w:color w:val="auto"/>
          <w:sz w:val="24"/>
          <w:szCs w:val="24"/>
          <w:highlight w:val="none"/>
          <w:u w:val="single"/>
          <w:lang w:val="en-US" w:eastAsia="zh-CN"/>
        </w:rPr>
        <w:t>30</w:t>
      </w:r>
      <w:r>
        <w:rPr>
          <w:rFonts w:hint="eastAsia" w:ascii="宋体" w:hAnsi="宋体"/>
          <w:color w:val="auto"/>
          <w:sz w:val="24"/>
          <w:szCs w:val="24"/>
          <w:highlight w:val="none"/>
          <w:u w:val="single"/>
        </w:rPr>
        <w:t>分</w:t>
      </w:r>
      <w:r>
        <w:rPr>
          <w:rFonts w:hint="eastAsia" w:ascii="宋体" w:hAnsi="宋体" w:eastAsia="宋体" w:cs="Times New Roman"/>
          <w:color w:val="auto"/>
          <w:kern w:val="2"/>
          <w:sz w:val="24"/>
          <w:szCs w:val="24"/>
          <w:highlight w:val="none"/>
          <w:lang w:val="en-US" w:eastAsia="zh-CN" w:bidi="ar-SA"/>
        </w:rPr>
        <w:t xml:space="preserve"> （北京时间）</w:t>
      </w:r>
    </w:p>
    <w:p w14:paraId="2A94330C">
      <w:pPr>
        <w:keepNext w:val="0"/>
        <w:keepLines w:val="0"/>
        <w:pageBreakBefore w:val="0"/>
        <w:kinsoku/>
        <w:overflowPunct/>
        <w:topLinePunct w:val="0"/>
        <w:autoSpaceDE/>
        <w:autoSpaceDN/>
        <w:bidi w:val="0"/>
        <w:spacing w:line="500" w:lineRule="exact"/>
        <w:ind w:firstLine="480" w:firstLineChars="200"/>
        <w:rPr>
          <w:rFonts w:hint="eastAsia" w:ascii="宋体" w:hAnsi="宋体" w:cs="宋体"/>
          <w:b/>
          <w:bCs/>
          <w:color w:val="auto"/>
          <w:sz w:val="24"/>
          <w:szCs w:val="24"/>
          <w:highlight w:val="none"/>
        </w:rPr>
      </w:pPr>
      <w:r>
        <w:rPr>
          <w:rFonts w:hint="eastAsia" w:ascii="宋体" w:hAnsi="宋体" w:eastAsia="宋体" w:cs="宋体"/>
          <w:color w:val="auto"/>
          <w:sz w:val="24"/>
          <w:szCs w:val="24"/>
          <w:highlight w:val="none"/>
          <w:u w:val="none"/>
        </w:rPr>
        <w:t>地点：广西政府采购云平台（https://www.gcy.zfcg.gxzf.gov.cn/）</w:t>
      </w:r>
    </w:p>
    <w:p w14:paraId="3DEA974D">
      <w:pPr>
        <w:keepNext w:val="0"/>
        <w:keepLines w:val="0"/>
        <w:pageBreakBefore w:val="0"/>
        <w:kinsoku/>
        <w:overflowPunct/>
        <w:topLinePunct w:val="0"/>
        <w:autoSpaceDE/>
        <w:autoSpaceDN/>
        <w:bidi w:val="0"/>
        <w:spacing w:line="50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六、公告期限</w:t>
      </w:r>
      <w:bookmarkEnd w:id="19"/>
      <w:bookmarkEnd w:id="20"/>
      <w:bookmarkEnd w:id="21"/>
      <w:bookmarkEnd w:id="22"/>
    </w:p>
    <w:p w14:paraId="25D3A351">
      <w:pPr>
        <w:keepNext w:val="0"/>
        <w:keepLines w:val="0"/>
        <w:pageBreakBefore w:val="0"/>
        <w:kinsoku/>
        <w:overflowPunct/>
        <w:topLinePunct w:val="0"/>
        <w:autoSpaceDE/>
        <w:autoSpaceDN/>
        <w:bidi w:val="0"/>
        <w:spacing w:line="5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自本公告发布之日起3个工作日。</w:t>
      </w:r>
    </w:p>
    <w:p w14:paraId="24B3482B">
      <w:pPr>
        <w:keepNext w:val="0"/>
        <w:keepLines w:val="0"/>
        <w:pageBreakBefore w:val="0"/>
        <w:kinsoku/>
        <w:overflowPunct/>
        <w:topLinePunct w:val="0"/>
        <w:autoSpaceDE/>
        <w:autoSpaceDN/>
        <w:bidi w:val="0"/>
        <w:spacing w:line="500" w:lineRule="exact"/>
        <w:ind w:firstLine="482" w:firstLineChars="200"/>
        <w:rPr>
          <w:rFonts w:ascii="宋体" w:hAnsi="宋体" w:cs="宋体"/>
          <w:b/>
          <w:bCs/>
          <w:color w:val="auto"/>
          <w:sz w:val="24"/>
          <w:szCs w:val="24"/>
          <w:highlight w:val="none"/>
        </w:rPr>
      </w:pPr>
      <w:bookmarkStart w:id="23" w:name="_Toc35393795"/>
      <w:bookmarkStart w:id="24" w:name="_Toc35393626"/>
      <w:r>
        <w:rPr>
          <w:rFonts w:hint="eastAsia" w:ascii="宋体" w:hAnsi="宋体" w:cs="宋体"/>
          <w:b/>
          <w:bCs/>
          <w:color w:val="auto"/>
          <w:sz w:val="24"/>
          <w:szCs w:val="24"/>
          <w:highlight w:val="none"/>
        </w:rPr>
        <w:t>七、其他补充事宜</w:t>
      </w:r>
      <w:bookmarkEnd w:id="23"/>
      <w:bookmarkEnd w:id="24"/>
    </w:p>
    <w:p w14:paraId="6886B818">
      <w:pPr>
        <w:keepNext w:val="0"/>
        <w:keepLines w:val="0"/>
        <w:pageBreakBefore w:val="0"/>
        <w:kinsoku/>
        <w:overflowPunct/>
        <w:topLinePunct w:val="0"/>
        <w:autoSpaceDE/>
        <w:autoSpaceDN/>
        <w:bidi w:val="0"/>
        <w:spacing w:line="500" w:lineRule="exact"/>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1.网上查询地址</w:t>
      </w:r>
    </w:p>
    <w:p w14:paraId="05DCD357">
      <w:pPr>
        <w:keepNext w:val="0"/>
        <w:keepLines w:val="0"/>
        <w:pageBreakBefore w:val="0"/>
        <w:kinsoku/>
        <w:overflowPunct/>
        <w:topLinePunct w:val="0"/>
        <w:autoSpaceDE/>
        <w:autoSpaceDN/>
        <w:bidi w:val="0"/>
        <w:spacing w:line="500" w:lineRule="exact"/>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www.ccgp.gov.cn（中国政府采购网）、zfcg.gxzf.gov.cn（广西壮族自治区政府采购网）、https://www.gxstzy.cn（广西生态工程职业技术学院网）</w:t>
      </w:r>
    </w:p>
    <w:p w14:paraId="287135AE">
      <w:pPr>
        <w:keepNext w:val="0"/>
        <w:keepLines w:val="0"/>
        <w:pageBreakBefore w:val="0"/>
        <w:kinsoku/>
        <w:overflowPunct/>
        <w:topLinePunct w:val="0"/>
        <w:autoSpaceDE/>
        <w:autoSpaceDN/>
        <w:bidi w:val="0"/>
        <w:spacing w:line="500" w:lineRule="exact"/>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2.本项目需要落实的政府采购政策</w:t>
      </w:r>
    </w:p>
    <w:p w14:paraId="1BE06AAC">
      <w:pPr>
        <w:keepNext w:val="0"/>
        <w:keepLines w:val="0"/>
        <w:pageBreakBefore w:val="0"/>
        <w:kinsoku/>
        <w:overflowPunct/>
        <w:topLinePunct w:val="0"/>
        <w:autoSpaceDE/>
        <w:autoSpaceDN/>
        <w:bidi w:val="0"/>
        <w:spacing w:line="500" w:lineRule="exact"/>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（1）政府采购促进中小企业发展。</w:t>
      </w:r>
    </w:p>
    <w:p w14:paraId="1B15CD6F">
      <w:pPr>
        <w:keepNext w:val="0"/>
        <w:keepLines w:val="0"/>
        <w:pageBreakBefore w:val="0"/>
        <w:kinsoku/>
        <w:overflowPunct/>
        <w:topLinePunct w:val="0"/>
        <w:autoSpaceDE/>
        <w:autoSpaceDN/>
        <w:bidi w:val="0"/>
        <w:spacing w:line="500" w:lineRule="exact"/>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（2）政府采购支持采用本国产品的政策。</w:t>
      </w:r>
    </w:p>
    <w:p w14:paraId="6FE6141E">
      <w:pPr>
        <w:keepNext w:val="0"/>
        <w:keepLines w:val="0"/>
        <w:pageBreakBefore w:val="0"/>
        <w:kinsoku/>
        <w:overflowPunct/>
        <w:topLinePunct w:val="0"/>
        <w:autoSpaceDE/>
        <w:autoSpaceDN/>
        <w:bidi w:val="0"/>
        <w:spacing w:line="500" w:lineRule="exact"/>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（3）强制采购节能产品；优先采购节能产品、环境标志产品。</w:t>
      </w:r>
    </w:p>
    <w:p w14:paraId="2A961BB9">
      <w:pPr>
        <w:keepNext w:val="0"/>
        <w:keepLines w:val="0"/>
        <w:pageBreakBefore w:val="0"/>
        <w:kinsoku/>
        <w:overflowPunct/>
        <w:topLinePunct w:val="0"/>
        <w:autoSpaceDE/>
        <w:autoSpaceDN/>
        <w:bidi w:val="0"/>
        <w:spacing w:line="500" w:lineRule="exact"/>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（4）政府采购促进残疾人就业政策。</w:t>
      </w:r>
    </w:p>
    <w:p w14:paraId="76F2B1B8">
      <w:pPr>
        <w:keepNext w:val="0"/>
        <w:keepLines w:val="0"/>
        <w:pageBreakBefore w:val="0"/>
        <w:kinsoku/>
        <w:overflowPunct/>
        <w:topLinePunct w:val="0"/>
        <w:autoSpaceDE/>
        <w:autoSpaceDN/>
        <w:bidi w:val="0"/>
        <w:spacing w:line="500" w:lineRule="exact"/>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（5）政府采购支持监狱企业发展。</w:t>
      </w:r>
    </w:p>
    <w:p w14:paraId="4ABF1D6E">
      <w:pPr>
        <w:keepNext w:val="0"/>
        <w:keepLines w:val="0"/>
        <w:pageBreakBefore w:val="0"/>
        <w:kinsoku/>
        <w:overflowPunct/>
        <w:topLinePunct w:val="0"/>
        <w:autoSpaceDE/>
        <w:autoSpaceDN/>
        <w:bidi w:val="0"/>
        <w:spacing w:line="500" w:lineRule="exact"/>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3.供应商竞标注意事项</w:t>
      </w:r>
    </w:p>
    <w:p w14:paraId="5CDD52C0">
      <w:pPr>
        <w:keepNext w:val="0"/>
        <w:keepLines w:val="0"/>
        <w:pageBreakBefore w:val="0"/>
        <w:kinsoku/>
        <w:overflowPunct/>
        <w:topLinePunct w:val="0"/>
        <w:autoSpaceDE/>
        <w:autoSpaceDN/>
        <w:bidi w:val="0"/>
        <w:spacing w:line="500" w:lineRule="exact"/>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本项目为全流程电子化采购项目，通过广西政府采购云平台（https://www.gcy.zfcg.gxzf.gov.cn/）实行在线电子竞标，供应商应先安装“该平台电子交易客户端”（请自行前往广西政府采购云平台进行下载），并按照本项目竞争性谈判文件和广西政府采购云平台的要求编制、加密后在提交响应文件截止时间前通过网络上传至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14:paraId="71C59B09">
      <w:pPr>
        <w:keepNext w:val="0"/>
        <w:keepLines w:val="0"/>
        <w:pageBreakBefore w:val="0"/>
        <w:kinsoku/>
        <w:overflowPunct/>
        <w:topLinePunct w:val="0"/>
        <w:autoSpaceDE/>
        <w:autoSpaceDN/>
        <w:bidi w:val="0"/>
        <w:spacing w:line="500" w:lineRule="exact"/>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广西政府采购云平台客服热线：95763）。</w:t>
      </w:r>
    </w:p>
    <w:p w14:paraId="5A4A2FD7">
      <w:pPr>
        <w:keepNext w:val="0"/>
        <w:keepLines w:val="0"/>
        <w:pageBreakBefore w:val="0"/>
        <w:kinsoku/>
        <w:overflowPunct/>
        <w:topLinePunct w:val="0"/>
        <w:autoSpaceDE/>
        <w:autoSpaceDN/>
        <w:bidi w:val="0"/>
        <w:spacing w:line="500" w:lineRule="exact"/>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（3）CA证书在线解密：首次响应文件开启时，需携带制作响应文件时用来加密的有效数字证书（CA认证）登录广西政府采购云平台电子开标大厅现场按规定时间对加密的响应文件进行解密，否则后果自负。</w:t>
      </w:r>
    </w:p>
    <w:p w14:paraId="1FAD18E0">
      <w:pPr>
        <w:keepNext w:val="0"/>
        <w:keepLines w:val="0"/>
        <w:pageBreakBefore w:val="0"/>
        <w:kinsoku/>
        <w:overflowPunct/>
        <w:topLinePunct w:val="0"/>
        <w:autoSpaceDE/>
        <w:autoSpaceDN/>
        <w:bidi w:val="0"/>
        <w:spacing w:line="500" w:lineRule="exact"/>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74FCE1BD">
      <w:pPr>
        <w:keepNext w:val="0"/>
        <w:keepLines w:val="0"/>
        <w:pageBreakBefore w:val="0"/>
        <w:numPr>
          <w:ilvl w:val="0"/>
          <w:numId w:val="0"/>
        </w:numPr>
        <w:kinsoku/>
        <w:overflowPunct/>
        <w:topLinePunct w:val="0"/>
        <w:autoSpaceDE/>
        <w:autoSpaceDN/>
        <w:bidi w:val="0"/>
        <w:spacing w:line="500" w:lineRule="exact"/>
        <w:ind w:firstLine="480" w:firstLineChars="200"/>
        <w:rPr>
          <w:rFonts w:hint="eastAsia" w:ascii="宋体" w:hAnsi="宋体" w:cs="宋体"/>
          <w:b/>
          <w:color w:val="auto"/>
          <w:kern w:val="44"/>
          <w:sz w:val="24"/>
          <w:szCs w:val="24"/>
          <w:highlight w:val="none"/>
        </w:rPr>
      </w:pPr>
      <w:r>
        <w:rPr>
          <w:rFonts w:hint="eastAsia" w:ascii="宋体" w:hAnsi="宋体" w:eastAsia="宋体" w:cs="Times New Roman"/>
          <w:color w:val="auto"/>
          <w:kern w:val="2"/>
          <w:sz w:val="24"/>
          <w:szCs w:val="24"/>
          <w:highlight w:val="none"/>
          <w:lang w:val="en-US" w:eastAsia="zh-CN" w:bidi="ar-SA"/>
        </w:rPr>
        <w:t>（4）供应商需要在具备有摄像头及语音功能且互联网网络状况良好的电脑登录广西政府采购云平台远程开标大厅参与本次谈判，否则后果自负。</w:t>
      </w:r>
      <w:r>
        <w:rPr>
          <w:rFonts w:hint="eastAsia" w:ascii="宋体" w:hAnsi="宋体" w:cs="宋体"/>
          <w:b/>
          <w:color w:val="auto"/>
          <w:kern w:val="44"/>
          <w:sz w:val="24"/>
          <w:szCs w:val="24"/>
          <w:highlight w:val="none"/>
        </w:rPr>
        <w:t> </w:t>
      </w:r>
    </w:p>
    <w:p w14:paraId="5CBFAFE5">
      <w:pPr>
        <w:keepNext w:val="0"/>
        <w:keepLines w:val="0"/>
        <w:pageBreakBefore w:val="0"/>
        <w:kinsoku/>
        <w:overflowPunct/>
        <w:topLinePunct w:val="0"/>
        <w:autoSpaceDE/>
        <w:autoSpaceDN/>
        <w:bidi w:val="0"/>
        <w:spacing w:line="500" w:lineRule="exact"/>
        <w:ind w:firstLine="482" w:firstLineChars="200"/>
        <w:rPr>
          <w:rFonts w:ascii="宋体" w:hAnsi="宋体" w:eastAsia="宋体" w:cs="宋体"/>
          <w:b/>
          <w:bCs w:val="0"/>
          <w:color w:val="auto"/>
          <w:kern w:val="44"/>
          <w:sz w:val="24"/>
          <w:szCs w:val="24"/>
          <w:highlight w:val="none"/>
          <w:lang w:val="en-US" w:eastAsia="zh-CN"/>
        </w:rPr>
      </w:pPr>
      <w:r>
        <w:rPr>
          <w:rFonts w:hint="eastAsia" w:ascii="宋体" w:hAnsi="宋体" w:cs="宋体"/>
          <w:b/>
          <w:bCs w:val="0"/>
          <w:color w:val="auto"/>
          <w:kern w:val="44"/>
          <w:sz w:val="24"/>
          <w:szCs w:val="24"/>
          <w:highlight w:val="none"/>
          <w:lang w:val="en-US" w:eastAsia="zh-CN"/>
        </w:rPr>
        <w:t>4.本项目共分两个分标，竞标人可同时参与多个分标竞标，所参与的分标均需递交谈判响应文件，但至多只能中一个分标。</w:t>
      </w:r>
    </w:p>
    <w:p w14:paraId="56D082E5">
      <w:pPr>
        <w:keepNext w:val="0"/>
        <w:keepLines w:val="0"/>
        <w:pageBreakBefore w:val="0"/>
        <w:kinsoku/>
        <w:overflowPunct/>
        <w:topLinePunct w:val="0"/>
        <w:autoSpaceDE/>
        <w:autoSpaceDN/>
        <w:bidi w:val="0"/>
        <w:spacing w:line="500" w:lineRule="exact"/>
        <w:ind w:firstLine="482" w:firstLineChars="200"/>
        <w:rPr>
          <w:rFonts w:ascii="宋体" w:hAnsi="宋体" w:cs="宋体"/>
          <w:bCs/>
          <w:color w:val="auto"/>
          <w:sz w:val="24"/>
          <w:szCs w:val="24"/>
          <w:highlight w:val="none"/>
        </w:rPr>
      </w:pPr>
      <w:r>
        <w:rPr>
          <w:rFonts w:hint="eastAsia" w:ascii="宋体" w:hAnsi="宋体" w:cs="宋体"/>
          <w:b/>
          <w:color w:val="auto"/>
          <w:kern w:val="44"/>
          <w:sz w:val="24"/>
          <w:szCs w:val="24"/>
          <w:highlight w:val="none"/>
        </w:rPr>
        <w:t>八、凡对本次采购提出询问，请按以下方式联系</w:t>
      </w:r>
    </w:p>
    <w:p w14:paraId="42BFABCD">
      <w:pPr>
        <w:keepNext w:val="0"/>
        <w:keepLines w:val="0"/>
        <w:pageBreakBefore w:val="0"/>
        <w:numPr>
          <w:ilvl w:val="0"/>
          <w:numId w:val="0"/>
        </w:numPr>
        <w:kinsoku/>
        <w:overflowPunct/>
        <w:topLinePunct w:val="0"/>
        <w:autoSpaceDE/>
        <w:autoSpaceDN/>
        <w:bidi w:val="0"/>
        <w:spacing w:line="500" w:lineRule="exact"/>
        <w:ind w:firstLine="480" w:firstLineChars="200"/>
        <w:rPr>
          <w:rFonts w:hint="eastAsia" w:ascii="宋体" w:hAnsi="宋体" w:eastAsia="宋体" w:cs="Times New Roman"/>
          <w:color w:val="auto"/>
          <w:kern w:val="2"/>
          <w:sz w:val="24"/>
          <w:szCs w:val="24"/>
          <w:highlight w:val="none"/>
          <w:lang w:val="en-US" w:eastAsia="zh-CN" w:bidi="ar-SA"/>
        </w:rPr>
      </w:pPr>
      <w:bookmarkStart w:id="25" w:name="_Toc35393806"/>
      <w:bookmarkStart w:id="26" w:name="_Toc28359019"/>
      <w:bookmarkStart w:id="27" w:name="_Toc35393637"/>
      <w:bookmarkStart w:id="28" w:name="_Toc28359096"/>
      <w:r>
        <w:rPr>
          <w:rFonts w:hint="eastAsia" w:ascii="宋体" w:hAnsi="宋体" w:eastAsia="宋体" w:cs="Times New Roman"/>
          <w:color w:val="auto"/>
          <w:kern w:val="2"/>
          <w:sz w:val="24"/>
          <w:szCs w:val="24"/>
          <w:highlight w:val="none"/>
          <w:lang w:val="en-US" w:eastAsia="zh-CN" w:bidi="ar-SA"/>
        </w:rPr>
        <w:t>1.采购人信息</w:t>
      </w:r>
      <w:bookmarkEnd w:id="25"/>
      <w:bookmarkEnd w:id="26"/>
      <w:bookmarkEnd w:id="27"/>
      <w:bookmarkEnd w:id="28"/>
    </w:p>
    <w:p w14:paraId="39D60B12">
      <w:pPr>
        <w:keepNext w:val="0"/>
        <w:keepLines w:val="0"/>
        <w:pageBreakBefore w:val="0"/>
        <w:numPr>
          <w:ilvl w:val="0"/>
          <w:numId w:val="0"/>
        </w:numPr>
        <w:kinsoku/>
        <w:overflowPunct/>
        <w:topLinePunct w:val="0"/>
        <w:autoSpaceDE/>
        <w:autoSpaceDN/>
        <w:bidi w:val="0"/>
        <w:spacing w:line="500" w:lineRule="exact"/>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名    称：广西生态工程职业技术学院</w:t>
      </w:r>
    </w:p>
    <w:p w14:paraId="5F0155CE">
      <w:pPr>
        <w:keepNext w:val="0"/>
        <w:keepLines w:val="0"/>
        <w:pageBreakBefore w:val="0"/>
        <w:numPr>
          <w:ilvl w:val="0"/>
          <w:numId w:val="0"/>
        </w:numPr>
        <w:kinsoku/>
        <w:overflowPunct/>
        <w:topLinePunct w:val="0"/>
        <w:autoSpaceDE/>
        <w:autoSpaceDN/>
        <w:bidi w:val="0"/>
        <w:spacing w:line="500" w:lineRule="exact"/>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地    址：柳州市柳北区君武路168号</w:t>
      </w:r>
    </w:p>
    <w:p w14:paraId="42ACF4A0">
      <w:pPr>
        <w:keepNext w:val="0"/>
        <w:keepLines w:val="0"/>
        <w:pageBreakBefore w:val="0"/>
        <w:numPr>
          <w:ilvl w:val="0"/>
          <w:numId w:val="0"/>
        </w:numPr>
        <w:kinsoku/>
        <w:overflowPunct/>
        <w:topLinePunct w:val="0"/>
        <w:autoSpaceDE/>
        <w:autoSpaceDN/>
        <w:bidi w:val="0"/>
        <w:spacing w:line="500" w:lineRule="exact"/>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联系方式：冯老师  0772-2726285</w:t>
      </w:r>
    </w:p>
    <w:p w14:paraId="3E1662EE">
      <w:pPr>
        <w:keepNext w:val="0"/>
        <w:keepLines w:val="0"/>
        <w:pageBreakBefore w:val="0"/>
        <w:numPr>
          <w:ilvl w:val="0"/>
          <w:numId w:val="0"/>
        </w:numPr>
        <w:kinsoku/>
        <w:overflowPunct/>
        <w:topLinePunct w:val="0"/>
        <w:autoSpaceDE/>
        <w:autoSpaceDN/>
        <w:bidi w:val="0"/>
        <w:spacing w:line="500" w:lineRule="exact"/>
        <w:ind w:firstLine="480" w:firstLineChars="200"/>
        <w:rPr>
          <w:rFonts w:hint="eastAsia" w:ascii="宋体" w:hAnsi="宋体" w:eastAsia="宋体" w:cs="Times New Roman"/>
          <w:color w:val="auto"/>
          <w:kern w:val="2"/>
          <w:sz w:val="24"/>
          <w:szCs w:val="24"/>
          <w:highlight w:val="none"/>
          <w:lang w:val="en-US" w:eastAsia="zh-CN" w:bidi="ar-SA"/>
        </w:rPr>
      </w:pPr>
      <w:bookmarkStart w:id="29" w:name="_Toc35393638"/>
      <w:bookmarkStart w:id="30" w:name="_Toc28359097"/>
      <w:bookmarkStart w:id="31" w:name="_Toc35393807"/>
      <w:bookmarkStart w:id="32" w:name="_Toc28359020"/>
      <w:r>
        <w:rPr>
          <w:rFonts w:hint="eastAsia" w:ascii="宋体" w:hAnsi="宋体" w:eastAsia="宋体" w:cs="Times New Roman"/>
          <w:color w:val="auto"/>
          <w:kern w:val="2"/>
          <w:sz w:val="24"/>
          <w:szCs w:val="24"/>
          <w:highlight w:val="none"/>
          <w:lang w:val="en-US" w:eastAsia="zh-CN" w:bidi="ar-SA"/>
        </w:rPr>
        <w:t>2.采购代理机构信息</w:t>
      </w:r>
      <w:bookmarkEnd w:id="29"/>
      <w:bookmarkEnd w:id="30"/>
      <w:bookmarkEnd w:id="31"/>
      <w:bookmarkEnd w:id="32"/>
    </w:p>
    <w:p w14:paraId="7C02C8FB">
      <w:pPr>
        <w:keepNext w:val="0"/>
        <w:keepLines w:val="0"/>
        <w:pageBreakBefore w:val="0"/>
        <w:numPr>
          <w:ilvl w:val="0"/>
          <w:numId w:val="0"/>
        </w:numPr>
        <w:kinsoku/>
        <w:overflowPunct/>
        <w:topLinePunct w:val="0"/>
        <w:autoSpaceDE/>
        <w:autoSpaceDN/>
        <w:bidi w:val="0"/>
        <w:spacing w:line="500" w:lineRule="exact"/>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名    称：广西建标建设工程咨询有限责任公司</w:t>
      </w:r>
    </w:p>
    <w:p w14:paraId="069E1DF5">
      <w:pPr>
        <w:keepNext w:val="0"/>
        <w:keepLines w:val="0"/>
        <w:pageBreakBefore w:val="0"/>
        <w:numPr>
          <w:ilvl w:val="0"/>
          <w:numId w:val="0"/>
        </w:numPr>
        <w:kinsoku/>
        <w:overflowPunct/>
        <w:topLinePunct w:val="0"/>
        <w:autoSpaceDE/>
        <w:autoSpaceDN/>
        <w:bidi w:val="0"/>
        <w:spacing w:line="500" w:lineRule="exact"/>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地　　址：广西南宁市白沙大道1-6号白沙苑1～3楼</w:t>
      </w:r>
    </w:p>
    <w:p w14:paraId="59556003">
      <w:pPr>
        <w:keepNext w:val="0"/>
        <w:keepLines w:val="0"/>
        <w:pageBreakBefore w:val="0"/>
        <w:numPr>
          <w:ilvl w:val="0"/>
          <w:numId w:val="0"/>
        </w:numPr>
        <w:kinsoku/>
        <w:overflowPunct/>
        <w:topLinePunct w:val="0"/>
        <w:autoSpaceDE/>
        <w:autoSpaceDN/>
        <w:bidi w:val="0"/>
        <w:spacing w:line="500" w:lineRule="exact"/>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联系方式：潘工   0771-4923450 、13667889846</w:t>
      </w:r>
    </w:p>
    <w:p w14:paraId="34FEFD11">
      <w:pPr>
        <w:keepNext w:val="0"/>
        <w:keepLines w:val="0"/>
        <w:pageBreakBefore w:val="0"/>
        <w:numPr>
          <w:ilvl w:val="0"/>
          <w:numId w:val="0"/>
        </w:numPr>
        <w:kinsoku/>
        <w:overflowPunct/>
        <w:topLinePunct w:val="0"/>
        <w:autoSpaceDE/>
        <w:autoSpaceDN/>
        <w:bidi w:val="0"/>
        <w:spacing w:line="500" w:lineRule="exact"/>
        <w:ind w:firstLine="480" w:firstLineChars="200"/>
        <w:rPr>
          <w:rFonts w:hint="eastAsia" w:ascii="宋体" w:hAnsi="宋体" w:eastAsia="宋体" w:cs="Times New Roman"/>
          <w:color w:val="auto"/>
          <w:kern w:val="2"/>
          <w:sz w:val="24"/>
          <w:szCs w:val="24"/>
          <w:highlight w:val="none"/>
          <w:lang w:val="en-US" w:eastAsia="zh-CN" w:bidi="ar-SA"/>
        </w:rPr>
      </w:pPr>
      <w:bookmarkStart w:id="33" w:name="_Toc35393808"/>
      <w:bookmarkStart w:id="34" w:name="_Toc28359098"/>
      <w:bookmarkStart w:id="35" w:name="_Toc35393639"/>
      <w:bookmarkStart w:id="36" w:name="_Toc28359021"/>
      <w:r>
        <w:rPr>
          <w:rFonts w:hint="eastAsia" w:ascii="宋体" w:hAnsi="宋体" w:eastAsia="宋体" w:cs="Times New Roman"/>
          <w:color w:val="auto"/>
          <w:kern w:val="2"/>
          <w:sz w:val="24"/>
          <w:szCs w:val="24"/>
          <w:highlight w:val="none"/>
          <w:lang w:val="en-US" w:eastAsia="zh-CN" w:bidi="ar-SA"/>
        </w:rPr>
        <w:t>3.项目联系方式</w:t>
      </w:r>
      <w:bookmarkEnd w:id="33"/>
      <w:bookmarkEnd w:id="34"/>
      <w:bookmarkEnd w:id="35"/>
      <w:bookmarkEnd w:id="36"/>
    </w:p>
    <w:p w14:paraId="29E01B7D">
      <w:pPr>
        <w:keepNext w:val="0"/>
        <w:keepLines w:val="0"/>
        <w:pageBreakBefore w:val="0"/>
        <w:numPr>
          <w:ilvl w:val="0"/>
          <w:numId w:val="0"/>
        </w:numPr>
        <w:kinsoku/>
        <w:overflowPunct/>
        <w:topLinePunct w:val="0"/>
        <w:autoSpaceDE/>
        <w:autoSpaceDN/>
        <w:bidi w:val="0"/>
        <w:spacing w:line="500" w:lineRule="exact"/>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项目联系人：潘工</w:t>
      </w:r>
    </w:p>
    <w:p w14:paraId="06B41D29">
      <w:pPr>
        <w:keepNext w:val="0"/>
        <w:keepLines w:val="0"/>
        <w:pageBreakBefore w:val="0"/>
        <w:numPr>
          <w:ilvl w:val="0"/>
          <w:numId w:val="0"/>
        </w:numPr>
        <w:kinsoku/>
        <w:overflowPunct/>
        <w:topLinePunct w:val="0"/>
        <w:autoSpaceDE/>
        <w:autoSpaceDN/>
        <w:bidi w:val="0"/>
        <w:spacing w:line="500" w:lineRule="exact"/>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电　　话： 0771-4923450 、13667889846</w:t>
      </w:r>
    </w:p>
    <w:p w14:paraId="1AF94AE4">
      <w:pPr>
        <w:keepNext w:val="0"/>
        <w:keepLines w:val="0"/>
        <w:pageBreakBefore w:val="0"/>
        <w:numPr>
          <w:ilvl w:val="0"/>
          <w:numId w:val="0"/>
        </w:numPr>
        <w:kinsoku/>
        <w:overflowPunct/>
        <w:topLinePunct w:val="0"/>
        <w:autoSpaceDE/>
        <w:autoSpaceDN/>
        <w:bidi w:val="0"/>
        <w:spacing w:line="500" w:lineRule="exact"/>
        <w:ind w:firstLine="480" w:firstLineChars="200"/>
        <w:rPr>
          <w:rFonts w:hint="eastAsia" w:ascii="宋体" w:hAnsi="宋体" w:eastAsia="宋体" w:cs="Times New Roman"/>
          <w:color w:val="auto"/>
          <w:kern w:val="2"/>
          <w:sz w:val="24"/>
          <w:szCs w:val="24"/>
          <w:highlight w:val="none"/>
          <w:lang w:val="en-US" w:eastAsia="zh-CN" w:bidi="ar-SA"/>
        </w:rPr>
      </w:pPr>
    </w:p>
    <w:p w14:paraId="48F88B86">
      <w:pPr>
        <w:pStyle w:val="13"/>
        <w:rPr>
          <w:rFonts w:hint="eastAsia"/>
          <w:color w:val="auto"/>
          <w:highlight w:val="none"/>
          <w:lang w:val="en-US" w:eastAsia="zh-CN"/>
        </w:rPr>
      </w:pPr>
    </w:p>
    <w:p w14:paraId="69EE2CE5">
      <w:pPr>
        <w:keepNext w:val="0"/>
        <w:keepLines w:val="0"/>
        <w:pageBreakBefore w:val="0"/>
        <w:numPr>
          <w:ilvl w:val="0"/>
          <w:numId w:val="0"/>
        </w:numPr>
        <w:kinsoku/>
        <w:overflowPunct/>
        <w:topLinePunct w:val="0"/>
        <w:autoSpaceDE/>
        <w:autoSpaceDN/>
        <w:bidi w:val="0"/>
        <w:spacing w:line="500" w:lineRule="exact"/>
        <w:ind w:firstLine="5280" w:firstLineChars="2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广西建标建设工程咨询有限责任公司</w:t>
      </w:r>
    </w:p>
    <w:p w14:paraId="4D255062">
      <w:pPr>
        <w:keepNext w:val="0"/>
        <w:keepLines w:val="0"/>
        <w:pageBreakBefore w:val="0"/>
        <w:kinsoku/>
        <w:overflowPunct/>
        <w:topLinePunct w:val="0"/>
        <w:autoSpaceDE/>
        <w:autoSpaceDN/>
        <w:bidi w:val="0"/>
        <w:spacing w:line="500" w:lineRule="exact"/>
        <w:ind w:firstLine="6240" w:firstLineChars="2600"/>
        <w:rPr>
          <w:rFonts w:ascii="宋体" w:hAnsi="宋体" w:cs="宋体"/>
          <w:color w:val="auto"/>
          <w:sz w:val="24"/>
          <w:szCs w:val="24"/>
          <w:highlight w:val="none"/>
          <w:u w:val="single"/>
        </w:rPr>
        <w:sectPr>
          <w:pgSz w:w="11910" w:h="16840"/>
          <w:pgMar w:top="1440" w:right="1080" w:bottom="1320" w:left="1080" w:header="720" w:footer="720" w:gutter="0"/>
          <w:cols w:space="720" w:num="1"/>
        </w:sectPr>
      </w:pPr>
      <w:r>
        <w:rPr>
          <w:rFonts w:hint="eastAsia" w:ascii="宋体" w:hAnsi="宋体" w:cs="宋体"/>
          <w:color w:val="auto"/>
          <w:sz w:val="24"/>
          <w:szCs w:val="24"/>
          <w:highlight w:val="none"/>
          <w:u w:val="none"/>
          <w:lang w:val="en-US" w:eastAsia="zh-CN"/>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 xml:space="preserve">6 </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 xml:space="preserve">16 </w:t>
      </w:r>
      <w:r>
        <w:rPr>
          <w:rFonts w:hint="eastAsia" w:ascii="宋体" w:hAnsi="宋体" w:cs="宋体"/>
          <w:color w:val="auto"/>
          <w:sz w:val="24"/>
          <w:szCs w:val="24"/>
          <w:highlight w:val="none"/>
        </w:rPr>
        <w:t>日</w:t>
      </w:r>
    </w:p>
    <w:p w14:paraId="278EB12E">
      <w:pPr>
        <w:pStyle w:val="2"/>
        <w:spacing w:before="0" w:after="0" w:line="360" w:lineRule="auto"/>
        <w:jc w:val="center"/>
        <w:rPr>
          <w:rFonts w:hint="eastAsia" w:ascii="宋体" w:hAnsi="宋体" w:eastAsia="宋体" w:cs="宋体"/>
          <w:b/>
          <w:bCs/>
          <w:color w:val="auto"/>
          <w:sz w:val="24"/>
          <w:szCs w:val="24"/>
          <w:highlight w:val="none"/>
        </w:rPr>
      </w:pPr>
      <w:bookmarkStart w:id="37" w:name="_Toc28376"/>
      <w:r>
        <w:rPr>
          <w:rFonts w:hint="eastAsia" w:ascii="宋体" w:hAnsi="宋体" w:eastAsia="宋体" w:cs="宋体"/>
          <w:b/>
          <w:bCs/>
          <w:color w:val="auto"/>
          <w:sz w:val="24"/>
          <w:szCs w:val="24"/>
          <w:highlight w:val="none"/>
        </w:rPr>
        <w:t>第二章 采购需求</w:t>
      </w:r>
      <w:bookmarkEnd w:id="37"/>
    </w:p>
    <w:p w14:paraId="6BD14ACB">
      <w:pPr>
        <w:keepNext w:val="0"/>
        <w:keepLines w:val="0"/>
        <w:pageBreakBefore w:val="0"/>
        <w:widowControl w:val="0"/>
        <w:kinsoku/>
        <w:wordWrap/>
        <w:overflowPunct/>
        <w:topLinePunct w:val="0"/>
        <w:autoSpaceDE/>
        <w:autoSpaceDN/>
        <w:bidi w:val="0"/>
        <w:spacing w:line="52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说明：</w:t>
      </w:r>
    </w:p>
    <w:p w14:paraId="559D12FC">
      <w:pPr>
        <w:keepNext w:val="0"/>
        <w:keepLines w:val="0"/>
        <w:pageBreakBefore w:val="0"/>
        <w:widowControl w:val="0"/>
        <w:kinsoku/>
        <w:wordWrap/>
        <w:overflowPunct/>
        <w:topLinePunct w:val="0"/>
        <w:autoSpaceDE/>
        <w:autoSpaceDN/>
        <w:bidi w:val="0"/>
        <w:spacing w:line="520" w:lineRule="exact"/>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1.为落实政府采购政策需满足的要求</w:t>
      </w:r>
    </w:p>
    <w:p w14:paraId="072EABDC">
      <w:pPr>
        <w:keepNext w:val="0"/>
        <w:keepLines w:val="0"/>
        <w:pageBreakBefore w:val="0"/>
        <w:widowControl w:val="0"/>
        <w:kinsoku/>
        <w:wordWrap/>
        <w:overflowPunct/>
        <w:topLinePunct w:val="0"/>
        <w:autoSpaceDE/>
        <w:autoSpaceDN/>
        <w:bidi w:val="0"/>
        <w:spacing w:line="52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响应产品的节能产品认证证书复印件（加盖供应商公章），否则响应文件作无效处理。如本项目包含的配套货物属于品目清单内非标注“★”的产品时，应优先采购，具体详见“第四章 评审程序和评定成交的标准”。</w:t>
      </w:r>
    </w:p>
    <w:p w14:paraId="4DEAB2C7">
      <w:pPr>
        <w:keepNext w:val="0"/>
        <w:keepLines w:val="0"/>
        <w:pageBreakBefore w:val="0"/>
        <w:widowControl w:val="0"/>
        <w:kinsoku/>
        <w:wordWrap/>
        <w:overflowPunct/>
        <w:topLinePunct w:val="0"/>
        <w:autoSpaceDE/>
        <w:autoSpaceDN/>
        <w:bidi w:val="0"/>
        <w:spacing w:line="520" w:lineRule="exact"/>
        <w:ind w:firstLine="482" w:firstLineChars="20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2.“实质性要求”是指采购需求中</w:t>
      </w:r>
      <w:r>
        <w:rPr>
          <w:rFonts w:hint="eastAsia" w:ascii="宋体" w:hAnsi="宋体" w:cs="宋体"/>
          <w:b/>
          <w:bCs/>
          <w:color w:val="auto"/>
          <w:sz w:val="24"/>
          <w:szCs w:val="24"/>
          <w:highlight w:val="none"/>
          <w:lang w:val="en-US" w:eastAsia="zh-CN"/>
        </w:rPr>
        <w:t>带</w:t>
      </w:r>
      <w:r>
        <w:rPr>
          <w:rFonts w:hint="eastAsia" w:ascii="宋体" w:hAnsi="宋体" w:cs="宋体"/>
          <w:color w:val="auto"/>
          <w:sz w:val="24"/>
          <w:szCs w:val="24"/>
          <w:highlight w:val="none"/>
        </w:rPr>
        <w:t>“▲”</w:t>
      </w:r>
      <w:r>
        <w:rPr>
          <w:rFonts w:hint="eastAsia" w:ascii="宋体" w:hAnsi="宋体" w:cs="宋体"/>
          <w:b/>
          <w:bCs/>
          <w:color w:val="auto"/>
          <w:sz w:val="24"/>
          <w:szCs w:val="24"/>
          <w:highlight w:val="none"/>
        </w:rPr>
        <w:t>的条款</w:t>
      </w:r>
      <w:r>
        <w:rPr>
          <w:rFonts w:hint="eastAsia" w:ascii="宋体" w:hAnsi="宋体" w:cs="宋体"/>
          <w:b/>
          <w:bCs/>
          <w:color w:val="auto"/>
          <w:sz w:val="24"/>
          <w:szCs w:val="24"/>
          <w:highlight w:val="none"/>
          <w:lang w:val="en-US" w:eastAsia="zh-CN"/>
        </w:rPr>
        <w:t>或者</w:t>
      </w:r>
      <w:r>
        <w:rPr>
          <w:rFonts w:hint="eastAsia" w:ascii="宋体" w:hAnsi="宋体" w:cs="宋体"/>
          <w:b/>
          <w:bCs/>
          <w:color w:val="auto"/>
          <w:sz w:val="24"/>
          <w:szCs w:val="24"/>
          <w:highlight w:val="none"/>
        </w:rPr>
        <w:t>不能负偏离</w:t>
      </w:r>
      <w:r>
        <w:rPr>
          <w:rFonts w:hint="eastAsia" w:ascii="宋体" w:hAnsi="宋体" w:cs="宋体"/>
          <w:b/>
          <w:bCs/>
          <w:color w:val="auto"/>
          <w:sz w:val="24"/>
          <w:szCs w:val="24"/>
          <w:highlight w:val="none"/>
          <w:lang w:val="en-US" w:eastAsia="zh-CN"/>
        </w:rPr>
        <w:t>的条款</w:t>
      </w:r>
      <w:r>
        <w:rPr>
          <w:rFonts w:hint="eastAsia" w:ascii="宋体" w:hAnsi="宋体" w:cs="宋体"/>
          <w:b/>
          <w:bCs/>
          <w:color w:val="auto"/>
          <w:sz w:val="24"/>
          <w:szCs w:val="24"/>
          <w:highlight w:val="none"/>
        </w:rPr>
        <w:t>或</w:t>
      </w:r>
      <w:r>
        <w:rPr>
          <w:rFonts w:hint="eastAsia" w:ascii="宋体" w:hAnsi="宋体" w:cs="宋体"/>
          <w:b/>
          <w:bCs/>
          <w:color w:val="auto"/>
          <w:sz w:val="24"/>
          <w:szCs w:val="24"/>
          <w:highlight w:val="none"/>
          <w:lang w:val="en-US" w:eastAsia="zh-CN"/>
        </w:rPr>
        <w:t>者</w:t>
      </w:r>
      <w:r>
        <w:rPr>
          <w:rFonts w:hint="eastAsia" w:ascii="宋体" w:hAnsi="宋体" w:cs="宋体"/>
          <w:b/>
          <w:bCs/>
          <w:color w:val="auto"/>
          <w:sz w:val="24"/>
          <w:szCs w:val="24"/>
          <w:highlight w:val="none"/>
        </w:rPr>
        <w:t>已经指明不满足按</w:t>
      </w:r>
      <w:r>
        <w:rPr>
          <w:rFonts w:hint="eastAsia" w:ascii="宋体" w:hAnsi="宋体" w:cs="宋体"/>
          <w:b/>
          <w:bCs/>
          <w:color w:val="auto"/>
          <w:sz w:val="24"/>
          <w:szCs w:val="24"/>
          <w:highlight w:val="none"/>
          <w:lang w:val="en-US" w:eastAsia="zh-CN"/>
        </w:rPr>
        <w:t>响应文件</w:t>
      </w:r>
      <w:r>
        <w:rPr>
          <w:rFonts w:hint="eastAsia" w:ascii="宋体" w:hAnsi="宋体" w:cs="宋体"/>
          <w:b/>
          <w:bCs/>
          <w:color w:val="auto"/>
          <w:sz w:val="24"/>
          <w:szCs w:val="24"/>
          <w:highlight w:val="none"/>
        </w:rPr>
        <w:t>竞标无效处理的条款。本项目凡标注“▲”的条款或要求不响应或不满足的，其响应文件即作无效竞标处理。未标记“▲”的条款</w:t>
      </w:r>
      <w:r>
        <w:rPr>
          <w:rFonts w:hint="eastAsia" w:ascii="宋体" w:hAnsi="宋体" w:cs="宋体"/>
          <w:b/>
          <w:bCs/>
          <w:color w:val="auto"/>
          <w:sz w:val="24"/>
          <w:szCs w:val="24"/>
          <w:highlight w:val="none"/>
          <w:lang w:val="en-US" w:eastAsia="zh-CN"/>
        </w:rPr>
        <w:t>允许负偏离的条款数为0项</w:t>
      </w:r>
      <w:r>
        <w:rPr>
          <w:rFonts w:hint="eastAsia" w:ascii="宋体" w:hAnsi="宋体" w:cs="宋体"/>
          <w:b/>
          <w:bCs/>
          <w:color w:val="auto"/>
          <w:sz w:val="24"/>
          <w:szCs w:val="24"/>
          <w:highlight w:val="none"/>
        </w:rPr>
        <w:t>。</w:t>
      </w:r>
    </w:p>
    <w:p w14:paraId="5172CCED">
      <w:pPr>
        <w:keepNext w:val="0"/>
        <w:keepLines w:val="0"/>
        <w:pageBreakBefore w:val="0"/>
        <w:widowControl w:val="0"/>
        <w:kinsoku/>
        <w:wordWrap/>
        <w:overflowPunct/>
        <w:topLinePunct w:val="0"/>
        <w:autoSpaceDE/>
        <w:autoSpaceDN/>
        <w:bidi w:val="0"/>
        <w:spacing w:line="520" w:lineRule="exact"/>
        <w:ind w:firstLine="480" w:firstLineChars="200"/>
        <w:jc w:val="left"/>
        <w:rPr>
          <w:rFonts w:hint="eastAsia" w:ascii="Times New Roman" w:hAnsi="Times New Roman" w:eastAsia="宋体" w:cs="Times New Roman"/>
          <w:color w:val="auto"/>
          <w:sz w:val="24"/>
          <w:szCs w:val="24"/>
          <w:highlight w:val="none"/>
          <w:lang w:eastAsia="zh-CN"/>
        </w:rPr>
      </w:pPr>
      <w:r>
        <w:rPr>
          <w:rFonts w:hint="eastAsia"/>
          <w:color w:val="auto"/>
          <w:sz w:val="24"/>
          <w:szCs w:val="24"/>
          <w:highlight w:val="none"/>
          <w:lang w:eastAsia="zh-CN"/>
        </w:rPr>
        <w:t>3</w:t>
      </w:r>
      <w:r>
        <w:rPr>
          <w:rFonts w:hint="eastAsia"/>
          <w:color w:val="auto"/>
          <w:sz w:val="24"/>
          <w:szCs w:val="24"/>
          <w:highlight w:val="none"/>
        </w:rPr>
        <w:t>.</w:t>
      </w:r>
      <w:r>
        <w:rPr>
          <w:rFonts w:hint="eastAsia"/>
          <w:color w:val="auto"/>
          <w:sz w:val="24"/>
          <w:szCs w:val="24"/>
          <w:highlight w:val="none"/>
          <w:lang w:eastAsia="zh-CN"/>
        </w:rPr>
        <w:t>如</w:t>
      </w:r>
      <w:r>
        <w:rPr>
          <w:rFonts w:hint="eastAsia"/>
          <w:color w:val="auto"/>
          <w:sz w:val="24"/>
          <w:szCs w:val="24"/>
          <w:highlight w:val="none"/>
        </w:rPr>
        <w:t>投标人投标</w:t>
      </w:r>
      <w:r>
        <w:rPr>
          <w:color w:val="auto"/>
          <w:sz w:val="24"/>
          <w:szCs w:val="24"/>
          <w:highlight w:val="none"/>
        </w:rPr>
        <w:t>产品</w:t>
      </w:r>
      <w:r>
        <w:rPr>
          <w:rFonts w:hint="eastAsia"/>
          <w:color w:val="auto"/>
          <w:sz w:val="24"/>
          <w:szCs w:val="24"/>
          <w:highlight w:val="none"/>
          <w:lang w:eastAsia="zh-CN"/>
        </w:rPr>
        <w:t>存在</w:t>
      </w:r>
      <w:r>
        <w:rPr>
          <w:color w:val="auto"/>
          <w:sz w:val="24"/>
          <w:szCs w:val="24"/>
          <w:highlight w:val="none"/>
        </w:rPr>
        <w:t>侵犯</w:t>
      </w:r>
      <w:r>
        <w:rPr>
          <w:rFonts w:hint="eastAsia"/>
          <w:color w:val="auto"/>
          <w:sz w:val="24"/>
          <w:szCs w:val="24"/>
          <w:highlight w:val="none"/>
        </w:rPr>
        <w:t>他人的知识产权或者专利成果行为</w:t>
      </w:r>
      <w:r>
        <w:rPr>
          <w:rFonts w:hint="eastAsia"/>
          <w:color w:val="auto"/>
          <w:sz w:val="24"/>
          <w:szCs w:val="24"/>
          <w:highlight w:val="none"/>
          <w:lang w:eastAsia="zh-CN"/>
        </w:rPr>
        <w:t>的，应</w:t>
      </w:r>
      <w:r>
        <w:rPr>
          <w:color w:val="auto"/>
          <w:sz w:val="24"/>
          <w:szCs w:val="24"/>
          <w:highlight w:val="none"/>
        </w:rPr>
        <w:t>承担</w:t>
      </w:r>
      <w:r>
        <w:rPr>
          <w:rFonts w:hint="eastAsia" w:ascii="Times New Roman" w:hAnsi="Times New Roman" w:eastAsia="宋体" w:cs="Times New Roman"/>
          <w:color w:val="auto"/>
          <w:sz w:val="24"/>
          <w:szCs w:val="24"/>
          <w:highlight w:val="none"/>
          <w:lang w:eastAsia="zh-CN"/>
        </w:rPr>
        <w:t>相应法律责任。</w:t>
      </w:r>
    </w:p>
    <w:p w14:paraId="003AFFD6">
      <w:pPr>
        <w:keepNext w:val="0"/>
        <w:keepLines w:val="0"/>
        <w:pageBreakBefore w:val="0"/>
        <w:widowControl w:val="0"/>
        <w:kinsoku/>
        <w:wordWrap/>
        <w:overflowPunct/>
        <w:topLinePunct w:val="0"/>
        <w:autoSpaceDE/>
        <w:autoSpaceDN/>
        <w:bidi w:val="0"/>
        <w:spacing w:line="520" w:lineRule="exact"/>
        <w:ind w:firstLine="480" w:firstLineChars="200"/>
        <w:jc w:val="left"/>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rPr>
        <w:t>4</w:t>
      </w:r>
      <w:r>
        <w:rPr>
          <w:rFonts w:hint="eastAsia" w:ascii="Times New Roman" w:hAnsi="Times New Roman" w:eastAsia="宋体" w:cs="Times New Roman"/>
          <w:color w:val="auto"/>
          <w:sz w:val="24"/>
          <w:szCs w:val="24"/>
          <w:highlight w:val="none"/>
          <w:lang w:eastAsia="zh-CN"/>
        </w:rPr>
        <w:t>.所属行业依照《中小企业划型标准规定》（工信部联企业〔2011〕300号）及《国民经济行业分类》（GB/T4754-2017）的有关规定执行。</w:t>
      </w:r>
    </w:p>
    <w:p w14:paraId="46533464">
      <w:pPr>
        <w:keepNext w:val="0"/>
        <w:keepLines w:val="0"/>
        <w:pageBreakBefore w:val="0"/>
        <w:widowControl w:val="0"/>
        <w:kinsoku/>
        <w:wordWrap/>
        <w:overflowPunct/>
        <w:topLinePunct w:val="0"/>
        <w:autoSpaceDE/>
        <w:autoSpaceDN/>
        <w:bidi w:val="0"/>
        <w:spacing w:line="520" w:lineRule="exact"/>
        <w:jc w:val="left"/>
        <w:rPr>
          <w:rFonts w:hint="eastAsia" w:ascii="Times New Roman" w:hAnsi="Times New Roman" w:eastAsia="宋体" w:cs="Times New Roman"/>
          <w:color w:val="auto"/>
          <w:sz w:val="24"/>
          <w:szCs w:val="24"/>
          <w:highlight w:val="none"/>
          <w:lang w:eastAsia="zh-CN"/>
        </w:rPr>
      </w:pPr>
    </w:p>
    <w:p w14:paraId="00CEB331">
      <w:pPr>
        <w:keepNext w:val="0"/>
        <w:keepLines w:val="0"/>
        <w:pageBreakBefore w:val="0"/>
        <w:widowControl w:val="0"/>
        <w:kinsoku/>
        <w:wordWrap/>
        <w:overflowPunct/>
        <w:topLinePunct w:val="0"/>
        <w:autoSpaceDE/>
        <w:autoSpaceDN/>
        <w:bidi w:val="0"/>
        <w:spacing w:line="520" w:lineRule="exact"/>
        <w:jc w:val="left"/>
        <w:rPr>
          <w:rFonts w:hint="eastAsia" w:ascii="Times New Roman" w:hAnsi="Times New Roman" w:eastAsia="宋体" w:cs="Times New Roman"/>
          <w:color w:val="auto"/>
          <w:sz w:val="24"/>
          <w:szCs w:val="24"/>
          <w:highlight w:val="none"/>
          <w:lang w:eastAsia="zh-CN"/>
        </w:rPr>
      </w:pPr>
    </w:p>
    <w:p w14:paraId="44784BB5">
      <w:pPr>
        <w:keepNext w:val="0"/>
        <w:keepLines w:val="0"/>
        <w:pageBreakBefore w:val="0"/>
        <w:widowControl w:val="0"/>
        <w:kinsoku/>
        <w:wordWrap/>
        <w:overflowPunct/>
        <w:topLinePunct w:val="0"/>
        <w:autoSpaceDE/>
        <w:autoSpaceDN/>
        <w:bidi w:val="0"/>
        <w:spacing w:line="520" w:lineRule="exact"/>
        <w:jc w:val="left"/>
        <w:rPr>
          <w:rFonts w:hint="eastAsia" w:ascii="Times New Roman" w:hAnsi="Times New Roman" w:eastAsia="宋体" w:cs="Times New Roman"/>
          <w:color w:val="auto"/>
          <w:sz w:val="24"/>
          <w:szCs w:val="24"/>
          <w:highlight w:val="none"/>
          <w:lang w:eastAsia="zh-CN"/>
        </w:rPr>
      </w:pPr>
    </w:p>
    <w:p w14:paraId="178D5019">
      <w:pPr>
        <w:pStyle w:val="13"/>
        <w:rPr>
          <w:rFonts w:hint="eastAsia" w:ascii="Times New Roman" w:hAnsi="Times New Roman" w:eastAsia="宋体" w:cs="Times New Roman"/>
          <w:color w:val="auto"/>
          <w:sz w:val="24"/>
          <w:szCs w:val="24"/>
          <w:highlight w:val="none"/>
          <w:lang w:eastAsia="zh-CN"/>
        </w:rPr>
      </w:pPr>
    </w:p>
    <w:p w14:paraId="3A0B61C4">
      <w:pPr>
        <w:pStyle w:val="14"/>
        <w:tabs>
          <w:tab w:val="clear" w:pos="4153"/>
          <w:tab w:val="clear" w:pos="8306"/>
        </w:tabs>
        <w:rPr>
          <w:rFonts w:hint="eastAsia" w:ascii="Times New Roman" w:hAnsi="Times New Roman" w:eastAsia="宋体" w:cs="Times New Roman"/>
          <w:color w:val="auto"/>
          <w:sz w:val="24"/>
          <w:szCs w:val="24"/>
          <w:highlight w:val="none"/>
          <w:lang w:eastAsia="zh-CN"/>
        </w:rPr>
      </w:pPr>
    </w:p>
    <w:p w14:paraId="03F022B8">
      <w:pPr>
        <w:pStyle w:val="14"/>
        <w:tabs>
          <w:tab w:val="clear" w:pos="4153"/>
          <w:tab w:val="clear" w:pos="8306"/>
        </w:tabs>
        <w:rPr>
          <w:rFonts w:hint="eastAsia" w:ascii="Times New Roman" w:hAnsi="Times New Roman" w:eastAsia="宋体" w:cs="Times New Roman"/>
          <w:color w:val="auto"/>
          <w:sz w:val="24"/>
          <w:szCs w:val="24"/>
          <w:highlight w:val="none"/>
          <w:lang w:eastAsia="zh-CN"/>
        </w:rPr>
      </w:pPr>
    </w:p>
    <w:p w14:paraId="632B8E7F">
      <w:pPr>
        <w:pStyle w:val="14"/>
        <w:tabs>
          <w:tab w:val="clear" w:pos="4153"/>
          <w:tab w:val="clear" w:pos="8306"/>
        </w:tabs>
        <w:rPr>
          <w:rFonts w:hint="eastAsia" w:ascii="Times New Roman" w:hAnsi="Times New Roman" w:eastAsia="宋体" w:cs="Times New Roman"/>
          <w:color w:val="auto"/>
          <w:sz w:val="24"/>
          <w:szCs w:val="24"/>
          <w:highlight w:val="none"/>
          <w:lang w:eastAsia="zh-CN"/>
        </w:rPr>
      </w:pPr>
    </w:p>
    <w:p w14:paraId="114A17DE">
      <w:pPr>
        <w:pStyle w:val="14"/>
        <w:tabs>
          <w:tab w:val="clear" w:pos="4153"/>
          <w:tab w:val="clear" w:pos="8306"/>
        </w:tabs>
        <w:rPr>
          <w:rFonts w:hint="eastAsia" w:ascii="Times New Roman" w:hAnsi="Times New Roman" w:eastAsia="宋体" w:cs="Times New Roman"/>
          <w:color w:val="auto"/>
          <w:sz w:val="24"/>
          <w:szCs w:val="24"/>
          <w:highlight w:val="none"/>
          <w:lang w:eastAsia="zh-CN"/>
        </w:rPr>
      </w:pPr>
    </w:p>
    <w:p w14:paraId="264BD22A">
      <w:pPr>
        <w:pStyle w:val="14"/>
        <w:tabs>
          <w:tab w:val="clear" w:pos="4153"/>
          <w:tab w:val="clear" w:pos="8306"/>
        </w:tabs>
        <w:rPr>
          <w:rFonts w:hint="eastAsia" w:ascii="Times New Roman" w:hAnsi="Times New Roman" w:eastAsia="宋体" w:cs="Times New Roman"/>
          <w:color w:val="auto"/>
          <w:sz w:val="24"/>
          <w:szCs w:val="24"/>
          <w:highlight w:val="none"/>
          <w:lang w:eastAsia="zh-CN"/>
        </w:rPr>
      </w:pPr>
    </w:p>
    <w:p w14:paraId="0CCCBE5E">
      <w:pPr>
        <w:pStyle w:val="14"/>
        <w:tabs>
          <w:tab w:val="clear" w:pos="4153"/>
          <w:tab w:val="clear" w:pos="8306"/>
        </w:tabs>
        <w:rPr>
          <w:rFonts w:hint="eastAsia" w:ascii="Times New Roman" w:hAnsi="Times New Roman" w:eastAsia="宋体" w:cs="Times New Roman"/>
          <w:color w:val="auto"/>
          <w:sz w:val="24"/>
          <w:szCs w:val="24"/>
          <w:highlight w:val="none"/>
          <w:lang w:eastAsia="zh-CN"/>
        </w:rPr>
      </w:pPr>
    </w:p>
    <w:p w14:paraId="3A02756E">
      <w:pPr>
        <w:pStyle w:val="14"/>
        <w:tabs>
          <w:tab w:val="clear" w:pos="4153"/>
          <w:tab w:val="clear" w:pos="8306"/>
        </w:tabs>
        <w:rPr>
          <w:rFonts w:hint="eastAsia" w:ascii="Times New Roman" w:hAnsi="Times New Roman" w:eastAsia="宋体" w:cs="Times New Roman"/>
          <w:color w:val="auto"/>
          <w:sz w:val="24"/>
          <w:szCs w:val="24"/>
          <w:highlight w:val="none"/>
          <w:lang w:eastAsia="zh-CN"/>
        </w:rPr>
      </w:pPr>
    </w:p>
    <w:p w14:paraId="5D1935D1">
      <w:pPr>
        <w:pStyle w:val="14"/>
        <w:tabs>
          <w:tab w:val="clear" w:pos="4153"/>
          <w:tab w:val="clear" w:pos="8306"/>
        </w:tabs>
        <w:rPr>
          <w:rFonts w:hint="eastAsia" w:ascii="Times New Roman" w:hAnsi="Times New Roman" w:eastAsia="宋体" w:cs="Times New Roman"/>
          <w:color w:val="auto"/>
          <w:sz w:val="24"/>
          <w:szCs w:val="24"/>
          <w:highlight w:val="none"/>
          <w:lang w:eastAsia="zh-CN"/>
        </w:rPr>
      </w:pPr>
    </w:p>
    <w:p w14:paraId="0AC3AC4B">
      <w:pPr>
        <w:pStyle w:val="14"/>
        <w:tabs>
          <w:tab w:val="clear" w:pos="4153"/>
          <w:tab w:val="clear" w:pos="8306"/>
        </w:tabs>
        <w:rPr>
          <w:rFonts w:hint="eastAsia" w:ascii="Times New Roman" w:hAnsi="Times New Roman" w:eastAsia="宋体" w:cs="Times New Roman"/>
          <w:color w:val="auto"/>
          <w:sz w:val="24"/>
          <w:szCs w:val="24"/>
          <w:highlight w:val="none"/>
          <w:lang w:eastAsia="zh-CN"/>
        </w:rPr>
      </w:pPr>
    </w:p>
    <w:p w14:paraId="496BE98D">
      <w:pPr>
        <w:pStyle w:val="14"/>
        <w:tabs>
          <w:tab w:val="clear" w:pos="4153"/>
          <w:tab w:val="clear" w:pos="8306"/>
        </w:tabs>
        <w:rPr>
          <w:rFonts w:hint="eastAsia" w:ascii="Times New Roman" w:hAnsi="Times New Roman" w:eastAsia="宋体" w:cs="Times New Roman"/>
          <w:color w:val="auto"/>
          <w:sz w:val="24"/>
          <w:szCs w:val="24"/>
          <w:highlight w:val="none"/>
          <w:lang w:eastAsia="zh-CN"/>
        </w:rPr>
      </w:pPr>
    </w:p>
    <w:p w14:paraId="552F5096">
      <w:pPr>
        <w:pStyle w:val="14"/>
        <w:tabs>
          <w:tab w:val="clear" w:pos="4153"/>
          <w:tab w:val="clear" w:pos="8306"/>
        </w:tabs>
        <w:rPr>
          <w:rFonts w:hint="eastAsia" w:ascii="Times New Roman" w:hAnsi="Times New Roman" w:eastAsia="宋体" w:cs="Times New Roman"/>
          <w:color w:val="auto"/>
          <w:sz w:val="24"/>
          <w:szCs w:val="24"/>
          <w:highlight w:val="none"/>
          <w:lang w:eastAsia="zh-CN"/>
        </w:rPr>
      </w:pPr>
    </w:p>
    <w:p w14:paraId="4865BB8E">
      <w:pPr>
        <w:keepNext w:val="0"/>
        <w:keepLines w:val="0"/>
        <w:pageBreakBefore w:val="0"/>
        <w:widowControl w:val="0"/>
        <w:kinsoku/>
        <w:wordWrap/>
        <w:overflowPunct/>
        <w:topLinePunct w:val="0"/>
        <w:autoSpaceDE/>
        <w:autoSpaceDN/>
        <w:bidi w:val="0"/>
        <w:spacing w:line="520" w:lineRule="exact"/>
        <w:jc w:val="left"/>
        <w:rPr>
          <w:rFonts w:hint="eastAsia" w:ascii="Times New Roman" w:hAnsi="Times New Roman" w:eastAsia="宋体" w:cs="Times New Roman"/>
          <w:color w:val="auto"/>
          <w:sz w:val="24"/>
          <w:szCs w:val="24"/>
          <w:highlight w:val="none"/>
          <w:lang w:eastAsia="zh-CN"/>
        </w:rPr>
      </w:pPr>
    </w:p>
    <w:p w14:paraId="54949360">
      <w:pPr>
        <w:keepNext w:val="0"/>
        <w:keepLines w:val="0"/>
        <w:pageBreakBefore w:val="0"/>
        <w:widowControl w:val="0"/>
        <w:kinsoku/>
        <w:wordWrap/>
        <w:overflowPunct/>
        <w:topLinePunct w:val="0"/>
        <w:autoSpaceDE/>
        <w:autoSpaceDN/>
        <w:bidi w:val="0"/>
        <w:spacing w:line="520" w:lineRule="exact"/>
        <w:jc w:val="left"/>
        <w:rPr>
          <w:rFonts w:hint="eastAsia" w:ascii="Times New Roman" w:hAnsi="Times New Roman" w:eastAsia="宋体" w:cs="Times New Roman"/>
          <w:color w:val="auto"/>
          <w:sz w:val="24"/>
          <w:szCs w:val="24"/>
          <w:highlight w:val="none"/>
          <w:lang w:eastAsia="zh-CN"/>
        </w:rPr>
      </w:pPr>
    </w:p>
    <w:p w14:paraId="36F2EB3A">
      <w:pPr>
        <w:spacing w:line="360" w:lineRule="auto"/>
        <w:ind w:firstLine="354" w:firstLineChars="147"/>
        <w:jc w:val="left"/>
        <w:rPr>
          <w:rFonts w:ascii="宋体" w:hAnsi="宋体" w:cs="Arial"/>
          <w:b/>
          <w:color w:val="auto"/>
          <w:sz w:val="24"/>
          <w:szCs w:val="24"/>
          <w:highlight w:val="none"/>
        </w:rPr>
      </w:pPr>
      <w:r>
        <w:rPr>
          <w:rFonts w:hint="eastAsia" w:ascii="宋体" w:hAnsi="宋体" w:cs="Arial"/>
          <w:b/>
          <w:color w:val="auto"/>
          <w:sz w:val="24"/>
          <w:szCs w:val="24"/>
          <w:highlight w:val="none"/>
        </w:rPr>
        <w:t>分标1：</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583"/>
        <w:gridCol w:w="851"/>
        <w:gridCol w:w="4735"/>
        <w:gridCol w:w="1012"/>
      </w:tblGrid>
      <w:tr w14:paraId="2EEC3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672" w:type="dxa"/>
            <w:vAlign w:val="center"/>
          </w:tcPr>
          <w:p w14:paraId="2A56392E">
            <w:pPr>
              <w:tabs>
                <w:tab w:val="left" w:pos="180"/>
                <w:tab w:val="left" w:pos="1620"/>
              </w:tabs>
              <w:spacing w:line="36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1583" w:type="dxa"/>
            <w:vAlign w:val="center"/>
          </w:tcPr>
          <w:p w14:paraId="11FB3135">
            <w:pPr>
              <w:tabs>
                <w:tab w:val="left" w:pos="180"/>
                <w:tab w:val="left" w:pos="1620"/>
              </w:tabs>
              <w:spacing w:line="36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标的的名称</w:t>
            </w:r>
          </w:p>
        </w:tc>
        <w:tc>
          <w:tcPr>
            <w:tcW w:w="851" w:type="dxa"/>
            <w:vAlign w:val="center"/>
          </w:tcPr>
          <w:p w14:paraId="20C0BC75">
            <w:pPr>
              <w:tabs>
                <w:tab w:val="left" w:pos="180"/>
                <w:tab w:val="left" w:pos="1620"/>
              </w:tabs>
              <w:spacing w:line="36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数量及单位</w:t>
            </w:r>
          </w:p>
        </w:tc>
        <w:tc>
          <w:tcPr>
            <w:tcW w:w="4735" w:type="dxa"/>
            <w:vAlign w:val="center"/>
          </w:tcPr>
          <w:p w14:paraId="0726867C">
            <w:pPr>
              <w:tabs>
                <w:tab w:val="left" w:pos="180"/>
                <w:tab w:val="left" w:pos="1620"/>
              </w:tabs>
              <w:spacing w:line="36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技术要求</w:t>
            </w:r>
          </w:p>
        </w:tc>
        <w:tc>
          <w:tcPr>
            <w:tcW w:w="1012" w:type="dxa"/>
            <w:vAlign w:val="top"/>
          </w:tcPr>
          <w:p w14:paraId="1FF11439">
            <w:pPr>
              <w:tabs>
                <w:tab w:val="left" w:pos="180"/>
                <w:tab w:val="left" w:pos="1620"/>
              </w:tabs>
              <w:spacing w:line="36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所属</w:t>
            </w:r>
          </w:p>
          <w:p w14:paraId="63331341">
            <w:pPr>
              <w:tabs>
                <w:tab w:val="left" w:pos="180"/>
                <w:tab w:val="left" w:pos="1620"/>
              </w:tabs>
              <w:spacing w:line="36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行业</w:t>
            </w:r>
          </w:p>
        </w:tc>
      </w:tr>
      <w:tr w14:paraId="2FC53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672" w:type="dxa"/>
            <w:vAlign w:val="center"/>
          </w:tcPr>
          <w:p w14:paraId="243E85EB">
            <w:pPr>
              <w:tabs>
                <w:tab w:val="left" w:pos="180"/>
                <w:tab w:val="left" w:pos="1620"/>
              </w:tabs>
              <w:spacing w:line="36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1583" w:type="dxa"/>
            <w:vAlign w:val="center"/>
          </w:tcPr>
          <w:p w14:paraId="0BFDF453">
            <w:pPr>
              <w:spacing w:line="3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中文纸质新书</w:t>
            </w:r>
          </w:p>
        </w:tc>
        <w:tc>
          <w:tcPr>
            <w:tcW w:w="851" w:type="dxa"/>
            <w:vAlign w:val="center"/>
          </w:tcPr>
          <w:p w14:paraId="1AD6B54E">
            <w:pPr>
              <w:spacing w:line="3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万册</w:t>
            </w:r>
          </w:p>
        </w:tc>
        <w:tc>
          <w:tcPr>
            <w:tcW w:w="4735" w:type="dxa"/>
            <w:vAlign w:val="center"/>
          </w:tcPr>
          <w:p w14:paraId="15C1E3D6">
            <w:pPr>
              <w:spacing w:line="360" w:lineRule="exact"/>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一、基本要求</w:t>
            </w:r>
          </w:p>
          <w:p w14:paraId="62C83437">
            <w:pPr>
              <w:autoSpaceDE w:val="0"/>
              <w:autoSpaceDN w:val="0"/>
              <w:spacing w:line="360" w:lineRule="exact"/>
              <w:rPr>
                <w:rFonts w:ascii="宋体" w:hAnsi="宋体" w:cs="Arial"/>
                <w:color w:val="auto"/>
                <w:sz w:val="24"/>
                <w:szCs w:val="24"/>
                <w:highlight w:val="none"/>
              </w:rPr>
            </w:pPr>
            <w:r>
              <w:rPr>
                <w:rFonts w:hint="eastAsia" w:ascii="宋体" w:hAnsi="宋体" w:cs="Arial"/>
                <w:color w:val="auto"/>
                <w:sz w:val="24"/>
                <w:szCs w:val="24"/>
                <w:highlight w:val="none"/>
              </w:rPr>
              <w:t>1、本次采购2023年到2025年出版的全新中文图书，</w:t>
            </w:r>
            <w:r>
              <w:rPr>
                <w:rFonts w:hint="eastAsia" w:ascii="宋体" w:hAnsi="宋体" w:cs="Arial"/>
                <w:color w:val="auto"/>
                <w:sz w:val="24"/>
                <w:szCs w:val="24"/>
                <w:highlight w:val="none"/>
                <w:shd w:val="clear" w:color="auto"/>
              </w:rPr>
              <w:t>其中农业和生物类图书占比不少24%，工业类图书占比不少于10%，经济类图书占比不少于5%，资源环境类图书占比不少于5%</w:t>
            </w:r>
            <w:r>
              <w:rPr>
                <w:rFonts w:hint="eastAsia" w:ascii="宋体" w:hAnsi="宋体" w:cs="宋体"/>
                <w:bCs/>
                <w:color w:val="auto"/>
                <w:sz w:val="24"/>
                <w:szCs w:val="24"/>
                <w:highlight w:val="none"/>
                <w:shd w:val="clear" w:color="auto"/>
              </w:rPr>
              <w:t>（教师学生推荐的用书不限年代）</w:t>
            </w:r>
            <w:r>
              <w:rPr>
                <w:rFonts w:hint="eastAsia" w:ascii="宋体" w:hAnsi="宋体"/>
                <w:color w:val="auto"/>
                <w:sz w:val="24"/>
                <w:szCs w:val="24"/>
                <w:highlight w:val="none"/>
                <w:shd w:val="clear" w:color="auto"/>
              </w:rPr>
              <w:t>，复本不超过3本，</w:t>
            </w:r>
            <w:r>
              <w:rPr>
                <w:rFonts w:hint="eastAsia" w:ascii="宋体" w:hAnsi="宋体"/>
                <w:color w:val="auto"/>
                <w:sz w:val="24"/>
                <w:szCs w:val="24"/>
                <w:highlight w:val="none"/>
              </w:rPr>
              <w:t>满足高职院校教职工和学生阅览需求，能覆盖采购人学校所有学科。</w:t>
            </w:r>
          </w:p>
          <w:p w14:paraId="64E0AB7B">
            <w:pPr>
              <w:autoSpaceDE w:val="0"/>
              <w:autoSpaceDN w:val="0"/>
              <w:spacing w:line="360" w:lineRule="exact"/>
              <w:rPr>
                <w:rFonts w:ascii="宋体" w:hAnsi="宋体" w:cs="Arial"/>
                <w:color w:val="auto"/>
                <w:sz w:val="24"/>
                <w:szCs w:val="24"/>
                <w:highlight w:val="none"/>
              </w:rPr>
            </w:pPr>
            <w:r>
              <w:rPr>
                <w:rFonts w:hint="eastAsia" w:ascii="宋体" w:hAnsi="宋体" w:cs="Arial"/>
                <w:color w:val="auto"/>
                <w:sz w:val="24"/>
                <w:szCs w:val="24"/>
                <w:highlight w:val="none"/>
              </w:rPr>
              <w:t>2、根据《中图分类法（第五版）》进行图书分编加工和物理加工，满足采购方的技术要求，便于进行图书管理、检索和查找。</w:t>
            </w:r>
          </w:p>
          <w:p w14:paraId="322E9D15">
            <w:pPr>
              <w:spacing w:line="360" w:lineRule="exact"/>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▲二、技术要求</w:t>
            </w:r>
          </w:p>
          <w:p w14:paraId="13242DE6">
            <w:pPr>
              <w:ind w:firstLine="480" w:firstLineChars="200"/>
              <w:rPr>
                <w:rFonts w:ascii="宋体" w:hAnsi="宋体"/>
                <w:color w:val="auto"/>
                <w:sz w:val="24"/>
                <w:szCs w:val="24"/>
                <w:highlight w:val="none"/>
              </w:rPr>
            </w:pPr>
            <w:r>
              <w:rPr>
                <w:rFonts w:hint="eastAsia" w:ascii="宋体" w:hAnsi="宋体"/>
                <w:color w:val="auto"/>
                <w:sz w:val="24"/>
                <w:szCs w:val="24"/>
                <w:highlight w:val="none"/>
              </w:rPr>
              <w:t>为考察供应商技术能力，凡参加本次招标的供应商</w:t>
            </w:r>
            <w:r>
              <w:rPr>
                <w:rFonts w:hint="eastAsia" w:ascii="宋体" w:hAnsi="宋体"/>
                <w:b/>
                <w:bCs/>
                <w:color w:val="auto"/>
                <w:sz w:val="24"/>
                <w:szCs w:val="24"/>
                <w:highlight w:val="none"/>
              </w:rPr>
              <w:t>须在递交响应文件的同时提供本公司加工处理的五本图书编目数据</w:t>
            </w:r>
            <w:r>
              <w:rPr>
                <w:rFonts w:hint="eastAsia" w:ascii="宋体" w:hAnsi="宋体"/>
                <w:color w:val="auto"/>
                <w:sz w:val="24"/>
                <w:szCs w:val="24"/>
                <w:highlight w:val="none"/>
              </w:rPr>
              <w:t>。编目数据用A4纸打印，一条记录一页，写在响应文件中。五本图书</w:t>
            </w:r>
            <w:r>
              <w:rPr>
                <w:rFonts w:hint="eastAsia" w:ascii="宋体" w:hAnsi="宋体"/>
                <w:color w:val="auto"/>
                <w:sz w:val="24"/>
                <w:szCs w:val="24"/>
                <w:highlight w:val="none"/>
                <w:lang w:val="en-US" w:eastAsia="zh-CN"/>
              </w:rPr>
              <w:t>的编目数据中</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写明</w:t>
            </w:r>
            <w:r>
              <w:rPr>
                <w:rFonts w:hint="eastAsia" w:ascii="宋体" w:hAnsi="宋体"/>
                <w:color w:val="auto"/>
                <w:sz w:val="24"/>
                <w:szCs w:val="24"/>
                <w:highlight w:val="none"/>
              </w:rPr>
              <w:t>一本有随书光盘，一本为译文，一本为丛书中的一本，一本有外文题名，一本为普通图书。编目数据要符合CALIS完整级别著录，本馆丛编项著录不要嵌入式著录。</w:t>
            </w:r>
          </w:p>
          <w:p w14:paraId="74CB2D95">
            <w:pPr>
              <w:spacing w:line="360" w:lineRule="exact"/>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三、采购要求</w:t>
            </w:r>
          </w:p>
          <w:p w14:paraId="17D15940">
            <w:pPr>
              <w:spacing w:line="360" w:lineRule="exact"/>
              <w:rPr>
                <w:rFonts w:ascii="宋体" w:hAnsi="宋体" w:cs="宋体"/>
                <w:color w:val="auto"/>
                <w:sz w:val="24"/>
                <w:szCs w:val="24"/>
                <w:highlight w:val="none"/>
              </w:rPr>
            </w:pPr>
            <w:r>
              <w:rPr>
                <w:rFonts w:hint="eastAsia" w:ascii="宋体" w:hAnsi="宋体" w:cs="宋体"/>
                <w:b/>
                <w:bCs/>
                <w:color w:val="auto"/>
                <w:sz w:val="24"/>
                <w:szCs w:val="24"/>
                <w:highlight w:val="none"/>
              </w:rPr>
              <w:t>▲</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成交供应商</w:t>
            </w:r>
            <w:r>
              <w:rPr>
                <w:rFonts w:hint="eastAsia" w:ascii="宋体" w:hAnsi="宋体" w:cs="宋体"/>
                <w:color w:val="auto"/>
                <w:sz w:val="24"/>
                <w:szCs w:val="24"/>
                <w:highlight w:val="none"/>
              </w:rPr>
              <w:t>向采购人提供的图书必须是正规出版机构的正式出版图书，不能有质量问题，不允许有任何盗版、低劣、淫秽的图书，否则视为违约，采购人有权取消本次政府采购合同，并保留向成交供应商追究法律责任的权力。</w:t>
            </w:r>
          </w:p>
          <w:p w14:paraId="104E2BC8">
            <w:pPr>
              <w:numPr>
                <w:ilvl w:val="0"/>
                <w:numId w:val="2"/>
              </w:numPr>
              <w:spacing w:line="360" w:lineRule="exact"/>
              <w:rPr>
                <w:rFonts w:ascii="宋体" w:hAnsi="宋体" w:cs="宋体"/>
                <w:color w:val="auto"/>
                <w:sz w:val="24"/>
                <w:szCs w:val="24"/>
                <w:highlight w:val="none"/>
              </w:rPr>
            </w:pPr>
            <w:bookmarkStart w:id="38" w:name="OLE_LINK1"/>
            <w:r>
              <w:rPr>
                <w:rFonts w:hint="eastAsia" w:ascii="宋体" w:hAnsi="宋体" w:cs="宋体"/>
                <w:color w:val="auto"/>
                <w:sz w:val="24"/>
                <w:szCs w:val="24"/>
                <w:highlight w:val="none"/>
                <w:lang w:val="en-US" w:eastAsia="zh-CN"/>
              </w:rPr>
              <w:t>成交供应商</w:t>
            </w:r>
            <w:r>
              <w:rPr>
                <w:rFonts w:hint="eastAsia" w:ascii="宋体" w:hAnsi="宋体" w:cs="宋体"/>
                <w:color w:val="auto"/>
                <w:sz w:val="24"/>
                <w:szCs w:val="24"/>
                <w:highlight w:val="none"/>
              </w:rPr>
              <w:t>提供以下核心出版社的全品种图书书目信息，覆盖率达到100%。</w:t>
            </w:r>
            <w:r>
              <w:rPr>
                <w:rFonts w:hint="eastAsia" w:ascii="宋体" w:hAnsi="宋体" w:cs="宋体"/>
                <w:color w:val="auto"/>
                <w:sz w:val="24"/>
                <w:szCs w:val="24"/>
                <w:highlight w:val="none"/>
                <w:shd w:val="clear" w:color="auto"/>
              </w:rPr>
              <w:t>采购以下核心出版社出版的图书占比不低于50%。</w:t>
            </w:r>
            <w:r>
              <w:rPr>
                <w:rFonts w:hint="eastAsia" w:ascii="宋体" w:hAnsi="宋体" w:cs="宋体"/>
                <w:color w:val="auto"/>
                <w:sz w:val="24"/>
                <w:szCs w:val="24"/>
                <w:highlight w:val="none"/>
              </w:rPr>
              <w:t>不得因为供货折扣原因屏蔽任何图书品种，并积极联系出版社获得合作包销图书品种信息。每期书目信息报道不得重复。</w:t>
            </w:r>
          </w:p>
          <w:p w14:paraId="4580EDFF">
            <w:pPr>
              <w:spacing w:line="36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核心出版社：中国农业出版社、中国农业大学出版社、中国林业出版社、科学出版社、人民邮电出版社、电子工业出版社、化学工业出版社、机械工业出版社、中国人民大学出版社、北京大学出版社、清华大学出版社、南京大学出版社、北京理工大学出版社、上海科学技术出版社、上海科技教育出版社、武汉理工大学出版社、中国轻工业出版社、中国建筑工业出版社、中国科学技术大学出版社、中国铁道出版社、广西科学技术出版社、中国轻工业出版社、辽宁科学技术出版社、天津科学技术出版社、广西师范大学出版社、湖南科学技术出版社、黄河水利出版社、西安电子科技大学出版社、中国水利水电出版社、苏州大学出版社。</w:t>
            </w:r>
            <w:bookmarkEnd w:id="38"/>
          </w:p>
          <w:p w14:paraId="663191B5">
            <w:pPr>
              <w:spacing w:line="360" w:lineRule="exact"/>
              <w:rPr>
                <w:rFonts w:ascii="宋体" w:hAnsi="宋体" w:cs="宋体"/>
                <w:color w:val="auto"/>
                <w:sz w:val="24"/>
                <w:szCs w:val="24"/>
                <w:highlight w:val="none"/>
              </w:rPr>
            </w:pPr>
            <w:r>
              <w:rPr>
                <w:rFonts w:hint="eastAsia" w:ascii="宋体" w:hAnsi="宋体" w:cs="宋体"/>
                <w:b/>
                <w:bCs/>
                <w:color w:val="auto"/>
                <w:sz w:val="24"/>
                <w:szCs w:val="24"/>
                <w:highlight w:val="none"/>
              </w:rPr>
              <w:t>▲</w:t>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成交供应商</w:t>
            </w:r>
            <w:r>
              <w:rPr>
                <w:rFonts w:hint="eastAsia" w:ascii="宋体" w:hAnsi="宋体" w:cs="宋体"/>
                <w:color w:val="auto"/>
                <w:sz w:val="24"/>
                <w:szCs w:val="24"/>
                <w:highlight w:val="none"/>
              </w:rPr>
              <w:t>提供的图书与新闻出版署的数据不相符的，或存在印刷图文不清、污损、缺页、倒页、缺附件等质量不合格的一律予以退货，由此造成的损失及费用全部由</w:t>
            </w:r>
            <w:r>
              <w:rPr>
                <w:rFonts w:hint="eastAsia" w:ascii="宋体" w:hAnsi="宋体" w:cs="宋体"/>
                <w:color w:val="auto"/>
                <w:sz w:val="24"/>
                <w:szCs w:val="24"/>
                <w:highlight w:val="none"/>
                <w:lang w:val="en-US" w:eastAsia="zh-CN"/>
              </w:rPr>
              <w:t>成交供应商</w:t>
            </w:r>
            <w:r>
              <w:rPr>
                <w:rFonts w:hint="eastAsia" w:ascii="宋体" w:hAnsi="宋体" w:cs="宋体"/>
                <w:color w:val="auto"/>
                <w:sz w:val="24"/>
                <w:szCs w:val="24"/>
                <w:highlight w:val="none"/>
              </w:rPr>
              <w:t>承担。</w:t>
            </w:r>
          </w:p>
          <w:p w14:paraId="0FBF1828">
            <w:pPr>
              <w:rPr>
                <w:rFonts w:ascii="宋体" w:hAnsi="宋体" w:cs="宋体"/>
                <w:color w:val="auto"/>
                <w:sz w:val="24"/>
                <w:szCs w:val="24"/>
                <w:highlight w:val="none"/>
              </w:rPr>
            </w:pPr>
            <w:r>
              <w:rPr>
                <w:rFonts w:hint="eastAsia" w:ascii="宋体" w:hAnsi="宋体" w:cs="宋体"/>
                <w:b/>
                <w:bCs/>
                <w:color w:val="auto"/>
                <w:sz w:val="24"/>
                <w:szCs w:val="24"/>
                <w:highlight w:val="none"/>
              </w:rPr>
              <w:t>▲</w:t>
            </w:r>
            <w:r>
              <w:rPr>
                <w:rFonts w:hint="eastAsia" w:ascii="宋体" w:hAnsi="宋体" w:cs="宋体"/>
                <w:color w:val="auto"/>
                <w:sz w:val="24"/>
                <w:szCs w:val="24"/>
                <w:highlight w:val="none"/>
              </w:rPr>
              <w:t>4、</w:t>
            </w:r>
            <w:r>
              <w:rPr>
                <w:rFonts w:hint="eastAsia" w:ascii="宋体" w:hAnsi="宋体" w:cs="宋体"/>
                <w:color w:val="auto"/>
                <w:sz w:val="24"/>
                <w:szCs w:val="24"/>
                <w:highlight w:val="none"/>
                <w:lang w:val="en-US" w:eastAsia="zh-CN"/>
              </w:rPr>
              <w:t>成交供应商</w:t>
            </w:r>
            <w:r>
              <w:rPr>
                <w:rFonts w:hint="eastAsia" w:ascii="宋体" w:hAnsi="宋体" w:cs="宋体"/>
                <w:color w:val="auto"/>
                <w:kern w:val="0"/>
                <w:sz w:val="24"/>
                <w:szCs w:val="24"/>
                <w:highlight w:val="none"/>
              </w:rPr>
              <w:t>收到订单后应及时处理，并于2个工作日内反馈给采购人确认订单收到，一周内告知订单所处的状态：上报出版社、配货、加工、发货及该订单的发货率等。若订单中有订购不到的图书，接订单之日起一周内须告知采购人。如订单中有复本量超过通常量的，应告知采购单位，予以更改。有非本馆选订原则的图书（散页、挂图、配磁带书、小于或等于64开书、少于40页的书、少儿、中小学、文学类以图画为主的非特指定选购书等），应提示是否继续订购。</w:t>
            </w:r>
            <w:r>
              <w:rPr>
                <w:rFonts w:hint="eastAsia" w:ascii="宋体" w:hAnsi="宋体" w:cs="宋体"/>
                <w:color w:val="auto"/>
                <w:kern w:val="0"/>
                <w:sz w:val="24"/>
                <w:szCs w:val="24"/>
                <w:highlight w:val="none"/>
                <w:lang w:val="en-US" w:eastAsia="zh-CN"/>
              </w:rPr>
              <w:t>成交供应商</w:t>
            </w:r>
            <w:r>
              <w:rPr>
                <w:rFonts w:hint="eastAsia" w:ascii="宋体" w:hAnsi="宋体" w:cs="宋体"/>
                <w:color w:val="auto"/>
                <w:sz w:val="24"/>
                <w:szCs w:val="24"/>
                <w:highlight w:val="none"/>
              </w:rPr>
              <w:t>必须保证按采购单位订购的图书品种、数量及时供货，订单到书率须达到95%及以上（到书率=实际到馆图书种数/订单种数），</w:t>
            </w:r>
            <w:r>
              <w:rPr>
                <w:rFonts w:hint="eastAsia" w:ascii="宋体" w:hAnsi="宋体" w:cs="宋体"/>
                <w:bCs/>
                <w:color w:val="auto"/>
                <w:sz w:val="24"/>
                <w:szCs w:val="24"/>
                <w:highlight w:val="none"/>
              </w:rPr>
              <w:t>教师学生推荐的用书不做此要求</w:t>
            </w:r>
            <w:r>
              <w:rPr>
                <w:rFonts w:hint="eastAsia" w:ascii="宋体" w:hAnsi="宋体" w:cs="宋体"/>
                <w:color w:val="auto"/>
                <w:sz w:val="24"/>
                <w:szCs w:val="24"/>
                <w:highlight w:val="none"/>
              </w:rPr>
              <w:t>。</w:t>
            </w:r>
          </w:p>
          <w:p w14:paraId="66E8B703">
            <w:pPr>
              <w:spacing w:line="360" w:lineRule="exact"/>
              <w:rPr>
                <w:rFonts w:hint="eastAsia" w:ascii="宋体" w:hAnsi="宋体" w:cs="宋体"/>
                <w:bCs/>
                <w:color w:val="auto"/>
                <w:sz w:val="24"/>
                <w:szCs w:val="24"/>
                <w:highlight w:val="none"/>
                <w:lang w:val="en-US"/>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en-US" w:eastAsia="zh-CN"/>
              </w:rPr>
              <w:t>成交供应商</w:t>
            </w:r>
            <w:r>
              <w:rPr>
                <w:rFonts w:hint="eastAsia" w:ascii="宋体" w:hAnsi="宋体" w:cs="宋体"/>
                <w:color w:val="auto"/>
                <w:sz w:val="24"/>
                <w:szCs w:val="24"/>
                <w:highlight w:val="none"/>
              </w:rPr>
              <w:t>应在每批图书到</w:t>
            </w:r>
            <w:r>
              <w:rPr>
                <w:rFonts w:hint="eastAsia" w:ascii="宋体" w:hAnsi="宋体" w:cs="宋体"/>
                <w:color w:val="auto"/>
                <w:sz w:val="24"/>
                <w:szCs w:val="24"/>
                <w:highlight w:val="none"/>
                <w:lang w:val="en-US" w:eastAsia="zh-CN"/>
              </w:rPr>
              <w:t>达</w:t>
            </w:r>
            <w:r>
              <w:rPr>
                <w:rFonts w:hint="eastAsia" w:ascii="宋体" w:hAnsi="宋体" w:cs="宋体"/>
                <w:color w:val="auto"/>
                <w:sz w:val="24"/>
                <w:szCs w:val="24"/>
                <w:highlight w:val="none"/>
              </w:rPr>
              <w:t>图书馆之前，应做好编目数据，其数据须完全符合采购人图书集成管理系统interlib3.0的格式及运行要求，编目数据分编执行标准GB/T12451-2023 、GB/T13191-2009 、GB/T3792.2-2006。</w:t>
            </w:r>
          </w:p>
          <w:p w14:paraId="087A13EC">
            <w:pPr>
              <w:pStyle w:val="11"/>
              <w:spacing w:line="400" w:lineRule="exact"/>
              <w:rPr>
                <w:rFonts w:ascii="宋体" w:hAnsi="宋体" w:cs="宋体"/>
                <w:color w:val="auto"/>
                <w:sz w:val="24"/>
                <w:szCs w:val="24"/>
                <w:highlight w:val="none"/>
                <w:lang w:val="en-US"/>
              </w:rPr>
            </w:pPr>
            <w:r>
              <w:rPr>
                <w:rFonts w:hint="eastAsia" w:ascii="宋体" w:hAnsi="宋体" w:cs="宋体"/>
                <w:b/>
                <w:bCs/>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val="en-US"/>
              </w:rPr>
              <w:t>.</w:t>
            </w: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lang w:val="en-US"/>
              </w:rPr>
              <w:t>供应商应提供功能较完善、性能稳定的专业化图书采访电子商务网站，能定期发布征订书目等图书信息，能够进行网上下载图书采访书目数据。</w:t>
            </w:r>
          </w:p>
          <w:p w14:paraId="28C2BB7E">
            <w:pPr>
              <w:spacing w:line="360" w:lineRule="exact"/>
              <w:rPr>
                <w:rFonts w:ascii="宋体" w:hAnsi="宋体"/>
                <w:color w:val="auto"/>
                <w:sz w:val="24"/>
                <w:szCs w:val="24"/>
                <w:highlight w:val="none"/>
              </w:rPr>
            </w:pPr>
            <w:r>
              <w:rPr>
                <w:rFonts w:hint="eastAsia" w:ascii="宋体" w:hAnsi="宋体" w:cs="宋体"/>
                <w:color w:val="auto"/>
                <w:sz w:val="24"/>
                <w:szCs w:val="24"/>
                <w:highlight w:val="none"/>
                <w:shd w:val="clear" w:color="auto"/>
                <w:lang w:val="en-US" w:eastAsia="zh-CN"/>
              </w:rPr>
              <w:t>7</w:t>
            </w:r>
            <w:r>
              <w:rPr>
                <w:rFonts w:hint="eastAsia" w:ascii="宋体" w:hAnsi="宋体" w:cs="宋体"/>
                <w:color w:val="auto"/>
                <w:sz w:val="24"/>
                <w:szCs w:val="24"/>
                <w:highlight w:val="none"/>
                <w:shd w:val="clear" w:color="auto"/>
              </w:rPr>
              <w:t>、</w:t>
            </w:r>
            <w:r>
              <w:rPr>
                <w:rFonts w:hint="eastAsia" w:ascii="宋体" w:hAnsi="宋体" w:cs="宋体"/>
                <w:color w:val="auto"/>
                <w:sz w:val="24"/>
                <w:szCs w:val="24"/>
                <w:highlight w:val="none"/>
                <w:shd w:val="clear" w:color="auto"/>
                <w:lang w:val="en-US" w:eastAsia="zh-CN"/>
              </w:rPr>
              <w:t>成交供应商自</w:t>
            </w:r>
            <w:r>
              <w:rPr>
                <w:rFonts w:hint="eastAsia" w:ascii="宋体" w:hAnsi="宋体"/>
                <w:color w:val="auto"/>
                <w:sz w:val="24"/>
                <w:szCs w:val="24"/>
                <w:highlight w:val="none"/>
                <w:shd w:val="clear" w:color="auto"/>
                <w:lang w:val="en-US" w:eastAsia="zh-CN"/>
              </w:rPr>
              <w:t>签订成交合同</w:t>
            </w:r>
            <w:r>
              <w:rPr>
                <w:rFonts w:hint="eastAsia" w:ascii="宋体" w:hAnsi="宋体"/>
                <w:color w:val="auto"/>
                <w:sz w:val="24"/>
                <w:szCs w:val="24"/>
                <w:highlight w:val="none"/>
                <w:shd w:val="clear" w:color="auto"/>
              </w:rPr>
              <w:t>之日起一年内为学校举办一次书展或专题讲座活动。书展要求提供不少于1000册展示图书，专题讲座须邀请具有较高专业水准的行业专家或作家（符合意识形态审核要求，近三年无违规记录）。行业专家应具备副高级以上职称，或具有5年以上行业领军企业核心岗位任职经历；文学类作家需至少出版1部专著或获得省级文学奖项。</w:t>
            </w:r>
            <w:r>
              <w:rPr>
                <w:rFonts w:hint="eastAsia" w:ascii="宋体" w:hAnsi="宋体"/>
                <w:color w:val="auto"/>
                <w:sz w:val="24"/>
                <w:szCs w:val="24"/>
                <w:highlight w:val="none"/>
                <w:shd w:val="clear" w:color="auto"/>
                <w:lang w:val="en-US" w:eastAsia="zh-CN"/>
              </w:rPr>
              <w:t>成交供应商</w:t>
            </w:r>
            <w:r>
              <w:rPr>
                <w:rFonts w:hint="eastAsia" w:ascii="宋体" w:hAnsi="宋体"/>
                <w:color w:val="auto"/>
                <w:sz w:val="24"/>
                <w:szCs w:val="24"/>
                <w:highlight w:val="none"/>
                <w:shd w:val="clear" w:color="auto"/>
              </w:rPr>
              <w:t>应承担书展、专家差旅及讲座劳务费等相关费用</w:t>
            </w:r>
            <w:r>
              <w:rPr>
                <w:rFonts w:hint="eastAsia" w:ascii="宋体" w:hAnsi="宋体"/>
                <w:b/>
                <w:bCs/>
                <w:color w:val="auto"/>
                <w:sz w:val="24"/>
                <w:szCs w:val="24"/>
                <w:highlight w:val="none"/>
              </w:rPr>
              <w:t>（响应文件中提供承诺函</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格式自拟，否则竞标无效</w:t>
            </w:r>
            <w:r>
              <w:rPr>
                <w:rFonts w:hint="eastAsia" w:ascii="宋体" w:hAnsi="宋体"/>
                <w:b/>
                <w:bCs/>
                <w:color w:val="auto"/>
                <w:sz w:val="24"/>
                <w:szCs w:val="24"/>
                <w:highlight w:val="none"/>
              </w:rPr>
              <w:t>）</w:t>
            </w:r>
            <w:r>
              <w:rPr>
                <w:rFonts w:hint="eastAsia" w:ascii="宋体" w:hAnsi="宋体"/>
                <w:color w:val="auto"/>
                <w:sz w:val="24"/>
                <w:szCs w:val="24"/>
                <w:highlight w:val="none"/>
              </w:rPr>
              <w:t>。</w:t>
            </w:r>
          </w:p>
          <w:p w14:paraId="765E7AE0">
            <w:pPr>
              <w:spacing w:line="360" w:lineRule="exact"/>
              <w:jc w:val="left"/>
              <w:rPr>
                <w:rFonts w:hint="eastAsia" w:ascii="宋体" w:hAnsi="宋体" w:eastAsia="宋体" w:cs="宋体"/>
                <w:color w:val="auto"/>
                <w:kern w:val="0"/>
                <w:sz w:val="24"/>
                <w:szCs w:val="24"/>
                <w:highlight w:val="none"/>
                <w:lang w:eastAsia="zh-CN"/>
              </w:rPr>
            </w:pPr>
            <w:r>
              <w:rPr>
                <w:rFonts w:hint="eastAsia" w:ascii="宋体" w:hAnsi="宋体"/>
                <w:color w:val="auto"/>
                <w:sz w:val="24"/>
                <w:szCs w:val="24"/>
                <w:highlight w:val="none"/>
                <w:shd w:val="clear"/>
                <w:lang w:val="en-US" w:eastAsia="zh-CN"/>
              </w:rPr>
              <w:t>8</w:t>
            </w:r>
            <w:r>
              <w:rPr>
                <w:rFonts w:hint="eastAsia" w:ascii="宋体" w:hAnsi="宋体"/>
                <w:color w:val="auto"/>
                <w:sz w:val="24"/>
                <w:szCs w:val="24"/>
                <w:highlight w:val="none"/>
                <w:shd w:val="clear" w:color="auto"/>
              </w:rPr>
              <w:t>、</w:t>
            </w:r>
            <w:r>
              <w:rPr>
                <w:rFonts w:hint="eastAsia" w:ascii="宋体" w:hAnsi="宋体"/>
                <w:color w:val="auto"/>
                <w:sz w:val="24"/>
                <w:szCs w:val="24"/>
                <w:highlight w:val="none"/>
                <w:shd w:val="clear" w:color="auto"/>
                <w:lang w:val="en-US" w:eastAsia="zh-CN"/>
              </w:rPr>
              <w:t>成交供应商</w:t>
            </w:r>
            <w:r>
              <w:rPr>
                <w:rFonts w:hint="eastAsia" w:ascii="宋体" w:hAnsi="宋体" w:cs="宋体"/>
                <w:color w:val="auto"/>
                <w:kern w:val="0"/>
                <w:sz w:val="24"/>
                <w:szCs w:val="24"/>
                <w:highlight w:val="none"/>
                <w:shd w:val="clear" w:color="auto"/>
              </w:rPr>
              <w:t>应组织参加每年度的全国书市或大学书市现采活动一次，人数1-2人。提供采集器及对馆藏数据的导入导出服务，提供协助人员，保证现采顺利进行，全部费用由</w:t>
            </w:r>
            <w:r>
              <w:rPr>
                <w:rFonts w:hint="eastAsia" w:ascii="宋体" w:hAnsi="宋体" w:cs="宋体"/>
                <w:color w:val="auto"/>
                <w:kern w:val="0"/>
                <w:sz w:val="24"/>
                <w:szCs w:val="24"/>
                <w:highlight w:val="none"/>
                <w:shd w:val="clear" w:color="auto"/>
                <w:lang w:val="en-US" w:eastAsia="zh-CN"/>
              </w:rPr>
              <w:t>成交供应商</w:t>
            </w:r>
            <w:r>
              <w:rPr>
                <w:rFonts w:hint="eastAsia" w:ascii="宋体" w:hAnsi="宋体" w:cs="宋体"/>
                <w:color w:val="auto"/>
                <w:kern w:val="0"/>
                <w:sz w:val="24"/>
                <w:szCs w:val="24"/>
                <w:highlight w:val="none"/>
                <w:shd w:val="clear" w:color="auto"/>
              </w:rPr>
              <w:t>负责</w:t>
            </w:r>
            <w:r>
              <w:rPr>
                <w:rFonts w:hint="eastAsia"/>
                <w:b/>
                <w:bCs/>
                <w:color w:val="auto"/>
                <w:highlight w:val="none"/>
                <w:shd w:val="clear"/>
                <w:lang w:eastAsia="zh-CN"/>
              </w:rPr>
              <w:t>（</w:t>
            </w:r>
            <w:r>
              <w:rPr>
                <w:rFonts w:hint="eastAsia" w:ascii="宋体" w:hAnsi="宋体"/>
                <w:b/>
                <w:bCs/>
                <w:color w:val="auto"/>
                <w:sz w:val="24"/>
                <w:szCs w:val="24"/>
                <w:highlight w:val="none"/>
                <w:shd w:val="clear"/>
              </w:rPr>
              <w:t>响应文件中提供承诺函</w:t>
            </w:r>
            <w:r>
              <w:rPr>
                <w:rFonts w:hint="eastAsia" w:ascii="宋体" w:hAnsi="宋体"/>
                <w:b/>
                <w:bCs/>
                <w:color w:val="auto"/>
                <w:sz w:val="24"/>
                <w:szCs w:val="24"/>
                <w:highlight w:val="none"/>
                <w:shd w:val="clear"/>
                <w:lang w:eastAsia="zh-CN"/>
              </w:rPr>
              <w:t>，</w:t>
            </w:r>
            <w:r>
              <w:rPr>
                <w:rFonts w:hint="eastAsia" w:ascii="宋体" w:hAnsi="宋体"/>
                <w:b/>
                <w:bCs/>
                <w:color w:val="auto"/>
                <w:sz w:val="24"/>
                <w:szCs w:val="24"/>
                <w:highlight w:val="none"/>
                <w:shd w:val="clear"/>
                <w:lang w:val="en-US" w:eastAsia="zh-CN"/>
              </w:rPr>
              <w:t>格式自拟，否则竞标无效</w:t>
            </w:r>
            <w:r>
              <w:rPr>
                <w:rFonts w:hint="eastAsia"/>
                <w:b/>
                <w:bCs/>
                <w:color w:val="auto"/>
                <w:highlight w:val="none"/>
                <w:shd w:val="clear"/>
                <w:lang w:eastAsia="zh-CN"/>
              </w:rPr>
              <w:t>）</w:t>
            </w:r>
            <w:r>
              <w:rPr>
                <w:rFonts w:hint="eastAsia" w:ascii="宋体" w:hAnsi="宋体" w:cs="宋体"/>
                <w:color w:val="auto"/>
                <w:kern w:val="0"/>
                <w:sz w:val="24"/>
                <w:szCs w:val="24"/>
                <w:highlight w:val="none"/>
                <w:shd w:val="clear"/>
                <w:lang w:eastAsia="zh-CN"/>
              </w:rPr>
              <w:t>。</w:t>
            </w:r>
          </w:p>
          <w:p w14:paraId="46BB29D3">
            <w:pPr>
              <w:spacing w:line="360" w:lineRule="exact"/>
              <w:jc w:val="left"/>
              <w:rPr>
                <w:rFonts w:hint="eastAsia" w:ascii="宋体" w:hAnsi="宋体" w:cs="宋体"/>
                <w:color w:val="auto"/>
                <w:sz w:val="24"/>
                <w:szCs w:val="24"/>
                <w:highlight w:val="none"/>
              </w:rPr>
            </w:pPr>
          </w:p>
        </w:tc>
        <w:tc>
          <w:tcPr>
            <w:tcW w:w="1012" w:type="dxa"/>
            <w:vAlign w:val="center"/>
          </w:tcPr>
          <w:p w14:paraId="2D0632A3">
            <w:pPr>
              <w:spacing w:line="360" w:lineRule="exact"/>
              <w:jc w:val="center"/>
              <w:rPr>
                <w:rFonts w:hint="eastAsia" w:ascii="宋体" w:hAnsi="宋体" w:cs="方正公文黑体"/>
                <w:color w:val="auto"/>
                <w:sz w:val="24"/>
                <w:szCs w:val="24"/>
                <w:highlight w:val="none"/>
              </w:rPr>
            </w:pPr>
            <w:r>
              <w:rPr>
                <w:rFonts w:hint="eastAsia" w:ascii="宋体" w:hAnsi="宋体" w:cs="宋体"/>
                <w:color w:val="auto"/>
                <w:sz w:val="24"/>
                <w:szCs w:val="24"/>
                <w:highlight w:val="none"/>
              </w:rPr>
              <w:t>批发业</w:t>
            </w:r>
          </w:p>
        </w:tc>
      </w:tr>
      <w:tr w14:paraId="7E08E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53" w:type="dxa"/>
            <w:gridSpan w:val="5"/>
            <w:tcBorders>
              <w:top w:val="single" w:color="auto" w:sz="4" w:space="0"/>
              <w:left w:val="single" w:color="auto" w:sz="4" w:space="0"/>
              <w:bottom w:val="single" w:color="auto" w:sz="4" w:space="0"/>
              <w:right w:val="single" w:color="auto" w:sz="4" w:space="0"/>
            </w:tcBorders>
            <w:vAlign w:val="top"/>
          </w:tcPr>
          <w:p w14:paraId="2A0EB7B9">
            <w:pPr>
              <w:spacing w:line="360" w:lineRule="exact"/>
              <w:rPr>
                <w:rFonts w:hint="eastAsia"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b/>
                <w:color w:val="auto"/>
                <w:sz w:val="24"/>
                <w:szCs w:val="24"/>
                <w:highlight w:val="none"/>
              </w:rPr>
              <w:t>一、商务要求</w:t>
            </w:r>
          </w:p>
        </w:tc>
      </w:tr>
      <w:tr w14:paraId="11BB3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55" w:type="dxa"/>
            <w:gridSpan w:val="2"/>
            <w:tcBorders>
              <w:top w:val="single" w:color="auto" w:sz="4" w:space="0"/>
              <w:left w:val="single" w:color="auto" w:sz="4" w:space="0"/>
              <w:bottom w:val="single" w:color="auto" w:sz="4" w:space="0"/>
              <w:right w:val="single" w:color="auto" w:sz="4" w:space="0"/>
            </w:tcBorders>
            <w:vAlign w:val="center"/>
          </w:tcPr>
          <w:p w14:paraId="76887B9C">
            <w:pPr>
              <w:spacing w:line="360" w:lineRule="exact"/>
              <w:jc w:val="center"/>
              <w:rPr>
                <w:rFonts w:ascii="宋体" w:hAnsi="宋体"/>
                <w:color w:val="auto"/>
                <w:sz w:val="24"/>
                <w:szCs w:val="24"/>
                <w:highlight w:val="none"/>
              </w:rPr>
            </w:pPr>
            <w:r>
              <w:rPr>
                <w:rFonts w:hint="eastAsia" w:ascii="宋体" w:hAnsi="宋体"/>
                <w:color w:val="auto"/>
                <w:sz w:val="24"/>
                <w:szCs w:val="24"/>
                <w:highlight w:val="none"/>
              </w:rPr>
              <w:t>交付使用时间及地点</w:t>
            </w:r>
          </w:p>
        </w:tc>
        <w:tc>
          <w:tcPr>
            <w:tcW w:w="6598" w:type="dxa"/>
            <w:gridSpan w:val="3"/>
            <w:tcBorders>
              <w:top w:val="single" w:color="auto" w:sz="4" w:space="0"/>
              <w:left w:val="single" w:color="auto" w:sz="4" w:space="0"/>
              <w:bottom w:val="single" w:color="auto" w:sz="4" w:space="0"/>
              <w:right w:val="single" w:color="auto" w:sz="4" w:space="0"/>
            </w:tcBorders>
            <w:vAlign w:val="center"/>
          </w:tcPr>
          <w:p w14:paraId="4B79D3DE">
            <w:pPr>
              <w:spacing w:line="360" w:lineRule="exact"/>
              <w:rPr>
                <w:rFonts w:hint="eastAsia" w:ascii="宋体" w:hAnsi="宋体" w:eastAsia="宋体"/>
                <w:color w:val="auto"/>
                <w:sz w:val="24"/>
                <w:szCs w:val="24"/>
                <w:highlight w:val="none"/>
                <w:lang w:eastAsia="zh-CN"/>
              </w:rPr>
            </w:pPr>
            <w:r>
              <w:rPr>
                <w:rFonts w:hint="eastAsia" w:ascii="宋体" w:hAnsi="宋体" w:cs="宋体"/>
                <w:color w:val="auto"/>
                <w:sz w:val="24"/>
                <w:szCs w:val="24"/>
                <w:highlight w:val="none"/>
              </w:rPr>
              <w:t>按采购人订单分批交付已加工好的图书，全部于2025年12月1日之前交付完毕。交货地点：广西生态工程职业技术学院图书馆</w:t>
            </w:r>
            <w:r>
              <w:rPr>
                <w:rFonts w:hint="eastAsia" w:ascii="宋体" w:hAnsi="宋体" w:cs="宋体"/>
                <w:color w:val="auto"/>
                <w:sz w:val="24"/>
                <w:szCs w:val="24"/>
                <w:highlight w:val="none"/>
                <w:lang w:eastAsia="zh-CN"/>
              </w:rPr>
              <w:t>。</w:t>
            </w:r>
          </w:p>
        </w:tc>
      </w:tr>
      <w:tr w14:paraId="3A3A9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55" w:type="dxa"/>
            <w:gridSpan w:val="2"/>
            <w:tcBorders>
              <w:top w:val="single" w:color="auto" w:sz="4" w:space="0"/>
              <w:left w:val="single" w:color="auto" w:sz="4" w:space="0"/>
              <w:bottom w:val="single" w:color="auto" w:sz="4" w:space="0"/>
              <w:right w:val="single" w:color="auto" w:sz="4" w:space="0"/>
            </w:tcBorders>
            <w:vAlign w:val="center"/>
          </w:tcPr>
          <w:p w14:paraId="5988769B">
            <w:pPr>
              <w:spacing w:line="360" w:lineRule="exact"/>
              <w:jc w:val="center"/>
              <w:rPr>
                <w:rFonts w:hint="eastAsia" w:ascii="宋体" w:hAnsi="宋体"/>
                <w:color w:val="auto"/>
                <w:sz w:val="24"/>
                <w:szCs w:val="24"/>
                <w:highlight w:val="none"/>
              </w:rPr>
            </w:pPr>
            <w:r>
              <w:rPr>
                <w:rFonts w:hint="eastAsia" w:ascii="宋体" w:hAnsi="宋体"/>
                <w:color w:val="auto"/>
                <w:sz w:val="24"/>
                <w:szCs w:val="24"/>
                <w:highlight w:val="none"/>
              </w:rPr>
              <w:t>履约保证金</w:t>
            </w:r>
          </w:p>
        </w:tc>
        <w:tc>
          <w:tcPr>
            <w:tcW w:w="6598" w:type="dxa"/>
            <w:gridSpan w:val="3"/>
            <w:tcBorders>
              <w:top w:val="single" w:color="auto" w:sz="4" w:space="0"/>
              <w:left w:val="single" w:color="auto" w:sz="4" w:space="0"/>
              <w:bottom w:val="single" w:color="auto" w:sz="4" w:space="0"/>
              <w:right w:val="single" w:color="auto" w:sz="4" w:space="0"/>
            </w:tcBorders>
            <w:vAlign w:val="center"/>
          </w:tcPr>
          <w:p w14:paraId="08A74A0D">
            <w:pPr>
              <w:spacing w:line="36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合同签订之前，乙方按合同金额的5%以转账、保函或电汇方式向采购人交纳履约保证金（中小企业履约保证金为合同金额的2%），履约保证金在验收合格且履行完毕合同全部义务后五个工作日内无息返还。</w:t>
            </w:r>
          </w:p>
        </w:tc>
      </w:tr>
      <w:tr w14:paraId="73ACE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55" w:type="dxa"/>
            <w:gridSpan w:val="2"/>
            <w:tcBorders>
              <w:top w:val="single" w:color="auto" w:sz="4" w:space="0"/>
              <w:left w:val="single" w:color="auto" w:sz="4" w:space="0"/>
              <w:bottom w:val="single" w:color="auto" w:sz="4" w:space="0"/>
              <w:right w:val="single" w:color="auto" w:sz="4" w:space="0"/>
            </w:tcBorders>
            <w:vAlign w:val="center"/>
          </w:tcPr>
          <w:p w14:paraId="1CFCDD7D">
            <w:pPr>
              <w:spacing w:line="360" w:lineRule="exact"/>
              <w:jc w:val="center"/>
              <w:rPr>
                <w:rFonts w:ascii="宋体" w:hAnsi="宋体"/>
                <w:color w:val="auto"/>
                <w:sz w:val="24"/>
                <w:szCs w:val="24"/>
                <w:highlight w:val="none"/>
              </w:rPr>
            </w:pPr>
            <w:r>
              <w:rPr>
                <w:rFonts w:hint="eastAsia" w:ascii="宋体" w:hAnsi="宋体"/>
                <w:color w:val="auto"/>
                <w:sz w:val="24"/>
                <w:szCs w:val="24"/>
                <w:highlight w:val="none"/>
              </w:rPr>
              <w:t>付款条件</w:t>
            </w:r>
          </w:p>
        </w:tc>
        <w:tc>
          <w:tcPr>
            <w:tcW w:w="6598" w:type="dxa"/>
            <w:gridSpan w:val="3"/>
            <w:tcBorders>
              <w:top w:val="single" w:color="auto" w:sz="4" w:space="0"/>
              <w:left w:val="single" w:color="auto" w:sz="4" w:space="0"/>
              <w:bottom w:val="single" w:color="auto" w:sz="4" w:space="0"/>
              <w:right w:val="single" w:color="auto" w:sz="4" w:space="0"/>
            </w:tcBorders>
            <w:vAlign w:val="center"/>
          </w:tcPr>
          <w:p w14:paraId="236E97BC">
            <w:pPr>
              <w:spacing w:line="360" w:lineRule="exact"/>
              <w:rPr>
                <w:rFonts w:hint="eastAsia" w:ascii="宋体" w:hAnsi="宋体"/>
                <w:color w:val="auto"/>
                <w:sz w:val="24"/>
                <w:szCs w:val="24"/>
                <w:highlight w:val="none"/>
              </w:rPr>
            </w:pPr>
            <w:r>
              <w:rPr>
                <w:rFonts w:hint="eastAsia"/>
                <w:color w:val="auto"/>
                <w:sz w:val="24"/>
                <w:szCs w:val="24"/>
                <w:highlight w:val="none"/>
              </w:rPr>
              <w:t>本项目无预付款</w:t>
            </w:r>
            <w:r>
              <w:rPr>
                <w:rFonts w:hint="eastAsia"/>
                <w:color w:val="auto"/>
                <w:sz w:val="24"/>
                <w:szCs w:val="24"/>
                <w:highlight w:val="none"/>
                <w:lang w:eastAsia="zh-CN"/>
              </w:rPr>
              <w:t>。</w:t>
            </w:r>
            <w:r>
              <w:rPr>
                <w:rFonts w:hint="eastAsia"/>
                <w:color w:val="auto"/>
                <w:sz w:val="24"/>
                <w:szCs w:val="24"/>
                <w:highlight w:val="none"/>
                <w:lang w:val="en-US" w:eastAsia="zh-CN"/>
              </w:rPr>
              <w:t>项目验收合格后，甲方按验收合格图书量进行付款，乙方在验收合格后三个工作日内将增值税专用发票开具给甲方</w:t>
            </w:r>
            <w:r>
              <w:rPr>
                <w:rFonts w:hint="eastAsia"/>
                <w:color w:val="auto"/>
                <w:sz w:val="24"/>
                <w:szCs w:val="24"/>
                <w:highlight w:val="none"/>
              </w:rPr>
              <w:t>，甲方在收到增值税专用发票后三十个工作日内一次性付清乙方的全部货款。</w:t>
            </w:r>
          </w:p>
        </w:tc>
      </w:tr>
      <w:tr w14:paraId="26C3C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55" w:type="dxa"/>
            <w:gridSpan w:val="2"/>
            <w:tcBorders>
              <w:top w:val="single" w:color="auto" w:sz="4" w:space="0"/>
              <w:left w:val="single" w:color="auto" w:sz="4" w:space="0"/>
              <w:bottom w:val="single" w:color="auto" w:sz="4" w:space="0"/>
              <w:right w:val="single" w:color="auto" w:sz="4" w:space="0"/>
            </w:tcBorders>
            <w:vAlign w:val="center"/>
          </w:tcPr>
          <w:p w14:paraId="05400506">
            <w:pPr>
              <w:spacing w:line="360" w:lineRule="exact"/>
              <w:jc w:val="center"/>
              <w:rPr>
                <w:rFonts w:hint="eastAsia" w:ascii="宋体" w:hAnsi="宋体"/>
                <w:color w:val="auto"/>
                <w:sz w:val="24"/>
                <w:szCs w:val="24"/>
                <w:highlight w:val="none"/>
              </w:rPr>
            </w:pPr>
            <w:r>
              <w:rPr>
                <w:rFonts w:hint="eastAsia" w:ascii="宋体" w:hAnsi="宋体"/>
                <w:color w:val="auto"/>
                <w:sz w:val="24"/>
                <w:szCs w:val="24"/>
                <w:highlight w:val="none"/>
                <w:lang w:val="en-US" w:eastAsia="zh-CN"/>
              </w:rPr>
              <w:t>谈判</w:t>
            </w:r>
            <w:r>
              <w:rPr>
                <w:rFonts w:hint="eastAsia" w:ascii="宋体" w:hAnsi="宋体"/>
                <w:color w:val="auto"/>
                <w:sz w:val="24"/>
                <w:szCs w:val="24"/>
                <w:highlight w:val="none"/>
              </w:rPr>
              <w:t>报价要求</w:t>
            </w:r>
          </w:p>
        </w:tc>
        <w:tc>
          <w:tcPr>
            <w:tcW w:w="6598" w:type="dxa"/>
            <w:gridSpan w:val="3"/>
            <w:tcBorders>
              <w:top w:val="single" w:color="auto" w:sz="4" w:space="0"/>
              <w:left w:val="single" w:color="auto" w:sz="4" w:space="0"/>
              <w:bottom w:val="single" w:color="auto" w:sz="4" w:space="0"/>
              <w:right w:val="single" w:color="auto" w:sz="4" w:space="0"/>
            </w:tcBorders>
            <w:vAlign w:val="center"/>
          </w:tcPr>
          <w:p w14:paraId="72C04595">
            <w:pPr>
              <w:pStyle w:val="18"/>
              <w:spacing w:line="360" w:lineRule="auto"/>
              <w:rPr>
                <w:rFonts w:hint="eastAsia" w:ascii="宋体" w:hAnsi="宋体"/>
                <w:color w:val="auto"/>
                <w:kern w:val="0"/>
                <w:sz w:val="24"/>
                <w:szCs w:val="24"/>
                <w:highlight w:val="none"/>
                <w:lang w:eastAsia="zh-CN"/>
              </w:rPr>
            </w:pPr>
            <w:r>
              <w:rPr>
                <w:rFonts w:hint="eastAsia" w:ascii="宋体" w:hAnsi="宋体"/>
                <w:b/>
                <w:bCs/>
                <w:color w:val="auto"/>
                <w:kern w:val="0"/>
                <w:sz w:val="24"/>
                <w:szCs w:val="24"/>
                <w:highlight w:val="none"/>
                <w:lang w:val="en-US" w:eastAsia="zh-CN"/>
              </w:rPr>
              <w:t>1、</w:t>
            </w:r>
            <w:r>
              <w:rPr>
                <w:rFonts w:hint="eastAsia" w:ascii="宋体" w:hAnsi="宋体"/>
                <w:b/>
                <w:bCs/>
                <w:color w:val="auto"/>
                <w:kern w:val="0"/>
                <w:sz w:val="24"/>
                <w:szCs w:val="24"/>
                <w:highlight w:val="none"/>
              </w:rPr>
              <w:t>折扣率报价：</w:t>
            </w:r>
            <w:r>
              <w:rPr>
                <w:rFonts w:hint="eastAsia" w:ascii="宋体" w:hAnsi="宋体"/>
                <w:color w:val="auto"/>
                <w:kern w:val="0"/>
                <w:sz w:val="24"/>
                <w:szCs w:val="24"/>
                <w:highlight w:val="none"/>
              </w:rPr>
              <w:t>供应商据自身总成本（图书成本及利润、运抵指定交货地点的各种费用、图书加工服务及耗材、异地现采及校内书展活动费用、售后服务、税金及其他所有成本费用的总和）的情况，报出本项目图书的综合折扣率</w:t>
            </w:r>
            <w:r>
              <w:rPr>
                <w:rFonts w:hint="eastAsia" w:ascii="宋体" w:hAnsi="宋体"/>
                <w:color w:val="auto"/>
                <w:kern w:val="0"/>
                <w:sz w:val="24"/>
                <w:szCs w:val="24"/>
                <w:highlight w:val="none"/>
                <w:lang w:eastAsia="zh-CN"/>
              </w:rPr>
              <w:t>。</w:t>
            </w:r>
          </w:p>
          <w:p w14:paraId="48CE4088">
            <w:pPr>
              <w:pStyle w:val="18"/>
              <w:spacing w:line="360" w:lineRule="auto"/>
              <w:rPr>
                <w:rFonts w:hint="eastAsia" w:ascii="宋体" w:hAnsi="宋体"/>
                <w:b/>
                <w:bCs/>
                <w:color w:val="auto"/>
                <w:kern w:val="0"/>
                <w:sz w:val="24"/>
                <w:szCs w:val="24"/>
                <w:highlight w:val="none"/>
                <w:lang w:eastAsia="zh-CN"/>
              </w:rPr>
            </w:pPr>
            <w:r>
              <w:rPr>
                <w:rFonts w:hint="eastAsia" w:ascii="宋体" w:hAnsi="宋体"/>
                <w:b/>
                <w:bCs/>
                <w:color w:val="auto"/>
                <w:kern w:val="0"/>
                <w:sz w:val="24"/>
                <w:szCs w:val="24"/>
                <w:highlight w:val="none"/>
                <w:lang w:val="en-US" w:eastAsia="zh-CN"/>
              </w:rPr>
              <w:t>2、合同供货</w:t>
            </w:r>
            <w:r>
              <w:rPr>
                <w:rFonts w:hint="eastAsia" w:ascii="宋体" w:hAnsi="宋体"/>
                <w:b/>
                <w:bCs/>
                <w:color w:val="auto"/>
                <w:kern w:val="0"/>
                <w:sz w:val="24"/>
                <w:szCs w:val="24"/>
                <w:highlight w:val="none"/>
              </w:rPr>
              <w:t>时间内所有图书采购均按</w:t>
            </w:r>
            <w:r>
              <w:rPr>
                <w:rFonts w:hint="eastAsia" w:ascii="宋体" w:hAnsi="宋体"/>
                <w:b/>
                <w:bCs/>
                <w:color w:val="auto"/>
                <w:kern w:val="0"/>
                <w:sz w:val="24"/>
                <w:szCs w:val="24"/>
                <w:highlight w:val="none"/>
                <w:lang w:val="en-US" w:eastAsia="zh-CN"/>
              </w:rPr>
              <w:t>最终结算价</w:t>
            </w:r>
            <w:r>
              <w:rPr>
                <w:rFonts w:hint="eastAsia" w:ascii="宋体" w:hAnsi="宋体"/>
                <w:b/>
                <w:bCs/>
                <w:color w:val="auto"/>
                <w:kern w:val="0"/>
                <w:sz w:val="24"/>
                <w:szCs w:val="24"/>
                <w:highlight w:val="none"/>
              </w:rPr>
              <w:t>付款，图书出版的标价为码洋价</w:t>
            </w:r>
            <w:r>
              <w:rPr>
                <w:rFonts w:hint="eastAsia" w:ascii="宋体" w:hAnsi="宋体"/>
                <w:b/>
                <w:bCs/>
                <w:color w:val="auto"/>
                <w:kern w:val="0"/>
                <w:sz w:val="24"/>
                <w:szCs w:val="24"/>
                <w:highlight w:val="none"/>
                <w:lang w:eastAsia="zh-CN"/>
              </w:rPr>
              <w:t>。</w:t>
            </w:r>
          </w:p>
          <w:p w14:paraId="72DC842B">
            <w:pPr>
              <w:pStyle w:val="18"/>
              <w:spacing w:line="360" w:lineRule="auto"/>
              <w:rPr>
                <w:rFonts w:hAnsi="宋体" w:cs="宋体"/>
                <w:b/>
                <w:bCs w:val="0"/>
                <w:color w:val="auto"/>
                <w:sz w:val="24"/>
                <w:szCs w:val="24"/>
                <w:highlight w:val="none"/>
              </w:rPr>
            </w:pPr>
            <w:r>
              <w:rPr>
                <w:rFonts w:hint="eastAsia" w:hAnsi="宋体" w:cs="宋体"/>
                <w:b/>
                <w:bCs w:val="0"/>
                <w:color w:val="auto"/>
                <w:sz w:val="24"/>
                <w:szCs w:val="24"/>
                <w:highlight w:val="none"/>
              </w:rPr>
              <w:t>最终</w:t>
            </w:r>
            <w:r>
              <w:rPr>
                <w:rFonts w:hAnsi="宋体" w:cs="宋体"/>
                <w:b/>
                <w:bCs w:val="0"/>
                <w:color w:val="auto"/>
                <w:sz w:val="24"/>
                <w:szCs w:val="24"/>
                <w:highlight w:val="none"/>
              </w:rPr>
              <w:t>结算</w:t>
            </w:r>
            <w:r>
              <w:rPr>
                <w:rFonts w:hint="eastAsia" w:hAnsi="宋体" w:cs="宋体"/>
                <w:b/>
                <w:bCs w:val="0"/>
                <w:color w:val="auto"/>
                <w:sz w:val="24"/>
                <w:szCs w:val="24"/>
                <w:highlight w:val="none"/>
                <w:lang w:val="en-US" w:eastAsia="zh-CN"/>
              </w:rPr>
              <w:t>价</w:t>
            </w:r>
            <w:r>
              <w:rPr>
                <w:rFonts w:hint="eastAsia" w:hAnsi="宋体" w:cs="宋体"/>
                <w:b/>
                <w:bCs w:val="0"/>
                <w:color w:val="auto"/>
                <w:sz w:val="24"/>
                <w:szCs w:val="24"/>
                <w:highlight w:val="none"/>
              </w:rPr>
              <w:t>款</w:t>
            </w:r>
            <w:r>
              <w:rPr>
                <w:rFonts w:hAnsi="宋体" w:cs="宋体"/>
                <w:b/>
                <w:bCs w:val="0"/>
                <w:color w:val="auto"/>
                <w:sz w:val="24"/>
                <w:szCs w:val="24"/>
                <w:highlight w:val="none"/>
              </w:rPr>
              <w:t>=</w:t>
            </w:r>
            <w:r>
              <w:rPr>
                <w:rFonts w:hint="eastAsia" w:hAnsi="宋体" w:cs="宋体"/>
                <w:b/>
                <w:bCs w:val="0"/>
                <w:color w:val="auto"/>
                <w:sz w:val="24"/>
                <w:szCs w:val="24"/>
                <w:highlight w:val="none"/>
              </w:rPr>
              <w:t>实际</w:t>
            </w:r>
            <w:r>
              <w:rPr>
                <w:rFonts w:hAnsi="宋体" w:cs="宋体"/>
                <w:b/>
                <w:bCs w:val="0"/>
                <w:color w:val="auto"/>
                <w:sz w:val="24"/>
                <w:szCs w:val="24"/>
                <w:highlight w:val="none"/>
              </w:rPr>
              <w:t>订购图书码洋</w:t>
            </w:r>
            <w:r>
              <w:rPr>
                <w:rFonts w:hint="eastAsia" w:hAnsi="宋体" w:cs="宋体"/>
                <w:b/>
                <w:bCs w:val="0"/>
                <w:color w:val="auto"/>
                <w:sz w:val="24"/>
                <w:szCs w:val="24"/>
                <w:highlight w:val="none"/>
              </w:rPr>
              <w:t>总额*折扣</w:t>
            </w:r>
            <w:r>
              <w:rPr>
                <w:rFonts w:hAnsi="宋体" w:cs="宋体"/>
                <w:b/>
                <w:bCs w:val="0"/>
                <w:color w:val="auto"/>
                <w:sz w:val="24"/>
                <w:szCs w:val="24"/>
                <w:highlight w:val="none"/>
              </w:rPr>
              <w:t>率</w:t>
            </w:r>
          </w:p>
          <w:p w14:paraId="5A6E63FA">
            <w:pPr>
              <w:pStyle w:val="18"/>
              <w:spacing w:line="360" w:lineRule="auto"/>
              <w:rPr>
                <w:rFonts w:hint="eastAsia" w:ascii="宋体" w:hAnsi="宋体"/>
                <w:color w:val="auto"/>
                <w:sz w:val="24"/>
                <w:szCs w:val="24"/>
                <w:highlight w:val="none"/>
              </w:rPr>
            </w:pPr>
            <w:r>
              <w:rPr>
                <w:rFonts w:hint="eastAsia" w:hAnsi="宋体"/>
                <w:b/>
                <w:bCs w:val="0"/>
                <w:color w:val="auto"/>
                <w:sz w:val="24"/>
                <w:szCs w:val="24"/>
                <w:highlight w:val="none"/>
              </w:rPr>
              <w:t>折扣率是指按原价的若干成计价</w:t>
            </w:r>
            <w:r>
              <w:rPr>
                <w:rFonts w:hint="eastAsia" w:hAnsi="宋体"/>
                <w:b/>
                <w:bCs w:val="0"/>
                <w:color w:val="auto"/>
                <w:sz w:val="24"/>
                <w:szCs w:val="24"/>
                <w:highlight w:val="none"/>
                <w:lang w:eastAsia="zh-CN"/>
              </w:rPr>
              <w:t>，</w:t>
            </w:r>
            <w:r>
              <w:rPr>
                <w:rFonts w:hint="eastAsia" w:hAnsi="宋体"/>
                <w:b/>
                <w:bCs w:val="0"/>
                <w:color w:val="auto"/>
                <w:sz w:val="24"/>
                <w:szCs w:val="24"/>
                <w:highlight w:val="none"/>
                <w:lang w:val="en-US" w:eastAsia="zh-CN"/>
              </w:rPr>
              <w:t>例</w:t>
            </w:r>
            <w:r>
              <w:rPr>
                <w:rFonts w:hint="eastAsia" w:hAnsi="宋体"/>
                <w:b/>
                <w:bCs w:val="0"/>
                <w:color w:val="auto"/>
                <w:sz w:val="24"/>
                <w:szCs w:val="24"/>
                <w:highlight w:val="none"/>
              </w:rPr>
              <w:t>如</w:t>
            </w:r>
            <w:r>
              <w:rPr>
                <w:rFonts w:hint="eastAsia" w:hAnsi="宋体"/>
                <w:b/>
                <w:bCs w:val="0"/>
                <w:color w:val="auto"/>
                <w:sz w:val="24"/>
                <w:szCs w:val="24"/>
                <w:highlight w:val="none"/>
                <w:lang w:val="en-US" w:eastAsia="zh-CN"/>
              </w:rPr>
              <w:t>成交</w:t>
            </w:r>
            <w:r>
              <w:rPr>
                <w:rFonts w:hint="eastAsia" w:hAnsi="宋体"/>
                <w:b/>
                <w:bCs w:val="0"/>
                <w:color w:val="auto"/>
                <w:sz w:val="24"/>
                <w:szCs w:val="24"/>
                <w:highlight w:val="none"/>
                <w:lang w:eastAsia="zh-CN"/>
              </w:rPr>
              <w:t>折扣率</w:t>
            </w:r>
            <w:r>
              <w:rPr>
                <w:rFonts w:hint="eastAsia" w:hAnsi="宋体"/>
                <w:b/>
                <w:bCs w:val="0"/>
                <w:color w:val="auto"/>
                <w:sz w:val="24"/>
                <w:szCs w:val="24"/>
                <w:highlight w:val="none"/>
                <w:lang w:val="en-US" w:eastAsia="zh-CN"/>
              </w:rPr>
              <w:t>为</w:t>
            </w:r>
            <w:r>
              <w:rPr>
                <w:rFonts w:hint="eastAsia" w:hAnsi="宋体"/>
                <w:b/>
                <w:bCs w:val="0"/>
                <w:color w:val="auto"/>
                <w:sz w:val="24"/>
                <w:szCs w:val="24"/>
                <w:highlight w:val="none"/>
              </w:rPr>
              <w:t>80%，</w:t>
            </w:r>
            <w:r>
              <w:rPr>
                <w:rFonts w:hint="eastAsia" w:hAnsi="宋体"/>
                <w:b/>
                <w:bCs w:val="0"/>
                <w:color w:val="auto"/>
                <w:sz w:val="24"/>
                <w:szCs w:val="24"/>
                <w:highlight w:val="none"/>
                <w:lang w:val="en-US" w:eastAsia="zh-CN"/>
              </w:rPr>
              <w:t>则：</w:t>
            </w:r>
            <w:r>
              <w:rPr>
                <w:rFonts w:hint="eastAsia" w:hAnsi="宋体" w:cs="宋体"/>
                <w:b/>
                <w:bCs w:val="0"/>
                <w:color w:val="auto"/>
                <w:sz w:val="24"/>
                <w:szCs w:val="24"/>
                <w:highlight w:val="none"/>
              </w:rPr>
              <w:t>最终</w:t>
            </w:r>
            <w:r>
              <w:rPr>
                <w:rFonts w:hAnsi="宋体" w:cs="宋体"/>
                <w:b/>
                <w:bCs w:val="0"/>
                <w:color w:val="auto"/>
                <w:sz w:val="24"/>
                <w:szCs w:val="24"/>
                <w:highlight w:val="none"/>
              </w:rPr>
              <w:t>结算</w:t>
            </w:r>
            <w:r>
              <w:rPr>
                <w:rFonts w:hint="eastAsia" w:hAnsi="宋体" w:cs="宋体"/>
                <w:b/>
                <w:bCs w:val="0"/>
                <w:color w:val="auto"/>
                <w:sz w:val="24"/>
                <w:szCs w:val="24"/>
                <w:highlight w:val="none"/>
                <w:lang w:val="en-US" w:eastAsia="zh-CN"/>
              </w:rPr>
              <w:t>价</w:t>
            </w:r>
            <w:r>
              <w:rPr>
                <w:rFonts w:hint="eastAsia" w:hAnsi="宋体" w:cs="宋体"/>
                <w:b/>
                <w:bCs w:val="0"/>
                <w:color w:val="auto"/>
                <w:sz w:val="24"/>
                <w:szCs w:val="24"/>
                <w:highlight w:val="none"/>
              </w:rPr>
              <w:t>款</w:t>
            </w:r>
            <w:r>
              <w:rPr>
                <w:rFonts w:hint="eastAsia" w:hAnsi="宋体" w:cs="宋体"/>
                <w:b/>
                <w:bCs w:val="0"/>
                <w:color w:val="auto"/>
                <w:sz w:val="24"/>
                <w:szCs w:val="24"/>
                <w:highlight w:val="none"/>
                <w:lang w:val="en-US" w:eastAsia="zh-CN"/>
              </w:rPr>
              <w:t>(</w:t>
            </w:r>
            <w:r>
              <w:rPr>
                <w:rFonts w:hint="eastAsia" w:hAnsi="宋体"/>
                <w:b/>
                <w:bCs w:val="0"/>
                <w:color w:val="auto"/>
                <w:sz w:val="24"/>
                <w:szCs w:val="24"/>
                <w:highlight w:val="none"/>
              </w:rPr>
              <w:t>成交价格</w:t>
            </w:r>
            <w:r>
              <w:rPr>
                <w:rFonts w:hint="eastAsia" w:hAnsi="宋体"/>
                <w:b/>
                <w:bCs w:val="0"/>
                <w:color w:val="auto"/>
                <w:sz w:val="24"/>
                <w:szCs w:val="24"/>
                <w:highlight w:val="none"/>
                <w:lang w:val="en-US" w:eastAsia="zh-CN"/>
              </w:rPr>
              <w:t>)</w:t>
            </w:r>
            <w:r>
              <w:rPr>
                <w:rFonts w:hint="eastAsia" w:hAnsi="宋体"/>
                <w:b/>
                <w:bCs w:val="0"/>
                <w:color w:val="auto"/>
                <w:sz w:val="24"/>
                <w:szCs w:val="24"/>
                <w:highlight w:val="none"/>
              </w:rPr>
              <w:t>=</w:t>
            </w:r>
            <w:r>
              <w:rPr>
                <w:rFonts w:hAnsi="宋体" w:cs="宋体"/>
                <w:b/>
                <w:bCs w:val="0"/>
                <w:color w:val="auto"/>
                <w:sz w:val="24"/>
                <w:szCs w:val="24"/>
                <w:highlight w:val="none"/>
              </w:rPr>
              <w:t>图书码洋</w:t>
            </w:r>
            <w:r>
              <w:rPr>
                <w:rFonts w:hint="eastAsia" w:hAnsi="宋体" w:cs="宋体"/>
                <w:b/>
                <w:bCs w:val="0"/>
                <w:color w:val="auto"/>
                <w:sz w:val="24"/>
                <w:szCs w:val="24"/>
                <w:highlight w:val="none"/>
              </w:rPr>
              <w:t>总额</w:t>
            </w:r>
            <w:r>
              <w:rPr>
                <w:rFonts w:hint="eastAsia" w:hAnsi="宋体"/>
                <w:b/>
                <w:bCs w:val="0"/>
                <w:color w:val="auto"/>
                <w:sz w:val="24"/>
                <w:szCs w:val="24"/>
                <w:highlight w:val="none"/>
              </w:rPr>
              <w:t>×80%。</w:t>
            </w:r>
          </w:p>
        </w:tc>
      </w:tr>
      <w:tr w14:paraId="10C21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55" w:type="dxa"/>
            <w:gridSpan w:val="2"/>
            <w:tcBorders>
              <w:top w:val="single" w:color="auto" w:sz="4" w:space="0"/>
              <w:left w:val="single" w:color="auto" w:sz="4" w:space="0"/>
              <w:bottom w:val="single" w:color="auto" w:sz="4" w:space="0"/>
              <w:right w:val="single" w:color="auto" w:sz="4" w:space="0"/>
            </w:tcBorders>
            <w:vAlign w:val="center"/>
          </w:tcPr>
          <w:p w14:paraId="7ACCD30E">
            <w:pPr>
              <w:spacing w:line="360" w:lineRule="exact"/>
              <w:ind w:firstLine="482" w:firstLineChars="20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加工要求</w:t>
            </w:r>
          </w:p>
          <w:p w14:paraId="58210920">
            <w:pPr>
              <w:spacing w:line="360" w:lineRule="exact"/>
              <w:jc w:val="center"/>
              <w:rPr>
                <w:rFonts w:hint="eastAsia" w:ascii="宋体" w:hAnsi="宋体"/>
                <w:color w:val="auto"/>
                <w:sz w:val="24"/>
                <w:szCs w:val="24"/>
                <w:highlight w:val="none"/>
                <w:lang w:val="en-US" w:eastAsia="zh-CN"/>
              </w:rPr>
            </w:pPr>
          </w:p>
        </w:tc>
        <w:tc>
          <w:tcPr>
            <w:tcW w:w="6598" w:type="dxa"/>
            <w:gridSpan w:val="3"/>
            <w:tcBorders>
              <w:top w:val="single" w:color="auto" w:sz="4" w:space="0"/>
              <w:left w:val="single" w:color="auto" w:sz="4" w:space="0"/>
              <w:bottom w:val="single" w:color="auto" w:sz="4" w:space="0"/>
              <w:right w:val="single" w:color="auto" w:sz="4" w:space="0"/>
            </w:tcBorders>
            <w:vAlign w:val="center"/>
          </w:tcPr>
          <w:p w14:paraId="162874CB">
            <w:pPr>
              <w:spacing w:line="3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1、成交供应商应按订单顺序将配送的书目发给采购人，核对无误后方可加工。成交供应商按采购人的批次发送图书，每批订单结束后需向采购人提供未能完成购买的图书</w:t>
            </w:r>
            <w:r>
              <w:rPr>
                <w:rFonts w:hint="eastAsia" w:ascii="宋体" w:hAnsi="宋体" w:cs="宋体"/>
                <w:color w:val="auto"/>
                <w:sz w:val="24"/>
                <w:szCs w:val="24"/>
                <w:highlight w:val="none"/>
                <w:lang w:val="en-US" w:eastAsia="zh-CN"/>
              </w:rPr>
              <w:t>清单</w:t>
            </w:r>
            <w:r>
              <w:rPr>
                <w:rFonts w:hint="eastAsia" w:ascii="宋体" w:hAnsi="宋体" w:cs="宋体"/>
                <w:color w:val="auto"/>
                <w:sz w:val="24"/>
                <w:szCs w:val="24"/>
                <w:highlight w:val="none"/>
              </w:rPr>
              <w:t>。</w:t>
            </w:r>
          </w:p>
          <w:p w14:paraId="3F9F9FC1">
            <w:pPr>
              <w:spacing w:line="3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2、图书编目、加工所需的材料及设备均由成交供应商自行提供（加工所需的材料及设备含在投标报价中），加工材料包括：不干胶条形码、不干胶书标、透明胶、RFID等；采购人加工设备包括：电脑、打印机等。</w:t>
            </w:r>
          </w:p>
          <w:p w14:paraId="1906EFE3">
            <w:pPr>
              <w:spacing w:line="3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3、图书加工：</w:t>
            </w:r>
          </w:p>
          <w:p w14:paraId="47345E4E">
            <w:pPr>
              <w:spacing w:line="3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①盖馆藏章：在每册书上盖二个红色馆藏章，即书名页空白处（在条形码上方）、书口1/3以下1/2以上之间。</w:t>
            </w:r>
          </w:p>
          <w:p w14:paraId="3150F9C7">
            <w:pPr>
              <w:spacing w:line="3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②贴条形码：由采购人提供条码规格样张及起始号，成交供应商打印并粘贴。每本书粘贴二张相同的条形码，第一枚粘贴在书名页下方空白处（馆藏章上方），以不覆盖文字为标准，没有文字就选择在上半部居中的位置，第二枚粘贴在最后一页。</w:t>
            </w:r>
          </w:p>
          <w:p w14:paraId="29A5403C">
            <w:pPr>
              <w:spacing w:line="3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③贴书标：书标样式及打印格式由采购方提供，主要包含分类号、种次号和年代号。一共贴2枚，书名页左边上角离上边沿0.8cm处一枚，书脊下部往上2.5cm高度一枚。</w:t>
            </w:r>
          </w:p>
          <w:p w14:paraId="44547A02">
            <w:pPr>
              <w:spacing w:line="3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④贴电子标签（超高频RFID）：每本图书粘贴电子标签（超高频RFID）一根，尽量紧靠书脊</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加工好的图书能在馆内各种智能设备上使用</w:t>
            </w:r>
            <w:r>
              <w:rPr>
                <w:rFonts w:hint="eastAsia" w:ascii="宋体" w:hAnsi="宋体" w:cs="宋体"/>
                <w:color w:val="auto"/>
                <w:sz w:val="24"/>
                <w:szCs w:val="24"/>
                <w:highlight w:val="none"/>
              </w:rPr>
              <w:t>。</w:t>
            </w:r>
          </w:p>
          <w:p w14:paraId="07842B03">
            <w:pPr>
              <w:spacing w:line="3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⑤</w:t>
            </w:r>
            <w:r>
              <w:rPr>
                <w:rFonts w:hint="eastAsia" w:ascii="宋体" w:hAnsi="宋体" w:cs="宋体"/>
                <w:color w:val="auto"/>
                <w:sz w:val="24"/>
                <w:szCs w:val="24"/>
                <w:highlight w:val="none"/>
              </w:rPr>
              <w:t>特型文献：地图、挂图、立体书、非常规开本图书、书中配件过多的图书、经折装拉页文献、散页文献等特型文献，加工前，须咨询采购人。</w:t>
            </w:r>
          </w:p>
          <w:p w14:paraId="3DC3F608">
            <w:pPr>
              <w:spacing w:line="3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成交供应商提供的图书中，若出现订重的，允许少部分退换；图书价格与预订时的价格相差太大时，应允许退换。采购人有权拒收图书成交供应商的错发书、过期书（指订购日起超过一年到货的书）、非订购书。</w:t>
            </w:r>
          </w:p>
          <w:p w14:paraId="3199C958">
            <w:pPr>
              <w:spacing w:line="360" w:lineRule="exact"/>
              <w:rPr>
                <w:rFonts w:hint="eastAsia" w:hAnsi="宋体"/>
                <w:b/>
                <w:bCs w:val="0"/>
                <w:color w:val="auto"/>
                <w:sz w:val="24"/>
                <w:szCs w:val="24"/>
                <w:highlight w:val="none"/>
              </w:rPr>
            </w:pPr>
            <w:r>
              <w:rPr>
                <w:rFonts w:hint="eastAsia" w:ascii="宋体" w:hAnsi="宋体" w:cs="宋体"/>
                <w:color w:val="auto"/>
                <w:sz w:val="24"/>
                <w:szCs w:val="24"/>
                <w:highlight w:val="none"/>
              </w:rPr>
              <w:t>5、如果是活页版式或其它不便于上架借阅的图书，要先把图书装订成册或做相应处理后，再做其它加工工序，以保证图书经加工后能独立成册上架借阅。</w:t>
            </w:r>
          </w:p>
        </w:tc>
      </w:tr>
      <w:tr w14:paraId="0177E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55" w:type="dxa"/>
            <w:gridSpan w:val="2"/>
            <w:tcBorders>
              <w:top w:val="single" w:color="auto" w:sz="4" w:space="0"/>
              <w:left w:val="single" w:color="auto" w:sz="4" w:space="0"/>
              <w:bottom w:val="single" w:color="auto" w:sz="4" w:space="0"/>
              <w:right w:val="single" w:color="auto" w:sz="4" w:space="0"/>
            </w:tcBorders>
            <w:vAlign w:val="center"/>
          </w:tcPr>
          <w:p w14:paraId="01BDB62D">
            <w:pPr>
              <w:spacing w:line="360" w:lineRule="exact"/>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图书打包和运输要求</w:t>
            </w:r>
          </w:p>
          <w:p w14:paraId="49D2BED9">
            <w:pPr>
              <w:spacing w:line="360" w:lineRule="exact"/>
              <w:jc w:val="center"/>
              <w:rPr>
                <w:rFonts w:hint="eastAsia" w:ascii="宋体" w:hAnsi="宋体"/>
                <w:color w:val="auto"/>
                <w:sz w:val="24"/>
                <w:szCs w:val="24"/>
                <w:highlight w:val="none"/>
                <w:lang w:val="en-US" w:eastAsia="zh-CN"/>
              </w:rPr>
            </w:pPr>
          </w:p>
        </w:tc>
        <w:tc>
          <w:tcPr>
            <w:tcW w:w="6598" w:type="dxa"/>
            <w:gridSpan w:val="3"/>
            <w:tcBorders>
              <w:top w:val="single" w:color="auto" w:sz="4" w:space="0"/>
              <w:left w:val="single" w:color="auto" w:sz="4" w:space="0"/>
              <w:bottom w:val="single" w:color="auto" w:sz="4" w:space="0"/>
              <w:right w:val="single" w:color="auto" w:sz="4" w:space="0"/>
            </w:tcBorders>
            <w:vAlign w:val="center"/>
          </w:tcPr>
          <w:p w14:paraId="024D96AD">
            <w:pPr>
              <w:spacing w:line="3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图书打包：成交供应商须按采购人的订购单批号进行打包；全部图书均应按标准保护措施包装，应适应于远距离运输、防潮和防野蛮装卸，确保图书安全无损运抵现场并派人按采购人工作人员要求将货物放置到指定地点按顺序排列。由于包装不善所引起的图书损坏均应由供应商承担赔偿责任。套书最好集中包装于一包。每包图书按条码号顺序进行包装，包装上有清晰的打包单号，醒目标明图书供应商的名称、条码起止号和包号。每包书附该包图书清单一份，清单上应含有打包单号、图书条码号、书名、种、册数，码洋数、实洋数及总种数、总册数、总码洋数、总实洋数（一种书做一条记录，但不得将上中下册、套书合并为一条记录，要分开做记录）。此外应配有该批图书纸质总清单1份（</w:t>
            </w:r>
            <w:r>
              <w:rPr>
                <w:rFonts w:hint="eastAsia" w:ascii="宋体" w:hAnsi="宋体" w:cs="宋体"/>
                <w:color w:val="auto"/>
                <w:sz w:val="24"/>
                <w:szCs w:val="24"/>
                <w:highlight w:val="none"/>
                <w:lang w:val="en-US" w:eastAsia="zh-CN"/>
              </w:rPr>
              <w:t>供货时</w:t>
            </w:r>
            <w:r>
              <w:rPr>
                <w:rFonts w:hint="eastAsia" w:ascii="宋体" w:hAnsi="宋体" w:cs="宋体"/>
                <w:color w:val="auto"/>
                <w:sz w:val="24"/>
                <w:szCs w:val="24"/>
                <w:highlight w:val="none"/>
              </w:rPr>
              <w:t>须加盖供应商公章）、一份纸质财产帐和一份纸质统计表（</w:t>
            </w:r>
            <w:r>
              <w:rPr>
                <w:rFonts w:hint="eastAsia" w:ascii="宋体" w:hAnsi="宋体" w:cs="宋体"/>
                <w:color w:val="auto"/>
                <w:sz w:val="24"/>
                <w:szCs w:val="24"/>
                <w:highlight w:val="none"/>
                <w:lang w:val="en-US" w:eastAsia="zh-CN"/>
              </w:rPr>
              <w:t>供货时</w:t>
            </w:r>
            <w:r>
              <w:rPr>
                <w:rFonts w:hint="eastAsia" w:ascii="宋体" w:hAnsi="宋体" w:cs="宋体"/>
                <w:color w:val="auto"/>
                <w:sz w:val="24"/>
                <w:szCs w:val="24"/>
                <w:highlight w:val="none"/>
              </w:rPr>
              <w:t>统计表须加盖供应商公章），须与该批次图书同时送来（告知采购单位具体放在哪一包）。</w:t>
            </w:r>
          </w:p>
          <w:p w14:paraId="79571C47">
            <w:pPr>
              <w:spacing w:line="3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光盘打包：每一批分编加工好的配书光盘和书分开打包，并按光盘的条码顺序排列，包装要有防护措施，应适应于远距离运输、防潮和防野蛮装卸。由于包装不善所引起的光盘损坏均应由成交供应商承担刻录或购买内容完全一样的光盘。此外应配有该批光盘纸质总清单2份、一份纸质财产帐和一份纸质统计表。</w:t>
            </w:r>
          </w:p>
          <w:p w14:paraId="2B181C9D">
            <w:pPr>
              <w:spacing w:line="3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3、由</w:t>
            </w: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rPr>
              <w:t>供应商负责图书的开包、整理工作，并协助采购人的工作人员完成图书的验收工作</w:t>
            </w:r>
            <w:r>
              <w:rPr>
                <w:rFonts w:hint="eastAsia" w:ascii="宋体" w:hAnsi="宋体" w:cs="宋体"/>
                <w:color w:val="auto"/>
                <w:sz w:val="24"/>
                <w:szCs w:val="24"/>
                <w:highlight w:val="none"/>
                <w:lang w:val="en-US" w:eastAsia="zh-CN"/>
              </w:rPr>
              <w:t>和上架</w:t>
            </w:r>
            <w:r>
              <w:rPr>
                <w:rFonts w:hint="eastAsia" w:ascii="宋体" w:hAnsi="宋体" w:cs="宋体"/>
                <w:color w:val="auto"/>
                <w:sz w:val="24"/>
                <w:szCs w:val="24"/>
                <w:highlight w:val="none"/>
              </w:rPr>
              <w:t>。在图书验收或</w:t>
            </w:r>
            <w:r>
              <w:rPr>
                <w:rFonts w:hint="eastAsia" w:ascii="宋体" w:hAnsi="宋体" w:cs="宋体"/>
                <w:color w:val="auto"/>
                <w:sz w:val="24"/>
                <w:szCs w:val="24"/>
                <w:highlight w:val="none"/>
                <w:lang w:val="en-US" w:eastAsia="zh-CN"/>
              </w:rPr>
              <w:t>上架</w:t>
            </w:r>
            <w:r>
              <w:rPr>
                <w:rFonts w:hint="eastAsia" w:ascii="宋体" w:hAnsi="宋体" w:cs="宋体"/>
                <w:color w:val="auto"/>
                <w:sz w:val="24"/>
                <w:szCs w:val="24"/>
                <w:highlight w:val="none"/>
              </w:rPr>
              <w:t>过程中，对发现有盗版、违约、破损、褶皱、弄脏、装订错误或其它某项质量问题的图书，应无条件进行更换或办理退货手续。</w:t>
            </w:r>
          </w:p>
          <w:p w14:paraId="036E7C9B">
            <w:pPr>
              <w:spacing w:line="3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rPr>
              <w:t>供应商办理更换和退货图书相关手续最长不得超过10天，在图书送交到采购人指定地点验收之前所发生的运输、装卸或其它相关费用全部由供应商承担。</w:t>
            </w:r>
          </w:p>
          <w:p w14:paraId="3EAE065B">
            <w:pPr>
              <w:pStyle w:val="18"/>
              <w:spacing w:line="360" w:lineRule="auto"/>
              <w:rPr>
                <w:rFonts w:hint="eastAsia" w:hAnsi="宋体"/>
                <w:b/>
                <w:bCs w:val="0"/>
                <w:color w:val="auto"/>
                <w:sz w:val="24"/>
                <w:szCs w:val="24"/>
                <w:highlight w:val="none"/>
              </w:rPr>
            </w:pPr>
            <w:r>
              <w:rPr>
                <w:rFonts w:hint="eastAsia" w:ascii="宋体" w:hAnsi="宋体" w:cs="宋体"/>
                <w:color w:val="auto"/>
                <w:sz w:val="24"/>
                <w:szCs w:val="24"/>
                <w:highlight w:val="none"/>
              </w:rPr>
              <w:t>5、凡送进馆内的图书，经采购人验收发现书款与发货单不相符的，成交供应商应派人核算，不能及时派人核算的，以采购人采购单位验收的数字为准。</w:t>
            </w:r>
          </w:p>
        </w:tc>
      </w:tr>
      <w:tr w14:paraId="02F29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55" w:type="dxa"/>
            <w:gridSpan w:val="2"/>
            <w:tcBorders>
              <w:top w:val="single" w:color="auto" w:sz="4" w:space="0"/>
              <w:left w:val="single" w:color="auto" w:sz="4" w:space="0"/>
              <w:bottom w:val="single" w:color="auto" w:sz="4" w:space="0"/>
              <w:right w:val="single" w:color="auto" w:sz="4" w:space="0"/>
            </w:tcBorders>
            <w:vAlign w:val="center"/>
          </w:tcPr>
          <w:p w14:paraId="1984A7B2">
            <w:pPr>
              <w:spacing w:line="360" w:lineRule="exact"/>
              <w:jc w:val="center"/>
              <w:rPr>
                <w:rFonts w:hint="eastAsia" w:ascii="宋体" w:hAnsi="宋体"/>
                <w:strike/>
                <w:color w:val="auto"/>
                <w:sz w:val="24"/>
                <w:szCs w:val="24"/>
                <w:highlight w:val="none"/>
              </w:rPr>
            </w:pPr>
            <w:r>
              <w:rPr>
                <w:rFonts w:hint="eastAsia" w:ascii="宋体" w:hAnsi="宋体"/>
                <w:strike w:val="0"/>
                <w:color w:val="auto"/>
                <w:sz w:val="24"/>
                <w:szCs w:val="24"/>
                <w:highlight w:val="none"/>
              </w:rPr>
              <w:t>质量保证期</w:t>
            </w:r>
          </w:p>
        </w:tc>
        <w:tc>
          <w:tcPr>
            <w:tcW w:w="6598" w:type="dxa"/>
            <w:gridSpan w:val="3"/>
            <w:tcBorders>
              <w:top w:val="single" w:color="auto" w:sz="4" w:space="0"/>
              <w:left w:val="single" w:color="auto" w:sz="4" w:space="0"/>
              <w:bottom w:val="single" w:color="auto" w:sz="4" w:space="0"/>
              <w:right w:val="single" w:color="auto" w:sz="4" w:space="0"/>
            </w:tcBorders>
            <w:vAlign w:val="center"/>
          </w:tcPr>
          <w:p w14:paraId="5E7D8BBA">
            <w:pPr>
              <w:spacing w:line="360" w:lineRule="exact"/>
              <w:rPr>
                <w:rFonts w:hint="eastAsia" w:ascii="宋体" w:hAnsi="宋体"/>
                <w:strike/>
                <w:color w:val="auto"/>
                <w:sz w:val="24"/>
                <w:szCs w:val="24"/>
                <w:highlight w:val="none"/>
              </w:rPr>
            </w:pPr>
            <w:r>
              <w:rPr>
                <w:rFonts w:hint="eastAsia" w:ascii="宋体" w:hAnsi="宋体"/>
                <w:strike w:val="0"/>
                <w:color w:val="auto"/>
                <w:sz w:val="24"/>
                <w:szCs w:val="24"/>
                <w:highlight w:val="none"/>
              </w:rPr>
              <w:t>整个分标质量保证期：</w:t>
            </w:r>
            <w:r>
              <w:rPr>
                <w:rFonts w:hint="eastAsia" w:ascii="宋体" w:hAnsi="宋体"/>
                <w:strike w:val="0"/>
                <w:color w:val="auto"/>
                <w:sz w:val="24"/>
                <w:szCs w:val="24"/>
                <w:highlight w:val="none"/>
                <w:u w:val="single"/>
              </w:rPr>
              <w:t xml:space="preserve"> </w:t>
            </w:r>
            <w:r>
              <w:rPr>
                <w:rFonts w:ascii="宋体" w:hAnsi="宋体"/>
                <w:strike w:val="0"/>
                <w:color w:val="auto"/>
                <w:sz w:val="24"/>
                <w:szCs w:val="24"/>
                <w:highlight w:val="none"/>
                <w:u w:val="single"/>
              </w:rPr>
              <w:t>2</w:t>
            </w:r>
            <w:r>
              <w:rPr>
                <w:rFonts w:hint="eastAsia" w:ascii="宋体" w:hAnsi="宋体"/>
                <w:strike w:val="0"/>
                <w:color w:val="auto"/>
                <w:sz w:val="24"/>
                <w:szCs w:val="24"/>
                <w:highlight w:val="none"/>
                <w:u w:val="single"/>
              </w:rPr>
              <w:t xml:space="preserve"> </w:t>
            </w:r>
            <w:r>
              <w:rPr>
                <w:rFonts w:hint="eastAsia" w:ascii="宋体" w:hAnsi="宋体"/>
                <w:strike w:val="0"/>
                <w:color w:val="auto"/>
                <w:sz w:val="24"/>
                <w:szCs w:val="24"/>
                <w:highlight w:val="none"/>
              </w:rPr>
              <w:t>年（自最终验收合格之日算），分项货物有要求按分项要求。</w:t>
            </w:r>
            <w:r>
              <w:rPr>
                <w:rFonts w:hint="eastAsia" w:ascii="宋体" w:hAnsi="宋体"/>
                <w:strike w:val="0"/>
                <w:color w:val="auto"/>
                <w:sz w:val="24"/>
                <w:szCs w:val="24"/>
                <w:highlight w:val="none"/>
                <w:shd w:val="clear"/>
              </w:rPr>
              <w:t>在质保期内</w:t>
            </w:r>
            <w:r>
              <w:rPr>
                <w:rFonts w:hint="eastAsia" w:ascii="宋体" w:hAnsi="宋体"/>
                <w:strike w:val="0"/>
                <w:color w:val="auto"/>
                <w:sz w:val="24"/>
                <w:szCs w:val="24"/>
                <w:highlight w:val="none"/>
                <w:shd w:val="clear"/>
                <w:lang w:val="en-US" w:eastAsia="zh-CN"/>
              </w:rPr>
              <w:t>如图书发生脱胶或散开等质量问题的</w:t>
            </w:r>
            <w:r>
              <w:rPr>
                <w:rFonts w:hint="eastAsia" w:ascii="宋体" w:hAnsi="宋体"/>
                <w:strike w:val="0"/>
                <w:color w:val="auto"/>
                <w:sz w:val="24"/>
                <w:szCs w:val="24"/>
                <w:highlight w:val="none"/>
                <w:shd w:val="clear"/>
              </w:rPr>
              <w:t>，</w:t>
            </w:r>
            <w:r>
              <w:rPr>
                <w:rFonts w:hint="eastAsia" w:ascii="宋体" w:hAnsi="宋体"/>
                <w:strike w:val="0"/>
                <w:color w:val="auto"/>
                <w:sz w:val="24"/>
                <w:szCs w:val="24"/>
                <w:highlight w:val="none"/>
                <w:shd w:val="clear"/>
                <w:lang w:val="en-US" w:eastAsia="zh-CN"/>
              </w:rPr>
              <w:t>供应商要给予进行免费更换图书</w:t>
            </w:r>
            <w:r>
              <w:rPr>
                <w:rFonts w:hint="eastAsia" w:ascii="宋体" w:hAnsi="宋体"/>
                <w:strike w:val="0"/>
                <w:color w:val="auto"/>
                <w:sz w:val="24"/>
                <w:szCs w:val="24"/>
                <w:highlight w:val="none"/>
                <w:shd w:val="clear"/>
              </w:rPr>
              <w:t>。</w:t>
            </w:r>
          </w:p>
        </w:tc>
      </w:tr>
      <w:tr w14:paraId="46ED1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55" w:type="dxa"/>
            <w:gridSpan w:val="2"/>
            <w:tcBorders>
              <w:top w:val="single" w:color="auto" w:sz="4" w:space="0"/>
              <w:left w:val="single" w:color="auto" w:sz="4" w:space="0"/>
              <w:bottom w:val="single" w:color="auto" w:sz="4" w:space="0"/>
              <w:right w:val="single" w:color="auto" w:sz="4" w:space="0"/>
            </w:tcBorders>
            <w:vAlign w:val="center"/>
          </w:tcPr>
          <w:p w14:paraId="310CDA86">
            <w:pPr>
              <w:spacing w:line="360" w:lineRule="exact"/>
              <w:jc w:val="center"/>
              <w:rPr>
                <w:rFonts w:hint="eastAsia" w:ascii="宋体" w:hAnsi="宋体"/>
                <w:color w:val="auto"/>
                <w:sz w:val="24"/>
                <w:szCs w:val="24"/>
                <w:highlight w:val="none"/>
              </w:rPr>
            </w:pPr>
            <w:r>
              <w:rPr>
                <w:rFonts w:hint="eastAsia" w:ascii="宋体" w:hAnsi="宋体"/>
                <w:color w:val="auto"/>
                <w:sz w:val="24"/>
                <w:szCs w:val="24"/>
                <w:highlight w:val="none"/>
              </w:rPr>
              <w:t>售后服务要求</w:t>
            </w:r>
          </w:p>
        </w:tc>
        <w:tc>
          <w:tcPr>
            <w:tcW w:w="6598" w:type="dxa"/>
            <w:gridSpan w:val="3"/>
            <w:tcBorders>
              <w:top w:val="single" w:color="auto" w:sz="4" w:space="0"/>
              <w:left w:val="single" w:color="auto" w:sz="4" w:space="0"/>
              <w:bottom w:val="single" w:color="auto" w:sz="4" w:space="0"/>
              <w:right w:val="single" w:color="auto" w:sz="4" w:space="0"/>
            </w:tcBorders>
            <w:vAlign w:val="center"/>
          </w:tcPr>
          <w:p w14:paraId="01B10D4C">
            <w:pPr>
              <w:tabs>
                <w:tab w:val="left" w:pos="2576"/>
              </w:tabs>
              <w:jc w:val="left"/>
              <w:rPr>
                <w:rFonts w:ascii="宋体" w:hAnsi="宋体"/>
                <w:color w:val="auto"/>
                <w:sz w:val="24"/>
                <w:szCs w:val="24"/>
                <w:highlight w:val="none"/>
              </w:rPr>
            </w:pPr>
            <w:r>
              <w:rPr>
                <w:rFonts w:hint="eastAsia" w:ascii="宋体" w:hAnsi="宋体"/>
                <w:color w:val="auto"/>
                <w:sz w:val="24"/>
                <w:szCs w:val="24"/>
                <w:highlight w:val="none"/>
              </w:rPr>
              <w:t>1、免费送货上门，按采购人要求上架。</w:t>
            </w:r>
          </w:p>
          <w:p w14:paraId="29A3DB03">
            <w:pPr>
              <w:tabs>
                <w:tab w:val="left" w:pos="2576"/>
              </w:tabs>
              <w:jc w:val="left"/>
              <w:rPr>
                <w:rFonts w:ascii="宋体" w:hAnsi="宋体"/>
                <w:color w:val="auto"/>
                <w:sz w:val="24"/>
                <w:szCs w:val="24"/>
                <w:highlight w:val="none"/>
              </w:rPr>
            </w:pPr>
            <w:r>
              <w:rPr>
                <w:rFonts w:hint="eastAsia" w:ascii="宋体" w:hAnsi="宋体"/>
                <w:color w:val="auto"/>
                <w:sz w:val="24"/>
                <w:szCs w:val="24"/>
                <w:highlight w:val="none"/>
              </w:rPr>
              <w:t>2、投标产品必须是具备厂家合法渠道的全新正品，必须承诺实行“三包”。</w:t>
            </w:r>
          </w:p>
          <w:p w14:paraId="413D5102">
            <w:pPr>
              <w:spacing w:line="360" w:lineRule="exact"/>
              <w:rPr>
                <w:rFonts w:hint="eastAsia" w:ascii="宋体" w:hAnsi="宋体"/>
                <w:color w:val="auto"/>
                <w:sz w:val="24"/>
                <w:szCs w:val="24"/>
                <w:highlight w:val="none"/>
              </w:rPr>
            </w:pPr>
            <w:r>
              <w:rPr>
                <w:rFonts w:hint="eastAsia" w:ascii="宋体" w:hAnsi="宋体"/>
                <w:strike w:val="0"/>
                <w:color w:val="auto"/>
                <w:sz w:val="24"/>
                <w:szCs w:val="24"/>
                <w:highlight w:val="none"/>
              </w:rPr>
              <w:t>3、</w:t>
            </w:r>
            <w:r>
              <w:rPr>
                <w:rFonts w:hint="eastAsia" w:ascii="宋体" w:hAnsi="宋体" w:cs="Arial"/>
                <w:strike w:val="0"/>
                <w:color w:val="auto"/>
                <w:sz w:val="24"/>
                <w:szCs w:val="24"/>
                <w:highlight w:val="none"/>
              </w:rPr>
              <w:t>投标人应对售后服务方案提供针对本项目售后服务联系人及联系电话，对质保期内出现质量问题的图书，接到采购人通知后须在12小时内给予答复并给出方案，</w:t>
            </w:r>
            <w:r>
              <w:rPr>
                <w:rFonts w:hint="eastAsia" w:ascii="宋体" w:hAnsi="宋体" w:cs="Arial"/>
                <w:strike w:val="0"/>
                <w:color w:val="auto"/>
                <w:sz w:val="24"/>
                <w:szCs w:val="24"/>
                <w:highlight w:val="none"/>
                <w:lang w:val="en-US" w:eastAsia="zh-CN"/>
              </w:rPr>
              <w:t>如</w:t>
            </w:r>
            <w:r>
              <w:rPr>
                <w:rFonts w:hint="eastAsia" w:ascii="宋体" w:hAnsi="宋体" w:cs="Arial"/>
                <w:strike w:val="0"/>
                <w:color w:val="auto"/>
                <w:sz w:val="24"/>
                <w:szCs w:val="24"/>
                <w:highlight w:val="none"/>
              </w:rPr>
              <w:t>需要到现场解决的，到达时间不得超过48小时。</w:t>
            </w:r>
          </w:p>
        </w:tc>
      </w:tr>
      <w:tr w14:paraId="2789C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55" w:type="dxa"/>
            <w:gridSpan w:val="2"/>
            <w:tcBorders>
              <w:top w:val="single" w:color="auto" w:sz="4" w:space="0"/>
              <w:left w:val="single" w:color="auto" w:sz="4" w:space="0"/>
              <w:bottom w:val="single" w:color="auto" w:sz="4" w:space="0"/>
              <w:right w:val="single" w:color="auto" w:sz="4" w:space="0"/>
            </w:tcBorders>
            <w:vAlign w:val="center"/>
          </w:tcPr>
          <w:p w14:paraId="52E5EAF9">
            <w:pPr>
              <w:spacing w:line="360" w:lineRule="exact"/>
              <w:jc w:val="center"/>
              <w:rPr>
                <w:rFonts w:hint="eastAsia" w:ascii="宋体" w:hAnsi="宋体"/>
                <w:color w:val="auto"/>
                <w:sz w:val="24"/>
                <w:szCs w:val="24"/>
                <w:highlight w:val="none"/>
              </w:rPr>
            </w:pPr>
            <w:r>
              <w:rPr>
                <w:rFonts w:hint="eastAsia" w:ascii="宋体" w:hAnsi="宋体"/>
                <w:b/>
                <w:color w:val="auto"/>
                <w:sz w:val="24"/>
                <w:szCs w:val="24"/>
                <w:highlight w:val="none"/>
              </w:rPr>
              <w:t>验收标准</w:t>
            </w:r>
          </w:p>
        </w:tc>
        <w:tc>
          <w:tcPr>
            <w:tcW w:w="6598" w:type="dxa"/>
            <w:gridSpan w:val="3"/>
            <w:tcBorders>
              <w:top w:val="single" w:color="auto" w:sz="4" w:space="0"/>
              <w:left w:val="single" w:color="auto" w:sz="4" w:space="0"/>
              <w:bottom w:val="single" w:color="auto" w:sz="4" w:space="0"/>
              <w:right w:val="single" w:color="auto" w:sz="4" w:space="0"/>
            </w:tcBorders>
            <w:vAlign w:val="center"/>
          </w:tcPr>
          <w:p w14:paraId="003AB8E2">
            <w:pPr>
              <w:spacing w:line="360" w:lineRule="exact"/>
              <w:ind w:firstLine="480" w:firstLineChars="20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采购人根据到货情况进行分批验收，验收标准为采购文件及成交供应商响应文件承诺的条款。在验收前，成交供应商须提交相关纸质或者电子版证明材料（核查报告、数据表格等）给采购人作为验收依据，如所提供相关产品不符合要求或项目验收不合格，由成交供应商在截止交货期限（2025年12月1日）内进行整改，有关返工、再行验收给采购单位造成的损失等费用均由成交供应商承担。拒不按规定时间，规定要求整改，或连续两次项目验收不合格的，或发现成交供应商在响应文件中有弄虚作假的行为，采购单位将终止合同或不予验收，并追究成交供应商的责任，由此带来的一切损失由成交供应商自行承担。</w:t>
            </w:r>
          </w:p>
          <w:p w14:paraId="5D9AF115">
            <w:pPr>
              <w:spacing w:line="360" w:lineRule="exact"/>
              <w:rPr>
                <w:rFonts w:hint="eastAsia" w:ascii="宋体" w:hAnsi="宋体"/>
                <w:strike/>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其他未尽事宜应严格按照《关于印发广西壮族自治区政府采购项目履约验收管理办法的通知》[桂财采〔2015〕22号]以及《财政部关于进一步加强政府采购需求和履约验收管理的指导意见》[财库〔2016〕205号]规定执行。</w:t>
            </w:r>
          </w:p>
        </w:tc>
      </w:tr>
      <w:tr w14:paraId="1306C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53" w:type="dxa"/>
            <w:gridSpan w:val="5"/>
            <w:tcBorders>
              <w:top w:val="single" w:color="auto" w:sz="4" w:space="0"/>
              <w:left w:val="single" w:color="auto" w:sz="4" w:space="0"/>
              <w:bottom w:val="single" w:color="auto" w:sz="4" w:space="0"/>
              <w:right w:val="single" w:color="auto" w:sz="4" w:space="0"/>
            </w:tcBorders>
            <w:vAlign w:val="center"/>
          </w:tcPr>
          <w:p w14:paraId="1BA82F50">
            <w:pPr>
              <w:spacing w:line="360" w:lineRule="exact"/>
              <w:rPr>
                <w:rFonts w:hint="eastAsia" w:ascii="宋体" w:hAnsi="宋体"/>
                <w:b/>
                <w:bCs/>
                <w:color w:val="auto"/>
                <w:sz w:val="24"/>
                <w:szCs w:val="24"/>
                <w:highlight w:val="none"/>
              </w:rPr>
            </w:pPr>
            <w:r>
              <w:rPr>
                <w:rFonts w:hint="eastAsia" w:ascii="宋体" w:hAnsi="宋体"/>
                <w:b/>
                <w:bCs/>
                <w:color w:val="auto"/>
                <w:sz w:val="24"/>
                <w:szCs w:val="24"/>
                <w:highlight w:val="none"/>
              </w:rPr>
              <w:t>二、与实现项目目标相关的其他要求</w:t>
            </w:r>
          </w:p>
        </w:tc>
      </w:tr>
      <w:tr w14:paraId="2E660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53" w:type="dxa"/>
            <w:gridSpan w:val="5"/>
            <w:tcBorders>
              <w:top w:val="single" w:color="auto" w:sz="4" w:space="0"/>
              <w:left w:val="single" w:color="auto" w:sz="4" w:space="0"/>
              <w:bottom w:val="single" w:color="auto" w:sz="4" w:space="0"/>
              <w:right w:val="single" w:color="auto" w:sz="4" w:space="0"/>
            </w:tcBorders>
            <w:vAlign w:val="center"/>
          </w:tcPr>
          <w:p w14:paraId="2F8352EB">
            <w:pPr>
              <w:spacing w:line="360" w:lineRule="exact"/>
              <w:rPr>
                <w:rFonts w:hint="eastAsia" w:ascii="宋体" w:hAnsi="宋体"/>
                <w:b/>
                <w:color w:val="auto"/>
                <w:sz w:val="24"/>
                <w:szCs w:val="24"/>
                <w:highlight w:val="none"/>
              </w:rPr>
            </w:pPr>
            <w:r>
              <w:rPr>
                <w:rFonts w:hint="eastAsia" w:ascii="宋体" w:hAnsi="宋体"/>
                <w:b/>
                <w:color w:val="auto"/>
                <w:sz w:val="24"/>
                <w:szCs w:val="24"/>
                <w:highlight w:val="none"/>
              </w:rPr>
              <w:t>（一）供应商的履约能力要求</w:t>
            </w:r>
          </w:p>
        </w:tc>
      </w:tr>
      <w:tr w14:paraId="00409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55" w:type="dxa"/>
            <w:gridSpan w:val="2"/>
            <w:tcBorders>
              <w:top w:val="single" w:color="auto" w:sz="4" w:space="0"/>
              <w:left w:val="single" w:color="auto" w:sz="4" w:space="0"/>
              <w:bottom w:val="single" w:color="auto" w:sz="4" w:space="0"/>
              <w:right w:val="single" w:color="auto" w:sz="4" w:space="0"/>
            </w:tcBorders>
            <w:vAlign w:val="center"/>
          </w:tcPr>
          <w:p w14:paraId="1AD333B0">
            <w:pPr>
              <w:spacing w:line="360" w:lineRule="exact"/>
              <w:rPr>
                <w:rFonts w:hint="eastAsia" w:ascii="宋体" w:hAnsi="宋体"/>
                <w:color w:val="auto"/>
                <w:sz w:val="24"/>
                <w:szCs w:val="24"/>
                <w:highlight w:val="none"/>
              </w:rPr>
            </w:pPr>
            <w:r>
              <w:rPr>
                <w:rFonts w:hint="eastAsia" w:ascii="宋体" w:hAnsi="宋体"/>
                <w:color w:val="auto"/>
                <w:sz w:val="24"/>
                <w:szCs w:val="24"/>
                <w:highlight w:val="none"/>
              </w:rPr>
              <w:t>政策性加分条件</w:t>
            </w:r>
          </w:p>
        </w:tc>
        <w:tc>
          <w:tcPr>
            <w:tcW w:w="6598" w:type="dxa"/>
            <w:gridSpan w:val="3"/>
            <w:tcBorders>
              <w:top w:val="single" w:color="auto" w:sz="4" w:space="0"/>
              <w:left w:val="single" w:color="auto" w:sz="4" w:space="0"/>
              <w:bottom w:val="single" w:color="auto" w:sz="4" w:space="0"/>
              <w:right w:val="single" w:color="auto" w:sz="4" w:space="0"/>
            </w:tcBorders>
            <w:vAlign w:val="center"/>
          </w:tcPr>
          <w:p w14:paraId="56F2F25F">
            <w:pPr>
              <w:spacing w:line="360" w:lineRule="exact"/>
              <w:rPr>
                <w:rFonts w:hint="eastAsia" w:ascii="宋体" w:hAnsi="宋体"/>
                <w:color w:val="auto"/>
                <w:sz w:val="24"/>
                <w:szCs w:val="24"/>
                <w:highlight w:val="none"/>
              </w:rPr>
            </w:pPr>
            <w:r>
              <w:rPr>
                <w:rFonts w:hint="eastAsia" w:ascii="宋体" w:hAnsi="宋体"/>
                <w:color w:val="auto"/>
                <w:sz w:val="24"/>
                <w:szCs w:val="24"/>
                <w:highlight w:val="none"/>
              </w:rPr>
              <w:t>见本采购文件第四章“评审程序、评审方法和评审标准”。</w:t>
            </w:r>
          </w:p>
        </w:tc>
      </w:tr>
      <w:tr w14:paraId="16A68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55" w:type="dxa"/>
            <w:gridSpan w:val="2"/>
            <w:tcBorders>
              <w:top w:val="single" w:color="auto" w:sz="4" w:space="0"/>
              <w:left w:val="single" w:color="auto" w:sz="4" w:space="0"/>
              <w:bottom w:val="single" w:color="auto" w:sz="4" w:space="0"/>
              <w:right w:val="single" w:color="auto" w:sz="4" w:space="0"/>
            </w:tcBorders>
            <w:vAlign w:val="center"/>
          </w:tcPr>
          <w:p w14:paraId="2E8DF6FB">
            <w:pPr>
              <w:spacing w:line="360" w:lineRule="exact"/>
              <w:rPr>
                <w:rFonts w:hint="eastAsia" w:ascii="宋体" w:hAnsi="宋体"/>
                <w:color w:val="auto"/>
                <w:sz w:val="24"/>
                <w:szCs w:val="24"/>
                <w:highlight w:val="none"/>
              </w:rPr>
            </w:pPr>
            <w:r>
              <w:rPr>
                <w:rFonts w:hint="eastAsia" w:ascii="宋体" w:hAnsi="宋体"/>
                <w:color w:val="auto"/>
                <w:sz w:val="24"/>
                <w:szCs w:val="24"/>
                <w:highlight w:val="none"/>
              </w:rPr>
              <w:t>质量管理体系要求</w:t>
            </w:r>
          </w:p>
        </w:tc>
        <w:tc>
          <w:tcPr>
            <w:tcW w:w="6598" w:type="dxa"/>
            <w:gridSpan w:val="3"/>
            <w:tcBorders>
              <w:top w:val="single" w:color="auto" w:sz="4" w:space="0"/>
              <w:left w:val="single" w:color="auto" w:sz="4" w:space="0"/>
              <w:bottom w:val="single" w:color="auto" w:sz="4" w:space="0"/>
              <w:right w:val="single" w:color="auto" w:sz="4" w:space="0"/>
            </w:tcBorders>
            <w:vAlign w:val="center"/>
          </w:tcPr>
          <w:p w14:paraId="64779C40">
            <w:pPr>
              <w:spacing w:line="360" w:lineRule="exact"/>
              <w:rPr>
                <w:rFonts w:hint="eastAsia" w:ascii="宋体" w:hAnsi="宋体"/>
                <w:color w:val="auto"/>
                <w:sz w:val="24"/>
                <w:szCs w:val="24"/>
                <w:highlight w:val="none"/>
              </w:rPr>
            </w:pPr>
            <w:r>
              <w:rPr>
                <w:rFonts w:hint="eastAsia" w:ascii="宋体" w:hAnsi="宋体"/>
                <w:color w:val="auto"/>
                <w:sz w:val="24"/>
                <w:szCs w:val="24"/>
                <w:highlight w:val="none"/>
              </w:rPr>
              <w:t>如有，请提供。</w:t>
            </w:r>
          </w:p>
        </w:tc>
      </w:tr>
      <w:tr w14:paraId="1FA0C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55" w:type="dxa"/>
            <w:gridSpan w:val="2"/>
            <w:tcBorders>
              <w:top w:val="single" w:color="auto" w:sz="4" w:space="0"/>
              <w:left w:val="single" w:color="auto" w:sz="4" w:space="0"/>
              <w:bottom w:val="single" w:color="auto" w:sz="4" w:space="0"/>
              <w:right w:val="single" w:color="auto" w:sz="4" w:space="0"/>
            </w:tcBorders>
            <w:vAlign w:val="center"/>
          </w:tcPr>
          <w:p w14:paraId="01940BC0">
            <w:pPr>
              <w:spacing w:line="360" w:lineRule="exact"/>
              <w:rPr>
                <w:rFonts w:hint="eastAsia" w:ascii="宋体" w:hAnsi="宋体"/>
                <w:color w:val="auto"/>
                <w:sz w:val="24"/>
                <w:szCs w:val="24"/>
                <w:highlight w:val="none"/>
              </w:rPr>
            </w:pPr>
            <w:r>
              <w:rPr>
                <w:rFonts w:hint="eastAsia" w:ascii="宋体" w:hAnsi="宋体"/>
                <w:color w:val="auto"/>
                <w:sz w:val="24"/>
                <w:szCs w:val="24"/>
                <w:highlight w:val="none"/>
              </w:rPr>
              <w:t>业绩要求</w:t>
            </w:r>
          </w:p>
        </w:tc>
        <w:tc>
          <w:tcPr>
            <w:tcW w:w="6598" w:type="dxa"/>
            <w:gridSpan w:val="3"/>
            <w:tcBorders>
              <w:top w:val="single" w:color="auto" w:sz="4" w:space="0"/>
              <w:left w:val="single" w:color="auto" w:sz="4" w:space="0"/>
              <w:bottom w:val="single" w:color="auto" w:sz="4" w:space="0"/>
              <w:right w:val="single" w:color="auto" w:sz="4" w:space="0"/>
            </w:tcBorders>
            <w:vAlign w:val="center"/>
          </w:tcPr>
          <w:p w14:paraId="2C0828FA">
            <w:pPr>
              <w:spacing w:line="360" w:lineRule="exac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如有</w:t>
            </w:r>
            <w:r>
              <w:rPr>
                <w:rFonts w:hint="eastAsia" w:ascii="宋体" w:hAnsi="宋体"/>
                <w:color w:val="auto"/>
                <w:sz w:val="24"/>
                <w:szCs w:val="24"/>
                <w:highlight w:val="none"/>
                <w:lang w:val="en-US" w:eastAsia="zh-CN"/>
              </w:rPr>
              <w:t>要求时</w:t>
            </w:r>
            <w:r>
              <w:rPr>
                <w:rFonts w:hint="eastAsia" w:ascii="宋体" w:hAnsi="宋体"/>
                <w:color w:val="auto"/>
                <w:sz w:val="24"/>
                <w:szCs w:val="24"/>
                <w:highlight w:val="none"/>
              </w:rPr>
              <w:t>，请</w:t>
            </w:r>
            <w:r>
              <w:rPr>
                <w:rFonts w:hint="eastAsia" w:ascii="宋体" w:hAnsi="宋体"/>
                <w:color w:val="auto"/>
                <w:sz w:val="24"/>
                <w:szCs w:val="24"/>
                <w:highlight w:val="none"/>
                <w:lang w:val="en-US" w:eastAsia="zh-CN"/>
              </w:rPr>
              <w:t>必须</w:t>
            </w:r>
            <w:r>
              <w:rPr>
                <w:rFonts w:hint="eastAsia" w:ascii="宋体" w:hAnsi="宋体"/>
                <w:color w:val="auto"/>
                <w:sz w:val="24"/>
                <w:szCs w:val="24"/>
                <w:highlight w:val="none"/>
              </w:rPr>
              <w:t>提供。</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本项目有要求，详见第一章供应商资格条件</w:t>
            </w:r>
            <w:r>
              <w:rPr>
                <w:rFonts w:hint="eastAsia" w:ascii="宋体" w:hAnsi="宋体"/>
                <w:b/>
                <w:bCs/>
                <w:color w:val="auto"/>
                <w:sz w:val="24"/>
                <w:szCs w:val="24"/>
                <w:highlight w:val="none"/>
                <w:lang w:eastAsia="zh-CN"/>
              </w:rPr>
              <w:t>）</w:t>
            </w:r>
          </w:p>
        </w:tc>
      </w:tr>
      <w:tr w14:paraId="458B5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53" w:type="dxa"/>
            <w:gridSpan w:val="5"/>
            <w:tcBorders>
              <w:top w:val="single" w:color="auto" w:sz="4" w:space="0"/>
              <w:left w:val="single" w:color="auto" w:sz="4" w:space="0"/>
              <w:bottom w:val="single" w:color="auto" w:sz="4" w:space="0"/>
              <w:right w:val="single" w:color="auto" w:sz="4" w:space="0"/>
            </w:tcBorders>
            <w:vAlign w:val="center"/>
          </w:tcPr>
          <w:p w14:paraId="5327E4A0">
            <w:pPr>
              <w:spacing w:line="360" w:lineRule="exact"/>
              <w:rPr>
                <w:rFonts w:hint="eastAsia" w:ascii="宋体" w:hAnsi="宋体"/>
                <w:b/>
                <w:color w:val="auto"/>
                <w:sz w:val="24"/>
                <w:szCs w:val="24"/>
                <w:highlight w:val="none"/>
              </w:rPr>
            </w:pPr>
            <w:r>
              <w:rPr>
                <w:rFonts w:hint="eastAsia" w:ascii="宋体" w:hAnsi="宋体"/>
                <w:b/>
                <w:color w:val="auto"/>
                <w:sz w:val="24"/>
                <w:szCs w:val="24"/>
                <w:highlight w:val="none"/>
              </w:rPr>
              <w:t>（</w:t>
            </w:r>
            <w:r>
              <w:rPr>
                <w:rFonts w:hint="eastAsia" w:ascii="宋体" w:hAnsi="宋体"/>
                <w:b/>
                <w:color w:val="auto"/>
                <w:sz w:val="24"/>
                <w:szCs w:val="24"/>
                <w:highlight w:val="none"/>
                <w:lang w:val="en-US" w:eastAsia="zh-CN"/>
              </w:rPr>
              <w:t>二</w:t>
            </w:r>
            <w:r>
              <w:rPr>
                <w:rFonts w:hint="eastAsia" w:ascii="宋体" w:hAnsi="宋体"/>
                <w:b/>
                <w:color w:val="auto"/>
                <w:sz w:val="24"/>
                <w:szCs w:val="24"/>
                <w:highlight w:val="none"/>
              </w:rPr>
              <w:t>）其他</w:t>
            </w:r>
          </w:p>
        </w:tc>
      </w:tr>
      <w:tr w14:paraId="54E6A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55" w:type="dxa"/>
            <w:gridSpan w:val="2"/>
            <w:tcBorders>
              <w:top w:val="single" w:color="auto" w:sz="4" w:space="0"/>
              <w:left w:val="single" w:color="auto" w:sz="4" w:space="0"/>
              <w:bottom w:val="single" w:color="auto" w:sz="4" w:space="0"/>
              <w:right w:val="single" w:color="auto" w:sz="4" w:space="0"/>
            </w:tcBorders>
            <w:vAlign w:val="center"/>
          </w:tcPr>
          <w:p w14:paraId="7AC842D6">
            <w:pPr>
              <w:spacing w:line="360" w:lineRule="exact"/>
              <w:jc w:val="center"/>
              <w:rPr>
                <w:rFonts w:hint="eastAsia" w:ascii="宋体" w:hAnsi="宋体"/>
                <w:color w:val="auto"/>
                <w:sz w:val="24"/>
                <w:szCs w:val="24"/>
                <w:highlight w:val="none"/>
              </w:rPr>
            </w:pP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说明</w:t>
            </w:r>
          </w:p>
        </w:tc>
        <w:tc>
          <w:tcPr>
            <w:tcW w:w="6598" w:type="dxa"/>
            <w:gridSpan w:val="3"/>
            <w:tcBorders>
              <w:top w:val="single" w:color="auto" w:sz="4" w:space="0"/>
              <w:left w:val="single" w:color="auto" w:sz="4" w:space="0"/>
              <w:bottom w:val="single" w:color="auto" w:sz="4" w:space="0"/>
              <w:right w:val="single" w:color="auto" w:sz="4" w:space="0"/>
            </w:tcBorders>
            <w:vAlign w:val="center"/>
          </w:tcPr>
          <w:p w14:paraId="5DAE3815">
            <w:pPr>
              <w:spacing w:line="360" w:lineRule="exact"/>
              <w:rPr>
                <w:rFonts w:hint="eastAsia" w:ascii="宋体" w:hAnsi="宋体"/>
                <w:color w:val="auto"/>
                <w:sz w:val="24"/>
                <w:szCs w:val="24"/>
                <w:highlight w:val="none"/>
              </w:rPr>
            </w:pPr>
            <w:r>
              <w:rPr>
                <w:rFonts w:hint="eastAsia" w:ascii="宋体" w:hAnsi="宋体"/>
                <w:color w:val="auto"/>
                <w:sz w:val="24"/>
                <w:szCs w:val="24"/>
                <w:highlight w:val="none"/>
              </w:rPr>
              <w:t>在</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过程中，</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小组可能会根据</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文件和</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情况实质性变动采购需求中的技术、服务要求以及合同草案条款，对</w:t>
            </w:r>
            <w:r>
              <w:rPr>
                <w:rFonts w:hint="eastAsia" w:ascii="宋体" w:hAnsi="宋体"/>
                <w:color w:val="auto"/>
                <w:sz w:val="24"/>
                <w:szCs w:val="24"/>
                <w:highlight w:val="none"/>
                <w:lang w:val="en-US" w:eastAsia="zh-CN"/>
              </w:rPr>
              <w:t>谈判</w:t>
            </w:r>
            <w:r>
              <w:rPr>
                <w:rFonts w:hint="eastAsia" w:ascii="宋体" w:hAnsi="宋体"/>
                <w:color w:val="auto"/>
                <w:sz w:val="24"/>
                <w:szCs w:val="24"/>
                <w:highlight w:val="none"/>
              </w:rPr>
              <w:t>文件作出的实质性变动是</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文件的有效组成部分，</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小组以书面形式同时通知所有参加</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的供应商。请各供应商做好</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应答准备。</w:t>
            </w:r>
          </w:p>
        </w:tc>
      </w:tr>
      <w:tr w14:paraId="0875B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55" w:type="dxa"/>
            <w:gridSpan w:val="2"/>
            <w:tcBorders>
              <w:top w:val="single" w:color="auto" w:sz="4" w:space="0"/>
              <w:left w:val="single" w:color="auto" w:sz="4" w:space="0"/>
              <w:bottom w:val="single" w:color="auto" w:sz="4" w:space="0"/>
              <w:right w:val="single" w:color="auto" w:sz="4" w:space="0"/>
            </w:tcBorders>
            <w:vAlign w:val="center"/>
          </w:tcPr>
          <w:p w14:paraId="58F35E5E">
            <w:pPr>
              <w:spacing w:line="360" w:lineRule="exact"/>
              <w:jc w:val="center"/>
              <w:rPr>
                <w:rFonts w:ascii="宋体" w:hAnsi="宋体"/>
                <w:color w:val="auto"/>
                <w:sz w:val="24"/>
                <w:szCs w:val="24"/>
                <w:highlight w:val="none"/>
              </w:rPr>
            </w:pPr>
            <w:r>
              <w:rPr>
                <w:rFonts w:hint="eastAsia" w:ascii="宋体" w:hAnsi="宋体"/>
                <w:color w:val="auto"/>
                <w:sz w:val="24"/>
                <w:szCs w:val="24"/>
                <w:highlight w:val="none"/>
              </w:rPr>
              <w:t>项目服务方案</w:t>
            </w:r>
          </w:p>
        </w:tc>
        <w:tc>
          <w:tcPr>
            <w:tcW w:w="6598" w:type="dxa"/>
            <w:gridSpan w:val="3"/>
            <w:tcBorders>
              <w:top w:val="single" w:color="auto" w:sz="4" w:space="0"/>
              <w:left w:val="single" w:color="auto" w:sz="4" w:space="0"/>
              <w:bottom w:val="single" w:color="auto" w:sz="4" w:space="0"/>
              <w:right w:val="single" w:color="auto" w:sz="4" w:space="0"/>
            </w:tcBorders>
            <w:vAlign w:val="center"/>
          </w:tcPr>
          <w:p w14:paraId="5180289C">
            <w:pPr>
              <w:spacing w:line="360" w:lineRule="exact"/>
              <w:rPr>
                <w:rFonts w:hint="eastAsia" w:ascii="宋体" w:hAnsi="宋体"/>
                <w:color w:val="auto"/>
                <w:sz w:val="24"/>
                <w:szCs w:val="24"/>
                <w:highlight w:val="none"/>
              </w:rPr>
            </w:pP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供应商可根据自身情况编制服务方案。</w:t>
            </w:r>
          </w:p>
        </w:tc>
      </w:tr>
      <w:tr w14:paraId="63C43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55" w:type="dxa"/>
            <w:gridSpan w:val="2"/>
            <w:tcBorders>
              <w:top w:val="single" w:color="auto" w:sz="4" w:space="0"/>
              <w:left w:val="single" w:color="auto" w:sz="4" w:space="0"/>
              <w:bottom w:val="single" w:color="auto" w:sz="4" w:space="0"/>
              <w:right w:val="single" w:color="auto" w:sz="4" w:space="0"/>
            </w:tcBorders>
            <w:vAlign w:val="center"/>
          </w:tcPr>
          <w:p w14:paraId="2C72D658">
            <w:pPr>
              <w:spacing w:line="360" w:lineRule="exact"/>
              <w:jc w:val="center"/>
              <w:rPr>
                <w:rFonts w:ascii="宋体" w:hAnsi="宋体"/>
                <w:color w:val="auto"/>
                <w:sz w:val="24"/>
                <w:szCs w:val="24"/>
                <w:highlight w:val="none"/>
              </w:rPr>
            </w:pPr>
            <w:r>
              <w:rPr>
                <w:rFonts w:hint="eastAsia" w:ascii="宋体" w:hAnsi="宋体"/>
                <w:color w:val="auto"/>
                <w:sz w:val="24"/>
                <w:szCs w:val="24"/>
                <w:highlight w:val="none"/>
              </w:rPr>
              <w:t>▲最高限价</w:t>
            </w:r>
          </w:p>
        </w:tc>
        <w:tc>
          <w:tcPr>
            <w:tcW w:w="6598" w:type="dxa"/>
            <w:gridSpan w:val="3"/>
            <w:tcBorders>
              <w:top w:val="single" w:color="auto" w:sz="4" w:space="0"/>
              <w:left w:val="single" w:color="auto" w:sz="4" w:space="0"/>
              <w:bottom w:val="single" w:color="auto" w:sz="4" w:space="0"/>
              <w:right w:val="single" w:color="auto" w:sz="4" w:space="0"/>
            </w:tcBorders>
            <w:vAlign w:val="center"/>
          </w:tcPr>
          <w:p w14:paraId="76B6B91B">
            <w:pPr>
              <w:spacing w:line="360" w:lineRule="exact"/>
              <w:rPr>
                <w:rFonts w:hint="eastAsia" w:ascii="宋体" w:hAnsi="宋体" w:eastAsia="宋体"/>
                <w:b/>
                <w:bCs/>
                <w:color w:val="auto"/>
                <w:sz w:val="24"/>
                <w:szCs w:val="24"/>
                <w:highlight w:val="none"/>
                <w:lang w:val="en-US" w:eastAsia="zh-CN"/>
              </w:rPr>
            </w:pPr>
            <w:r>
              <w:rPr>
                <w:rFonts w:hint="eastAsia" w:ascii="宋体" w:hAnsi="宋体"/>
                <w:b/>
                <w:bCs/>
                <w:color w:val="auto"/>
                <w:sz w:val="24"/>
                <w:szCs w:val="24"/>
                <w:highlight w:val="none"/>
              </w:rPr>
              <w:t>本项目预算金额75万元，</w:t>
            </w:r>
            <w:r>
              <w:rPr>
                <w:rFonts w:hint="eastAsia" w:ascii="宋体" w:hAnsi="宋体"/>
                <w:b/>
                <w:bCs/>
                <w:color w:val="auto"/>
                <w:sz w:val="24"/>
                <w:szCs w:val="24"/>
                <w:highlight w:val="none"/>
                <w:lang w:val="en-US" w:eastAsia="zh-CN"/>
              </w:rPr>
              <w:t xml:space="preserve">0 </w:t>
            </w:r>
            <w:r>
              <w:rPr>
                <w:rFonts w:hint="eastAsia" w:ascii="宋体" w:hAnsi="宋体" w:eastAsia="宋体" w:cs="宋体"/>
                <w:b/>
                <w:bCs/>
                <w:color w:val="auto"/>
                <w:sz w:val="24"/>
                <w:szCs w:val="24"/>
                <w:highlight w:val="none"/>
              </w:rPr>
              <w:t>&lt;</w:t>
            </w:r>
            <w:r>
              <w:rPr>
                <w:rFonts w:hint="eastAsia" w:ascii="宋体" w:hAnsi="宋体" w:eastAsia="宋体" w:cs="宋体"/>
                <w:b/>
                <w:bCs/>
                <w:color w:val="auto"/>
                <w:sz w:val="24"/>
                <w:szCs w:val="24"/>
                <w:highlight w:val="none"/>
                <w:lang w:val="en-US" w:eastAsia="zh-CN"/>
              </w:rPr>
              <w:t xml:space="preserve"> </w:t>
            </w:r>
            <w:r>
              <w:rPr>
                <w:rFonts w:hint="eastAsia" w:ascii="宋体" w:hAnsi="宋体"/>
                <w:b/>
                <w:bCs/>
                <w:color w:val="auto"/>
                <w:sz w:val="24"/>
                <w:szCs w:val="24"/>
                <w:highlight w:val="none"/>
                <w:lang w:val="en-US" w:eastAsia="zh-CN"/>
              </w:rPr>
              <w:t>有效报价（</w:t>
            </w:r>
            <w:r>
              <w:rPr>
                <w:rFonts w:hint="eastAsia" w:ascii="宋体" w:hAnsi="宋体"/>
                <w:b/>
                <w:bCs/>
                <w:color w:val="auto"/>
                <w:sz w:val="24"/>
                <w:szCs w:val="24"/>
                <w:highlight w:val="none"/>
              </w:rPr>
              <w:t>折扣率</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范围</w:t>
            </w:r>
            <w:r>
              <w:rPr>
                <w:rFonts w:hint="eastAsia" w:ascii="宋体" w:hAnsi="宋体" w:eastAsia="宋体" w:cs="宋体"/>
                <w:b/>
                <w:bCs/>
                <w:color w:val="auto"/>
                <w:sz w:val="24"/>
                <w:szCs w:val="24"/>
                <w:highlight w:val="none"/>
              </w:rPr>
              <w:t>≦</w:t>
            </w:r>
            <w:r>
              <w:rPr>
                <w:rFonts w:hint="eastAsia" w:ascii="宋体" w:hAnsi="宋体"/>
                <w:b/>
                <w:bCs/>
                <w:color w:val="auto"/>
                <w:sz w:val="24"/>
                <w:szCs w:val="24"/>
                <w:highlight w:val="none"/>
              </w:rPr>
              <w:t>1</w:t>
            </w:r>
            <w:r>
              <w:rPr>
                <w:rFonts w:hint="eastAsia" w:ascii="宋体" w:hAnsi="宋体"/>
                <w:b/>
                <w:bCs/>
                <w:color w:val="auto"/>
                <w:sz w:val="24"/>
                <w:szCs w:val="24"/>
                <w:highlight w:val="none"/>
                <w:lang w:val="en-US" w:eastAsia="zh-CN"/>
              </w:rPr>
              <w:t>；</w:t>
            </w:r>
          </w:p>
          <w:p w14:paraId="3356C42F">
            <w:pPr>
              <w:spacing w:line="360" w:lineRule="exact"/>
              <w:rPr>
                <w:rFonts w:hint="eastAsia" w:ascii="宋体" w:hAnsi="宋体"/>
                <w:color w:val="auto"/>
                <w:sz w:val="24"/>
                <w:szCs w:val="24"/>
                <w:highlight w:val="none"/>
              </w:rPr>
            </w:pPr>
            <w:r>
              <w:rPr>
                <w:rFonts w:hint="eastAsia" w:ascii="宋体" w:hAnsi="宋体"/>
                <w:b/>
                <w:bCs/>
                <w:color w:val="auto"/>
                <w:sz w:val="24"/>
                <w:szCs w:val="24"/>
                <w:highlight w:val="none"/>
              </w:rPr>
              <w:t>，竞标报价</w:t>
            </w:r>
            <w:r>
              <w:rPr>
                <w:rFonts w:hint="eastAsia" w:ascii="宋体" w:hAnsi="宋体"/>
                <w:b/>
                <w:bCs/>
                <w:color w:val="auto"/>
                <w:sz w:val="24"/>
                <w:szCs w:val="24"/>
                <w:highlight w:val="none"/>
                <w:lang w:val="en-US" w:eastAsia="zh-CN"/>
              </w:rPr>
              <w:t>不在有效范围</w:t>
            </w:r>
            <w:r>
              <w:rPr>
                <w:rFonts w:hint="eastAsia" w:ascii="宋体" w:hAnsi="宋体"/>
                <w:b/>
                <w:bCs/>
                <w:color w:val="auto"/>
                <w:sz w:val="24"/>
                <w:szCs w:val="24"/>
                <w:highlight w:val="none"/>
              </w:rPr>
              <w:t>的作无效竞标处理。</w:t>
            </w:r>
          </w:p>
        </w:tc>
      </w:tr>
    </w:tbl>
    <w:p w14:paraId="118AA742">
      <w:pPr>
        <w:keepNext w:val="0"/>
        <w:keepLines w:val="0"/>
        <w:pageBreakBefore w:val="0"/>
        <w:widowControl w:val="0"/>
        <w:kinsoku/>
        <w:wordWrap/>
        <w:overflowPunct/>
        <w:topLinePunct w:val="0"/>
        <w:autoSpaceDE/>
        <w:autoSpaceDN/>
        <w:bidi w:val="0"/>
        <w:spacing w:line="520" w:lineRule="exact"/>
        <w:ind w:firstLine="480" w:firstLineChars="200"/>
        <w:jc w:val="left"/>
        <w:rPr>
          <w:rFonts w:hint="eastAsia" w:ascii="Times New Roman" w:hAnsi="Times New Roman" w:eastAsia="宋体" w:cs="Times New Roman"/>
          <w:color w:val="auto"/>
          <w:sz w:val="24"/>
          <w:szCs w:val="24"/>
          <w:highlight w:val="none"/>
          <w:lang w:eastAsia="zh-CN"/>
        </w:rPr>
      </w:pPr>
    </w:p>
    <w:p w14:paraId="75D6B982">
      <w:pPr>
        <w:keepNext w:val="0"/>
        <w:keepLines w:val="0"/>
        <w:pageBreakBefore w:val="0"/>
        <w:widowControl w:val="0"/>
        <w:kinsoku/>
        <w:wordWrap/>
        <w:overflowPunct/>
        <w:topLinePunct w:val="0"/>
        <w:autoSpaceDE/>
        <w:autoSpaceDN/>
        <w:bidi w:val="0"/>
        <w:spacing w:line="520" w:lineRule="exact"/>
        <w:ind w:firstLine="480" w:firstLineChars="200"/>
        <w:jc w:val="left"/>
        <w:rPr>
          <w:rFonts w:hint="eastAsia" w:ascii="Times New Roman" w:hAnsi="Times New Roman" w:eastAsia="宋体" w:cs="Times New Roman"/>
          <w:color w:val="auto"/>
          <w:sz w:val="24"/>
          <w:szCs w:val="24"/>
          <w:highlight w:val="none"/>
          <w:lang w:eastAsia="zh-CN"/>
        </w:rPr>
      </w:pPr>
    </w:p>
    <w:p w14:paraId="21FCF91B">
      <w:pPr>
        <w:keepNext w:val="0"/>
        <w:keepLines w:val="0"/>
        <w:pageBreakBefore w:val="0"/>
        <w:widowControl w:val="0"/>
        <w:kinsoku/>
        <w:wordWrap/>
        <w:overflowPunct/>
        <w:topLinePunct w:val="0"/>
        <w:autoSpaceDE/>
        <w:autoSpaceDN/>
        <w:bidi w:val="0"/>
        <w:spacing w:line="520" w:lineRule="exact"/>
        <w:ind w:firstLine="723" w:firstLineChars="300"/>
        <w:jc w:val="left"/>
        <w:rPr>
          <w:rFonts w:hint="eastAsia" w:ascii="宋体" w:hAnsi="宋体" w:cs="Arial"/>
          <w:b/>
          <w:color w:val="auto"/>
          <w:sz w:val="24"/>
          <w:szCs w:val="24"/>
          <w:highlight w:val="none"/>
        </w:rPr>
      </w:pPr>
      <w:r>
        <w:rPr>
          <w:rFonts w:hint="eastAsia" w:ascii="宋体" w:hAnsi="宋体" w:cs="Arial"/>
          <w:b/>
          <w:color w:val="auto"/>
          <w:sz w:val="24"/>
          <w:szCs w:val="24"/>
          <w:highlight w:val="none"/>
        </w:rPr>
        <w:t>分标2：</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583"/>
        <w:gridCol w:w="851"/>
        <w:gridCol w:w="4735"/>
        <w:gridCol w:w="1012"/>
      </w:tblGrid>
      <w:tr w14:paraId="2ADF0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4" w:hRule="atLeast"/>
          <w:jc w:val="center"/>
        </w:trPr>
        <w:tc>
          <w:tcPr>
            <w:tcW w:w="672" w:type="dxa"/>
            <w:vAlign w:val="center"/>
          </w:tcPr>
          <w:p w14:paraId="0F3CD8E9">
            <w:pPr>
              <w:tabs>
                <w:tab w:val="left" w:pos="180"/>
                <w:tab w:val="left" w:pos="1620"/>
              </w:tabs>
              <w:spacing w:line="36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1583" w:type="dxa"/>
            <w:vAlign w:val="center"/>
          </w:tcPr>
          <w:p w14:paraId="7BC208F9">
            <w:pPr>
              <w:tabs>
                <w:tab w:val="left" w:pos="180"/>
                <w:tab w:val="left" w:pos="1620"/>
              </w:tabs>
              <w:spacing w:line="36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标的的名称</w:t>
            </w:r>
          </w:p>
        </w:tc>
        <w:tc>
          <w:tcPr>
            <w:tcW w:w="851" w:type="dxa"/>
            <w:vAlign w:val="center"/>
          </w:tcPr>
          <w:p w14:paraId="681E5D43">
            <w:pPr>
              <w:tabs>
                <w:tab w:val="left" w:pos="180"/>
                <w:tab w:val="left" w:pos="1620"/>
              </w:tabs>
              <w:spacing w:line="36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数量及单位</w:t>
            </w:r>
          </w:p>
        </w:tc>
        <w:tc>
          <w:tcPr>
            <w:tcW w:w="4735" w:type="dxa"/>
            <w:vAlign w:val="center"/>
          </w:tcPr>
          <w:p w14:paraId="58452D77">
            <w:pPr>
              <w:tabs>
                <w:tab w:val="left" w:pos="180"/>
                <w:tab w:val="left" w:pos="1620"/>
              </w:tabs>
              <w:spacing w:line="36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技术要求</w:t>
            </w:r>
          </w:p>
        </w:tc>
        <w:tc>
          <w:tcPr>
            <w:tcW w:w="1012" w:type="dxa"/>
            <w:vAlign w:val="top"/>
          </w:tcPr>
          <w:p w14:paraId="0D2D6737">
            <w:pPr>
              <w:tabs>
                <w:tab w:val="left" w:pos="180"/>
                <w:tab w:val="left" w:pos="1620"/>
              </w:tabs>
              <w:spacing w:line="36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所属</w:t>
            </w:r>
          </w:p>
          <w:p w14:paraId="3A7EB8CE">
            <w:pPr>
              <w:tabs>
                <w:tab w:val="left" w:pos="180"/>
                <w:tab w:val="left" w:pos="1620"/>
              </w:tabs>
              <w:spacing w:line="36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行业</w:t>
            </w:r>
          </w:p>
        </w:tc>
      </w:tr>
      <w:tr w14:paraId="44751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672" w:type="dxa"/>
            <w:vAlign w:val="center"/>
          </w:tcPr>
          <w:p w14:paraId="05C32ED2">
            <w:pPr>
              <w:tabs>
                <w:tab w:val="left" w:pos="180"/>
                <w:tab w:val="left" w:pos="1620"/>
              </w:tabs>
              <w:spacing w:line="36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1583" w:type="dxa"/>
            <w:vAlign w:val="center"/>
          </w:tcPr>
          <w:p w14:paraId="41C7591D">
            <w:pPr>
              <w:spacing w:line="3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中文纸质新书</w:t>
            </w:r>
          </w:p>
        </w:tc>
        <w:tc>
          <w:tcPr>
            <w:tcW w:w="851" w:type="dxa"/>
            <w:vAlign w:val="center"/>
          </w:tcPr>
          <w:p w14:paraId="1A67A3B3">
            <w:pPr>
              <w:spacing w:line="3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万册</w:t>
            </w:r>
          </w:p>
        </w:tc>
        <w:tc>
          <w:tcPr>
            <w:tcW w:w="4735" w:type="dxa"/>
            <w:vAlign w:val="center"/>
          </w:tcPr>
          <w:p w14:paraId="3FD42448">
            <w:pPr>
              <w:spacing w:line="360" w:lineRule="exact"/>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一、基本要求</w:t>
            </w:r>
          </w:p>
          <w:p w14:paraId="00D0E906">
            <w:pPr>
              <w:autoSpaceDE w:val="0"/>
              <w:autoSpaceDN w:val="0"/>
              <w:spacing w:line="360" w:lineRule="exact"/>
              <w:rPr>
                <w:rFonts w:ascii="宋体" w:hAnsi="宋体" w:cs="Arial"/>
                <w:color w:val="auto"/>
                <w:sz w:val="24"/>
                <w:szCs w:val="24"/>
                <w:highlight w:val="none"/>
              </w:rPr>
            </w:pPr>
            <w:r>
              <w:rPr>
                <w:rFonts w:hint="eastAsia" w:ascii="宋体" w:hAnsi="宋体" w:cs="Arial"/>
                <w:color w:val="auto"/>
                <w:sz w:val="24"/>
                <w:szCs w:val="24"/>
                <w:highlight w:val="none"/>
              </w:rPr>
              <w:t>1、本次采购2023年到2025年出版的全新中文图书，其中农业和生物类图书占比不少24%，工业类图书占比不少于10%，经济类图书占比不少于5%，资源环境类图书占比不少于5%</w:t>
            </w:r>
            <w:r>
              <w:rPr>
                <w:rFonts w:hint="eastAsia" w:ascii="宋体" w:hAnsi="宋体" w:cs="宋体"/>
                <w:bCs/>
                <w:color w:val="auto"/>
                <w:sz w:val="24"/>
                <w:szCs w:val="24"/>
                <w:highlight w:val="none"/>
              </w:rPr>
              <w:t>（教师学生推荐的用书不限年代）</w:t>
            </w:r>
            <w:r>
              <w:rPr>
                <w:rFonts w:hint="eastAsia" w:ascii="宋体" w:hAnsi="宋体"/>
                <w:color w:val="auto"/>
                <w:sz w:val="24"/>
                <w:szCs w:val="24"/>
                <w:highlight w:val="none"/>
              </w:rPr>
              <w:t>，复本不超过3本，满足高职院校教职工和学生阅览需求，能覆盖采购人学校所有学科。</w:t>
            </w:r>
          </w:p>
          <w:p w14:paraId="70C2F34D">
            <w:pPr>
              <w:autoSpaceDE w:val="0"/>
              <w:autoSpaceDN w:val="0"/>
              <w:spacing w:line="360" w:lineRule="exact"/>
              <w:rPr>
                <w:rFonts w:ascii="宋体" w:hAnsi="宋体" w:cs="Arial"/>
                <w:color w:val="auto"/>
                <w:sz w:val="24"/>
                <w:szCs w:val="24"/>
                <w:highlight w:val="none"/>
              </w:rPr>
            </w:pPr>
            <w:r>
              <w:rPr>
                <w:rFonts w:hint="eastAsia" w:ascii="宋体" w:hAnsi="宋体" w:cs="Arial"/>
                <w:color w:val="auto"/>
                <w:sz w:val="24"/>
                <w:szCs w:val="24"/>
                <w:highlight w:val="none"/>
              </w:rPr>
              <w:t>2、根据《中图分类法（第五版）》进行图书分编加工和物理加工，满足采购方的技术要求，便于进行图书管理、检索和查找。</w:t>
            </w:r>
          </w:p>
          <w:p w14:paraId="1F796557">
            <w:pPr>
              <w:spacing w:line="360" w:lineRule="exact"/>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▲二、技术要求</w:t>
            </w:r>
          </w:p>
          <w:p w14:paraId="3B893E58">
            <w:pPr>
              <w:ind w:firstLine="480" w:firstLineChars="200"/>
              <w:rPr>
                <w:rFonts w:ascii="宋体" w:hAnsi="宋体"/>
                <w:color w:val="auto"/>
                <w:sz w:val="24"/>
                <w:szCs w:val="24"/>
                <w:highlight w:val="none"/>
              </w:rPr>
            </w:pPr>
            <w:r>
              <w:rPr>
                <w:rFonts w:hint="eastAsia" w:ascii="宋体" w:hAnsi="宋体"/>
                <w:color w:val="auto"/>
                <w:sz w:val="24"/>
                <w:szCs w:val="24"/>
                <w:highlight w:val="none"/>
              </w:rPr>
              <w:t>为考察供应商技术能力，凡参加本次招标的供应商须在递交响应文件的同时提供本公司加工处理的五本图书编目数据。编目数据用A4纸打印，一条记录一页，写在响应文件中。五本图书</w:t>
            </w:r>
            <w:r>
              <w:rPr>
                <w:rFonts w:hint="eastAsia" w:ascii="宋体" w:hAnsi="宋体"/>
                <w:color w:val="auto"/>
                <w:sz w:val="24"/>
                <w:szCs w:val="24"/>
                <w:highlight w:val="none"/>
                <w:lang w:val="en-US" w:eastAsia="zh-CN"/>
              </w:rPr>
              <w:t>的编目数据中</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写明</w:t>
            </w:r>
            <w:r>
              <w:rPr>
                <w:rFonts w:hint="eastAsia" w:ascii="宋体" w:hAnsi="宋体"/>
                <w:color w:val="auto"/>
                <w:sz w:val="24"/>
                <w:szCs w:val="24"/>
                <w:highlight w:val="none"/>
              </w:rPr>
              <w:t>一本有随书光盘，一本为译文，一本为丛书中的一本，一本有外文题名，一本为普通图书。编目数据要符合CALIS完整级别著录，本馆丛编项著录不要嵌入式著录。</w:t>
            </w:r>
          </w:p>
          <w:p w14:paraId="3176F9AE">
            <w:pPr>
              <w:spacing w:line="360" w:lineRule="exact"/>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三、采购要求</w:t>
            </w:r>
          </w:p>
          <w:p w14:paraId="0E245A3C">
            <w:pPr>
              <w:spacing w:line="360" w:lineRule="exact"/>
              <w:rPr>
                <w:rFonts w:ascii="宋体" w:hAnsi="宋体" w:cs="宋体"/>
                <w:color w:val="auto"/>
                <w:sz w:val="24"/>
                <w:szCs w:val="24"/>
                <w:highlight w:val="none"/>
              </w:rPr>
            </w:pPr>
            <w:r>
              <w:rPr>
                <w:rFonts w:hint="eastAsia" w:ascii="宋体" w:hAnsi="宋体" w:cs="宋体"/>
                <w:b/>
                <w:bCs/>
                <w:color w:val="auto"/>
                <w:sz w:val="24"/>
                <w:szCs w:val="24"/>
                <w:highlight w:val="none"/>
              </w:rPr>
              <w:t>▲</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成交供应商</w:t>
            </w:r>
            <w:r>
              <w:rPr>
                <w:rFonts w:hint="eastAsia" w:ascii="宋体" w:hAnsi="宋体" w:cs="宋体"/>
                <w:color w:val="auto"/>
                <w:sz w:val="24"/>
                <w:szCs w:val="24"/>
                <w:highlight w:val="none"/>
              </w:rPr>
              <w:t>向采购人提供的图书必须是正规出版机构的正式出版图书，不能有质量问题，不允许有任何盗版、低劣、淫秽的图书，否则视为违约，采购人有权取消本次政府采购合同，并保留向成交供应商追究法律责任的权力。</w:t>
            </w:r>
          </w:p>
          <w:p w14:paraId="613089DA">
            <w:pPr>
              <w:numPr>
                <w:ilvl w:val="0"/>
                <w:numId w:val="0"/>
              </w:numPr>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2、成交供应商</w:t>
            </w:r>
            <w:r>
              <w:rPr>
                <w:rFonts w:hint="eastAsia" w:ascii="宋体" w:hAnsi="宋体" w:cs="宋体"/>
                <w:color w:val="auto"/>
                <w:sz w:val="24"/>
                <w:szCs w:val="24"/>
                <w:highlight w:val="none"/>
              </w:rPr>
              <w:t>提供以下核心出版社的全品种图书书目信息，覆盖率达到100%。采购以下核心出版社出版的图书占比不低于50%。不得因为供货折扣原因屏蔽任何图书品种，并积极联系出版社获得合作包销图书品种信息。每期书目信息报道不得重复。</w:t>
            </w:r>
          </w:p>
          <w:p w14:paraId="7B0A2684">
            <w:pPr>
              <w:spacing w:line="36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核心出版社：中国农业出版社、中国农业大学出版社、中国林业出版社、科学出版社、人民邮电出版社、电子工业出版社、化学工业出版社、机械工业出版社、中国人民大学出版社、北京大学出版社、清华大学出版社、南京大学出版社、北京理工大学出版社、上海科学技术出版社、上海科技教育出版社、武汉理工大学出版社、中国轻工业出版社、中国建筑工业出版社、中国科学技术大学出版社、中国铁道出版社、广西科学技术出版社、中国轻工业出版社、辽宁科学技术出版社、天津科学技术出版社、广西师范大学出版社、湖南科学技术出版社、黄河水利出版社、西安电子科技大学出版社、中国水利水电出版社、苏州大学出版社。</w:t>
            </w:r>
          </w:p>
          <w:p w14:paraId="2C66B2E9">
            <w:pPr>
              <w:spacing w:line="360" w:lineRule="exact"/>
              <w:rPr>
                <w:rFonts w:ascii="宋体" w:hAnsi="宋体" w:cs="宋体"/>
                <w:color w:val="auto"/>
                <w:sz w:val="24"/>
                <w:szCs w:val="24"/>
                <w:highlight w:val="none"/>
              </w:rPr>
            </w:pPr>
            <w:r>
              <w:rPr>
                <w:rFonts w:hint="eastAsia" w:ascii="宋体" w:hAnsi="宋体" w:cs="宋体"/>
                <w:b/>
                <w:bCs/>
                <w:color w:val="auto"/>
                <w:sz w:val="24"/>
                <w:szCs w:val="24"/>
                <w:highlight w:val="none"/>
              </w:rPr>
              <w:t>▲</w:t>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成交供应商</w:t>
            </w:r>
            <w:r>
              <w:rPr>
                <w:rFonts w:hint="eastAsia" w:ascii="宋体" w:hAnsi="宋体" w:cs="宋体"/>
                <w:color w:val="auto"/>
                <w:sz w:val="24"/>
                <w:szCs w:val="24"/>
                <w:highlight w:val="none"/>
              </w:rPr>
              <w:t>提供的图书与新闻出版署的数据不相符的，或存在印刷图文不清、污损、缺页、倒页、缺附件等质量不合格的一律予以退货，由此造成的损失及费用全部由中标人承担。</w:t>
            </w:r>
          </w:p>
          <w:p w14:paraId="01577091">
            <w:pPr>
              <w:rPr>
                <w:rFonts w:ascii="宋体" w:hAnsi="宋体" w:cs="宋体"/>
                <w:color w:val="auto"/>
                <w:sz w:val="24"/>
                <w:szCs w:val="24"/>
                <w:highlight w:val="none"/>
              </w:rPr>
            </w:pPr>
            <w:r>
              <w:rPr>
                <w:rFonts w:hint="eastAsia" w:ascii="宋体" w:hAnsi="宋体" w:cs="宋体"/>
                <w:b/>
                <w:bCs/>
                <w:color w:val="auto"/>
                <w:sz w:val="24"/>
                <w:szCs w:val="24"/>
                <w:highlight w:val="none"/>
              </w:rPr>
              <w:t>▲</w:t>
            </w:r>
            <w:r>
              <w:rPr>
                <w:rFonts w:hint="eastAsia" w:ascii="宋体" w:hAnsi="宋体" w:cs="宋体"/>
                <w:color w:val="auto"/>
                <w:sz w:val="24"/>
                <w:szCs w:val="24"/>
                <w:highlight w:val="none"/>
              </w:rPr>
              <w:t>4、</w:t>
            </w:r>
            <w:r>
              <w:rPr>
                <w:rFonts w:hint="eastAsia" w:ascii="宋体" w:hAnsi="宋体" w:cs="宋体"/>
                <w:color w:val="auto"/>
                <w:sz w:val="24"/>
                <w:szCs w:val="24"/>
                <w:highlight w:val="none"/>
                <w:lang w:val="en-US" w:eastAsia="zh-CN"/>
              </w:rPr>
              <w:t>成交供应商</w:t>
            </w:r>
            <w:r>
              <w:rPr>
                <w:rFonts w:hint="eastAsia" w:ascii="宋体" w:hAnsi="宋体" w:cs="宋体"/>
                <w:color w:val="auto"/>
                <w:kern w:val="0"/>
                <w:sz w:val="24"/>
                <w:szCs w:val="24"/>
                <w:highlight w:val="none"/>
              </w:rPr>
              <w:t>收到订单后应及时处理，并于2个工作日内反馈给采购人确认订单收到，一周内告知订单所处的状态：上报出版社、配货、加工、发货及该订单的发货率等。若订单中有订购不到的图书，接订单之日起一周内须告知采购人。如订单中有复本量超过通常量的，应告知采购单位，予以更改。有非本馆选订原则的图书（散页、挂图、配磁带书、小于或等于64开书、少于40页的书、少儿、中小学、文学类以图画为主的非特指定选购书等），应提示是否继续订购。</w:t>
            </w:r>
            <w:r>
              <w:rPr>
                <w:rFonts w:hint="eastAsia" w:ascii="宋体" w:hAnsi="宋体" w:cs="宋体"/>
                <w:color w:val="auto"/>
                <w:sz w:val="24"/>
                <w:szCs w:val="24"/>
                <w:highlight w:val="none"/>
              </w:rPr>
              <w:t>中标人必须保证按采购单位订购的图书品种、数量及时供货，订单到书率须达到95%及以上（到书率=实际到馆图书种数/订单种数），</w:t>
            </w:r>
            <w:r>
              <w:rPr>
                <w:rFonts w:hint="eastAsia" w:ascii="宋体" w:hAnsi="宋体" w:cs="宋体"/>
                <w:bCs/>
                <w:color w:val="auto"/>
                <w:sz w:val="24"/>
                <w:szCs w:val="24"/>
                <w:highlight w:val="none"/>
              </w:rPr>
              <w:t>教师学生推荐的用书不做此要求</w:t>
            </w:r>
            <w:r>
              <w:rPr>
                <w:rFonts w:hint="eastAsia" w:ascii="宋体" w:hAnsi="宋体" w:cs="宋体"/>
                <w:color w:val="auto"/>
                <w:sz w:val="24"/>
                <w:szCs w:val="24"/>
                <w:highlight w:val="none"/>
              </w:rPr>
              <w:t>。</w:t>
            </w:r>
          </w:p>
          <w:p w14:paraId="382BD179">
            <w:pPr>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en-US" w:eastAsia="zh-CN"/>
              </w:rPr>
              <w:t>成交供应商</w:t>
            </w:r>
            <w:r>
              <w:rPr>
                <w:rFonts w:hint="eastAsia" w:ascii="宋体" w:hAnsi="宋体" w:cs="宋体"/>
                <w:color w:val="auto"/>
                <w:sz w:val="24"/>
                <w:szCs w:val="24"/>
                <w:highlight w:val="none"/>
              </w:rPr>
              <w:t>应在每批图书到</w:t>
            </w:r>
            <w:r>
              <w:rPr>
                <w:rFonts w:hint="eastAsia" w:ascii="宋体" w:hAnsi="宋体" w:cs="宋体"/>
                <w:color w:val="auto"/>
                <w:sz w:val="24"/>
                <w:szCs w:val="24"/>
                <w:highlight w:val="none"/>
                <w:lang w:val="en-US" w:eastAsia="zh-CN"/>
              </w:rPr>
              <w:t>达</w:t>
            </w:r>
            <w:r>
              <w:rPr>
                <w:rFonts w:hint="eastAsia" w:ascii="宋体" w:hAnsi="宋体" w:cs="宋体"/>
                <w:color w:val="auto"/>
                <w:sz w:val="24"/>
                <w:szCs w:val="24"/>
                <w:highlight w:val="none"/>
              </w:rPr>
              <w:t>图书馆之前，应做好编目数据，其数据须完全符合采购人图书集成管理系统interlib3.0的格式及运行要求，编目数据分编执行标准GB/T12451-2023 、GB/T13191-2009 、GB/T3792.2-2006。</w:t>
            </w:r>
          </w:p>
          <w:p w14:paraId="165669A7">
            <w:pPr>
              <w:pStyle w:val="11"/>
              <w:spacing w:line="400" w:lineRule="exact"/>
              <w:rPr>
                <w:rFonts w:ascii="宋体" w:hAnsi="宋体" w:cs="宋体"/>
                <w:color w:val="auto"/>
                <w:sz w:val="24"/>
                <w:szCs w:val="24"/>
                <w:highlight w:val="none"/>
                <w:lang w:val="en-US"/>
              </w:rPr>
            </w:pPr>
            <w:r>
              <w:rPr>
                <w:rFonts w:hint="eastAsia" w:ascii="宋体" w:hAnsi="宋体" w:cs="宋体"/>
                <w:b/>
                <w:bCs/>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val="en-US"/>
              </w:rPr>
              <w:t>.</w:t>
            </w: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lang w:val="en-US"/>
              </w:rPr>
              <w:t>供应商应提供功能较完善、性能稳定的专业化图书采访电子商务网站，能定期发布征订书目等图书信息，能够进行网上下载图书采访书目数据。</w:t>
            </w:r>
          </w:p>
          <w:p w14:paraId="7CB436E1">
            <w:pPr>
              <w:spacing w:line="360" w:lineRule="exact"/>
              <w:rPr>
                <w:rFonts w:ascii="宋体" w:hAnsi="宋体" w:eastAsia="宋体" w:cs="Times New Roman"/>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w:t>
            </w:r>
            <w:r>
              <w:rPr>
                <w:rFonts w:hint="eastAsia" w:ascii="宋体" w:hAnsi="宋体" w:eastAsia="宋体" w:cs="宋体"/>
                <w:color w:val="auto"/>
                <w:sz w:val="24"/>
                <w:szCs w:val="24"/>
                <w:highlight w:val="none"/>
                <w:lang w:val="en-US" w:eastAsia="zh-CN"/>
              </w:rPr>
              <w:t>成交供应商</w:t>
            </w:r>
            <w:r>
              <w:rPr>
                <w:rFonts w:hint="eastAsia" w:ascii="宋体" w:hAnsi="宋体" w:cs="宋体"/>
                <w:color w:val="auto"/>
                <w:sz w:val="24"/>
                <w:szCs w:val="24"/>
                <w:highlight w:val="none"/>
                <w:lang w:val="en-US" w:eastAsia="zh-CN"/>
              </w:rPr>
              <w:t>自</w:t>
            </w:r>
            <w:r>
              <w:rPr>
                <w:rFonts w:hint="eastAsia" w:ascii="宋体" w:hAnsi="宋体" w:eastAsia="宋体" w:cs="Times New Roman"/>
                <w:color w:val="auto"/>
                <w:sz w:val="24"/>
                <w:szCs w:val="24"/>
                <w:highlight w:val="none"/>
                <w:lang w:val="en-US" w:eastAsia="zh-CN"/>
              </w:rPr>
              <w:t>签订成交合同</w:t>
            </w:r>
            <w:r>
              <w:rPr>
                <w:rFonts w:hint="eastAsia" w:ascii="宋体" w:hAnsi="宋体" w:eastAsia="宋体" w:cs="Times New Roman"/>
                <w:color w:val="auto"/>
                <w:sz w:val="24"/>
                <w:szCs w:val="24"/>
                <w:highlight w:val="none"/>
              </w:rPr>
              <w:t>之日起一年内为学校举办一次书展或专题讲座活动。书展要求提供不少于1000册展示图书，专题讲座须邀请具有较高专业水准的行业专家或作家（符合意识形态审核要求，近三年无违规记录）。行业专家应具备副高级以上职称，或具有5年以上行业领军企业核心岗位任职经历；文学类作家需至少出版1部专著或获得省级文学奖项。</w:t>
            </w:r>
            <w:r>
              <w:rPr>
                <w:rFonts w:hint="eastAsia" w:ascii="宋体" w:hAnsi="宋体" w:eastAsia="宋体" w:cs="Times New Roman"/>
                <w:color w:val="auto"/>
                <w:sz w:val="24"/>
                <w:szCs w:val="24"/>
                <w:highlight w:val="none"/>
                <w:lang w:val="en-US" w:eastAsia="zh-CN"/>
              </w:rPr>
              <w:t>成交供应商</w:t>
            </w:r>
            <w:r>
              <w:rPr>
                <w:rFonts w:hint="eastAsia" w:ascii="宋体" w:hAnsi="宋体" w:eastAsia="宋体" w:cs="Times New Roman"/>
                <w:color w:val="auto"/>
                <w:sz w:val="24"/>
                <w:szCs w:val="24"/>
                <w:highlight w:val="none"/>
              </w:rPr>
              <w:t>应承担书展、专家差旅及讲座劳务费等相关费用</w:t>
            </w:r>
            <w:r>
              <w:rPr>
                <w:rFonts w:hint="eastAsia" w:ascii="宋体" w:hAnsi="宋体"/>
                <w:b/>
                <w:bCs/>
                <w:color w:val="auto"/>
                <w:sz w:val="24"/>
                <w:szCs w:val="24"/>
                <w:highlight w:val="none"/>
              </w:rPr>
              <w:t>（响应文件中提供承诺函</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格式自拟，否则竞标无效</w:t>
            </w:r>
            <w:r>
              <w:rPr>
                <w:rFonts w:hint="eastAsia" w:ascii="宋体" w:hAnsi="宋体"/>
                <w:b/>
                <w:bCs/>
                <w:color w:val="auto"/>
                <w:sz w:val="24"/>
                <w:szCs w:val="24"/>
                <w:highlight w:val="none"/>
              </w:rPr>
              <w:t>）</w:t>
            </w:r>
            <w:r>
              <w:rPr>
                <w:rFonts w:hint="eastAsia" w:ascii="宋体" w:hAnsi="宋体" w:eastAsia="宋体" w:cs="Times New Roman"/>
                <w:color w:val="auto"/>
                <w:sz w:val="24"/>
                <w:szCs w:val="24"/>
                <w:highlight w:val="none"/>
              </w:rPr>
              <w:t>。</w:t>
            </w:r>
          </w:p>
          <w:p w14:paraId="12F4D13E">
            <w:pPr>
              <w:spacing w:line="360" w:lineRule="exact"/>
              <w:jc w:val="left"/>
              <w:rPr>
                <w:rFonts w:hint="eastAsia" w:ascii="宋体" w:hAnsi="宋体" w:cs="宋体"/>
                <w:color w:val="auto"/>
                <w:sz w:val="24"/>
                <w:szCs w:val="24"/>
                <w:highlight w:val="none"/>
              </w:rPr>
            </w:pPr>
            <w:r>
              <w:rPr>
                <w:rFonts w:hint="eastAsia" w:ascii="宋体" w:hAnsi="宋体"/>
                <w:color w:val="auto"/>
                <w:sz w:val="24"/>
                <w:szCs w:val="24"/>
                <w:highlight w:val="none"/>
                <w:lang w:val="en-US" w:eastAsia="zh-CN"/>
              </w:rPr>
              <w:t>8、</w:t>
            </w:r>
            <w:r>
              <w:rPr>
                <w:rFonts w:hint="eastAsia" w:ascii="宋体" w:hAnsi="宋体" w:eastAsia="宋体" w:cs="宋体"/>
                <w:color w:val="auto"/>
                <w:sz w:val="24"/>
                <w:highlight w:val="none"/>
              </w:rPr>
              <w:t>成交供应商应组织参加每年度的全国书市或大学书市现采活动一次，人数1-2人。提供采集器及对馆藏数据的导入导出服务，提供协助人员，保证现采顺利进行，全部费用由成交供应商负责</w:t>
            </w:r>
            <w:r>
              <w:rPr>
                <w:rFonts w:hint="eastAsia"/>
                <w:b/>
                <w:bCs/>
                <w:color w:val="auto"/>
                <w:highlight w:val="none"/>
                <w:lang w:eastAsia="zh-CN"/>
              </w:rPr>
              <w:t>（</w:t>
            </w:r>
            <w:r>
              <w:rPr>
                <w:rFonts w:hint="eastAsia" w:ascii="宋体" w:hAnsi="宋体"/>
                <w:b/>
                <w:bCs/>
                <w:color w:val="auto"/>
                <w:sz w:val="24"/>
                <w:szCs w:val="24"/>
                <w:highlight w:val="none"/>
              </w:rPr>
              <w:t>响应文件中提供承诺函</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格式自拟，否则竞标无效</w:t>
            </w:r>
            <w:r>
              <w:rPr>
                <w:rFonts w:hint="eastAsia"/>
                <w:b/>
                <w:bCs/>
                <w:color w:val="auto"/>
                <w:highlight w:val="none"/>
                <w:lang w:eastAsia="zh-CN"/>
              </w:rPr>
              <w:t>）</w:t>
            </w:r>
            <w:r>
              <w:rPr>
                <w:rFonts w:hint="eastAsia" w:ascii="宋体" w:hAnsi="宋体" w:eastAsia="宋体" w:cs="宋体"/>
                <w:color w:val="auto"/>
                <w:sz w:val="24"/>
                <w:highlight w:val="none"/>
              </w:rPr>
              <w:t>。</w:t>
            </w:r>
          </w:p>
        </w:tc>
        <w:tc>
          <w:tcPr>
            <w:tcW w:w="1012" w:type="dxa"/>
            <w:vAlign w:val="center"/>
          </w:tcPr>
          <w:p w14:paraId="4502E11D">
            <w:pPr>
              <w:spacing w:line="360" w:lineRule="exact"/>
              <w:jc w:val="center"/>
              <w:rPr>
                <w:rFonts w:hint="eastAsia" w:ascii="宋体" w:hAnsi="宋体" w:cs="方正公文黑体"/>
                <w:color w:val="auto"/>
                <w:sz w:val="24"/>
                <w:szCs w:val="24"/>
                <w:highlight w:val="none"/>
              </w:rPr>
            </w:pPr>
            <w:r>
              <w:rPr>
                <w:rFonts w:hint="eastAsia" w:ascii="宋体" w:hAnsi="宋体" w:cs="宋体"/>
                <w:color w:val="auto"/>
                <w:sz w:val="24"/>
                <w:szCs w:val="24"/>
                <w:highlight w:val="none"/>
              </w:rPr>
              <w:t>批发业</w:t>
            </w:r>
          </w:p>
        </w:tc>
      </w:tr>
      <w:tr w14:paraId="644F2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53" w:type="dxa"/>
            <w:gridSpan w:val="5"/>
            <w:tcBorders>
              <w:top w:val="single" w:color="auto" w:sz="4" w:space="0"/>
              <w:left w:val="single" w:color="auto" w:sz="4" w:space="0"/>
              <w:bottom w:val="single" w:color="auto" w:sz="4" w:space="0"/>
              <w:right w:val="single" w:color="auto" w:sz="4" w:space="0"/>
            </w:tcBorders>
            <w:vAlign w:val="top"/>
          </w:tcPr>
          <w:p w14:paraId="79FFC30F">
            <w:pPr>
              <w:spacing w:line="360" w:lineRule="exact"/>
              <w:rPr>
                <w:rFonts w:hint="eastAsia"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b/>
                <w:color w:val="auto"/>
                <w:sz w:val="24"/>
                <w:szCs w:val="24"/>
                <w:highlight w:val="none"/>
              </w:rPr>
              <w:t>一、商务要求</w:t>
            </w:r>
          </w:p>
        </w:tc>
      </w:tr>
      <w:tr w14:paraId="486D0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55" w:type="dxa"/>
            <w:gridSpan w:val="2"/>
            <w:tcBorders>
              <w:top w:val="single" w:color="auto" w:sz="4" w:space="0"/>
              <w:left w:val="single" w:color="auto" w:sz="4" w:space="0"/>
              <w:bottom w:val="single" w:color="auto" w:sz="4" w:space="0"/>
              <w:right w:val="single" w:color="auto" w:sz="4" w:space="0"/>
            </w:tcBorders>
            <w:vAlign w:val="center"/>
          </w:tcPr>
          <w:p w14:paraId="0743426D">
            <w:pPr>
              <w:spacing w:line="360" w:lineRule="exact"/>
              <w:jc w:val="center"/>
              <w:rPr>
                <w:rFonts w:ascii="宋体" w:hAnsi="宋体"/>
                <w:color w:val="auto"/>
                <w:sz w:val="24"/>
                <w:szCs w:val="24"/>
                <w:highlight w:val="none"/>
              </w:rPr>
            </w:pPr>
            <w:r>
              <w:rPr>
                <w:rFonts w:hint="eastAsia" w:ascii="宋体" w:hAnsi="宋体"/>
                <w:color w:val="auto"/>
                <w:sz w:val="24"/>
                <w:szCs w:val="24"/>
                <w:highlight w:val="none"/>
              </w:rPr>
              <w:t>交付使用时间及地点</w:t>
            </w:r>
          </w:p>
        </w:tc>
        <w:tc>
          <w:tcPr>
            <w:tcW w:w="6598" w:type="dxa"/>
            <w:gridSpan w:val="3"/>
            <w:tcBorders>
              <w:top w:val="single" w:color="auto" w:sz="4" w:space="0"/>
              <w:left w:val="single" w:color="auto" w:sz="4" w:space="0"/>
              <w:bottom w:val="single" w:color="auto" w:sz="4" w:space="0"/>
              <w:right w:val="single" w:color="auto" w:sz="4" w:space="0"/>
            </w:tcBorders>
            <w:vAlign w:val="center"/>
          </w:tcPr>
          <w:p w14:paraId="75690D84">
            <w:pPr>
              <w:spacing w:line="360" w:lineRule="exact"/>
              <w:rPr>
                <w:rFonts w:hint="eastAsia" w:ascii="宋体" w:hAnsi="宋体" w:eastAsia="宋体"/>
                <w:color w:val="auto"/>
                <w:sz w:val="24"/>
                <w:szCs w:val="24"/>
                <w:highlight w:val="none"/>
                <w:lang w:eastAsia="zh-CN"/>
              </w:rPr>
            </w:pPr>
            <w:r>
              <w:rPr>
                <w:rFonts w:hint="eastAsia" w:ascii="宋体" w:hAnsi="宋体" w:cs="宋体"/>
                <w:color w:val="auto"/>
                <w:sz w:val="24"/>
                <w:szCs w:val="24"/>
                <w:highlight w:val="none"/>
              </w:rPr>
              <w:t>按采购人订单分批交付已加工好的图书，全部于2025年12月1日之前交付完毕。交货地点：广西生态工程职业技术学院图书馆</w:t>
            </w:r>
            <w:r>
              <w:rPr>
                <w:rFonts w:hint="eastAsia" w:ascii="宋体" w:hAnsi="宋体" w:cs="宋体"/>
                <w:color w:val="auto"/>
                <w:sz w:val="24"/>
                <w:szCs w:val="24"/>
                <w:highlight w:val="none"/>
                <w:lang w:eastAsia="zh-CN"/>
              </w:rPr>
              <w:t>。</w:t>
            </w:r>
          </w:p>
        </w:tc>
      </w:tr>
      <w:tr w14:paraId="42678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55" w:type="dxa"/>
            <w:gridSpan w:val="2"/>
            <w:tcBorders>
              <w:top w:val="single" w:color="auto" w:sz="4" w:space="0"/>
              <w:left w:val="single" w:color="auto" w:sz="4" w:space="0"/>
              <w:bottom w:val="single" w:color="auto" w:sz="4" w:space="0"/>
              <w:right w:val="single" w:color="auto" w:sz="4" w:space="0"/>
            </w:tcBorders>
            <w:vAlign w:val="center"/>
          </w:tcPr>
          <w:p w14:paraId="4B6587FE">
            <w:pPr>
              <w:spacing w:line="360" w:lineRule="exact"/>
              <w:jc w:val="center"/>
              <w:rPr>
                <w:rFonts w:ascii="宋体" w:hAnsi="宋体"/>
                <w:color w:val="auto"/>
                <w:sz w:val="24"/>
                <w:szCs w:val="24"/>
                <w:highlight w:val="none"/>
              </w:rPr>
            </w:pPr>
            <w:r>
              <w:rPr>
                <w:rFonts w:hint="eastAsia" w:ascii="宋体" w:hAnsi="宋体"/>
                <w:color w:val="auto"/>
                <w:sz w:val="24"/>
                <w:szCs w:val="24"/>
                <w:highlight w:val="none"/>
              </w:rPr>
              <w:t>付款条件</w:t>
            </w:r>
          </w:p>
        </w:tc>
        <w:tc>
          <w:tcPr>
            <w:tcW w:w="6598" w:type="dxa"/>
            <w:gridSpan w:val="3"/>
            <w:tcBorders>
              <w:top w:val="single" w:color="auto" w:sz="4" w:space="0"/>
              <w:left w:val="single" w:color="auto" w:sz="4" w:space="0"/>
              <w:bottom w:val="single" w:color="auto" w:sz="4" w:space="0"/>
              <w:right w:val="single" w:color="auto" w:sz="4" w:space="0"/>
            </w:tcBorders>
            <w:vAlign w:val="center"/>
          </w:tcPr>
          <w:p w14:paraId="31F908A0">
            <w:pPr>
              <w:spacing w:line="360" w:lineRule="exact"/>
              <w:rPr>
                <w:rFonts w:hint="eastAsia" w:ascii="宋体" w:hAnsi="宋体"/>
                <w:color w:val="auto"/>
                <w:sz w:val="24"/>
                <w:szCs w:val="24"/>
                <w:highlight w:val="none"/>
              </w:rPr>
            </w:pPr>
            <w:r>
              <w:rPr>
                <w:rFonts w:hint="eastAsia"/>
                <w:color w:val="auto"/>
                <w:sz w:val="24"/>
                <w:szCs w:val="24"/>
                <w:highlight w:val="none"/>
              </w:rPr>
              <w:t>本项目无预付款</w:t>
            </w:r>
            <w:r>
              <w:rPr>
                <w:rFonts w:hint="eastAsia"/>
                <w:color w:val="auto"/>
                <w:sz w:val="24"/>
                <w:szCs w:val="24"/>
                <w:highlight w:val="none"/>
                <w:lang w:eastAsia="zh-CN"/>
              </w:rPr>
              <w:t>。</w:t>
            </w:r>
            <w:r>
              <w:rPr>
                <w:rFonts w:hint="eastAsia"/>
                <w:color w:val="auto"/>
                <w:sz w:val="24"/>
                <w:szCs w:val="24"/>
                <w:highlight w:val="none"/>
                <w:lang w:val="en-US" w:eastAsia="zh-CN"/>
              </w:rPr>
              <w:t>项目验收合格后，甲方按验收合格图书量进行付款，乙方在验收合格后三个工作日内将增值税专用发票开具给甲方</w:t>
            </w:r>
            <w:r>
              <w:rPr>
                <w:rFonts w:hint="eastAsia"/>
                <w:color w:val="auto"/>
                <w:sz w:val="24"/>
                <w:szCs w:val="24"/>
                <w:highlight w:val="none"/>
              </w:rPr>
              <w:t>，甲方在收到增值税专用发票后三十个工作日内一次性付清乙方的全部货款。</w:t>
            </w:r>
          </w:p>
        </w:tc>
      </w:tr>
      <w:tr w14:paraId="13A0B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55" w:type="dxa"/>
            <w:gridSpan w:val="2"/>
            <w:tcBorders>
              <w:top w:val="single" w:color="auto" w:sz="4" w:space="0"/>
              <w:left w:val="single" w:color="auto" w:sz="4" w:space="0"/>
              <w:bottom w:val="single" w:color="auto" w:sz="4" w:space="0"/>
              <w:right w:val="single" w:color="auto" w:sz="4" w:space="0"/>
            </w:tcBorders>
            <w:vAlign w:val="center"/>
          </w:tcPr>
          <w:p w14:paraId="09BCF4FE">
            <w:pPr>
              <w:spacing w:line="360" w:lineRule="exact"/>
              <w:jc w:val="center"/>
              <w:rPr>
                <w:rFonts w:hint="eastAsia" w:ascii="宋体" w:hAnsi="宋体"/>
                <w:color w:val="auto"/>
                <w:sz w:val="24"/>
                <w:szCs w:val="24"/>
                <w:highlight w:val="none"/>
              </w:rPr>
            </w:pPr>
            <w:r>
              <w:rPr>
                <w:rFonts w:hint="eastAsia" w:ascii="宋体" w:hAnsi="宋体"/>
                <w:color w:val="auto"/>
                <w:sz w:val="24"/>
                <w:szCs w:val="24"/>
                <w:highlight w:val="none"/>
              </w:rPr>
              <w:t>履约保证金</w:t>
            </w:r>
          </w:p>
        </w:tc>
        <w:tc>
          <w:tcPr>
            <w:tcW w:w="6598" w:type="dxa"/>
            <w:gridSpan w:val="3"/>
            <w:tcBorders>
              <w:top w:val="single" w:color="auto" w:sz="4" w:space="0"/>
              <w:left w:val="single" w:color="auto" w:sz="4" w:space="0"/>
              <w:bottom w:val="single" w:color="auto" w:sz="4" w:space="0"/>
              <w:right w:val="single" w:color="auto" w:sz="4" w:space="0"/>
            </w:tcBorders>
            <w:vAlign w:val="center"/>
          </w:tcPr>
          <w:p w14:paraId="0216416C">
            <w:pPr>
              <w:spacing w:line="360" w:lineRule="exact"/>
              <w:rPr>
                <w:rFonts w:hint="eastAsia"/>
                <w:color w:val="auto"/>
                <w:sz w:val="24"/>
                <w:szCs w:val="24"/>
                <w:highlight w:val="none"/>
              </w:rPr>
            </w:pPr>
            <w:r>
              <w:rPr>
                <w:rFonts w:hint="eastAsia"/>
                <w:color w:val="auto"/>
                <w:sz w:val="24"/>
                <w:szCs w:val="24"/>
                <w:highlight w:val="none"/>
              </w:rPr>
              <w:t>合同签订之前，乙方按合同金额的5%以转账、保函或电汇方式向采购人交纳履约保证金（中小企业履约保证金为合同金额的2%），履约保证金在验收合格且履行完毕合同全部义务后五个工作日内无息返还。</w:t>
            </w:r>
          </w:p>
        </w:tc>
      </w:tr>
      <w:tr w14:paraId="7AA97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2" w:hRule="atLeast"/>
          <w:jc w:val="center"/>
        </w:trPr>
        <w:tc>
          <w:tcPr>
            <w:tcW w:w="2255" w:type="dxa"/>
            <w:gridSpan w:val="2"/>
            <w:tcBorders>
              <w:top w:val="single" w:color="auto" w:sz="4" w:space="0"/>
              <w:left w:val="single" w:color="auto" w:sz="4" w:space="0"/>
              <w:bottom w:val="single" w:color="auto" w:sz="4" w:space="0"/>
              <w:right w:val="single" w:color="auto" w:sz="4" w:space="0"/>
            </w:tcBorders>
            <w:vAlign w:val="center"/>
          </w:tcPr>
          <w:p w14:paraId="64569607">
            <w:pPr>
              <w:spacing w:line="360" w:lineRule="exact"/>
              <w:jc w:val="center"/>
              <w:rPr>
                <w:rFonts w:hint="eastAsia" w:ascii="宋体" w:hAnsi="宋体"/>
                <w:color w:val="auto"/>
                <w:sz w:val="24"/>
                <w:szCs w:val="24"/>
                <w:highlight w:val="none"/>
              </w:rPr>
            </w:pPr>
            <w:r>
              <w:rPr>
                <w:rFonts w:hint="eastAsia" w:ascii="宋体" w:hAnsi="宋体"/>
                <w:color w:val="auto"/>
                <w:sz w:val="24"/>
                <w:szCs w:val="24"/>
                <w:highlight w:val="none"/>
                <w:lang w:val="en-US" w:eastAsia="zh-CN"/>
              </w:rPr>
              <w:t>谈判</w:t>
            </w:r>
            <w:r>
              <w:rPr>
                <w:rFonts w:hint="eastAsia" w:ascii="宋体" w:hAnsi="宋体"/>
                <w:color w:val="auto"/>
                <w:sz w:val="24"/>
                <w:szCs w:val="24"/>
                <w:highlight w:val="none"/>
              </w:rPr>
              <w:t>报价要求</w:t>
            </w:r>
          </w:p>
        </w:tc>
        <w:tc>
          <w:tcPr>
            <w:tcW w:w="6598" w:type="dxa"/>
            <w:gridSpan w:val="3"/>
            <w:tcBorders>
              <w:top w:val="single" w:color="auto" w:sz="4" w:space="0"/>
              <w:left w:val="single" w:color="auto" w:sz="4" w:space="0"/>
              <w:bottom w:val="single" w:color="auto" w:sz="4" w:space="0"/>
              <w:right w:val="single" w:color="auto" w:sz="4" w:space="0"/>
            </w:tcBorders>
            <w:vAlign w:val="center"/>
          </w:tcPr>
          <w:p w14:paraId="22986F45">
            <w:pPr>
              <w:pStyle w:val="18"/>
              <w:spacing w:line="360" w:lineRule="auto"/>
              <w:rPr>
                <w:rFonts w:hint="eastAsia" w:ascii="宋体" w:hAnsi="宋体"/>
                <w:color w:val="auto"/>
                <w:kern w:val="0"/>
                <w:sz w:val="24"/>
                <w:szCs w:val="24"/>
                <w:highlight w:val="none"/>
                <w:lang w:eastAsia="zh-CN"/>
              </w:rPr>
            </w:pPr>
            <w:r>
              <w:rPr>
                <w:rFonts w:hint="eastAsia" w:ascii="宋体" w:hAnsi="宋体"/>
                <w:b/>
                <w:bCs/>
                <w:color w:val="auto"/>
                <w:kern w:val="0"/>
                <w:sz w:val="24"/>
                <w:szCs w:val="24"/>
                <w:highlight w:val="none"/>
                <w:lang w:val="en-US" w:eastAsia="zh-CN"/>
              </w:rPr>
              <w:t>1、</w:t>
            </w:r>
            <w:r>
              <w:rPr>
                <w:rFonts w:hint="eastAsia" w:ascii="宋体" w:hAnsi="宋体"/>
                <w:b/>
                <w:bCs/>
                <w:color w:val="auto"/>
                <w:kern w:val="0"/>
                <w:sz w:val="24"/>
                <w:szCs w:val="24"/>
                <w:highlight w:val="none"/>
              </w:rPr>
              <w:t>折扣率报价：</w:t>
            </w:r>
            <w:r>
              <w:rPr>
                <w:rFonts w:hint="eastAsia" w:ascii="宋体" w:hAnsi="宋体"/>
                <w:color w:val="auto"/>
                <w:kern w:val="0"/>
                <w:sz w:val="24"/>
                <w:szCs w:val="24"/>
                <w:highlight w:val="none"/>
              </w:rPr>
              <w:t>供应商据自身总成本（图书成本及利润、运抵指定交货地点的各种费用、图书加工服务及耗材、异地现采及校内书展活动费用、售后服务、税金及其他所有成本费用的总和）的情况，报出本项目图书的综合折扣率</w:t>
            </w:r>
            <w:r>
              <w:rPr>
                <w:rFonts w:hint="eastAsia" w:ascii="宋体" w:hAnsi="宋体"/>
                <w:color w:val="auto"/>
                <w:kern w:val="0"/>
                <w:sz w:val="24"/>
                <w:szCs w:val="24"/>
                <w:highlight w:val="none"/>
                <w:lang w:eastAsia="zh-CN"/>
              </w:rPr>
              <w:t>。</w:t>
            </w:r>
          </w:p>
          <w:p w14:paraId="04175E13">
            <w:pPr>
              <w:pStyle w:val="18"/>
              <w:keepNext w:val="0"/>
              <w:keepLines w:val="0"/>
              <w:pageBreakBefore w:val="0"/>
              <w:widowControl w:val="0"/>
              <w:kinsoku/>
              <w:wordWrap/>
              <w:overflowPunct/>
              <w:topLinePunct w:val="0"/>
              <w:autoSpaceDE/>
              <w:autoSpaceDN/>
              <w:bidi w:val="0"/>
              <w:spacing w:line="460" w:lineRule="exact"/>
              <w:rPr>
                <w:rFonts w:hint="eastAsia" w:ascii="宋体" w:hAnsi="宋体"/>
                <w:b/>
                <w:bCs/>
                <w:color w:val="auto"/>
                <w:kern w:val="0"/>
                <w:sz w:val="24"/>
                <w:szCs w:val="24"/>
                <w:highlight w:val="none"/>
                <w:lang w:eastAsia="zh-CN"/>
              </w:rPr>
            </w:pPr>
            <w:r>
              <w:rPr>
                <w:rFonts w:hint="eastAsia" w:ascii="宋体" w:hAnsi="宋体"/>
                <w:b/>
                <w:bCs/>
                <w:color w:val="auto"/>
                <w:kern w:val="0"/>
                <w:sz w:val="24"/>
                <w:szCs w:val="24"/>
                <w:highlight w:val="none"/>
                <w:lang w:val="en-US" w:eastAsia="zh-CN"/>
              </w:rPr>
              <w:t>2、合同供货</w:t>
            </w:r>
            <w:r>
              <w:rPr>
                <w:rFonts w:hint="eastAsia" w:ascii="宋体" w:hAnsi="宋体"/>
                <w:b/>
                <w:bCs/>
                <w:color w:val="auto"/>
                <w:kern w:val="0"/>
                <w:sz w:val="24"/>
                <w:szCs w:val="24"/>
                <w:highlight w:val="none"/>
              </w:rPr>
              <w:t>时间内所有图书采购均按</w:t>
            </w:r>
            <w:r>
              <w:rPr>
                <w:rFonts w:hint="eastAsia" w:ascii="宋体" w:hAnsi="宋体"/>
                <w:b/>
                <w:bCs/>
                <w:color w:val="auto"/>
                <w:kern w:val="0"/>
                <w:sz w:val="24"/>
                <w:szCs w:val="24"/>
                <w:highlight w:val="none"/>
                <w:lang w:val="en-US" w:eastAsia="zh-CN"/>
              </w:rPr>
              <w:t>最终结算价</w:t>
            </w:r>
            <w:r>
              <w:rPr>
                <w:rFonts w:hint="eastAsia" w:ascii="宋体" w:hAnsi="宋体"/>
                <w:b/>
                <w:bCs/>
                <w:color w:val="auto"/>
                <w:kern w:val="0"/>
                <w:sz w:val="24"/>
                <w:szCs w:val="24"/>
                <w:highlight w:val="none"/>
              </w:rPr>
              <w:t>付款，图书出版的标价为码洋价</w:t>
            </w:r>
            <w:r>
              <w:rPr>
                <w:rFonts w:hint="eastAsia" w:ascii="宋体" w:hAnsi="宋体"/>
                <w:b/>
                <w:bCs/>
                <w:color w:val="auto"/>
                <w:kern w:val="0"/>
                <w:sz w:val="24"/>
                <w:szCs w:val="24"/>
                <w:highlight w:val="none"/>
                <w:lang w:eastAsia="zh-CN"/>
              </w:rPr>
              <w:t>。</w:t>
            </w:r>
          </w:p>
          <w:p w14:paraId="7927108E">
            <w:pPr>
              <w:pStyle w:val="18"/>
              <w:keepNext w:val="0"/>
              <w:keepLines w:val="0"/>
              <w:pageBreakBefore w:val="0"/>
              <w:widowControl w:val="0"/>
              <w:kinsoku/>
              <w:wordWrap/>
              <w:overflowPunct/>
              <w:topLinePunct w:val="0"/>
              <w:autoSpaceDE/>
              <w:autoSpaceDN/>
              <w:bidi w:val="0"/>
              <w:spacing w:line="460" w:lineRule="exact"/>
              <w:rPr>
                <w:rFonts w:hAnsi="宋体" w:cs="宋体"/>
                <w:b/>
                <w:bCs w:val="0"/>
                <w:color w:val="auto"/>
                <w:sz w:val="24"/>
                <w:szCs w:val="24"/>
                <w:highlight w:val="none"/>
              </w:rPr>
            </w:pPr>
            <w:r>
              <w:rPr>
                <w:rFonts w:hint="eastAsia" w:hAnsi="宋体" w:cs="宋体"/>
                <w:b/>
                <w:bCs w:val="0"/>
                <w:color w:val="auto"/>
                <w:sz w:val="24"/>
                <w:szCs w:val="24"/>
                <w:highlight w:val="none"/>
              </w:rPr>
              <w:t>最终</w:t>
            </w:r>
            <w:r>
              <w:rPr>
                <w:rFonts w:hAnsi="宋体" w:cs="宋体"/>
                <w:b/>
                <w:bCs w:val="0"/>
                <w:color w:val="auto"/>
                <w:sz w:val="24"/>
                <w:szCs w:val="24"/>
                <w:highlight w:val="none"/>
              </w:rPr>
              <w:t>结算</w:t>
            </w:r>
            <w:r>
              <w:rPr>
                <w:rFonts w:hint="eastAsia" w:hAnsi="宋体" w:cs="宋体"/>
                <w:b/>
                <w:bCs w:val="0"/>
                <w:color w:val="auto"/>
                <w:sz w:val="24"/>
                <w:szCs w:val="24"/>
                <w:highlight w:val="none"/>
                <w:lang w:val="en-US" w:eastAsia="zh-CN"/>
              </w:rPr>
              <w:t>价</w:t>
            </w:r>
            <w:r>
              <w:rPr>
                <w:rFonts w:hint="eastAsia" w:hAnsi="宋体" w:cs="宋体"/>
                <w:b/>
                <w:bCs w:val="0"/>
                <w:color w:val="auto"/>
                <w:sz w:val="24"/>
                <w:szCs w:val="24"/>
                <w:highlight w:val="none"/>
              </w:rPr>
              <w:t>款</w:t>
            </w:r>
            <w:r>
              <w:rPr>
                <w:rFonts w:hAnsi="宋体" w:cs="宋体"/>
                <w:b/>
                <w:bCs w:val="0"/>
                <w:color w:val="auto"/>
                <w:sz w:val="24"/>
                <w:szCs w:val="24"/>
                <w:highlight w:val="none"/>
              </w:rPr>
              <w:t>=</w:t>
            </w:r>
            <w:r>
              <w:rPr>
                <w:rFonts w:hint="eastAsia" w:hAnsi="宋体" w:cs="宋体"/>
                <w:b/>
                <w:bCs w:val="0"/>
                <w:color w:val="auto"/>
                <w:sz w:val="24"/>
                <w:szCs w:val="24"/>
                <w:highlight w:val="none"/>
              </w:rPr>
              <w:t>实际</w:t>
            </w:r>
            <w:r>
              <w:rPr>
                <w:rFonts w:hAnsi="宋体" w:cs="宋体"/>
                <w:b/>
                <w:bCs w:val="0"/>
                <w:color w:val="auto"/>
                <w:sz w:val="24"/>
                <w:szCs w:val="24"/>
                <w:highlight w:val="none"/>
              </w:rPr>
              <w:t>订购图书码洋</w:t>
            </w:r>
            <w:r>
              <w:rPr>
                <w:rFonts w:hint="eastAsia" w:hAnsi="宋体" w:cs="宋体"/>
                <w:b/>
                <w:bCs w:val="0"/>
                <w:color w:val="auto"/>
                <w:sz w:val="24"/>
                <w:szCs w:val="24"/>
                <w:highlight w:val="none"/>
              </w:rPr>
              <w:t>总额*折扣</w:t>
            </w:r>
            <w:r>
              <w:rPr>
                <w:rFonts w:hAnsi="宋体" w:cs="宋体"/>
                <w:b/>
                <w:bCs w:val="0"/>
                <w:color w:val="auto"/>
                <w:sz w:val="24"/>
                <w:szCs w:val="24"/>
                <w:highlight w:val="none"/>
              </w:rPr>
              <w:t>率</w:t>
            </w:r>
          </w:p>
          <w:p w14:paraId="73953A5B">
            <w:pPr>
              <w:keepNext w:val="0"/>
              <w:keepLines w:val="0"/>
              <w:pageBreakBefore w:val="0"/>
              <w:widowControl w:val="0"/>
              <w:kinsoku/>
              <w:wordWrap/>
              <w:overflowPunct/>
              <w:topLinePunct w:val="0"/>
              <w:autoSpaceDE/>
              <w:autoSpaceDN/>
              <w:bidi w:val="0"/>
              <w:spacing w:line="460" w:lineRule="exact"/>
              <w:rPr>
                <w:rFonts w:hint="eastAsia" w:ascii="宋体" w:hAnsi="宋体"/>
                <w:color w:val="auto"/>
                <w:sz w:val="24"/>
                <w:szCs w:val="24"/>
                <w:highlight w:val="none"/>
              </w:rPr>
            </w:pPr>
            <w:r>
              <w:rPr>
                <w:rFonts w:hint="eastAsia" w:hAnsi="宋体"/>
                <w:b/>
                <w:bCs w:val="0"/>
                <w:color w:val="auto"/>
                <w:sz w:val="24"/>
                <w:szCs w:val="24"/>
                <w:highlight w:val="none"/>
              </w:rPr>
              <w:t>折扣率是指按原价的若干成计价</w:t>
            </w:r>
            <w:r>
              <w:rPr>
                <w:rFonts w:hint="eastAsia" w:hAnsi="宋体"/>
                <w:b/>
                <w:bCs w:val="0"/>
                <w:color w:val="auto"/>
                <w:sz w:val="24"/>
                <w:szCs w:val="24"/>
                <w:highlight w:val="none"/>
                <w:lang w:eastAsia="zh-CN"/>
              </w:rPr>
              <w:t>，</w:t>
            </w:r>
            <w:r>
              <w:rPr>
                <w:rFonts w:hint="eastAsia" w:hAnsi="宋体"/>
                <w:b/>
                <w:bCs w:val="0"/>
                <w:color w:val="auto"/>
                <w:sz w:val="24"/>
                <w:szCs w:val="24"/>
                <w:highlight w:val="none"/>
                <w:lang w:val="en-US" w:eastAsia="zh-CN"/>
              </w:rPr>
              <w:t>例</w:t>
            </w:r>
            <w:r>
              <w:rPr>
                <w:rFonts w:hint="eastAsia" w:hAnsi="宋体"/>
                <w:b/>
                <w:bCs w:val="0"/>
                <w:color w:val="auto"/>
                <w:sz w:val="24"/>
                <w:szCs w:val="24"/>
                <w:highlight w:val="none"/>
              </w:rPr>
              <w:t>如</w:t>
            </w:r>
            <w:r>
              <w:rPr>
                <w:rFonts w:hint="eastAsia" w:hAnsi="宋体"/>
                <w:b/>
                <w:bCs w:val="0"/>
                <w:color w:val="auto"/>
                <w:sz w:val="24"/>
                <w:szCs w:val="24"/>
                <w:highlight w:val="none"/>
                <w:lang w:val="en-US" w:eastAsia="zh-CN"/>
              </w:rPr>
              <w:t>成交</w:t>
            </w:r>
            <w:r>
              <w:rPr>
                <w:rFonts w:hint="eastAsia" w:hAnsi="宋体"/>
                <w:b/>
                <w:bCs w:val="0"/>
                <w:color w:val="auto"/>
                <w:sz w:val="24"/>
                <w:szCs w:val="24"/>
                <w:highlight w:val="none"/>
                <w:lang w:eastAsia="zh-CN"/>
              </w:rPr>
              <w:t>折扣率</w:t>
            </w:r>
            <w:r>
              <w:rPr>
                <w:rFonts w:hint="eastAsia" w:hAnsi="宋体"/>
                <w:b/>
                <w:bCs w:val="0"/>
                <w:color w:val="auto"/>
                <w:sz w:val="24"/>
                <w:szCs w:val="24"/>
                <w:highlight w:val="none"/>
                <w:lang w:val="en-US" w:eastAsia="zh-CN"/>
              </w:rPr>
              <w:t>为</w:t>
            </w:r>
            <w:r>
              <w:rPr>
                <w:rFonts w:hint="eastAsia" w:hAnsi="宋体"/>
                <w:b/>
                <w:bCs w:val="0"/>
                <w:color w:val="auto"/>
                <w:sz w:val="24"/>
                <w:szCs w:val="24"/>
                <w:highlight w:val="none"/>
              </w:rPr>
              <w:t>80%，</w:t>
            </w:r>
            <w:r>
              <w:rPr>
                <w:rFonts w:hint="eastAsia" w:hAnsi="宋体"/>
                <w:b/>
                <w:bCs w:val="0"/>
                <w:color w:val="auto"/>
                <w:sz w:val="24"/>
                <w:szCs w:val="24"/>
                <w:highlight w:val="none"/>
                <w:lang w:val="en-US" w:eastAsia="zh-CN"/>
              </w:rPr>
              <w:t>则：</w:t>
            </w:r>
            <w:r>
              <w:rPr>
                <w:rFonts w:hint="eastAsia" w:hAnsi="宋体" w:cs="宋体"/>
                <w:b/>
                <w:bCs w:val="0"/>
                <w:color w:val="auto"/>
                <w:sz w:val="24"/>
                <w:szCs w:val="24"/>
                <w:highlight w:val="none"/>
              </w:rPr>
              <w:t>最终</w:t>
            </w:r>
            <w:r>
              <w:rPr>
                <w:rFonts w:hAnsi="宋体" w:cs="宋体"/>
                <w:b/>
                <w:bCs w:val="0"/>
                <w:color w:val="auto"/>
                <w:sz w:val="24"/>
                <w:szCs w:val="24"/>
                <w:highlight w:val="none"/>
              </w:rPr>
              <w:t>结算</w:t>
            </w:r>
            <w:r>
              <w:rPr>
                <w:rFonts w:hint="eastAsia" w:hAnsi="宋体" w:cs="宋体"/>
                <w:b/>
                <w:bCs w:val="0"/>
                <w:color w:val="auto"/>
                <w:sz w:val="24"/>
                <w:szCs w:val="24"/>
                <w:highlight w:val="none"/>
                <w:lang w:val="en-US" w:eastAsia="zh-CN"/>
              </w:rPr>
              <w:t>价</w:t>
            </w:r>
            <w:r>
              <w:rPr>
                <w:rFonts w:hint="eastAsia" w:hAnsi="宋体" w:cs="宋体"/>
                <w:b/>
                <w:bCs w:val="0"/>
                <w:color w:val="auto"/>
                <w:sz w:val="24"/>
                <w:szCs w:val="24"/>
                <w:highlight w:val="none"/>
              </w:rPr>
              <w:t>款</w:t>
            </w:r>
            <w:r>
              <w:rPr>
                <w:rFonts w:hint="eastAsia" w:hAnsi="宋体" w:cs="宋体"/>
                <w:b/>
                <w:bCs w:val="0"/>
                <w:color w:val="auto"/>
                <w:sz w:val="24"/>
                <w:szCs w:val="24"/>
                <w:highlight w:val="none"/>
                <w:lang w:val="en-US" w:eastAsia="zh-CN"/>
              </w:rPr>
              <w:t>(</w:t>
            </w:r>
            <w:r>
              <w:rPr>
                <w:rFonts w:hint="eastAsia" w:hAnsi="宋体"/>
                <w:b/>
                <w:bCs w:val="0"/>
                <w:color w:val="auto"/>
                <w:sz w:val="24"/>
                <w:szCs w:val="24"/>
                <w:highlight w:val="none"/>
              </w:rPr>
              <w:t>成交价格</w:t>
            </w:r>
            <w:r>
              <w:rPr>
                <w:rFonts w:hint="eastAsia" w:hAnsi="宋体"/>
                <w:b/>
                <w:bCs w:val="0"/>
                <w:color w:val="auto"/>
                <w:sz w:val="24"/>
                <w:szCs w:val="24"/>
                <w:highlight w:val="none"/>
                <w:lang w:val="en-US" w:eastAsia="zh-CN"/>
              </w:rPr>
              <w:t>)</w:t>
            </w:r>
            <w:r>
              <w:rPr>
                <w:rFonts w:hint="eastAsia" w:hAnsi="宋体"/>
                <w:b/>
                <w:bCs w:val="0"/>
                <w:color w:val="auto"/>
                <w:sz w:val="24"/>
                <w:szCs w:val="24"/>
                <w:highlight w:val="none"/>
              </w:rPr>
              <w:t>=</w:t>
            </w:r>
            <w:r>
              <w:rPr>
                <w:rFonts w:hAnsi="宋体" w:cs="宋体"/>
                <w:b/>
                <w:bCs w:val="0"/>
                <w:color w:val="auto"/>
                <w:sz w:val="24"/>
                <w:szCs w:val="24"/>
                <w:highlight w:val="none"/>
              </w:rPr>
              <w:t>图书码洋</w:t>
            </w:r>
            <w:r>
              <w:rPr>
                <w:rFonts w:hint="eastAsia" w:hAnsi="宋体" w:cs="宋体"/>
                <w:b/>
                <w:bCs w:val="0"/>
                <w:color w:val="auto"/>
                <w:sz w:val="24"/>
                <w:szCs w:val="24"/>
                <w:highlight w:val="none"/>
              </w:rPr>
              <w:t>总额</w:t>
            </w:r>
            <w:r>
              <w:rPr>
                <w:rFonts w:hint="eastAsia" w:hAnsi="宋体"/>
                <w:b/>
                <w:bCs w:val="0"/>
                <w:color w:val="auto"/>
                <w:sz w:val="24"/>
                <w:szCs w:val="24"/>
                <w:highlight w:val="none"/>
              </w:rPr>
              <w:t>×80%。</w:t>
            </w:r>
          </w:p>
        </w:tc>
      </w:tr>
      <w:tr w14:paraId="4DDAF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B57C5C">
            <w:pPr>
              <w:spacing w:line="360" w:lineRule="exact"/>
              <w:ind w:firstLine="482" w:firstLineChars="20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加工要求</w:t>
            </w:r>
          </w:p>
          <w:p w14:paraId="775E1180">
            <w:pPr>
              <w:spacing w:line="360" w:lineRule="exact"/>
              <w:jc w:val="center"/>
              <w:rPr>
                <w:rFonts w:hint="eastAsia" w:ascii="宋体" w:hAnsi="宋体" w:eastAsia="宋体" w:cs="Times New Roman"/>
                <w:color w:val="auto"/>
                <w:kern w:val="2"/>
                <w:sz w:val="24"/>
                <w:szCs w:val="24"/>
                <w:highlight w:val="none"/>
                <w:lang w:val="en-US" w:eastAsia="zh-CN" w:bidi="ar-SA"/>
              </w:rPr>
            </w:pPr>
          </w:p>
        </w:tc>
        <w:tc>
          <w:tcPr>
            <w:tcW w:w="65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568DCA8">
            <w:pPr>
              <w:spacing w:line="3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1、成交供应商应按订单顺序将配送的书目发给采购人，核对无误后方可加工。成交供应商按采购人的批次发送图书，每批订单结束后需向采购人提供未能完成购买的图书</w:t>
            </w:r>
            <w:r>
              <w:rPr>
                <w:rFonts w:hint="eastAsia" w:ascii="宋体" w:hAnsi="宋体" w:cs="宋体"/>
                <w:color w:val="auto"/>
                <w:sz w:val="24"/>
                <w:szCs w:val="24"/>
                <w:highlight w:val="none"/>
                <w:lang w:val="en-US" w:eastAsia="zh-CN"/>
              </w:rPr>
              <w:t>清单</w:t>
            </w:r>
            <w:r>
              <w:rPr>
                <w:rFonts w:hint="eastAsia" w:ascii="宋体" w:hAnsi="宋体" w:cs="宋体"/>
                <w:color w:val="auto"/>
                <w:sz w:val="24"/>
                <w:szCs w:val="24"/>
                <w:highlight w:val="none"/>
              </w:rPr>
              <w:t>。</w:t>
            </w:r>
          </w:p>
          <w:p w14:paraId="656174F4">
            <w:pPr>
              <w:spacing w:line="3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2、图书编目、加工所需的材料及设备均由成交供应商自行提供（加工所需的材料及设备含在投标报价中），加工材料包括：不干胶条形码、不干胶书标、透明胶、RFID等；采购人加工设备包括：电脑、打印机等。</w:t>
            </w:r>
          </w:p>
          <w:p w14:paraId="5F451460">
            <w:pPr>
              <w:spacing w:line="3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3、图书加工：</w:t>
            </w:r>
          </w:p>
          <w:p w14:paraId="65839E86">
            <w:pPr>
              <w:spacing w:line="3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①盖馆藏章：在每册书上盖二个红色馆藏章，即书名页空白处（在条形码上方）、书口1/3以下1/2以上之间。</w:t>
            </w:r>
          </w:p>
          <w:p w14:paraId="26A7ECEB">
            <w:pPr>
              <w:spacing w:line="3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②贴条形码：由采购人提供条码规格样张及起始号，成交供应商打印并粘贴。每本书粘贴二张相同的条形码，第一枚粘贴在书名页下方空白处（馆藏章上方），以不覆盖文字为标准，没有文字就选择在上半部居中的位置，第二枚粘贴在最后一页。</w:t>
            </w:r>
          </w:p>
          <w:p w14:paraId="1089EE75">
            <w:pPr>
              <w:spacing w:line="3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③贴书标：书标样式及打印格式由采购方提供，主要包含分类号、种次号和年代号。一共贴2枚，书名页左边上角离上边沿0.8cm处一枚，书脊下部往上2.5cm高度一枚。</w:t>
            </w:r>
          </w:p>
          <w:p w14:paraId="3D0B2806">
            <w:pPr>
              <w:spacing w:line="3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④贴电子标签（超高频RFID）：每本图书粘贴电子标签（超高频RFID）一根，尽量紧靠书脊</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加工好的图书能在馆内各种智能设备上使用</w:t>
            </w:r>
            <w:r>
              <w:rPr>
                <w:rFonts w:hint="eastAsia" w:ascii="宋体" w:hAnsi="宋体" w:cs="宋体"/>
                <w:color w:val="auto"/>
                <w:sz w:val="24"/>
                <w:szCs w:val="24"/>
                <w:highlight w:val="none"/>
              </w:rPr>
              <w:t>。</w:t>
            </w:r>
          </w:p>
          <w:p w14:paraId="20584759">
            <w:pPr>
              <w:spacing w:line="3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⑤</w:t>
            </w:r>
            <w:r>
              <w:rPr>
                <w:rFonts w:hint="eastAsia" w:ascii="宋体" w:hAnsi="宋体" w:cs="宋体"/>
                <w:color w:val="auto"/>
                <w:sz w:val="24"/>
                <w:szCs w:val="24"/>
                <w:highlight w:val="none"/>
              </w:rPr>
              <w:t>特型文献：地图、挂图、立体书、非常规开本图书、书中配件过多的图书、经折装拉页文献、散页文献等特型文献，加工前，须咨询采购人。</w:t>
            </w:r>
          </w:p>
          <w:p w14:paraId="1B3CDCC2">
            <w:pPr>
              <w:spacing w:line="3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成交供应商提供的图书中，若出现订重的，允许少部分退换；图书价格与预订时的价格相差太大时，应允许退换。采购人有权拒收图书成交供应商的错发书、过期书（指订购日起超过一年到货的书）、非订购书。</w:t>
            </w:r>
          </w:p>
          <w:p w14:paraId="309BA7C5">
            <w:pPr>
              <w:spacing w:line="360" w:lineRule="exact"/>
              <w:rPr>
                <w:rFonts w:hint="eastAsia"/>
                <w:color w:val="auto"/>
                <w:highlight w:val="none"/>
                <w:lang w:val="en-US" w:eastAsia="zh-CN"/>
              </w:rPr>
            </w:pPr>
            <w:r>
              <w:rPr>
                <w:rFonts w:hint="eastAsia" w:ascii="宋体" w:hAnsi="宋体" w:cs="宋体"/>
                <w:color w:val="auto"/>
                <w:sz w:val="24"/>
                <w:szCs w:val="24"/>
                <w:highlight w:val="none"/>
              </w:rPr>
              <w:t>5、如果是活页版式或其它不便于上架借阅的图书，要先把图书装订成册或做相应处理后，再做其它加工工序，以保证图书经加工后能独立成册上架借阅。</w:t>
            </w:r>
          </w:p>
        </w:tc>
      </w:tr>
      <w:tr w14:paraId="4988B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2" w:hRule="atLeast"/>
          <w:jc w:val="center"/>
        </w:trPr>
        <w:tc>
          <w:tcPr>
            <w:tcW w:w="22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AB91EC6">
            <w:pPr>
              <w:spacing w:line="360" w:lineRule="exact"/>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图书打包和运输要求</w:t>
            </w:r>
          </w:p>
          <w:p w14:paraId="7273012D">
            <w:pPr>
              <w:spacing w:line="360" w:lineRule="exact"/>
              <w:jc w:val="center"/>
              <w:rPr>
                <w:rFonts w:hint="eastAsia" w:ascii="宋体" w:hAnsi="宋体" w:eastAsia="宋体" w:cs="Times New Roman"/>
                <w:color w:val="auto"/>
                <w:kern w:val="2"/>
                <w:sz w:val="24"/>
                <w:szCs w:val="24"/>
                <w:highlight w:val="none"/>
                <w:lang w:val="en-US" w:eastAsia="zh-CN" w:bidi="ar-SA"/>
              </w:rPr>
            </w:pPr>
          </w:p>
        </w:tc>
        <w:tc>
          <w:tcPr>
            <w:tcW w:w="65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5CF482E">
            <w:pPr>
              <w:spacing w:line="3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图书打包：成交供应商须按采购人的订购单批号进行打包；全部图书均应按标准保护措施包装，应适应于远距离运输、防潮和防野蛮装卸，确保图书安全无损运抵现场并派人按采购人工作人员要求将货物放置到指定地点按顺序排列。由于包装不善所引起的图书损坏均应由供应商承担赔偿责任。套书最好集中包装于一包。每包图书按条码号顺序进行包装，包装上有清晰的打包单号，醒目标明图书供应商的名称、条码起止号和包号。每包书附该包图书清单一份，清单上应含有打包单号、图书条码号、书名、种、册数，码洋数、实洋数及总种数、总册数、总码洋数、总实洋数（一种书做一条记录，但不得将上中下册、套书合并为一条记录，要分开做记录）。此外应配有该批图书纸质总清单1份（</w:t>
            </w:r>
            <w:r>
              <w:rPr>
                <w:rFonts w:hint="eastAsia" w:ascii="宋体" w:hAnsi="宋体" w:cs="宋体"/>
                <w:color w:val="auto"/>
                <w:sz w:val="24"/>
                <w:szCs w:val="24"/>
                <w:highlight w:val="none"/>
                <w:lang w:val="en-US" w:eastAsia="zh-CN"/>
              </w:rPr>
              <w:t>供货时</w:t>
            </w:r>
            <w:r>
              <w:rPr>
                <w:rFonts w:hint="eastAsia" w:ascii="宋体" w:hAnsi="宋体" w:cs="宋体"/>
                <w:color w:val="auto"/>
                <w:sz w:val="24"/>
                <w:szCs w:val="24"/>
                <w:highlight w:val="none"/>
              </w:rPr>
              <w:t>须加盖供应商公章）、一份纸质财产帐和一份纸质统计表（</w:t>
            </w:r>
            <w:r>
              <w:rPr>
                <w:rFonts w:hint="eastAsia" w:ascii="宋体" w:hAnsi="宋体" w:cs="宋体"/>
                <w:color w:val="auto"/>
                <w:sz w:val="24"/>
                <w:szCs w:val="24"/>
                <w:highlight w:val="none"/>
                <w:lang w:val="en-US" w:eastAsia="zh-CN"/>
              </w:rPr>
              <w:t>供货时</w:t>
            </w:r>
            <w:r>
              <w:rPr>
                <w:rFonts w:hint="eastAsia" w:ascii="宋体" w:hAnsi="宋体" w:cs="宋体"/>
                <w:color w:val="auto"/>
                <w:sz w:val="24"/>
                <w:szCs w:val="24"/>
                <w:highlight w:val="none"/>
              </w:rPr>
              <w:t>统计表须加盖供应商公章），须与该批次图书同时送来（告知采购单位具体放在哪一包）。</w:t>
            </w:r>
          </w:p>
          <w:p w14:paraId="7467DAB7">
            <w:pPr>
              <w:spacing w:line="3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光盘打包：每一批分编加工好的配书光盘和书分开打包，并按光盘的条码顺序排列，包装要有防护措施，应适应于远距离运输、防潮和防野蛮装卸。由于包装不善所引起的光盘损坏均应由成交供应商承担刻录或购买内容完全一样的光盘。此外应配有该批光盘纸质总清单2份、一份纸质财产帐和一份纸质统计表。</w:t>
            </w:r>
          </w:p>
          <w:p w14:paraId="7880F692">
            <w:pPr>
              <w:spacing w:line="3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3、由</w:t>
            </w: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rPr>
              <w:t>供应商负责图书的开包、整理工作，并协助采购人的工作人员完成图书的验收工作</w:t>
            </w:r>
            <w:r>
              <w:rPr>
                <w:rFonts w:hint="eastAsia" w:ascii="宋体" w:hAnsi="宋体" w:cs="宋体"/>
                <w:color w:val="auto"/>
                <w:sz w:val="24"/>
                <w:szCs w:val="24"/>
                <w:highlight w:val="none"/>
                <w:lang w:val="en-US" w:eastAsia="zh-CN"/>
              </w:rPr>
              <w:t>和上架</w:t>
            </w:r>
            <w:r>
              <w:rPr>
                <w:rFonts w:hint="eastAsia" w:ascii="宋体" w:hAnsi="宋体" w:cs="宋体"/>
                <w:color w:val="auto"/>
                <w:sz w:val="24"/>
                <w:szCs w:val="24"/>
                <w:highlight w:val="none"/>
              </w:rPr>
              <w:t>。在图书验收或</w:t>
            </w:r>
            <w:r>
              <w:rPr>
                <w:rFonts w:hint="eastAsia" w:ascii="宋体" w:hAnsi="宋体" w:cs="宋体"/>
                <w:color w:val="auto"/>
                <w:sz w:val="24"/>
                <w:szCs w:val="24"/>
                <w:highlight w:val="none"/>
                <w:lang w:val="en-US" w:eastAsia="zh-CN"/>
              </w:rPr>
              <w:t>上架</w:t>
            </w:r>
            <w:r>
              <w:rPr>
                <w:rFonts w:hint="eastAsia" w:ascii="宋体" w:hAnsi="宋体" w:cs="宋体"/>
                <w:color w:val="auto"/>
                <w:sz w:val="24"/>
                <w:szCs w:val="24"/>
                <w:highlight w:val="none"/>
              </w:rPr>
              <w:t>过程中，对发现有盗版、违约、破损、褶皱、弄脏、装订错误或其它某项质量问题的图书，应无条件进行更换或办理退货手续。</w:t>
            </w:r>
          </w:p>
          <w:p w14:paraId="6481336B">
            <w:pPr>
              <w:spacing w:line="3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rPr>
              <w:t>供应商办理更换和退货图书相关手续最长不得超过10天，在图书送交到采购人指定地点验收之前所发生的运输、装卸或其它相关费用全部由供应商承担。</w:t>
            </w:r>
          </w:p>
          <w:p w14:paraId="4D910100">
            <w:pPr>
              <w:pStyle w:val="18"/>
              <w:spacing w:line="360" w:lineRule="auto"/>
              <w:rPr>
                <w:rFonts w:hint="eastAsia" w:ascii="宋体" w:hAnsi="宋体" w:eastAsia="宋体" w:cs="Times New Roman"/>
                <w:b/>
                <w:bCs w:val="0"/>
                <w:color w:val="auto"/>
                <w:kern w:val="0"/>
                <w:sz w:val="24"/>
                <w:szCs w:val="24"/>
                <w:highlight w:val="none"/>
                <w:lang w:val="en-US" w:eastAsia="zh-CN" w:bidi="ar-SA"/>
              </w:rPr>
            </w:pPr>
            <w:r>
              <w:rPr>
                <w:rFonts w:hint="eastAsia" w:ascii="宋体" w:hAnsi="宋体" w:cs="宋体"/>
                <w:color w:val="auto"/>
                <w:sz w:val="24"/>
                <w:szCs w:val="24"/>
                <w:highlight w:val="none"/>
              </w:rPr>
              <w:t>5、凡送进馆内的图书，经采购人验收发现书款与发货单不相符的，成交供应商应派人核算，不能及时派人核算的，以采购人采购单位验收的数字为准。</w:t>
            </w:r>
          </w:p>
        </w:tc>
      </w:tr>
      <w:tr w14:paraId="6E612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55" w:type="dxa"/>
            <w:gridSpan w:val="2"/>
            <w:tcBorders>
              <w:top w:val="single" w:color="auto" w:sz="4" w:space="0"/>
              <w:left w:val="single" w:color="auto" w:sz="4" w:space="0"/>
              <w:bottom w:val="single" w:color="auto" w:sz="4" w:space="0"/>
              <w:right w:val="single" w:color="auto" w:sz="4" w:space="0"/>
            </w:tcBorders>
            <w:vAlign w:val="center"/>
          </w:tcPr>
          <w:p w14:paraId="55C5630E">
            <w:pPr>
              <w:spacing w:line="360" w:lineRule="exact"/>
              <w:jc w:val="center"/>
              <w:rPr>
                <w:rFonts w:hint="eastAsia" w:ascii="宋体" w:hAnsi="宋体"/>
                <w:color w:val="auto"/>
                <w:sz w:val="24"/>
                <w:szCs w:val="24"/>
                <w:highlight w:val="none"/>
              </w:rPr>
            </w:pPr>
            <w:r>
              <w:rPr>
                <w:rFonts w:hint="eastAsia" w:ascii="宋体" w:hAnsi="宋体"/>
                <w:color w:val="auto"/>
                <w:sz w:val="24"/>
                <w:szCs w:val="24"/>
                <w:highlight w:val="none"/>
              </w:rPr>
              <w:t>质量保证期</w:t>
            </w:r>
          </w:p>
        </w:tc>
        <w:tc>
          <w:tcPr>
            <w:tcW w:w="6598" w:type="dxa"/>
            <w:gridSpan w:val="3"/>
            <w:tcBorders>
              <w:top w:val="single" w:color="auto" w:sz="4" w:space="0"/>
              <w:left w:val="single" w:color="auto" w:sz="4" w:space="0"/>
              <w:bottom w:val="single" w:color="auto" w:sz="4" w:space="0"/>
              <w:right w:val="single" w:color="auto" w:sz="4" w:space="0"/>
            </w:tcBorders>
            <w:vAlign w:val="center"/>
          </w:tcPr>
          <w:p w14:paraId="2354D116">
            <w:pPr>
              <w:spacing w:line="360" w:lineRule="exact"/>
              <w:rPr>
                <w:rFonts w:hint="eastAsia" w:ascii="宋体" w:hAnsi="宋体"/>
                <w:color w:val="auto"/>
                <w:sz w:val="24"/>
                <w:szCs w:val="24"/>
                <w:highlight w:val="none"/>
              </w:rPr>
            </w:pPr>
            <w:r>
              <w:rPr>
                <w:rFonts w:hint="eastAsia" w:ascii="宋体" w:hAnsi="宋体"/>
                <w:strike w:val="0"/>
                <w:color w:val="auto"/>
                <w:sz w:val="24"/>
                <w:szCs w:val="24"/>
                <w:highlight w:val="none"/>
              </w:rPr>
              <w:t>整个分标质量保证期：</w:t>
            </w:r>
            <w:r>
              <w:rPr>
                <w:rFonts w:hint="eastAsia" w:ascii="宋体" w:hAnsi="宋体"/>
                <w:strike w:val="0"/>
                <w:color w:val="auto"/>
                <w:sz w:val="24"/>
                <w:szCs w:val="24"/>
                <w:highlight w:val="none"/>
                <w:u w:val="single"/>
              </w:rPr>
              <w:t xml:space="preserve"> </w:t>
            </w:r>
            <w:r>
              <w:rPr>
                <w:rFonts w:ascii="宋体" w:hAnsi="宋体"/>
                <w:strike w:val="0"/>
                <w:color w:val="auto"/>
                <w:sz w:val="24"/>
                <w:szCs w:val="24"/>
                <w:highlight w:val="none"/>
                <w:u w:val="single"/>
              </w:rPr>
              <w:t>2</w:t>
            </w:r>
            <w:r>
              <w:rPr>
                <w:rFonts w:hint="eastAsia" w:ascii="宋体" w:hAnsi="宋体"/>
                <w:strike w:val="0"/>
                <w:color w:val="auto"/>
                <w:sz w:val="24"/>
                <w:szCs w:val="24"/>
                <w:highlight w:val="none"/>
                <w:u w:val="single"/>
              </w:rPr>
              <w:t xml:space="preserve"> </w:t>
            </w:r>
            <w:r>
              <w:rPr>
                <w:rFonts w:hint="eastAsia" w:ascii="宋体" w:hAnsi="宋体"/>
                <w:strike w:val="0"/>
                <w:color w:val="auto"/>
                <w:sz w:val="24"/>
                <w:szCs w:val="24"/>
                <w:highlight w:val="none"/>
              </w:rPr>
              <w:t>年（自最终验收合格之日算），分项货物有要求按分项要求。在质保期内</w:t>
            </w:r>
            <w:r>
              <w:rPr>
                <w:rFonts w:hint="eastAsia" w:ascii="宋体" w:hAnsi="宋体"/>
                <w:strike w:val="0"/>
                <w:color w:val="auto"/>
                <w:sz w:val="24"/>
                <w:szCs w:val="24"/>
                <w:highlight w:val="none"/>
                <w:lang w:val="en-US" w:eastAsia="zh-CN"/>
              </w:rPr>
              <w:t>如图书发生脱胶或散开等质量问题的</w:t>
            </w:r>
            <w:r>
              <w:rPr>
                <w:rFonts w:hint="eastAsia" w:ascii="宋体" w:hAnsi="宋体"/>
                <w:strike w:val="0"/>
                <w:color w:val="auto"/>
                <w:sz w:val="24"/>
                <w:szCs w:val="24"/>
                <w:highlight w:val="none"/>
              </w:rPr>
              <w:t>，</w:t>
            </w:r>
            <w:r>
              <w:rPr>
                <w:rFonts w:hint="eastAsia" w:ascii="宋体" w:hAnsi="宋体"/>
                <w:strike w:val="0"/>
                <w:color w:val="auto"/>
                <w:sz w:val="24"/>
                <w:szCs w:val="24"/>
                <w:highlight w:val="none"/>
                <w:lang w:val="en-US" w:eastAsia="zh-CN"/>
              </w:rPr>
              <w:t>供应商要给予进行免费更换图书</w:t>
            </w:r>
            <w:r>
              <w:rPr>
                <w:rFonts w:hint="eastAsia" w:ascii="宋体" w:hAnsi="宋体"/>
                <w:strike w:val="0"/>
                <w:color w:val="auto"/>
                <w:sz w:val="24"/>
                <w:szCs w:val="24"/>
                <w:highlight w:val="none"/>
              </w:rPr>
              <w:t>。</w:t>
            </w:r>
          </w:p>
        </w:tc>
      </w:tr>
      <w:tr w14:paraId="0CB19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55" w:type="dxa"/>
            <w:gridSpan w:val="2"/>
            <w:tcBorders>
              <w:top w:val="single" w:color="auto" w:sz="4" w:space="0"/>
              <w:left w:val="single" w:color="auto" w:sz="4" w:space="0"/>
              <w:bottom w:val="single" w:color="auto" w:sz="4" w:space="0"/>
              <w:right w:val="single" w:color="auto" w:sz="4" w:space="0"/>
            </w:tcBorders>
            <w:vAlign w:val="center"/>
          </w:tcPr>
          <w:p w14:paraId="70B23EE6">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售后服务要求</w:t>
            </w:r>
          </w:p>
        </w:tc>
        <w:tc>
          <w:tcPr>
            <w:tcW w:w="6598" w:type="dxa"/>
            <w:gridSpan w:val="3"/>
            <w:tcBorders>
              <w:top w:val="single" w:color="auto" w:sz="4" w:space="0"/>
              <w:left w:val="single" w:color="auto" w:sz="4" w:space="0"/>
              <w:bottom w:val="single" w:color="auto" w:sz="4" w:space="0"/>
              <w:right w:val="single" w:color="auto" w:sz="4" w:space="0"/>
            </w:tcBorders>
            <w:vAlign w:val="center"/>
          </w:tcPr>
          <w:p w14:paraId="14D0B797">
            <w:pPr>
              <w:keepNext w:val="0"/>
              <w:keepLines w:val="0"/>
              <w:pageBreakBefore w:val="0"/>
              <w:widowControl w:val="0"/>
              <w:tabs>
                <w:tab w:val="left" w:pos="2576"/>
              </w:tabs>
              <w:kinsoku/>
              <w:wordWrap/>
              <w:overflowPunct/>
              <w:topLinePunct w:val="0"/>
              <w:autoSpaceDE/>
              <w:autoSpaceDN/>
              <w:bidi w:val="0"/>
              <w:adjustRightInd/>
              <w:snapToGrid/>
              <w:spacing w:line="350" w:lineRule="exact"/>
              <w:jc w:val="left"/>
              <w:textAlignment w:val="auto"/>
              <w:rPr>
                <w:rFonts w:ascii="宋体" w:hAnsi="宋体"/>
                <w:color w:val="auto"/>
                <w:sz w:val="24"/>
                <w:szCs w:val="24"/>
                <w:highlight w:val="none"/>
              </w:rPr>
            </w:pPr>
            <w:r>
              <w:rPr>
                <w:rFonts w:hint="eastAsia" w:ascii="宋体" w:hAnsi="宋体"/>
                <w:color w:val="auto"/>
                <w:sz w:val="24"/>
                <w:szCs w:val="24"/>
                <w:highlight w:val="none"/>
              </w:rPr>
              <w:t>1、免费送货上门，按采购人要求上架。</w:t>
            </w:r>
          </w:p>
          <w:p w14:paraId="69AA1A84">
            <w:pPr>
              <w:keepNext w:val="0"/>
              <w:keepLines w:val="0"/>
              <w:pageBreakBefore w:val="0"/>
              <w:widowControl w:val="0"/>
              <w:tabs>
                <w:tab w:val="left" w:pos="2576"/>
              </w:tabs>
              <w:kinsoku/>
              <w:wordWrap/>
              <w:overflowPunct/>
              <w:topLinePunct w:val="0"/>
              <w:autoSpaceDE/>
              <w:autoSpaceDN/>
              <w:bidi w:val="0"/>
              <w:adjustRightInd/>
              <w:snapToGrid/>
              <w:spacing w:line="350" w:lineRule="exact"/>
              <w:jc w:val="left"/>
              <w:textAlignment w:val="auto"/>
              <w:rPr>
                <w:rFonts w:ascii="宋体" w:hAnsi="宋体"/>
                <w:color w:val="auto"/>
                <w:sz w:val="24"/>
                <w:szCs w:val="24"/>
                <w:highlight w:val="none"/>
              </w:rPr>
            </w:pPr>
            <w:r>
              <w:rPr>
                <w:rFonts w:hint="eastAsia" w:ascii="宋体" w:hAnsi="宋体"/>
                <w:color w:val="auto"/>
                <w:sz w:val="24"/>
                <w:szCs w:val="24"/>
                <w:highlight w:val="none"/>
              </w:rPr>
              <w:t>2、投标产品必须是具备厂家合法渠道的全新正品，必须承诺实行“三包”。</w:t>
            </w:r>
          </w:p>
          <w:p w14:paraId="72C2643E">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s="Arial"/>
                <w:color w:val="auto"/>
                <w:sz w:val="24"/>
                <w:szCs w:val="24"/>
                <w:highlight w:val="none"/>
              </w:rPr>
              <w:t>投标人应对售后服务方案提供针对本项目售后服务联系人及联系电话，对质保期内出现质量问题的图书，接到采购人通知后须在12小时内给予答复并给出方案，</w:t>
            </w:r>
            <w:r>
              <w:rPr>
                <w:rFonts w:hint="eastAsia" w:ascii="宋体" w:hAnsi="宋体" w:cs="Arial"/>
                <w:color w:val="auto"/>
                <w:sz w:val="24"/>
                <w:szCs w:val="24"/>
                <w:highlight w:val="none"/>
                <w:lang w:val="en-US" w:eastAsia="zh-CN"/>
              </w:rPr>
              <w:t>如</w:t>
            </w:r>
            <w:r>
              <w:rPr>
                <w:rFonts w:hint="eastAsia" w:ascii="宋体" w:hAnsi="宋体" w:cs="Arial"/>
                <w:color w:val="auto"/>
                <w:sz w:val="24"/>
                <w:szCs w:val="24"/>
                <w:highlight w:val="none"/>
              </w:rPr>
              <w:t>需要到现场解决的，到达时间不得超过48小时。</w:t>
            </w:r>
          </w:p>
        </w:tc>
      </w:tr>
      <w:tr w14:paraId="5F799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55" w:type="dxa"/>
            <w:gridSpan w:val="2"/>
            <w:tcBorders>
              <w:top w:val="single" w:color="auto" w:sz="4" w:space="0"/>
              <w:left w:val="single" w:color="auto" w:sz="4" w:space="0"/>
              <w:bottom w:val="single" w:color="auto" w:sz="4" w:space="0"/>
              <w:right w:val="single" w:color="auto" w:sz="4" w:space="0"/>
            </w:tcBorders>
            <w:vAlign w:val="center"/>
          </w:tcPr>
          <w:p w14:paraId="69CD928B">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color w:val="auto"/>
                <w:sz w:val="24"/>
                <w:szCs w:val="24"/>
                <w:highlight w:val="none"/>
              </w:rPr>
            </w:pPr>
            <w:r>
              <w:rPr>
                <w:rFonts w:hint="eastAsia" w:ascii="宋体" w:hAnsi="宋体"/>
                <w:b/>
                <w:color w:val="auto"/>
                <w:sz w:val="24"/>
                <w:szCs w:val="24"/>
                <w:highlight w:val="none"/>
              </w:rPr>
              <w:t>验收标准</w:t>
            </w:r>
          </w:p>
        </w:tc>
        <w:tc>
          <w:tcPr>
            <w:tcW w:w="6598" w:type="dxa"/>
            <w:gridSpan w:val="3"/>
            <w:tcBorders>
              <w:top w:val="single" w:color="auto" w:sz="4" w:space="0"/>
              <w:left w:val="single" w:color="auto" w:sz="4" w:space="0"/>
              <w:bottom w:val="single" w:color="auto" w:sz="4" w:space="0"/>
              <w:right w:val="single" w:color="auto" w:sz="4" w:space="0"/>
            </w:tcBorders>
            <w:vAlign w:val="center"/>
          </w:tcPr>
          <w:p w14:paraId="60841A47">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1.采购人根据到货情况进行分批验收，验收标准为采购文件及成交供应商响应文件承诺的条款。在验收前，成交供应商须提交相关纸质或者电子版证明材料（核查报告、数据表格等）给采购人作为验收依据，如所提供相关产品不符合要求或项目验收不合格，由成交供应商在截止交货期限（2025年12月1日）内进行整改，有关返工、再行验收给采购单位造成的损失等费用均由成交供应商承担。拒不按规定时间，规定要求整改，或连续两次项目验收不合格的，或发现成交供应商在响应文件中有弄虚作假的行为，采购单位将终止合同或不予验收，并追究成交供应商的责任，由此带来的一切损失由成交供应商自行承担。</w:t>
            </w:r>
          </w:p>
          <w:p w14:paraId="30AF28CC">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color w:val="auto"/>
                <w:sz w:val="24"/>
                <w:szCs w:val="24"/>
                <w:highlight w:val="none"/>
              </w:rPr>
            </w:pPr>
            <w:r>
              <w:rPr>
                <w:rFonts w:hint="eastAsia" w:ascii="宋体" w:hAnsi="宋体"/>
                <w:color w:val="auto"/>
                <w:sz w:val="24"/>
                <w:szCs w:val="24"/>
                <w:highlight w:val="none"/>
              </w:rPr>
              <w:t>2.其他未尽事宜应严格按照《关于印发广西壮族自治区政府采购项目履约验收管理办法的通知》[桂财采〔2015〕22号]以及《财政部关于进一步加强政府采购需求和履约验收管理的指导意见》[财库〔2016〕205号]规定执行。</w:t>
            </w:r>
          </w:p>
        </w:tc>
      </w:tr>
      <w:tr w14:paraId="69CDA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53" w:type="dxa"/>
            <w:gridSpan w:val="5"/>
            <w:tcBorders>
              <w:top w:val="single" w:color="auto" w:sz="4" w:space="0"/>
              <w:left w:val="single" w:color="auto" w:sz="4" w:space="0"/>
              <w:bottom w:val="single" w:color="auto" w:sz="4" w:space="0"/>
              <w:right w:val="single" w:color="auto" w:sz="4" w:space="0"/>
            </w:tcBorders>
            <w:vAlign w:val="center"/>
          </w:tcPr>
          <w:p w14:paraId="797D858D">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b/>
                <w:bCs/>
                <w:color w:val="auto"/>
                <w:sz w:val="24"/>
                <w:szCs w:val="24"/>
                <w:highlight w:val="none"/>
              </w:rPr>
            </w:pPr>
            <w:r>
              <w:rPr>
                <w:rFonts w:hint="eastAsia" w:ascii="宋体" w:hAnsi="宋体"/>
                <w:b/>
                <w:bCs/>
                <w:color w:val="auto"/>
                <w:sz w:val="24"/>
                <w:szCs w:val="24"/>
                <w:highlight w:val="none"/>
              </w:rPr>
              <w:t>二、与实现项目目标相关的其他要求</w:t>
            </w:r>
          </w:p>
        </w:tc>
      </w:tr>
      <w:tr w14:paraId="75805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53" w:type="dxa"/>
            <w:gridSpan w:val="5"/>
            <w:tcBorders>
              <w:top w:val="single" w:color="auto" w:sz="4" w:space="0"/>
              <w:left w:val="single" w:color="auto" w:sz="4" w:space="0"/>
              <w:bottom w:val="single" w:color="auto" w:sz="4" w:space="0"/>
              <w:right w:val="single" w:color="auto" w:sz="4" w:space="0"/>
            </w:tcBorders>
            <w:vAlign w:val="center"/>
          </w:tcPr>
          <w:p w14:paraId="021454F9">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b/>
                <w:color w:val="auto"/>
                <w:sz w:val="24"/>
                <w:szCs w:val="24"/>
                <w:highlight w:val="none"/>
              </w:rPr>
            </w:pPr>
            <w:r>
              <w:rPr>
                <w:rFonts w:hint="eastAsia" w:ascii="宋体" w:hAnsi="宋体"/>
                <w:b/>
                <w:color w:val="auto"/>
                <w:sz w:val="24"/>
                <w:szCs w:val="24"/>
                <w:highlight w:val="none"/>
              </w:rPr>
              <w:t>（一）供应商的履约能力要求</w:t>
            </w:r>
          </w:p>
        </w:tc>
      </w:tr>
      <w:tr w14:paraId="2A6CF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55" w:type="dxa"/>
            <w:gridSpan w:val="2"/>
            <w:tcBorders>
              <w:top w:val="single" w:color="auto" w:sz="4" w:space="0"/>
              <w:left w:val="single" w:color="auto" w:sz="4" w:space="0"/>
              <w:bottom w:val="single" w:color="auto" w:sz="4" w:space="0"/>
              <w:right w:val="single" w:color="auto" w:sz="4" w:space="0"/>
            </w:tcBorders>
            <w:vAlign w:val="center"/>
          </w:tcPr>
          <w:p w14:paraId="39A13F48">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color w:val="auto"/>
                <w:sz w:val="24"/>
                <w:szCs w:val="24"/>
                <w:highlight w:val="none"/>
              </w:rPr>
            </w:pPr>
            <w:r>
              <w:rPr>
                <w:rFonts w:hint="eastAsia" w:ascii="宋体" w:hAnsi="宋体"/>
                <w:color w:val="auto"/>
                <w:sz w:val="24"/>
                <w:szCs w:val="24"/>
                <w:highlight w:val="none"/>
              </w:rPr>
              <w:t>政策性加分条件</w:t>
            </w:r>
          </w:p>
        </w:tc>
        <w:tc>
          <w:tcPr>
            <w:tcW w:w="6598" w:type="dxa"/>
            <w:gridSpan w:val="3"/>
            <w:tcBorders>
              <w:top w:val="single" w:color="auto" w:sz="4" w:space="0"/>
              <w:left w:val="single" w:color="auto" w:sz="4" w:space="0"/>
              <w:bottom w:val="single" w:color="auto" w:sz="4" w:space="0"/>
              <w:right w:val="single" w:color="auto" w:sz="4" w:space="0"/>
            </w:tcBorders>
            <w:vAlign w:val="center"/>
          </w:tcPr>
          <w:p w14:paraId="7B287A37">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color w:val="auto"/>
                <w:sz w:val="24"/>
                <w:szCs w:val="24"/>
                <w:highlight w:val="none"/>
              </w:rPr>
            </w:pPr>
            <w:r>
              <w:rPr>
                <w:rFonts w:hint="eastAsia" w:ascii="宋体" w:hAnsi="宋体"/>
                <w:color w:val="auto"/>
                <w:sz w:val="24"/>
                <w:szCs w:val="24"/>
                <w:highlight w:val="none"/>
              </w:rPr>
              <w:t>见本采购文件第四章“评审程序、评审方法和评审标准”。</w:t>
            </w:r>
          </w:p>
        </w:tc>
      </w:tr>
      <w:tr w14:paraId="0B890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55" w:type="dxa"/>
            <w:gridSpan w:val="2"/>
            <w:tcBorders>
              <w:top w:val="single" w:color="auto" w:sz="4" w:space="0"/>
              <w:left w:val="single" w:color="auto" w:sz="4" w:space="0"/>
              <w:bottom w:val="single" w:color="auto" w:sz="4" w:space="0"/>
              <w:right w:val="single" w:color="auto" w:sz="4" w:space="0"/>
            </w:tcBorders>
            <w:vAlign w:val="center"/>
          </w:tcPr>
          <w:p w14:paraId="7004AEFF">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color w:val="auto"/>
                <w:sz w:val="24"/>
                <w:szCs w:val="24"/>
                <w:highlight w:val="none"/>
              </w:rPr>
            </w:pPr>
            <w:r>
              <w:rPr>
                <w:rFonts w:hint="eastAsia" w:ascii="宋体" w:hAnsi="宋体"/>
                <w:color w:val="auto"/>
                <w:sz w:val="24"/>
                <w:szCs w:val="24"/>
                <w:highlight w:val="none"/>
              </w:rPr>
              <w:t>质量管理体系要求</w:t>
            </w:r>
          </w:p>
        </w:tc>
        <w:tc>
          <w:tcPr>
            <w:tcW w:w="6598" w:type="dxa"/>
            <w:gridSpan w:val="3"/>
            <w:tcBorders>
              <w:top w:val="single" w:color="auto" w:sz="4" w:space="0"/>
              <w:left w:val="single" w:color="auto" w:sz="4" w:space="0"/>
              <w:bottom w:val="single" w:color="auto" w:sz="4" w:space="0"/>
              <w:right w:val="single" w:color="auto" w:sz="4" w:space="0"/>
            </w:tcBorders>
            <w:vAlign w:val="center"/>
          </w:tcPr>
          <w:p w14:paraId="157B4DFC">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color w:val="auto"/>
                <w:sz w:val="24"/>
                <w:szCs w:val="24"/>
                <w:highlight w:val="none"/>
              </w:rPr>
            </w:pPr>
            <w:r>
              <w:rPr>
                <w:rFonts w:hint="eastAsia" w:ascii="宋体" w:hAnsi="宋体"/>
                <w:color w:val="auto"/>
                <w:sz w:val="24"/>
                <w:szCs w:val="24"/>
                <w:highlight w:val="none"/>
              </w:rPr>
              <w:t>如有，请提供。</w:t>
            </w:r>
          </w:p>
        </w:tc>
      </w:tr>
      <w:tr w14:paraId="5AD18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55" w:type="dxa"/>
            <w:gridSpan w:val="2"/>
            <w:tcBorders>
              <w:top w:val="single" w:color="auto" w:sz="4" w:space="0"/>
              <w:left w:val="single" w:color="auto" w:sz="4" w:space="0"/>
              <w:bottom w:val="single" w:color="auto" w:sz="4" w:space="0"/>
              <w:right w:val="single" w:color="auto" w:sz="4" w:space="0"/>
            </w:tcBorders>
            <w:vAlign w:val="center"/>
          </w:tcPr>
          <w:p w14:paraId="3BC32191">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color w:val="auto"/>
                <w:sz w:val="24"/>
                <w:szCs w:val="24"/>
                <w:highlight w:val="none"/>
              </w:rPr>
            </w:pPr>
            <w:r>
              <w:rPr>
                <w:rFonts w:hint="eastAsia" w:ascii="宋体" w:hAnsi="宋体"/>
                <w:color w:val="auto"/>
                <w:sz w:val="24"/>
                <w:szCs w:val="24"/>
                <w:highlight w:val="none"/>
              </w:rPr>
              <w:t>业绩要求</w:t>
            </w:r>
          </w:p>
        </w:tc>
        <w:tc>
          <w:tcPr>
            <w:tcW w:w="6598" w:type="dxa"/>
            <w:gridSpan w:val="3"/>
            <w:tcBorders>
              <w:top w:val="single" w:color="auto" w:sz="4" w:space="0"/>
              <w:left w:val="single" w:color="auto" w:sz="4" w:space="0"/>
              <w:bottom w:val="single" w:color="auto" w:sz="4" w:space="0"/>
              <w:right w:val="single" w:color="auto" w:sz="4" w:space="0"/>
            </w:tcBorders>
            <w:vAlign w:val="center"/>
          </w:tcPr>
          <w:p w14:paraId="3998CA23">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color w:val="auto"/>
                <w:sz w:val="24"/>
                <w:szCs w:val="24"/>
                <w:highlight w:val="none"/>
              </w:rPr>
            </w:pPr>
            <w:r>
              <w:rPr>
                <w:rFonts w:hint="eastAsia" w:ascii="宋体" w:hAnsi="宋体"/>
                <w:color w:val="auto"/>
                <w:sz w:val="24"/>
                <w:szCs w:val="24"/>
                <w:highlight w:val="none"/>
              </w:rPr>
              <w:t>如有</w:t>
            </w:r>
            <w:r>
              <w:rPr>
                <w:rFonts w:hint="eastAsia" w:ascii="宋体" w:hAnsi="宋体"/>
                <w:color w:val="auto"/>
                <w:sz w:val="24"/>
                <w:szCs w:val="24"/>
                <w:highlight w:val="none"/>
                <w:lang w:val="en-US" w:eastAsia="zh-CN"/>
              </w:rPr>
              <w:t>要求时</w:t>
            </w:r>
            <w:r>
              <w:rPr>
                <w:rFonts w:hint="eastAsia" w:ascii="宋体" w:hAnsi="宋体"/>
                <w:color w:val="auto"/>
                <w:sz w:val="24"/>
                <w:szCs w:val="24"/>
                <w:highlight w:val="none"/>
              </w:rPr>
              <w:t>，请</w:t>
            </w:r>
            <w:r>
              <w:rPr>
                <w:rFonts w:hint="eastAsia" w:ascii="宋体" w:hAnsi="宋体"/>
                <w:color w:val="auto"/>
                <w:sz w:val="24"/>
                <w:szCs w:val="24"/>
                <w:highlight w:val="none"/>
                <w:lang w:val="en-US" w:eastAsia="zh-CN"/>
              </w:rPr>
              <w:t>必须</w:t>
            </w:r>
            <w:r>
              <w:rPr>
                <w:rFonts w:hint="eastAsia" w:ascii="宋体" w:hAnsi="宋体"/>
                <w:color w:val="auto"/>
                <w:sz w:val="24"/>
                <w:szCs w:val="24"/>
                <w:highlight w:val="none"/>
              </w:rPr>
              <w:t>提供。</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本项目有要求，详见第一章供应商资格条件</w:t>
            </w:r>
            <w:r>
              <w:rPr>
                <w:rFonts w:hint="eastAsia" w:ascii="宋体" w:hAnsi="宋体"/>
                <w:b/>
                <w:bCs/>
                <w:color w:val="auto"/>
                <w:sz w:val="24"/>
                <w:szCs w:val="24"/>
                <w:highlight w:val="none"/>
                <w:lang w:eastAsia="zh-CN"/>
              </w:rPr>
              <w:t>）</w:t>
            </w:r>
          </w:p>
        </w:tc>
      </w:tr>
      <w:tr w14:paraId="1B8F6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53" w:type="dxa"/>
            <w:gridSpan w:val="5"/>
            <w:tcBorders>
              <w:top w:val="single" w:color="auto" w:sz="4" w:space="0"/>
              <w:left w:val="single" w:color="auto" w:sz="4" w:space="0"/>
              <w:bottom w:val="single" w:color="auto" w:sz="4" w:space="0"/>
              <w:right w:val="single" w:color="auto" w:sz="4" w:space="0"/>
            </w:tcBorders>
            <w:vAlign w:val="center"/>
          </w:tcPr>
          <w:p w14:paraId="6174DF6C">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b/>
                <w:color w:val="auto"/>
                <w:sz w:val="24"/>
                <w:szCs w:val="24"/>
                <w:highlight w:val="none"/>
              </w:rPr>
            </w:pPr>
            <w:r>
              <w:rPr>
                <w:rFonts w:hint="eastAsia" w:ascii="宋体" w:hAnsi="宋体"/>
                <w:b/>
                <w:color w:val="auto"/>
                <w:sz w:val="24"/>
                <w:szCs w:val="24"/>
                <w:highlight w:val="none"/>
              </w:rPr>
              <w:t>（三）其他</w:t>
            </w:r>
          </w:p>
        </w:tc>
      </w:tr>
      <w:tr w14:paraId="3F6F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55" w:type="dxa"/>
            <w:gridSpan w:val="2"/>
            <w:tcBorders>
              <w:top w:val="single" w:color="auto" w:sz="4" w:space="0"/>
              <w:left w:val="single" w:color="auto" w:sz="4" w:space="0"/>
              <w:bottom w:val="single" w:color="auto" w:sz="4" w:space="0"/>
              <w:right w:val="single" w:color="auto" w:sz="4" w:space="0"/>
            </w:tcBorders>
            <w:vAlign w:val="center"/>
          </w:tcPr>
          <w:p w14:paraId="7C43759E">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说明</w:t>
            </w:r>
          </w:p>
        </w:tc>
        <w:tc>
          <w:tcPr>
            <w:tcW w:w="6598" w:type="dxa"/>
            <w:gridSpan w:val="3"/>
            <w:tcBorders>
              <w:top w:val="single" w:color="auto" w:sz="4" w:space="0"/>
              <w:left w:val="single" w:color="auto" w:sz="4" w:space="0"/>
              <w:bottom w:val="single" w:color="auto" w:sz="4" w:space="0"/>
              <w:right w:val="single" w:color="auto" w:sz="4" w:space="0"/>
            </w:tcBorders>
            <w:vAlign w:val="center"/>
          </w:tcPr>
          <w:p w14:paraId="4AA2B822">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color w:val="auto"/>
                <w:sz w:val="24"/>
                <w:szCs w:val="24"/>
                <w:highlight w:val="none"/>
              </w:rPr>
            </w:pPr>
            <w:r>
              <w:rPr>
                <w:rFonts w:hint="eastAsia" w:ascii="宋体" w:hAnsi="宋体"/>
                <w:color w:val="auto"/>
                <w:sz w:val="24"/>
                <w:szCs w:val="24"/>
                <w:highlight w:val="none"/>
              </w:rPr>
              <w:t>在</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过程中，</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小组可能会根据</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文件和</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情况实质性变动采购需求中的技术、服务要求以及合同草案条款，对</w:t>
            </w:r>
            <w:r>
              <w:rPr>
                <w:rFonts w:hint="eastAsia" w:ascii="宋体" w:hAnsi="宋体"/>
                <w:color w:val="auto"/>
                <w:sz w:val="24"/>
                <w:szCs w:val="24"/>
                <w:highlight w:val="none"/>
                <w:lang w:val="en-US" w:eastAsia="zh-CN"/>
              </w:rPr>
              <w:t>谈判</w:t>
            </w:r>
            <w:r>
              <w:rPr>
                <w:rFonts w:hint="eastAsia" w:ascii="宋体" w:hAnsi="宋体"/>
                <w:color w:val="auto"/>
                <w:sz w:val="24"/>
                <w:szCs w:val="24"/>
                <w:highlight w:val="none"/>
              </w:rPr>
              <w:t>文件作出的实质性变动是</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文件的有效组成部分，</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小组以书面形式同时通知所有参加</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的供应商。请各供应商做好</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应答准备。</w:t>
            </w:r>
          </w:p>
        </w:tc>
      </w:tr>
      <w:tr w14:paraId="4B66F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55" w:type="dxa"/>
            <w:gridSpan w:val="2"/>
            <w:tcBorders>
              <w:top w:val="single" w:color="auto" w:sz="4" w:space="0"/>
              <w:left w:val="single" w:color="auto" w:sz="4" w:space="0"/>
              <w:bottom w:val="single" w:color="auto" w:sz="4" w:space="0"/>
              <w:right w:val="single" w:color="auto" w:sz="4" w:space="0"/>
            </w:tcBorders>
            <w:vAlign w:val="center"/>
          </w:tcPr>
          <w:p w14:paraId="72BF3E34">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ascii="宋体" w:hAnsi="宋体"/>
                <w:color w:val="auto"/>
                <w:sz w:val="24"/>
                <w:szCs w:val="24"/>
                <w:highlight w:val="none"/>
              </w:rPr>
            </w:pPr>
            <w:r>
              <w:rPr>
                <w:rFonts w:hint="eastAsia" w:ascii="宋体" w:hAnsi="宋体"/>
                <w:color w:val="auto"/>
                <w:sz w:val="24"/>
                <w:szCs w:val="24"/>
                <w:highlight w:val="none"/>
              </w:rPr>
              <w:t>项目服务方案</w:t>
            </w:r>
          </w:p>
        </w:tc>
        <w:tc>
          <w:tcPr>
            <w:tcW w:w="6598" w:type="dxa"/>
            <w:gridSpan w:val="3"/>
            <w:tcBorders>
              <w:top w:val="single" w:color="auto" w:sz="4" w:space="0"/>
              <w:left w:val="single" w:color="auto" w:sz="4" w:space="0"/>
              <w:bottom w:val="single" w:color="auto" w:sz="4" w:space="0"/>
              <w:right w:val="single" w:color="auto" w:sz="4" w:space="0"/>
            </w:tcBorders>
            <w:vAlign w:val="center"/>
          </w:tcPr>
          <w:p w14:paraId="4D9FC284">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谈判</w:t>
            </w:r>
            <w:r>
              <w:rPr>
                <w:rFonts w:hint="eastAsia" w:ascii="宋体" w:hAnsi="宋体"/>
                <w:color w:val="auto"/>
                <w:sz w:val="24"/>
                <w:szCs w:val="24"/>
                <w:highlight w:val="none"/>
              </w:rPr>
              <w:t>供应商可根据自身情况编制服务方案。</w:t>
            </w:r>
          </w:p>
        </w:tc>
      </w:tr>
      <w:tr w14:paraId="18597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55" w:type="dxa"/>
            <w:gridSpan w:val="2"/>
            <w:tcBorders>
              <w:top w:val="single" w:color="auto" w:sz="4" w:space="0"/>
              <w:left w:val="single" w:color="auto" w:sz="4" w:space="0"/>
              <w:bottom w:val="single" w:color="auto" w:sz="4" w:space="0"/>
              <w:right w:val="single" w:color="auto" w:sz="4" w:space="0"/>
            </w:tcBorders>
            <w:vAlign w:val="center"/>
          </w:tcPr>
          <w:p w14:paraId="34F3511E">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ascii="宋体" w:hAnsi="宋体"/>
                <w:color w:val="auto"/>
                <w:sz w:val="24"/>
                <w:szCs w:val="24"/>
                <w:highlight w:val="none"/>
              </w:rPr>
            </w:pPr>
            <w:r>
              <w:rPr>
                <w:rFonts w:hint="eastAsia" w:ascii="宋体" w:hAnsi="宋体"/>
                <w:color w:val="auto"/>
                <w:sz w:val="24"/>
                <w:szCs w:val="24"/>
                <w:highlight w:val="none"/>
              </w:rPr>
              <w:t>▲最高限价</w:t>
            </w:r>
          </w:p>
        </w:tc>
        <w:tc>
          <w:tcPr>
            <w:tcW w:w="6598" w:type="dxa"/>
            <w:gridSpan w:val="3"/>
            <w:tcBorders>
              <w:top w:val="single" w:color="auto" w:sz="4" w:space="0"/>
              <w:left w:val="single" w:color="auto" w:sz="4" w:space="0"/>
              <w:bottom w:val="single" w:color="auto" w:sz="4" w:space="0"/>
              <w:right w:val="single" w:color="auto" w:sz="4" w:space="0"/>
            </w:tcBorders>
            <w:vAlign w:val="center"/>
          </w:tcPr>
          <w:p w14:paraId="26B26541">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b/>
                <w:bCs/>
                <w:color w:val="auto"/>
                <w:sz w:val="24"/>
                <w:szCs w:val="24"/>
                <w:highlight w:val="none"/>
                <w:lang w:val="en-US" w:eastAsia="zh-CN"/>
              </w:rPr>
            </w:pPr>
            <w:r>
              <w:rPr>
                <w:rFonts w:hint="eastAsia" w:ascii="宋体" w:hAnsi="宋体"/>
                <w:b/>
                <w:bCs/>
                <w:color w:val="auto"/>
                <w:sz w:val="24"/>
                <w:szCs w:val="24"/>
                <w:highlight w:val="none"/>
              </w:rPr>
              <w:t>本项目预算金额75万元，</w:t>
            </w:r>
            <w:r>
              <w:rPr>
                <w:rFonts w:hint="eastAsia" w:ascii="宋体" w:hAnsi="宋体"/>
                <w:b/>
                <w:bCs/>
                <w:color w:val="auto"/>
                <w:sz w:val="24"/>
                <w:szCs w:val="24"/>
                <w:highlight w:val="none"/>
                <w:lang w:val="en-US" w:eastAsia="zh-CN"/>
              </w:rPr>
              <w:t xml:space="preserve">0 </w:t>
            </w:r>
            <w:r>
              <w:rPr>
                <w:rFonts w:hint="eastAsia" w:ascii="宋体" w:hAnsi="宋体" w:eastAsia="宋体" w:cs="宋体"/>
                <w:b/>
                <w:bCs/>
                <w:color w:val="auto"/>
                <w:sz w:val="24"/>
                <w:szCs w:val="24"/>
                <w:highlight w:val="none"/>
              </w:rPr>
              <w:t>&lt;</w:t>
            </w:r>
            <w:r>
              <w:rPr>
                <w:rFonts w:hint="eastAsia" w:ascii="宋体" w:hAnsi="宋体" w:eastAsia="宋体" w:cs="宋体"/>
                <w:b/>
                <w:bCs/>
                <w:color w:val="auto"/>
                <w:sz w:val="24"/>
                <w:szCs w:val="24"/>
                <w:highlight w:val="none"/>
                <w:lang w:val="en-US" w:eastAsia="zh-CN"/>
              </w:rPr>
              <w:t xml:space="preserve"> </w:t>
            </w:r>
            <w:r>
              <w:rPr>
                <w:rFonts w:hint="eastAsia" w:ascii="宋体" w:hAnsi="宋体"/>
                <w:b/>
                <w:bCs/>
                <w:color w:val="auto"/>
                <w:sz w:val="24"/>
                <w:szCs w:val="24"/>
                <w:highlight w:val="none"/>
                <w:lang w:val="en-US" w:eastAsia="zh-CN"/>
              </w:rPr>
              <w:t>有效报价（</w:t>
            </w:r>
            <w:r>
              <w:rPr>
                <w:rFonts w:hint="eastAsia" w:ascii="宋体" w:hAnsi="宋体"/>
                <w:b/>
                <w:bCs/>
                <w:color w:val="auto"/>
                <w:sz w:val="24"/>
                <w:szCs w:val="24"/>
                <w:highlight w:val="none"/>
              </w:rPr>
              <w:t>折扣率</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范围</w:t>
            </w:r>
            <w:r>
              <w:rPr>
                <w:rFonts w:hint="eastAsia" w:ascii="宋体" w:hAnsi="宋体" w:eastAsia="宋体" w:cs="宋体"/>
                <w:b/>
                <w:bCs/>
                <w:color w:val="auto"/>
                <w:sz w:val="24"/>
                <w:szCs w:val="24"/>
                <w:highlight w:val="none"/>
              </w:rPr>
              <w:t>≦</w:t>
            </w:r>
            <w:r>
              <w:rPr>
                <w:rFonts w:hint="eastAsia" w:ascii="宋体" w:hAnsi="宋体"/>
                <w:b/>
                <w:bCs/>
                <w:color w:val="auto"/>
                <w:sz w:val="24"/>
                <w:szCs w:val="24"/>
                <w:highlight w:val="none"/>
              </w:rPr>
              <w:t>1</w:t>
            </w:r>
            <w:r>
              <w:rPr>
                <w:rFonts w:hint="eastAsia" w:ascii="宋体" w:hAnsi="宋体"/>
                <w:b/>
                <w:bCs/>
                <w:color w:val="auto"/>
                <w:sz w:val="24"/>
                <w:szCs w:val="24"/>
                <w:highlight w:val="none"/>
                <w:lang w:val="en-US" w:eastAsia="zh-CN"/>
              </w:rPr>
              <w:t>；</w:t>
            </w:r>
          </w:p>
          <w:p w14:paraId="53C5A927">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color w:val="auto"/>
                <w:sz w:val="24"/>
                <w:szCs w:val="24"/>
                <w:highlight w:val="none"/>
              </w:rPr>
            </w:pPr>
            <w:r>
              <w:rPr>
                <w:rFonts w:hint="eastAsia" w:ascii="宋体" w:hAnsi="宋体"/>
                <w:b/>
                <w:bCs/>
                <w:color w:val="auto"/>
                <w:sz w:val="24"/>
                <w:szCs w:val="24"/>
                <w:highlight w:val="none"/>
              </w:rPr>
              <w:t>，竞标报价</w:t>
            </w:r>
            <w:r>
              <w:rPr>
                <w:rFonts w:hint="eastAsia" w:ascii="宋体" w:hAnsi="宋体"/>
                <w:b/>
                <w:bCs/>
                <w:color w:val="auto"/>
                <w:sz w:val="24"/>
                <w:szCs w:val="24"/>
                <w:highlight w:val="none"/>
                <w:lang w:val="en-US" w:eastAsia="zh-CN"/>
              </w:rPr>
              <w:t>不在有效范围</w:t>
            </w:r>
            <w:r>
              <w:rPr>
                <w:rFonts w:hint="eastAsia" w:ascii="宋体" w:hAnsi="宋体"/>
                <w:b/>
                <w:bCs/>
                <w:color w:val="auto"/>
                <w:sz w:val="24"/>
                <w:szCs w:val="24"/>
                <w:highlight w:val="none"/>
              </w:rPr>
              <w:t>的作无效竞标处理。</w:t>
            </w:r>
          </w:p>
        </w:tc>
      </w:tr>
    </w:tbl>
    <w:p w14:paraId="5C926951">
      <w:pPr>
        <w:pStyle w:val="14"/>
        <w:tabs>
          <w:tab w:val="clear" w:pos="4153"/>
          <w:tab w:val="clear" w:pos="8306"/>
        </w:tabs>
        <w:rPr>
          <w:color w:val="auto"/>
          <w:highlight w:val="none"/>
        </w:rPr>
      </w:pPr>
    </w:p>
    <w:p w14:paraId="4CAE310A">
      <w:pPr>
        <w:spacing w:line="360" w:lineRule="auto"/>
        <w:rPr>
          <w:rFonts w:ascii="宋体" w:hAnsi="宋体" w:cs="宋体"/>
          <w:color w:val="auto"/>
          <w:sz w:val="17"/>
          <w:szCs w:val="17"/>
          <w:highlight w:val="none"/>
        </w:rPr>
      </w:pPr>
      <w:r>
        <w:rPr>
          <w:rFonts w:hint="eastAsia" w:ascii="宋体" w:hAnsi="宋体" w:cs="宋体"/>
          <w:color w:val="auto"/>
          <w:sz w:val="32"/>
          <w:szCs w:val="32"/>
          <w:highlight w:val="none"/>
        </w:rPr>
        <w:t>附件1：</w:t>
      </w:r>
    </w:p>
    <w:p w14:paraId="1EF1DC39">
      <w:pPr>
        <w:spacing w:line="360" w:lineRule="auto"/>
        <w:ind w:left="1871"/>
        <w:rPr>
          <w:rFonts w:ascii="宋体" w:hAnsi="宋体" w:cs="宋体"/>
          <w:color w:val="auto"/>
          <w:sz w:val="20"/>
          <w:szCs w:val="20"/>
          <w:highlight w:val="none"/>
        </w:rPr>
      </w:pPr>
      <w:r>
        <w:rPr>
          <w:rFonts w:hint="eastAsia" w:ascii="宋体" w:hAnsi="宋体" w:cs="宋体"/>
          <w:color w:val="auto"/>
          <w:sz w:val="40"/>
          <w:szCs w:val="40"/>
          <w:highlight w:val="none"/>
        </w:rPr>
        <w:t>节能产品政府采购品目清单</w:t>
      </w:r>
    </w:p>
    <w:tbl>
      <w:tblPr>
        <w:tblStyle w:val="32"/>
        <w:tblpPr w:leftFromText="180" w:rightFromText="180" w:vertAnchor="text" w:horzAnchor="page" w:tblpX="1599" w:tblpY="131"/>
        <w:tblOverlap w:val="never"/>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44"/>
        <w:gridCol w:w="996"/>
        <w:gridCol w:w="1800"/>
        <w:gridCol w:w="1916"/>
        <w:gridCol w:w="3325"/>
      </w:tblGrid>
      <w:tr w14:paraId="64CEAA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2" w:hRule="exact"/>
        </w:trPr>
        <w:tc>
          <w:tcPr>
            <w:tcW w:w="744" w:type="dxa"/>
            <w:vAlign w:val="top"/>
          </w:tcPr>
          <w:p w14:paraId="0084F754">
            <w:pPr>
              <w:pStyle w:val="63"/>
              <w:spacing w:before="57" w:line="254" w:lineRule="auto"/>
              <w:ind w:left="59" w:right="60"/>
              <w:rPr>
                <w:rFonts w:ascii="宋体" w:hAnsi="宋体" w:cs="宋体"/>
                <w:color w:val="auto"/>
                <w:sz w:val="21"/>
                <w:szCs w:val="21"/>
                <w:highlight w:val="none"/>
              </w:rPr>
            </w:pPr>
            <w:r>
              <w:rPr>
                <w:rFonts w:hint="eastAsia" w:ascii="宋体" w:hAnsi="宋体" w:cs="宋体"/>
                <w:b/>
                <w:bCs/>
                <w:color w:val="auto"/>
                <w:w w:val="99"/>
                <w:sz w:val="21"/>
                <w:szCs w:val="21"/>
                <w:highlight w:val="none"/>
              </w:rPr>
              <w:t>品目序号</w:t>
            </w:r>
          </w:p>
        </w:tc>
        <w:tc>
          <w:tcPr>
            <w:tcW w:w="4712" w:type="dxa"/>
            <w:gridSpan w:val="3"/>
            <w:vAlign w:val="top"/>
          </w:tcPr>
          <w:p w14:paraId="68B2ECD6">
            <w:pPr>
              <w:pStyle w:val="63"/>
              <w:spacing w:before="4"/>
              <w:rPr>
                <w:rFonts w:ascii="宋体" w:hAnsi="宋体" w:cs="宋体"/>
                <w:color w:val="auto"/>
                <w:sz w:val="21"/>
                <w:szCs w:val="21"/>
                <w:highlight w:val="none"/>
              </w:rPr>
            </w:pPr>
          </w:p>
          <w:p w14:paraId="3C161452">
            <w:pPr>
              <w:pStyle w:val="63"/>
              <w:jc w:val="center"/>
              <w:rPr>
                <w:rFonts w:ascii="宋体" w:hAnsi="宋体" w:cs="宋体"/>
                <w:color w:val="auto"/>
                <w:sz w:val="21"/>
                <w:szCs w:val="21"/>
                <w:highlight w:val="none"/>
              </w:rPr>
            </w:pPr>
            <w:r>
              <w:rPr>
                <w:rFonts w:hint="eastAsia" w:ascii="宋体" w:hAnsi="宋体" w:cs="宋体"/>
                <w:b/>
                <w:bCs/>
                <w:color w:val="auto"/>
                <w:w w:val="99"/>
                <w:sz w:val="21"/>
                <w:szCs w:val="21"/>
                <w:highlight w:val="none"/>
              </w:rPr>
              <w:t>名称</w:t>
            </w:r>
          </w:p>
        </w:tc>
        <w:tc>
          <w:tcPr>
            <w:tcW w:w="3325" w:type="dxa"/>
            <w:vAlign w:val="top"/>
          </w:tcPr>
          <w:p w14:paraId="51A56817">
            <w:pPr>
              <w:pStyle w:val="63"/>
              <w:spacing w:before="4"/>
              <w:rPr>
                <w:rFonts w:ascii="宋体" w:hAnsi="宋体" w:cs="宋体"/>
                <w:color w:val="auto"/>
                <w:sz w:val="21"/>
                <w:szCs w:val="21"/>
                <w:highlight w:val="none"/>
              </w:rPr>
            </w:pPr>
          </w:p>
          <w:p w14:paraId="36C3B738">
            <w:pPr>
              <w:pStyle w:val="63"/>
              <w:ind w:left="926"/>
              <w:rPr>
                <w:rFonts w:ascii="宋体" w:hAnsi="宋体" w:cs="宋体"/>
                <w:color w:val="auto"/>
                <w:sz w:val="21"/>
                <w:szCs w:val="21"/>
                <w:highlight w:val="none"/>
              </w:rPr>
            </w:pPr>
            <w:r>
              <w:rPr>
                <w:rFonts w:hint="eastAsia" w:ascii="宋体" w:hAnsi="宋体" w:cs="宋体"/>
                <w:b/>
                <w:bCs/>
                <w:color w:val="auto"/>
                <w:w w:val="99"/>
                <w:sz w:val="21"/>
                <w:szCs w:val="21"/>
                <w:highlight w:val="none"/>
              </w:rPr>
              <w:t>依据的标准</w:t>
            </w:r>
          </w:p>
        </w:tc>
      </w:tr>
      <w:tr w14:paraId="08FEEF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1" w:hRule="exact"/>
        </w:trPr>
        <w:tc>
          <w:tcPr>
            <w:tcW w:w="744" w:type="dxa"/>
            <w:vMerge w:val="restart"/>
            <w:vAlign w:val="top"/>
          </w:tcPr>
          <w:p w14:paraId="678A1446">
            <w:pPr>
              <w:pStyle w:val="63"/>
              <w:rPr>
                <w:rFonts w:ascii="宋体" w:hAnsi="宋体" w:cs="宋体"/>
                <w:color w:val="auto"/>
                <w:sz w:val="21"/>
                <w:szCs w:val="21"/>
                <w:highlight w:val="none"/>
              </w:rPr>
            </w:pPr>
          </w:p>
          <w:p w14:paraId="3A363D2F">
            <w:pPr>
              <w:pStyle w:val="63"/>
              <w:rPr>
                <w:rFonts w:ascii="宋体" w:hAnsi="宋体" w:cs="宋体"/>
                <w:color w:val="auto"/>
                <w:sz w:val="21"/>
                <w:szCs w:val="21"/>
                <w:highlight w:val="none"/>
              </w:rPr>
            </w:pPr>
          </w:p>
          <w:p w14:paraId="27E42E03">
            <w:pPr>
              <w:pStyle w:val="63"/>
              <w:rPr>
                <w:rFonts w:ascii="宋体" w:hAnsi="宋体" w:cs="宋体"/>
                <w:color w:val="auto"/>
                <w:sz w:val="21"/>
                <w:szCs w:val="21"/>
                <w:highlight w:val="none"/>
              </w:rPr>
            </w:pPr>
          </w:p>
          <w:p w14:paraId="0D9B0948">
            <w:pPr>
              <w:pStyle w:val="63"/>
              <w:spacing w:before="11"/>
              <w:rPr>
                <w:rFonts w:ascii="宋体" w:hAnsi="宋体" w:cs="宋体"/>
                <w:color w:val="auto"/>
                <w:sz w:val="21"/>
                <w:szCs w:val="21"/>
                <w:highlight w:val="none"/>
              </w:rPr>
            </w:pPr>
          </w:p>
          <w:p w14:paraId="2DC5080A">
            <w:pPr>
              <w:pStyle w:val="63"/>
              <w:ind w:right="1"/>
              <w:jc w:val="center"/>
              <w:rPr>
                <w:rFonts w:ascii="宋体" w:hAnsi="宋体" w:cs="宋体"/>
                <w:color w:val="auto"/>
                <w:sz w:val="21"/>
                <w:szCs w:val="21"/>
                <w:highlight w:val="none"/>
              </w:rPr>
            </w:pPr>
            <w:r>
              <w:rPr>
                <w:rFonts w:hint="eastAsia" w:ascii="宋体" w:hAnsi="宋体" w:cs="宋体"/>
                <w:color w:val="auto"/>
                <w:w w:val="99"/>
                <w:sz w:val="21"/>
                <w:szCs w:val="21"/>
                <w:highlight w:val="none"/>
              </w:rPr>
              <w:t>1</w:t>
            </w:r>
          </w:p>
        </w:tc>
        <w:tc>
          <w:tcPr>
            <w:tcW w:w="996" w:type="dxa"/>
            <w:vMerge w:val="restart"/>
            <w:vAlign w:val="top"/>
          </w:tcPr>
          <w:p w14:paraId="38AAA588">
            <w:pPr>
              <w:pStyle w:val="63"/>
              <w:rPr>
                <w:rFonts w:ascii="宋体" w:hAnsi="宋体" w:cs="宋体"/>
                <w:color w:val="auto"/>
                <w:sz w:val="21"/>
                <w:szCs w:val="21"/>
                <w:highlight w:val="none"/>
              </w:rPr>
            </w:pPr>
          </w:p>
          <w:p w14:paraId="6A18D0A4">
            <w:pPr>
              <w:pStyle w:val="63"/>
              <w:rPr>
                <w:rFonts w:ascii="宋体" w:hAnsi="宋体" w:cs="宋体"/>
                <w:color w:val="auto"/>
                <w:sz w:val="21"/>
                <w:szCs w:val="21"/>
                <w:highlight w:val="none"/>
              </w:rPr>
            </w:pPr>
          </w:p>
          <w:p w14:paraId="6A2A7EE8">
            <w:pPr>
              <w:pStyle w:val="63"/>
              <w:spacing w:before="12"/>
              <w:rPr>
                <w:rFonts w:ascii="宋体" w:hAnsi="宋体" w:cs="宋体"/>
                <w:color w:val="auto"/>
                <w:sz w:val="21"/>
                <w:szCs w:val="21"/>
                <w:highlight w:val="none"/>
              </w:rPr>
            </w:pPr>
          </w:p>
          <w:p w14:paraId="65FDFB11">
            <w:pPr>
              <w:pStyle w:val="63"/>
              <w:ind w:left="7"/>
              <w:rPr>
                <w:rFonts w:ascii="宋体" w:hAnsi="宋体" w:cs="宋体"/>
                <w:color w:val="auto"/>
                <w:sz w:val="21"/>
                <w:szCs w:val="21"/>
                <w:highlight w:val="none"/>
              </w:rPr>
            </w:pP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01</w:t>
            </w:r>
            <w:r>
              <w:rPr>
                <w:rFonts w:hint="eastAsia" w:ascii="宋体" w:hAnsi="宋体" w:cs="宋体"/>
                <w:color w:val="auto"/>
                <w:spacing w:val="1"/>
                <w:w w:val="99"/>
                <w:sz w:val="21"/>
                <w:szCs w:val="21"/>
                <w:highlight w:val="none"/>
              </w:rPr>
              <w:t>0</w:t>
            </w:r>
            <w:r>
              <w:rPr>
                <w:rFonts w:hint="eastAsia" w:ascii="宋体" w:hAnsi="宋体" w:cs="宋体"/>
                <w:color w:val="auto"/>
                <w:w w:val="99"/>
                <w:sz w:val="21"/>
                <w:szCs w:val="21"/>
                <w:highlight w:val="none"/>
              </w:rPr>
              <w:t>1计算机设备</w:t>
            </w:r>
          </w:p>
        </w:tc>
        <w:tc>
          <w:tcPr>
            <w:tcW w:w="1800" w:type="dxa"/>
            <w:vAlign w:val="top"/>
          </w:tcPr>
          <w:p w14:paraId="4CCC3E85">
            <w:pPr>
              <w:pStyle w:val="63"/>
              <w:spacing w:before="93" w:line="280" w:lineRule="auto"/>
              <w:ind w:left="7" w:right="5"/>
              <w:rPr>
                <w:rFonts w:ascii="宋体" w:hAnsi="宋体" w:cs="宋体"/>
                <w:color w:val="auto"/>
                <w:sz w:val="21"/>
                <w:szCs w:val="21"/>
                <w:highlight w:val="none"/>
              </w:rPr>
            </w:pPr>
            <w:r>
              <w:rPr>
                <w:rFonts w:hint="eastAsia" w:ascii="宋体" w:hAnsi="宋体" w:cs="宋体"/>
                <w:color w:val="auto"/>
                <w:w w:val="99"/>
                <w:sz w:val="21"/>
                <w:szCs w:val="21"/>
                <w:highlight w:val="none"/>
              </w:rPr>
              <w:t>★</w:t>
            </w:r>
            <w:r>
              <w:rPr>
                <w:rFonts w:hint="eastAsia" w:ascii="宋体" w:hAnsi="宋体" w:cs="宋体"/>
                <w:color w:val="auto"/>
                <w:spacing w:val="1"/>
                <w:w w:val="99"/>
                <w:sz w:val="21"/>
                <w:szCs w:val="21"/>
                <w:highlight w:val="none"/>
              </w:rPr>
              <w:t>A020</w:t>
            </w:r>
            <w:r>
              <w:rPr>
                <w:rFonts w:hint="eastAsia" w:ascii="宋体" w:hAnsi="宋体" w:cs="宋体"/>
                <w:color w:val="auto"/>
                <w:w w:val="99"/>
                <w:sz w:val="21"/>
                <w:szCs w:val="21"/>
                <w:highlight w:val="none"/>
              </w:rPr>
              <w:t>10</w:t>
            </w:r>
            <w:r>
              <w:rPr>
                <w:rFonts w:hint="eastAsia" w:ascii="宋体" w:hAnsi="宋体" w:cs="宋体"/>
                <w:color w:val="auto"/>
                <w:spacing w:val="1"/>
                <w:w w:val="99"/>
                <w:sz w:val="21"/>
                <w:szCs w:val="21"/>
                <w:highlight w:val="none"/>
              </w:rPr>
              <w:t>1</w:t>
            </w:r>
            <w:r>
              <w:rPr>
                <w:rFonts w:hint="eastAsia" w:ascii="宋体" w:hAnsi="宋体" w:cs="宋体"/>
                <w:color w:val="auto"/>
                <w:w w:val="99"/>
                <w:sz w:val="21"/>
                <w:szCs w:val="21"/>
                <w:highlight w:val="none"/>
              </w:rPr>
              <w:t>04台式计算机</w:t>
            </w:r>
          </w:p>
        </w:tc>
        <w:tc>
          <w:tcPr>
            <w:tcW w:w="1916" w:type="dxa"/>
            <w:vAlign w:val="top"/>
          </w:tcPr>
          <w:p w14:paraId="0C5F4983">
            <w:pPr>
              <w:rPr>
                <w:rFonts w:ascii="宋体" w:hAnsi="宋体" w:cs="宋体"/>
                <w:color w:val="auto"/>
                <w:szCs w:val="21"/>
                <w:highlight w:val="none"/>
              </w:rPr>
            </w:pPr>
          </w:p>
        </w:tc>
        <w:tc>
          <w:tcPr>
            <w:tcW w:w="3325" w:type="dxa"/>
            <w:vAlign w:val="top"/>
          </w:tcPr>
          <w:p w14:paraId="7E59098D">
            <w:pPr>
              <w:pStyle w:val="63"/>
              <w:spacing w:before="93" w:line="280" w:lineRule="auto"/>
              <w:ind w:left="7" w:right="4"/>
              <w:rPr>
                <w:rFonts w:ascii="宋体" w:hAnsi="宋体" w:cs="宋体"/>
                <w:color w:val="auto"/>
                <w:sz w:val="21"/>
                <w:szCs w:val="21"/>
                <w:highlight w:val="none"/>
                <w:lang w:eastAsia="zh-CN"/>
              </w:rPr>
            </w:pPr>
            <w:r>
              <w:rPr>
                <w:rFonts w:hint="eastAsia" w:ascii="宋体" w:hAnsi="宋体" w:cs="宋体"/>
                <w:color w:val="auto"/>
                <w:spacing w:val="12"/>
                <w:w w:val="99"/>
                <w:sz w:val="21"/>
                <w:szCs w:val="21"/>
                <w:highlight w:val="none"/>
                <w:lang w:eastAsia="zh-CN"/>
              </w:rPr>
              <w:t>《微型计算机能效限定</w:t>
            </w:r>
            <w:r>
              <w:rPr>
                <w:rFonts w:hint="eastAsia" w:ascii="宋体" w:hAnsi="宋体" w:cs="宋体"/>
                <w:color w:val="auto"/>
                <w:spacing w:val="9"/>
                <w:w w:val="99"/>
                <w:sz w:val="21"/>
                <w:szCs w:val="21"/>
                <w:highlight w:val="none"/>
                <w:lang w:eastAsia="zh-CN"/>
              </w:rPr>
              <w:t>值</w:t>
            </w:r>
            <w:r>
              <w:rPr>
                <w:rFonts w:hint="eastAsia" w:ascii="宋体" w:hAnsi="宋体" w:cs="宋体"/>
                <w:color w:val="auto"/>
                <w:spacing w:val="12"/>
                <w:w w:val="99"/>
                <w:sz w:val="21"/>
                <w:szCs w:val="21"/>
                <w:highlight w:val="none"/>
                <w:lang w:eastAsia="zh-CN"/>
              </w:rPr>
              <w:t>及能</w:t>
            </w:r>
            <w:r>
              <w:rPr>
                <w:rFonts w:hint="eastAsia" w:ascii="宋体" w:hAnsi="宋体" w:cs="宋体"/>
                <w:color w:val="auto"/>
                <w:w w:val="99"/>
                <w:sz w:val="21"/>
                <w:szCs w:val="21"/>
                <w:highlight w:val="none"/>
                <w:lang w:eastAsia="zh-CN"/>
              </w:rPr>
              <w:t>效等级》（</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28380</w:t>
            </w:r>
            <w:r>
              <w:rPr>
                <w:rFonts w:hint="eastAsia" w:ascii="宋体" w:hAnsi="宋体" w:cs="宋体"/>
                <w:color w:val="auto"/>
                <w:w w:val="99"/>
                <w:sz w:val="21"/>
                <w:szCs w:val="21"/>
                <w:highlight w:val="none"/>
                <w:lang w:eastAsia="zh-CN"/>
              </w:rPr>
              <w:t>）</w:t>
            </w:r>
          </w:p>
        </w:tc>
      </w:tr>
      <w:tr w14:paraId="0CD8F7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7" w:hRule="exact"/>
        </w:trPr>
        <w:tc>
          <w:tcPr>
            <w:tcW w:w="744" w:type="dxa"/>
            <w:vMerge w:val="continue"/>
            <w:vAlign w:val="center"/>
          </w:tcPr>
          <w:p w14:paraId="67B69A3B">
            <w:pPr>
              <w:widowControl/>
              <w:jc w:val="left"/>
              <w:rPr>
                <w:rFonts w:ascii="宋体" w:hAnsi="宋体" w:cs="宋体"/>
                <w:color w:val="auto"/>
                <w:kern w:val="0"/>
                <w:szCs w:val="21"/>
                <w:highlight w:val="none"/>
              </w:rPr>
            </w:pPr>
          </w:p>
        </w:tc>
        <w:tc>
          <w:tcPr>
            <w:tcW w:w="996" w:type="dxa"/>
            <w:vMerge w:val="continue"/>
            <w:vAlign w:val="center"/>
          </w:tcPr>
          <w:p w14:paraId="2881C01F">
            <w:pPr>
              <w:widowControl/>
              <w:jc w:val="left"/>
              <w:rPr>
                <w:rFonts w:ascii="宋体" w:hAnsi="宋体" w:cs="宋体"/>
                <w:color w:val="auto"/>
                <w:kern w:val="0"/>
                <w:szCs w:val="21"/>
                <w:highlight w:val="none"/>
              </w:rPr>
            </w:pPr>
          </w:p>
        </w:tc>
        <w:tc>
          <w:tcPr>
            <w:tcW w:w="1800" w:type="dxa"/>
            <w:vAlign w:val="top"/>
          </w:tcPr>
          <w:p w14:paraId="66D67B88">
            <w:pPr>
              <w:pStyle w:val="63"/>
              <w:spacing w:before="44" w:line="280" w:lineRule="auto"/>
              <w:ind w:left="7" w:right="5"/>
              <w:rPr>
                <w:rFonts w:ascii="宋体" w:hAnsi="宋体" w:cs="宋体"/>
                <w:color w:val="auto"/>
                <w:sz w:val="21"/>
                <w:szCs w:val="21"/>
                <w:highlight w:val="none"/>
              </w:rPr>
            </w:pPr>
            <w:r>
              <w:rPr>
                <w:rFonts w:hint="eastAsia" w:ascii="宋体" w:hAnsi="宋体" w:cs="宋体"/>
                <w:color w:val="auto"/>
                <w:w w:val="99"/>
                <w:sz w:val="21"/>
                <w:szCs w:val="21"/>
                <w:highlight w:val="none"/>
              </w:rPr>
              <w:t>★</w:t>
            </w:r>
            <w:r>
              <w:rPr>
                <w:rFonts w:hint="eastAsia" w:ascii="宋体" w:hAnsi="宋体" w:cs="宋体"/>
                <w:color w:val="auto"/>
                <w:spacing w:val="1"/>
                <w:w w:val="99"/>
                <w:sz w:val="21"/>
                <w:szCs w:val="21"/>
                <w:highlight w:val="none"/>
              </w:rPr>
              <w:t>A020</w:t>
            </w:r>
            <w:r>
              <w:rPr>
                <w:rFonts w:hint="eastAsia" w:ascii="宋体" w:hAnsi="宋体" w:cs="宋体"/>
                <w:color w:val="auto"/>
                <w:w w:val="99"/>
                <w:sz w:val="21"/>
                <w:szCs w:val="21"/>
                <w:highlight w:val="none"/>
              </w:rPr>
              <w:t>10</w:t>
            </w:r>
            <w:r>
              <w:rPr>
                <w:rFonts w:hint="eastAsia" w:ascii="宋体" w:hAnsi="宋体" w:cs="宋体"/>
                <w:color w:val="auto"/>
                <w:spacing w:val="1"/>
                <w:w w:val="99"/>
                <w:sz w:val="21"/>
                <w:szCs w:val="21"/>
                <w:highlight w:val="none"/>
              </w:rPr>
              <w:t>1</w:t>
            </w:r>
            <w:r>
              <w:rPr>
                <w:rFonts w:hint="eastAsia" w:ascii="宋体" w:hAnsi="宋体" w:cs="宋体"/>
                <w:color w:val="auto"/>
                <w:w w:val="99"/>
                <w:sz w:val="21"/>
                <w:szCs w:val="21"/>
                <w:highlight w:val="none"/>
              </w:rPr>
              <w:t>05便携式计算机</w:t>
            </w:r>
          </w:p>
        </w:tc>
        <w:tc>
          <w:tcPr>
            <w:tcW w:w="1916" w:type="dxa"/>
            <w:vAlign w:val="top"/>
          </w:tcPr>
          <w:p w14:paraId="4C8A6854">
            <w:pPr>
              <w:rPr>
                <w:rFonts w:ascii="宋体" w:hAnsi="宋体" w:cs="宋体"/>
                <w:color w:val="auto"/>
                <w:szCs w:val="21"/>
                <w:highlight w:val="none"/>
              </w:rPr>
            </w:pPr>
          </w:p>
        </w:tc>
        <w:tc>
          <w:tcPr>
            <w:tcW w:w="3325" w:type="dxa"/>
            <w:vAlign w:val="top"/>
          </w:tcPr>
          <w:p w14:paraId="3ED552D7">
            <w:pPr>
              <w:pStyle w:val="63"/>
              <w:spacing w:before="44" w:line="280" w:lineRule="auto"/>
              <w:ind w:left="7" w:right="4"/>
              <w:rPr>
                <w:rFonts w:ascii="宋体" w:hAnsi="宋体" w:cs="宋体"/>
                <w:color w:val="auto"/>
                <w:sz w:val="21"/>
                <w:szCs w:val="21"/>
                <w:highlight w:val="none"/>
                <w:lang w:eastAsia="zh-CN"/>
              </w:rPr>
            </w:pPr>
            <w:r>
              <w:rPr>
                <w:rFonts w:hint="eastAsia" w:ascii="宋体" w:hAnsi="宋体" w:cs="宋体"/>
                <w:color w:val="auto"/>
                <w:spacing w:val="12"/>
                <w:w w:val="99"/>
                <w:sz w:val="21"/>
                <w:szCs w:val="21"/>
                <w:highlight w:val="none"/>
                <w:lang w:eastAsia="zh-CN"/>
              </w:rPr>
              <w:t>《微型计算机能效限定</w:t>
            </w:r>
            <w:r>
              <w:rPr>
                <w:rFonts w:hint="eastAsia" w:ascii="宋体" w:hAnsi="宋体" w:cs="宋体"/>
                <w:color w:val="auto"/>
                <w:spacing w:val="9"/>
                <w:w w:val="99"/>
                <w:sz w:val="21"/>
                <w:szCs w:val="21"/>
                <w:highlight w:val="none"/>
                <w:lang w:eastAsia="zh-CN"/>
              </w:rPr>
              <w:t>值</w:t>
            </w:r>
            <w:r>
              <w:rPr>
                <w:rFonts w:hint="eastAsia" w:ascii="宋体" w:hAnsi="宋体" w:cs="宋体"/>
                <w:color w:val="auto"/>
                <w:spacing w:val="12"/>
                <w:w w:val="99"/>
                <w:sz w:val="21"/>
                <w:szCs w:val="21"/>
                <w:highlight w:val="none"/>
                <w:lang w:eastAsia="zh-CN"/>
              </w:rPr>
              <w:t>及能</w:t>
            </w:r>
            <w:r>
              <w:rPr>
                <w:rFonts w:hint="eastAsia" w:ascii="宋体" w:hAnsi="宋体" w:cs="宋体"/>
                <w:color w:val="auto"/>
                <w:w w:val="99"/>
                <w:sz w:val="21"/>
                <w:szCs w:val="21"/>
                <w:highlight w:val="none"/>
                <w:lang w:eastAsia="zh-CN"/>
              </w:rPr>
              <w:t>效等级》（</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28380</w:t>
            </w:r>
            <w:r>
              <w:rPr>
                <w:rFonts w:hint="eastAsia" w:ascii="宋体" w:hAnsi="宋体" w:cs="宋体"/>
                <w:color w:val="auto"/>
                <w:w w:val="99"/>
                <w:sz w:val="21"/>
                <w:szCs w:val="21"/>
                <w:highlight w:val="none"/>
                <w:lang w:eastAsia="zh-CN"/>
              </w:rPr>
              <w:t>）</w:t>
            </w:r>
          </w:p>
        </w:tc>
      </w:tr>
      <w:tr w14:paraId="7F09B0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3" w:hRule="exact"/>
        </w:trPr>
        <w:tc>
          <w:tcPr>
            <w:tcW w:w="744" w:type="dxa"/>
            <w:vMerge w:val="continue"/>
            <w:vAlign w:val="center"/>
          </w:tcPr>
          <w:p w14:paraId="533737CF">
            <w:pPr>
              <w:widowControl/>
              <w:jc w:val="left"/>
              <w:rPr>
                <w:rFonts w:ascii="宋体" w:hAnsi="宋体" w:cs="宋体"/>
                <w:color w:val="auto"/>
                <w:kern w:val="0"/>
                <w:szCs w:val="21"/>
                <w:highlight w:val="none"/>
              </w:rPr>
            </w:pPr>
          </w:p>
        </w:tc>
        <w:tc>
          <w:tcPr>
            <w:tcW w:w="996" w:type="dxa"/>
            <w:vMerge w:val="continue"/>
            <w:vAlign w:val="center"/>
          </w:tcPr>
          <w:p w14:paraId="0F660F41">
            <w:pPr>
              <w:widowControl/>
              <w:jc w:val="left"/>
              <w:rPr>
                <w:rFonts w:ascii="宋体" w:hAnsi="宋体" w:cs="宋体"/>
                <w:color w:val="auto"/>
                <w:kern w:val="0"/>
                <w:szCs w:val="21"/>
                <w:highlight w:val="none"/>
              </w:rPr>
            </w:pPr>
          </w:p>
        </w:tc>
        <w:tc>
          <w:tcPr>
            <w:tcW w:w="1800" w:type="dxa"/>
            <w:vAlign w:val="top"/>
          </w:tcPr>
          <w:p w14:paraId="566B566E">
            <w:pPr>
              <w:pStyle w:val="63"/>
              <w:spacing w:before="64" w:line="280" w:lineRule="auto"/>
              <w:ind w:left="7" w:right="5"/>
              <w:rPr>
                <w:rFonts w:ascii="宋体" w:hAnsi="宋体" w:cs="宋体"/>
                <w:color w:val="auto"/>
                <w:sz w:val="21"/>
                <w:szCs w:val="21"/>
                <w:highlight w:val="none"/>
                <w:lang w:eastAsia="zh-CN"/>
              </w:rPr>
            </w:pP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A020</w:t>
            </w:r>
            <w:r>
              <w:rPr>
                <w:rFonts w:hint="eastAsia" w:ascii="宋体" w:hAnsi="宋体" w:cs="宋体"/>
                <w:color w:val="auto"/>
                <w:w w:val="99"/>
                <w:sz w:val="21"/>
                <w:szCs w:val="21"/>
                <w:highlight w:val="none"/>
                <w:lang w:eastAsia="zh-CN"/>
              </w:rPr>
              <w:t>10</w:t>
            </w:r>
            <w:r>
              <w:rPr>
                <w:rFonts w:hint="eastAsia" w:ascii="宋体" w:hAnsi="宋体" w:cs="宋体"/>
                <w:color w:val="auto"/>
                <w:spacing w:val="1"/>
                <w:w w:val="99"/>
                <w:sz w:val="21"/>
                <w:szCs w:val="21"/>
                <w:highlight w:val="none"/>
                <w:lang w:eastAsia="zh-CN"/>
              </w:rPr>
              <w:t>1</w:t>
            </w:r>
            <w:r>
              <w:rPr>
                <w:rFonts w:hint="eastAsia" w:ascii="宋体" w:hAnsi="宋体" w:cs="宋体"/>
                <w:color w:val="auto"/>
                <w:w w:val="99"/>
                <w:sz w:val="21"/>
                <w:szCs w:val="21"/>
                <w:highlight w:val="none"/>
                <w:lang w:eastAsia="zh-CN"/>
              </w:rPr>
              <w:t>07平板式微型计</w:t>
            </w:r>
            <w:r>
              <w:rPr>
                <w:rFonts w:hint="eastAsia" w:ascii="宋体" w:hAnsi="宋体" w:cs="宋体"/>
                <w:color w:val="auto"/>
                <w:spacing w:val="2"/>
                <w:w w:val="99"/>
                <w:sz w:val="21"/>
                <w:szCs w:val="21"/>
                <w:highlight w:val="none"/>
                <w:lang w:eastAsia="zh-CN"/>
              </w:rPr>
              <w:t>算</w:t>
            </w:r>
            <w:r>
              <w:rPr>
                <w:rFonts w:hint="eastAsia" w:ascii="宋体" w:hAnsi="宋体" w:cs="宋体"/>
                <w:color w:val="auto"/>
                <w:w w:val="99"/>
                <w:sz w:val="21"/>
                <w:szCs w:val="21"/>
                <w:highlight w:val="none"/>
                <w:lang w:eastAsia="zh-CN"/>
              </w:rPr>
              <w:t>机</w:t>
            </w:r>
          </w:p>
        </w:tc>
        <w:tc>
          <w:tcPr>
            <w:tcW w:w="1916" w:type="dxa"/>
            <w:vAlign w:val="top"/>
          </w:tcPr>
          <w:p w14:paraId="190346EE">
            <w:pPr>
              <w:rPr>
                <w:rFonts w:ascii="宋体" w:hAnsi="宋体" w:cs="宋体"/>
                <w:color w:val="auto"/>
                <w:szCs w:val="21"/>
                <w:highlight w:val="none"/>
              </w:rPr>
            </w:pPr>
          </w:p>
        </w:tc>
        <w:tc>
          <w:tcPr>
            <w:tcW w:w="3325" w:type="dxa"/>
            <w:vAlign w:val="top"/>
          </w:tcPr>
          <w:p w14:paraId="1BFFE5B9">
            <w:pPr>
              <w:pStyle w:val="63"/>
              <w:spacing w:before="64" w:line="280" w:lineRule="auto"/>
              <w:ind w:left="7" w:right="4"/>
              <w:rPr>
                <w:rFonts w:ascii="宋体" w:hAnsi="宋体" w:cs="宋体"/>
                <w:color w:val="auto"/>
                <w:sz w:val="21"/>
                <w:szCs w:val="21"/>
                <w:highlight w:val="none"/>
                <w:lang w:eastAsia="zh-CN"/>
              </w:rPr>
            </w:pPr>
            <w:r>
              <w:rPr>
                <w:rFonts w:hint="eastAsia" w:ascii="宋体" w:hAnsi="宋体" w:cs="宋体"/>
                <w:color w:val="auto"/>
                <w:spacing w:val="12"/>
                <w:w w:val="99"/>
                <w:sz w:val="21"/>
                <w:szCs w:val="21"/>
                <w:highlight w:val="none"/>
                <w:lang w:eastAsia="zh-CN"/>
              </w:rPr>
              <w:t>《微型计算机能效限定</w:t>
            </w:r>
            <w:r>
              <w:rPr>
                <w:rFonts w:hint="eastAsia" w:ascii="宋体" w:hAnsi="宋体" w:cs="宋体"/>
                <w:color w:val="auto"/>
                <w:spacing w:val="9"/>
                <w:w w:val="99"/>
                <w:sz w:val="21"/>
                <w:szCs w:val="21"/>
                <w:highlight w:val="none"/>
                <w:lang w:eastAsia="zh-CN"/>
              </w:rPr>
              <w:t>值</w:t>
            </w:r>
            <w:r>
              <w:rPr>
                <w:rFonts w:hint="eastAsia" w:ascii="宋体" w:hAnsi="宋体" w:cs="宋体"/>
                <w:color w:val="auto"/>
                <w:spacing w:val="12"/>
                <w:w w:val="99"/>
                <w:sz w:val="21"/>
                <w:szCs w:val="21"/>
                <w:highlight w:val="none"/>
                <w:lang w:eastAsia="zh-CN"/>
              </w:rPr>
              <w:t>及能</w:t>
            </w:r>
            <w:r>
              <w:rPr>
                <w:rFonts w:hint="eastAsia" w:ascii="宋体" w:hAnsi="宋体" w:cs="宋体"/>
                <w:color w:val="auto"/>
                <w:w w:val="99"/>
                <w:sz w:val="21"/>
                <w:szCs w:val="21"/>
                <w:highlight w:val="none"/>
                <w:lang w:eastAsia="zh-CN"/>
              </w:rPr>
              <w:t>效等级》（</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28380</w:t>
            </w:r>
            <w:r>
              <w:rPr>
                <w:rFonts w:hint="eastAsia" w:ascii="宋体" w:hAnsi="宋体" w:cs="宋体"/>
                <w:color w:val="auto"/>
                <w:w w:val="99"/>
                <w:sz w:val="21"/>
                <w:szCs w:val="21"/>
                <w:highlight w:val="none"/>
                <w:lang w:eastAsia="zh-CN"/>
              </w:rPr>
              <w:t>）</w:t>
            </w:r>
          </w:p>
        </w:tc>
      </w:tr>
      <w:tr w14:paraId="5E0808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2" w:hRule="exact"/>
        </w:trPr>
        <w:tc>
          <w:tcPr>
            <w:tcW w:w="744" w:type="dxa"/>
            <w:vMerge w:val="restart"/>
            <w:vAlign w:val="top"/>
          </w:tcPr>
          <w:p w14:paraId="24DCEBD0">
            <w:pPr>
              <w:pStyle w:val="63"/>
              <w:rPr>
                <w:rFonts w:ascii="宋体" w:hAnsi="宋体" w:cs="宋体"/>
                <w:color w:val="auto"/>
                <w:sz w:val="21"/>
                <w:szCs w:val="21"/>
                <w:highlight w:val="none"/>
                <w:lang w:eastAsia="zh-CN"/>
              </w:rPr>
            </w:pPr>
          </w:p>
          <w:p w14:paraId="05AA23D1">
            <w:pPr>
              <w:pStyle w:val="63"/>
              <w:rPr>
                <w:rFonts w:ascii="宋体" w:hAnsi="宋体" w:cs="宋体"/>
                <w:color w:val="auto"/>
                <w:sz w:val="21"/>
                <w:szCs w:val="21"/>
                <w:highlight w:val="none"/>
                <w:lang w:eastAsia="zh-CN"/>
              </w:rPr>
            </w:pPr>
          </w:p>
          <w:p w14:paraId="6A959417">
            <w:pPr>
              <w:pStyle w:val="63"/>
              <w:rPr>
                <w:rFonts w:ascii="宋体" w:hAnsi="宋体" w:cs="宋体"/>
                <w:color w:val="auto"/>
                <w:sz w:val="21"/>
                <w:szCs w:val="21"/>
                <w:highlight w:val="none"/>
                <w:lang w:eastAsia="zh-CN"/>
              </w:rPr>
            </w:pPr>
          </w:p>
          <w:p w14:paraId="05BC8EA1">
            <w:pPr>
              <w:pStyle w:val="63"/>
              <w:rPr>
                <w:rFonts w:ascii="宋体" w:hAnsi="宋体" w:cs="宋体"/>
                <w:color w:val="auto"/>
                <w:sz w:val="21"/>
                <w:szCs w:val="21"/>
                <w:highlight w:val="none"/>
                <w:lang w:eastAsia="zh-CN"/>
              </w:rPr>
            </w:pPr>
          </w:p>
          <w:p w14:paraId="180C7301">
            <w:pPr>
              <w:pStyle w:val="63"/>
              <w:rPr>
                <w:rFonts w:ascii="宋体" w:hAnsi="宋体" w:cs="宋体"/>
                <w:color w:val="auto"/>
                <w:sz w:val="21"/>
                <w:szCs w:val="21"/>
                <w:highlight w:val="none"/>
                <w:lang w:eastAsia="zh-CN"/>
              </w:rPr>
            </w:pPr>
          </w:p>
          <w:p w14:paraId="15F689C1">
            <w:pPr>
              <w:pStyle w:val="63"/>
              <w:rPr>
                <w:rFonts w:ascii="宋体" w:hAnsi="宋体" w:cs="宋体"/>
                <w:color w:val="auto"/>
                <w:sz w:val="21"/>
                <w:szCs w:val="21"/>
                <w:highlight w:val="none"/>
                <w:lang w:eastAsia="zh-CN"/>
              </w:rPr>
            </w:pPr>
          </w:p>
          <w:p w14:paraId="09D148B2">
            <w:pPr>
              <w:pStyle w:val="63"/>
              <w:rPr>
                <w:rFonts w:ascii="宋体" w:hAnsi="宋体" w:cs="宋体"/>
                <w:color w:val="auto"/>
                <w:sz w:val="21"/>
                <w:szCs w:val="21"/>
                <w:highlight w:val="none"/>
                <w:lang w:eastAsia="zh-CN"/>
              </w:rPr>
            </w:pPr>
          </w:p>
          <w:p w14:paraId="62718468">
            <w:pPr>
              <w:pStyle w:val="63"/>
              <w:spacing w:before="2"/>
              <w:rPr>
                <w:rFonts w:ascii="宋体" w:hAnsi="宋体" w:cs="宋体"/>
                <w:color w:val="auto"/>
                <w:sz w:val="21"/>
                <w:szCs w:val="21"/>
                <w:highlight w:val="none"/>
                <w:lang w:eastAsia="zh-CN"/>
              </w:rPr>
            </w:pPr>
          </w:p>
          <w:p w14:paraId="6A5AA08B">
            <w:pPr>
              <w:pStyle w:val="63"/>
              <w:ind w:right="1"/>
              <w:jc w:val="center"/>
              <w:rPr>
                <w:rFonts w:ascii="宋体" w:hAnsi="宋体" w:cs="宋体"/>
                <w:color w:val="auto"/>
                <w:sz w:val="21"/>
                <w:szCs w:val="21"/>
                <w:highlight w:val="none"/>
              </w:rPr>
            </w:pPr>
            <w:r>
              <w:rPr>
                <w:rFonts w:hint="eastAsia" w:ascii="宋体" w:hAnsi="宋体" w:cs="宋体"/>
                <w:color w:val="auto"/>
                <w:w w:val="99"/>
                <w:sz w:val="21"/>
                <w:szCs w:val="21"/>
                <w:highlight w:val="none"/>
              </w:rPr>
              <w:t>2</w:t>
            </w:r>
          </w:p>
        </w:tc>
        <w:tc>
          <w:tcPr>
            <w:tcW w:w="996" w:type="dxa"/>
            <w:vMerge w:val="restart"/>
            <w:vAlign w:val="top"/>
          </w:tcPr>
          <w:p w14:paraId="1BBAB925">
            <w:pPr>
              <w:pStyle w:val="63"/>
              <w:rPr>
                <w:rFonts w:ascii="宋体" w:hAnsi="宋体" w:cs="宋体"/>
                <w:color w:val="auto"/>
                <w:sz w:val="21"/>
                <w:szCs w:val="21"/>
                <w:highlight w:val="none"/>
              </w:rPr>
            </w:pPr>
          </w:p>
          <w:p w14:paraId="19C4FB9D">
            <w:pPr>
              <w:pStyle w:val="63"/>
              <w:rPr>
                <w:rFonts w:ascii="宋体" w:hAnsi="宋体" w:cs="宋体"/>
                <w:color w:val="auto"/>
                <w:sz w:val="21"/>
                <w:szCs w:val="21"/>
                <w:highlight w:val="none"/>
              </w:rPr>
            </w:pPr>
          </w:p>
          <w:p w14:paraId="417B60CB">
            <w:pPr>
              <w:pStyle w:val="63"/>
              <w:rPr>
                <w:rFonts w:ascii="宋体" w:hAnsi="宋体" w:cs="宋体"/>
                <w:color w:val="auto"/>
                <w:sz w:val="21"/>
                <w:szCs w:val="21"/>
                <w:highlight w:val="none"/>
              </w:rPr>
            </w:pPr>
          </w:p>
          <w:p w14:paraId="7E118786">
            <w:pPr>
              <w:pStyle w:val="63"/>
              <w:rPr>
                <w:rFonts w:ascii="宋体" w:hAnsi="宋体" w:cs="宋体"/>
                <w:color w:val="auto"/>
                <w:sz w:val="21"/>
                <w:szCs w:val="21"/>
                <w:highlight w:val="none"/>
              </w:rPr>
            </w:pPr>
          </w:p>
          <w:p w14:paraId="3C678989">
            <w:pPr>
              <w:pStyle w:val="63"/>
              <w:rPr>
                <w:rFonts w:ascii="宋体" w:hAnsi="宋体" w:cs="宋体"/>
                <w:color w:val="auto"/>
                <w:sz w:val="21"/>
                <w:szCs w:val="21"/>
                <w:highlight w:val="none"/>
              </w:rPr>
            </w:pPr>
          </w:p>
          <w:p w14:paraId="3F3960EE">
            <w:pPr>
              <w:pStyle w:val="63"/>
              <w:rPr>
                <w:rFonts w:ascii="宋体" w:hAnsi="宋体" w:cs="宋体"/>
                <w:color w:val="auto"/>
                <w:sz w:val="21"/>
                <w:szCs w:val="21"/>
                <w:highlight w:val="none"/>
              </w:rPr>
            </w:pPr>
          </w:p>
          <w:p w14:paraId="1226C0BB">
            <w:pPr>
              <w:pStyle w:val="63"/>
              <w:spacing w:before="3"/>
              <w:rPr>
                <w:rFonts w:ascii="宋体" w:hAnsi="宋体" w:cs="宋体"/>
                <w:color w:val="auto"/>
                <w:sz w:val="21"/>
                <w:szCs w:val="21"/>
                <w:highlight w:val="none"/>
              </w:rPr>
            </w:pPr>
          </w:p>
          <w:p w14:paraId="59A00473">
            <w:pPr>
              <w:pStyle w:val="63"/>
              <w:ind w:left="7"/>
              <w:rPr>
                <w:rFonts w:ascii="宋体" w:hAnsi="宋体" w:cs="宋体"/>
                <w:color w:val="auto"/>
                <w:sz w:val="21"/>
                <w:szCs w:val="21"/>
                <w:highlight w:val="none"/>
              </w:rPr>
            </w:pP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01</w:t>
            </w:r>
            <w:r>
              <w:rPr>
                <w:rFonts w:hint="eastAsia" w:ascii="宋体" w:hAnsi="宋体" w:cs="宋体"/>
                <w:color w:val="auto"/>
                <w:spacing w:val="1"/>
                <w:w w:val="99"/>
                <w:sz w:val="21"/>
                <w:szCs w:val="21"/>
                <w:highlight w:val="none"/>
              </w:rPr>
              <w:t>0</w:t>
            </w:r>
            <w:r>
              <w:rPr>
                <w:rFonts w:hint="eastAsia" w:ascii="宋体" w:hAnsi="宋体" w:cs="宋体"/>
                <w:color w:val="auto"/>
                <w:w w:val="99"/>
                <w:sz w:val="21"/>
                <w:szCs w:val="21"/>
                <w:highlight w:val="none"/>
              </w:rPr>
              <w:t>6输入输出设备</w:t>
            </w:r>
          </w:p>
        </w:tc>
        <w:tc>
          <w:tcPr>
            <w:tcW w:w="1800" w:type="dxa"/>
            <w:vMerge w:val="restart"/>
            <w:vAlign w:val="top"/>
          </w:tcPr>
          <w:p w14:paraId="6284A210">
            <w:pPr>
              <w:pStyle w:val="63"/>
              <w:rPr>
                <w:rFonts w:ascii="宋体" w:hAnsi="宋体" w:cs="宋体"/>
                <w:color w:val="auto"/>
                <w:sz w:val="21"/>
                <w:szCs w:val="21"/>
                <w:highlight w:val="none"/>
              </w:rPr>
            </w:pPr>
          </w:p>
          <w:p w14:paraId="16D86569">
            <w:pPr>
              <w:pStyle w:val="63"/>
              <w:rPr>
                <w:rFonts w:ascii="宋体" w:hAnsi="宋体" w:cs="宋体"/>
                <w:color w:val="auto"/>
                <w:sz w:val="21"/>
                <w:szCs w:val="21"/>
                <w:highlight w:val="none"/>
              </w:rPr>
            </w:pPr>
          </w:p>
          <w:p w14:paraId="2836A6BC">
            <w:pPr>
              <w:pStyle w:val="63"/>
              <w:rPr>
                <w:rFonts w:ascii="宋体" w:hAnsi="宋体" w:cs="宋体"/>
                <w:color w:val="auto"/>
                <w:sz w:val="21"/>
                <w:szCs w:val="21"/>
                <w:highlight w:val="none"/>
              </w:rPr>
            </w:pPr>
          </w:p>
          <w:p w14:paraId="20CBB990">
            <w:pPr>
              <w:pStyle w:val="63"/>
              <w:spacing w:before="164"/>
              <w:ind w:left="7"/>
              <w:rPr>
                <w:rFonts w:ascii="宋体" w:hAnsi="宋体" w:cs="宋体"/>
                <w:color w:val="auto"/>
                <w:sz w:val="21"/>
                <w:szCs w:val="21"/>
                <w:highlight w:val="none"/>
              </w:rPr>
            </w:pP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01</w:t>
            </w:r>
            <w:r>
              <w:rPr>
                <w:rFonts w:hint="eastAsia" w:ascii="宋体" w:hAnsi="宋体" w:cs="宋体"/>
                <w:color w:val="auto"/>
                <w:spacing w:val="1"/>
                <w:w w:val="99"/>
                <w:sz w:val="21"/>
                <w:szCs w:val="21"/>
                <w:highlight w:val="none"/>
              </w:rPr>
              <w:t>0</w:t>
            </w:r>
            <w:r>
              <w:rPr>
                <w:rFonts w:hint="eastAsia" w:ascii="宋体" w:hAnsi="宋体" w:cs="宋体"/>
                <w:color w:val="auto"/>
                <w:w w:val="99"/>
                <w:sz w:val="21"/>
                <w:szCs w:val="21"/>
                <w:highlight w:val="none"/>
              </w:rPr>
              <w:t>601打印设备</w:t>
            </w:r>
          </w:p>
        </w:tc>
        <w:tc>
          <w:tcPr>
            <w:tcW w:w="1916" w:type="dxa"/>
            <w:vAlign w:val="top"/>
          </w:tcPr>
          <w:p w14:paraId="0F76245B">
            <w:pPr>
              <w:pStyle w:val="63"/>
              <w:spacing w:before="52"/>
              <w:ind w:left="7"/>
              <w:rPr>
                <w:rFonts w:ascii="宋体" w:hAnsi="宋体" w:cs="宋体"/>
                <w:color w:val="auto"/>
                <w:sz w:val="21"/>
                <w:szCs w:val="21"/>
                <w:highlight w:val="none"/>
              </w:rPr>
            </w:pP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01</w:t>
            </w:r>
            <w:r>
              <w:rPr>
                <w:rFonts w:hint="eastAsia" w:ascii="宋体" w:hAnsi="宋体" w:cs="宋体"/>
                <w:color w:val="auto"/>
                <w:spacing w:val="1"/>
                <w:w w:val="99"/>
                <w:sz w:val="21"/>
                <w:szCs w:val="21"/>
                <w:highlight w:val="none"/>
              </w:rPr>
              <w:t>0</w:t>
            </w:r>
            <w:r>
              <w:rPr>
                <w:rFonts w:hint="eastAsia" w:ascii="宋体" w:hAnsi="宋体" w:cs="宋体"/>
                <w:color w:val="auto"/>
                <w:w w:val="99"/>
                <w:sz w:val="21"/>
                <w:szCs w:val="21"/>
                <w:highlight w:val="none"/>
              </w:rPr>
              <w:t>60</w:t>
            </w:r>
            <w:r>
              <w:rPr>
                <w:rFonts w:hint="eastAsia" w:ascii="宋体" w:hAnsi="宋体" w:cs="宋体"/>
                <w:color w:val="auto"/>
                <w:spacing w:val="1"/>
                <w:w w:val="99"/>
                <w:sz w:val="21"/>
                <w:szCs w:val="21"/>
                <w:highlight w:val="none"/>
              </w:rPr>
              <w:t>10</w:t>
            </w:r>
            <w:r>
              <w:rPr>
                <w:rFonts w:hint="eastAsia" w:ascii="宋体" w:hAnsi="宋体" w:cs="宋体"/>
                <w:color w:val="auto"/>
                <w:w w:val="99"/>
                <w:sz w:val="21"/>
                <w:szCs w:val="21"/>
                <w:highlight w:val="none"/>
              </w:rPr>
              <w:t>1喷墨打</w:t>
            </w:r>
          </w:p>
          <w:p w14:paraId="2A02C806">
            <w:pPr>
              <w:pStyle w:val="63"/>
              <w:spacing w:before="50"/>
              <w:ind w:left="7"/>
              <w:rPr>
                <w:rFonts w:ascii="宋体" w:hAnsi="宋体" w:cs="宋体"/>
                <w:color w:val="auto"/>
                <w:sz w:val="21"/>
                <w:szCs w:val="21"/>
                <w:highlight w:val="none"/>
              </w:rPr>
            </w:pPr>
            <w:r>
              <w:rPr>
                <w:rFonts w:hint="eastAsia" w:ascii="宋体" w:hAnsi="宋体" w:cs="宋体"/>
                <w:color w:val="auto"/>
                <w:w w:val="99"/>
                <w:sz w:val="21"/>
                <w:szCs w:val="21"/>
                <w:highlight w:val="none"/>
              </w:rPr>
              <w:t>印机</w:t>
            </w:r>
          </w:p>
        </w:tc>
        <w:tc>
          <w:tcPr>
            <w:tcW w:w="3325" w:type="dxa"/>
            <w:vAlign w:val="top"/>
          </w:tcPr>
          <w:p w14:paraId="51469CD2">
            <w:pPr>
              <w:pStyle w:val="63"/>
              <w:spacing w:before="52" w:line="280" w:lineRule="auto"/>
              <w:ind w:left="7" w:right="7"/>
              <w:rPr>
                <w:rFonts w:ascii="宋体" w:hAnsi="宋体" w:cs="宋体"/>
                <w:color w:val="auto"/>
                <w:sz w:val="21"/>
                <w:szCs w:val="21"/>
                <w:highlight w:val="none"/>
                <w:lang w:eastAsia="zh-CN"/>
              </w:rPr>
            </w:pPr>
            <w:r>
              <w:rPr>
                <w:rFonts w:hint="eastAsia" w:ascii="宋体" w:hAnsi="宋体" w:cs="宋体"/>
                <w:color w:val="auto"/>
                <w:w w:val="99"/>
                <w:sz w:val="21"/>
                <w:szCs w:val="21"/>
                <w:highlight w:val="none"/>
                <w:lang w:eastAsia="zh-CN"/>
              </w:rPr>
              <w:t>《复印</w:t>
            </w:r>
            <w:r>
              <w:rPr>
                <w:rFonts w:hint="eastAsia" w:ascii="宋体" w:hAnsi="宋体" w:cs="宋体"/>
                <w:color w:val="auto"/>
                <w:spacing w:val="2"/>
                <w:w w:val="99"/>
                <w:sz w:val="21"/>
                <w:szCs w:val="21"/>
                <w:highlight w:val="none"/>
                <w:lang w:eastAsia="zh-CN"/>
              </w:rPr>
              <w:t>机</w:t>
            </w:r>
            <w:r>
              <w:rPr>
                <w:rFonts w:hint="eastAsia" w:ascii="宋体" w:hAnsi="宋体" w:cs="宋体"/>
                <w:color w:val="auto"/>
                <w:spacing w:val="-58"/>
                <w:w w:val="99"/>
                <w:sz w:val="21"/>
                <w:szCs w:val="21"/>
                <w:highlight w:val="none"/>
                <w:lang w:eastAsia="zh-CN"/>
              </w:rPr>
              <w:t>、</w:t>
            </w:r>
            <w:r>
              <w:rPr>
                <w:rFonts w:hint="eastAsia" w:ascii="宋体" w:hAnsi="宋体" w:cs="宋体"/>
                <w:color w:val="auto"/>
                <w:spacing w:val="2"/>
                <w:w w:val="99"/>
                <w:sz w:val="21"/>
                <w:szCs w:val="21"/>
                <w:highlight w:val="none"/>
                <w:lang w:eastAsia="zh-CN"/>
              </w:rPr>
              <w:t>打</w:t>
            </w:r>
            <w:r>
              <w:rPr>
                <w:rFonts w:hint="eastAsia" w:ascii="宋体" w:hAnsi="宋体" w:cs="宋体"/>
                <w:color w:val="auto"/>
                <w:w w:val="99"/>
                <w:sz w:val="21"/>
                <w:szCs w:val="21"/>
                <w:highlight w:val="none"/>
                <w:lang w:eastAsia="zh-CN"/>
              </w:rPr>
              <w:t>印机</w:t>
            </w:r>
            <w:r>
              <w:rPr>
                <w:rFonts w:hint="eastAsia" w:ascii="宋体" w:hAnsi="宋体" w:cs="宋体"/>
                <w:color w:val="auto"/>
                <w:spacing w:val="2"/>
                <w:w w:val="99"/>
                <w:sz w:val="21"/>
                <w:szCs w:val="21"/>
                <w:highlight w:val="none"/>
                <w:lang w:eastAsia="zh-CN"/>
              </w:rPr>
              <w:t>和</w:t>
            </w:r>
            <w:r>
              <w:rPr>
                <w:rFonts w:hint="eastAsia" w:ascii="宋体" w:hAnsi="宋体" w:cs="宋体"/>
                <w:color w:val="auto"/>
                <w:w w:val="99"/>
                <w:sz w:val="21"/>
                <w:szCs w:val="21"/>
                <w:highlight w:val="none"/>
                <w:lang w:eastAsia="zh-CN"/>
              </w:rPr>
              <w:t>传真</w:t>
            </w:r>
            <w:r>
              <w:rPr>
                <w:rFonts w:hint="eastAsia" w:ascii="宋体" w:hAnsi="宋体" w:cs="宋体"/>
                <w:color w:val="auto"/>
                <w:spacing w:val="2"/>
                <w:w w:val="99"/>
                <w:sz w:val="21"/>
                <w:szCs w:val="21"/>
                <w:highlight w:val="none"/>
                <w:lang w:eastAsia="zh-CN"/>
              </w:rPr>
              <w:t>机</w:t>
            </w:r>
            <w:r>
              <w:rPr>
                <w:rFonts w:hint="eastAsia" w:ascii="宋体" w:hAnsi="宋体" w:cs="宋体"/>
                <w:color w:val="auto"/>
                <w:w w:val="99"/>
                <w:sz w:val="21"/>
                <w:szCs w:val="21"/>
                <w:highlight w:val="none"/>
                <w:lang w:eastAsia="zh-CN"/>
              </w:rPr>
              <w:t>能效限定值及</w:t>
            </w:r>
            <w:r>
              <w:rPr>
                <w:rFonts w:hint="eastAsia" w:ascii="宋体" w:hAnsi="宋体" w:cs="宋体"/>
                <w:color w:val="auto"/>
                <w:spacing w:val="2"/>
                <w:w w:val="99"/>
                <w:sz w:val="21"/>
                <w:szCs w:val="21"/>
                <w:highlight w:val="none"/>
                <w:lang w:eastAsia="zh-CN"/>
              </w:rPr>
              <w:t>能</w:t>
            </w:r>
            <w:r>
              <w:rPr>
                <w:rFonts w:hint="eastAsia" w:ascii="宋体" w:hAnsi="宋体" w:cs="宋体"/>
                <w:color w:val="auto"/>
                <w:w w:val="99"/>
                <w:sz w:val="21"/>
                <w:szCs w:val="21"/>
                <w:highlight w:val="none"/>
                <w:lang w:eastAsia="zh-CN"/>
              </w:rPr>
              <w:t>效等</w:t>
            </w:r>
            <w:r>
              <w:rPr>
                <w:rFonts w:hint="eastAsia" w:ascii="宋体" w:hAnsi="宋体" w:cs="宋体"/>
                <w:color w:val="auto"/>
                <w:spacing w:val="2"/>
                <w:w w:val="99"/>
                <w:sz w:val="21"/>
                <w:szCs w:val="21"/>
                <w:highlight w:val="none"/>
                <w:lang w:eastAsia="zh-CN"/>
              </w:rPr>
              <w:t>级</w:t>
            </w: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21</w:t>
            </w:r>
            <w:r>
              <w:rPr>
                <w:rFonts w:hint="eastAsia" w:ascii="宋体" w:hAnsi="宋体" w:cs="宋体"/>
                <w:color w:val="auto"/>
                <w:w w:val="99"/>
                <w:sz w:val="21"/>
                <w:szCs w:val="21"/>
                <w:highlight w:val="none"/>
                <w:lang w:eastAsia="zh-CN"/>
              </w:rPr>
              <w:t>52</w:t>
            </w:r>
            <w:r>
              <w:rPr>
                <w:rFonts w:hint="eastAsia" w:ascii="宋体" w:hAnsi="宋体" w:cs="宋体"/>
                <w:color w:val="auto"/>
                <w:spacing w:val="1"/>
                <w:w w:val="99"/>
                <w:sz w:val="21"/>
                <w:szCs w:val="21"/>
                <w:highlight w:val="none"/>
                <w:lang w:eastAsia="zh-CN"/>
              </w:rPr>
              <w:t>1</w:t>
            </w:r>
            <w:r>
              <w:rPr>
                <w:rFonts w:hint="eastAsia" w:ascii="宋体" w:hAnsi="宋体" w:cs="宋体"/>
                <w:color w:val="auto"/>
                <w:w w:val="99"/>
                <w:sz w:val="21"/>
                <w:szCs w:val="21"/>
                <w:highlight w:val="none"/>
                <w:lang w:eastAsia="zh-CN"/>
              </w:rPr>
              <w:t>）</w:t>
            </w:r>
          </w:p>
        </w:tc>
      </w:tr>
      <w:tr w14:paraId="2ECFF4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2" w:hRule="exact"/>
        </w:trPr>
        <w:tc>
          <w:tcPr>
            <w:tcW w:w="744" w:type="dxa"/>
            <w:vMerge w:val="continue"/>
            <w:vAlign w:val="center"/>
          </w:tcPr>
          <w:p w14:paraId="3B7754BC">
            <w:pPr>
              <w:widowControl/>
              <w:jc w:val="left"/>
              <w:rPr>
                <w:rFonts w:ascii="宋体" w:hAnsi="宋体" w:cs="宋体"/>
                <w:color w:val="auto"/>
                <w:kern w:val="0"/>
                <w:szCs w:val="21"/>
                <w:highlight w:val="none"/>
              </w:rPr>
            </w:pPr>
          </w:p>
        </w:tc>
        <w:tc>
          <w:tcPr>
            <w:tcW w:w="996" w:type="dxa"/>
            <w:vMerge w:val="continue"/>
            <w:vAlign w:val="center"/>
          </w:tcPr>
          <w:p w14:paraId="6E3A39F2">
            <w:pPr>
              <w:widowControl/>
              <w:jc w:val="left"/>
              <w:rPr>
                <w:rFonts w:ascii="宋体" w:hAnsi="宋体" w:cs="宋体"/>
                <w:color w:val="auto"/>
                <w:kern w:val="0"/>
                <w:szCs w:val="21"/>
                <w:highlight w:val="none"/>
              </w:rPr>
            </w:pPr>
          </w:p>
        </w:tc>
        <w:tc>
          <w:tcPr>
            <w:tcW w:w="1800" w:type="dxa"/>
            <w:vMerge w:val="continue"/>
            <w:vAlign w:val="center"/>
          </w:tcPr>
          <w:p w14:paraId="381B1344">
            <w:pPr>
              <w:widowControl/>
              <w:jc w:val="left"/>
              <w:rPr>
                <w:rFonts w:ascii="宋体" w:hAnsi="宋体" w:cs="宋体"/>
                <w:color w:val="auto"/>
                <w:kern w:val="0"/>
                <w:szCs w:val="21"/>
                <w:highlight w:val="none"/>
              </w:rPr>
            </w:pPr>
          </w:p>
        </w:tc>
        <w:tc>
          <w:tcPr>
            <w:tcW w:w="1916" w:type="dxa"/>
            <w:vAlign w:val="top"/>
          </w:tcPr>
          <w:p w14:paraId="56ED70E7">
            <w:pPr>
              <w:pStyle w:val="63"/>
              <w:spacing w:before="52"/>
              <w:ind w:left="7"/>
              <w:rPr>
                <w:rFonts w:ascii="宋体" w:hAnsi="宋体" w:cs="宋体"/>
                <w:color w:val="auto"/>
                <w:sz w:val="21"/>
                <w:szCs w:val="21"/>
                <w:highlight w:val="none"/>
              </w:rPr>
            </w:pPr>
            <w:r>
              <w:rPr>
                <w:rFonts w:hint="eastAsia" w:ascii="宋体" w:hAnsi="宋体" w:cs="宋体"/>
                <w:color w:val="auto"/>
                <w:w w:val="99"/>
                <w:sz w:val="21"/>
                <w:szCs w:val="21"/>
                <w:highlight w:val="none"/>
              </w:rPr>
              <w:t>★</w:t>
            </w: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01</w:t>
            </w:r>
            <w:r>
              <w:rPr>
                <w:rFonts w:hint="eastAsia" w:ascii="宋体" w:hAnsi="宋体" w:cs="宋体"/>
                <w:color w:val="auto"/>
                <w:spacing w:val="1"/>
                <w:w w:val="99"/>
                <w:sz w:val="21"/>
                <w:szCs w:val="21"/>
                <w:highlight w:val="none"/>
              </w:rPr>
              <w:t>0</w:t>
            </w:r>
            <w:r>
              <w:rPr>
                <w:rFonts w:hint="eastAsia" w:ascii="宋体" w:hAnsi="宋体" w:cs="宋体"/>
                <w:color w:val="auto"/>
                <w:w w:val="99"/>
                <w:sz w:val="21"/>
                <w:szCs w:val="21"/>
                <w:highlight w:val="none"/>
              </w:rPr>
              <w:t>60</w:t>
            </w:r>
            <w:r>
              <w:rPr>
                <w:rFonts w:hint="eastAsia" w:ascii="宋体" w:hAnsi="宋体" w:cs="宋体"/>
                <w:color w:val="auto"/>
                <w:spacing w:val="1"/>
                <w:w w:val="99"/>
                <w:sz w:val="21"/>
                <w:szCs w:val="21"/>
                <w:highlight w:val="none"/>
              </w:rPr>
              <w:t>1</w:t>
            </w:r>
            <w:r>
              <w:rPr>
                <w:rFonts w:hint="eastAsia" w:ascii="宋体" w:hAnsi="宋体" w:cs="宋体"/>
                <w:color w:val="auto"/>
                <w:w w:val="99"/>
                <w:sz w:val="21"/>
                <w:szCs w:val="21"/>
                <w:highlight w:val="none"/>
              </w:rPr>
              <w:t>02激光</w:t>
            </w:r>
          </w:p>
          <w:p w14:paraId="60FEF60E">
            <w:pPr>
              <w:pStyle w:val="63"/>
              <w:spacing w:before="50"/>
              <w:ind w:left="7"/>
              <w:rPr>
                <w:rFonts w:ascii="宋体" w:hAnsi="宋体" w:cs="宋体"/>
                <w:color w:val="auto"/>
                <w:sz w:val="21"/>
                <w:szCs w:val="21"/>
                <w:highlight w:val="none"/>
              </w:rPr>
            </w:pPr>
            <w:r>
              <w:rPr>
                <w:rFonts w:hint="eastAsia" w:ascii="宋体" w:hAnsi="宋体" w:cs="宋体"/>
                <w:color w:val="auto"/>
                <w:w w:val="99"/>
                <w:sz w:val="21"/>
                <w:szCs w:val="21"/>
                <w:highlight w:val="none"/>
              </w:rPr>
              <w:t>打印机</w:t>
            </w:r>
          </w:p>
        </w:tc>
        <w:tc>
          <w:tcPr>
            <w:tcW w:w="3325" w:type="dxa"/>
            <w:vAlign w:val="top"/>
          </w:tcPr>
          <w:p w14:paraId="46F382FF">
            <w:pPr>
              <w:pStyle w:val="63"/>
              <w:spacing w:before="52" w:line="280" w:lineRule="auto"/>
              <w:ind w:left="7" w:right="7"/>
              <w:rPr>
                <w:rFonts w:ascii="宋体" w:hAnsi="宋体" w:cs="宋体"/>
                <w:color w:val="auto"/>
                <w:sz w:val="21"/>
                <w:szCs w:val="21"/>
                <w:highlight w:val="none"/>
                <w:lang w:eastAsia="zh-CN"/>
              </w:rPr>
            </w:pPr>
            <w:r>
              <w:rPr>
                <w:rFonts w:hint="eastAsia" w:ascii="宋体" w:hAnsi="宋体" w:cs="宋体"/>
                <w:color w:val="auto"/>
                <w:w w:val="99"/>
                <w:sz w:val="21"/>
                <w:szCs w:val="21"/>
                <w:highlight w:val="none"/>
                <w:lang w:eastAsia="zh-CN"/>
              </w:rPr>
              <w:t>《复印</w:t>
            </w:r>
            <w:r>
              <w:rPr>
                <w:rFonts w:hint="eastAsia" w:ascii="宋体" w:hAnsi="宋体" w:cs="宋体"/>
                <w:color w:val="auto"/>
                <w:spacing w:val="2"/>
                <w:w w:val="99"/>
                <w:sz w:val="21"/>
                <w:szCs w:val="21"/>
                <w:highlight w:val="none"/>
                <w:lang w:eastAsia="zh-CN"/>
              </w:rPr>
              <w:t>机</w:t>
            </w:r>
            <w:r>
              <w:rPr>
                <w:rFonts w:hint="eastAsia" w:ascii="宋体" w:hAnsi="宋体" w:cs="宋体"/>
                <w:color w:val="auto"/>
                <w:spacing w:val="-58"/>
                <w:w w:val="99"/>
                <w:sz w:val="21"/>
                <w:szCs w:val="21"/>
                <w:highlight w:val="none"/>
                <w:lang w:eastAsia="zh-CN"/>
              </w:rPr>
              <w:t>、</w:t>
            </w:r>
            <w:r>
              <w:rPr>
                <w:rFonts w:hint="eastAsia" w:ascii="宋体" w:hAnsi="宋体" w:cs="宋体"/>
                <w:color w:val="auto"/>
                <w:spacing w:val="2"/>
                <w:w w:val="99"/>
                <w:sz w:val="21"/>
                <w:szCs w:val="21"/>
                <w:highlight w:val="none"/>
                <w:lang w:eastAsia="zh-CN"/>
              </w:rPr>
              <w:t>打</w:t>
            </w:r>
            <w:r>
              <w:rPr>
                <w:rFonts w:hint="eastAsia" w:ascii="宋体" w:hAnsi="宋体" w:cs="宋体"/>
                <w:color w:val="auto"/>
                <w:w w:val="99"/>
                <w:sz w:val="21"/>
                <w:szCs w:val="21"/>
                <w:highlight w:val="none"/>
                <w:lang w:eastAsia="zh-CN"/>
              </w:rPr>
              <w:t>印机</w:t>
            </w:r>
            <w:r>
              <w:rPr>
                <w:rFonts w:hint="eastAsia" w:ascii="宋体" w:hAnsi="宋体" w:cs="宋体"/>
                <w:color w:val="auto"/>
                <w:spacing w:val="2"/>
                <w:w w:val="99"/>
                <w:sz w:val="21"/>
                <w:szCs w:val="21"/>
                <w:highlight w:val="none"/>
                <w:lang w:eastAsia="zh-CN"/>
              </w:rPr>
              <w:t>和</w:t>
            </w:r>
            <w:r>
              <w:rPr>
                <w:rFonts w:hint="eastAsia" w:ascii="宋体" w:hAnsi="宋体" w:cs="宋体"/>
                <w:color w:val="auto"/>
                <w:w w:val="99"/>
                <w:sz w:val="21"/>
                <w:szCs w:val="21"/>
                <w:highlight w:val="none"/>
                <w:lang w:eastAsia="zh-CN"/>
              </w:rPr>
              <w:t>传真</w:t>
            </w:r>
            <w:r>
              <w:rPr>
                <w:rFonts w:hint="eastAsia" w:ascii="宋体" w:hAnsi="宋体" w:cs="宋体"/>
                <w:color w:val="auto"/>
                <w:spacing w:val="2"/>
                <w:w w:val="99"/>
                <w:sz w:val="21"/>
                <w:szCs w:val="21"/>
                <w:highlight w:val="none"/>
                <w:lang w:eastAsia="zh-CN"/>
              </w:rPr>
              <w:t>机</w:t>
            </w:r>
            <w:r>
              <w:rPr>
                <w:rFonts w:hint="eastAsia" w:ascii="宋体" w:hAnsi="宋体" w:cs="宋体"/>
                <w:color w:val="auto"/>
                <w:w w:val="99"/>
                <w:sz w:val="21"/>
                <w:szCs w:val="21"/>
                <w:highlight w:val="none"/>
                <w:lang w:eastAsia="zh-CN"/>
              </w:rPr>
              <w:t>能效限定值及</w:t>
            </w:r>
            <w:r>
              <w:rPr>
                <w:rFonts w:hint="eastAsia" w:ascii="宋体" w:hAnsi="宋体" w:cs="宋体"/>
                <w:color w:val="auto"/>
                <w:spacing w:val="2"/>
                <w:w w:val="99"/>
                <w:sz w:val="21"/>
                <w:szCs w:val="21"/>
                <w:highlight w:val="none"/>
                <w:lang w:eastAsia="zh-CN"/>
              </w:rPr>
              <w:t>能</w:t>
            </w:r>
            <w:r>
              <w:rPr>
                <w:rFonts w:hint="eastAsia" w:ascii="宋体" w:hAnsi="宋体" w:cs="宋体"/>
                <w:color w:val="auto"/>
                <w:w w:val="99"/>
                <w:sz w:val="21"/>
                <w:szCs w:val="21"/>
                <w:highlight w:val="none"/>
                <w:lang w:eastAsia="zh-CN"/>
              </w:rPr>
              <w:t>效等</w:t>
            </w:r>
            <w:r>
              <w:rPr>
                <w:rFonts w:hint="eastAsia" w:ascii="宋体" w:hAnsi="宋体" w:cs="宋体"/>
                <w:color w:val="auto"/>
                <w:spacing w:val="2"/>
                <w:w w:val="99"/>
                <w:sz w:val="21"/>
                <w:szCs w:val="21"/>
                <w:highlight w:val="none"/>
                <w:lang w:eastAsia="zh-CN"/>
              </w:rPr>
              <w:t>级</w:t>
            </w: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21</w:t>
            </w:r>
            <w:r>
              <w:rPr>
                <w:rFonts w:hint="eastAsia" w:ascii="宋体" w:hAnsi="宋体" w:cs="宋体"/>
                <w:color w:val="auto"/>
                <w:w w:val="99"/>
                <w:sz w:val="21"/>
                <w:szCs w:val="21"/>
                <w:highlight w:val="none"/>
                <w:lang w:eastAsia="zh-CN"/>
              </w:rPr>
              <w:t>52</w:t>
            </w:r>
            <w:r>
              <w:rPr>
                <w:rFonts w:hint="eastAsia" w:ascii="宋体" w:hAnsi="宋体" w:cs="宋体"/>
                <w:color w:val="auto"/>
                <w:spacing w:val="1"/>
                <w:w w:val="99"/>
                <w:sz w:val="21"/>
                <w:szCs w:val="21"/>
                <w:highlight w:val="none"/>
                <w:lang w:eastAsia="zh-CN"/>
              </w:rPr>
              <w:t>1</w:t>
            </w:r>
            <w:r>
              <w:rPr>
                <w:rFonts w:hint="eastAsia" w:ascii="宋体" w:hAnsi="宋体" w:cs="宋体"/>
                <w:color w:val="auto"/>
                <w:w w:val="99"/>
                <w:sz w:val="21"/>
                <w:szCs w:val="21"/>
                <w:highlight w:val="none"/>
                <w:lang w:eastAsia="zh-CN"/>
              </w:rPr>
              <w:t>）</w:t>
            </w:r>
          </w:p>
        </w:tc>
      </w:tr>
      <w:tr w14:paraId="2A8C69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2" w:hRule="exact"/>
        </w:trPr>
        <w:tc>
          <w:tcPr>
            <w:tcW w:w="744" w:type="dxa"/>
            <w:vMerge w:val="continue"/>
            <w:vAlign w:val="center"/>
          </w:tcPr>
          <w:p w14:paraId="30C24687">
            <w:pPr>
              <w:widowControl/>
              <w:jc w:val="left"/>
              <w:rPr>
                <w:rFonts w:ascii="宋体" w:hAnsi="宋体" w:cs="宋体"/>
                <w:color w:val="auto"/>
                <w:kern w:val="0"/>
                <w:szCs w:val="21"/>
                <w:highlight w:val="none"/>
              </w:rPr>
            </w:pPr>
          </w:p>
        </w:tc>
        <w:tc>
          <w:tcPr>
            <w:tcW w:w="996" w:type="dxa"/>
            <w:vMerge w:val="continue"/>
            <w:vAlign w:val="center"/>
          </w:tcPr>
          <w:p w14:paraId="37829D27">
            <w:pPr>
              <w:widowControl/>
              <w:jc w:val="left"/>
              <w:rPr>
                <w:rFonts w:ascii="宋体" w:hAnsi="宋体" w:cs="宋体"/>
                <w:color w:val="auto"/>
                <w:kern w:val="0"/>
                <w:szCs w:val="21"/>
                <w:highlight w:val="none"/>
              </w:rPr>
            </w:pPr>
          </w:p>
        </w:tc>
        <w:tc>
          <w:tcPr>
            <w:tcW w:w="1800" w:type="dxa"/>
            <w:vMerge w:val="continue"/>
            <w:vAlign w:val="center"/>
          </w:tcPr>
          <w:p w14:paraId="729A33C0">
            <w:pPr>
              <w:widowControl/>
              <w:jc w:val="left"/>
              <w:rPr>
                <w:rFonts w:ascii="宋体" w:hAnsi="宋体" w:cs="宋体"/>
                <w:color w:val="auto"/>
                <w:kern w:val="0"/>
                <w:szCs w:val="21"/>
                <w:highlight w:val="none"/>
              </w:rPr>
            </w:pPr>
          </w:p>
        </w:tc>
        <w:tc>
          <w:tcPr>
            <w:tcW w:w="1916" w:type="dxa"/>
            <w:vAlign w:val="top"/>
          </w:tcPr>
          <w:p w14:paraId="33F2F997">
            <w:pPr>
              <w:pStyle w:val="63"/>
              <w:spacing w:before="52"/>
              <w:ind w:left="7"/>
              <w:rPr>
                <w:rFonts w:ascii="宋体" w:hAnsi="宋体" w:cs="宋体"/>
                <w:color w:val="auto"/>
                <w:sz w:val="21"/>
                <w:szCs w:val="21"/>
                <w:highlight w:val="none"/>
              </w:rPr>
            </w:pPr>
            <w:r>
              <w:rPr>
                <w:rFonts w:hint="eastAsia" w:ascii="宋体" w:hAnsi="宋体" w:cs="宋体"/>
                <w:color w:val="auto"/>
                <w:w w:val="99"/>
                <w:sz w:val="21"/>
                <w:szCs w:val="21"/>
                <w:highlight w:val="none"/>
              </w:rPr>
              <w:t>★</w:t>
            </w: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01</w:t>
            </w:r>
            <w:r>
              <w:rPr>
                <w:rFonts w:hint="eastAsia" w:ascii="宋体" w:hAnsi="宋体" w:cs="宋体"/>
                <w:color w:val="auto"/>
                <w:spacing w:val="1"/>
                <w:w w:val="99"/>
                <w:sz w:val="21"/>
                <w:szCs w:val="21"/>
                <w:highlight w:val="none"/>
              </w:rPr>
              <w:t>0</w:t>
            </w:r>
            <w:r>
              <w:rPr>
                <w:rFonts w:hint="eastAsia" w:ascii="宋体" w:hAnsi="宋体" w:cs="宋体"/>
                <w:color w:val="auto"/>
                <w:w w:val="99"/>
                <w:sz w:val="21"/>
                <w:szCs w:val="21"/>
                <w:highlight w:val="none"/>
              </w:rPr>
              <w:t>60</w:t>
            </w:r>
            <w:r>
              <w:rPr>
                <w:rFonts w:hint="eastAsia" w:ascii="宋体" w:hAnsi="宋体" w:cs="宋体"/>
                <w:color w:val="auto"/>
                <w:spacing w:val="1"/>
                <w:w w:val="99"/>
                <w:sz w:val="21"/>
                <w:szCs w:val="21"/>
                <w:highlight w:val="none"/>
              </w:rPr>
              <w:t>1</w:t>
            </w:r>
            <w:r>
              <w:rPr>
                <w:rFonts w:hint="eastAsia" w:ascii="宋体" w:hAnsi="宋体" w:cs="宋体"/>
                <w:color w:val="auto"/>
                <w:w w:val="99"/>
                <w:sz w:val="21"/>
                <w:szCs w:val="21"/>
                <w:highlight w:val="none"/>
              </w:rPr>
              <w:t>04针式</w:t>
            </w:r>
          </w:p>
          <w:p w14:paraId="30587FAB">
            <w:pPr>
              <w:pStyle w:val="63"/>
              <w:spacing w:before="50"/>
              <w:ind w:left="7"/>
              <w:rPr>
                <w:rFonts w:ascii="宋体" w:hAnsi="宋体" w:cs="宋体"/>
                <w:color w:val="auto"/>
                <w:sz w:val="21"/>
                <w:szCs w:val="21"/>
                <w:highlight w:val="none"/>
              </w:rPr>
            </w:pPr>
            <w:r>
              <w:rPr>
                <w:rFonts w:hint="eastAsia" w:ascii="宋体" w:hAnsi="宋体" w:cs="宋体"/>
                <w:color w:val="auto"/>
                <w:w w:val="99"/>
                <w:sz w:val="21"/>
                <w:szCs w:val="21"/>
                <w:highlight w:val="none"/>
              </w:rPr>
              <w:t>打印机</w:t>
            </w:r>
          </w:p>
        </w:tc>
        <w:tc>
          <w:tcPr>
            <w:tcW w:w="3325" w:type="dxa"/>
            <w:vAlign w:val="top"/>
          </w:tcPr>
          <w:p w14:paraId="0D0B81C8">
            <w:pPr>
              <w:pStyle w:val="63"/>
              <w:spacing w:before="52" w:line="280" w:lineRule="auto"/>
              <w:ind w:left="7" w:right="7"/>
              <w:rPr>
                <w:rFonts w:ascii="宋体" w:hAnsi="宋体" w:cs="宋体"/>
                <w:color w:val="auto"/>
                <w:sz w:val="21"/>
                <w:szCs w:val="21"/>
                <w:highlight w:val="none"/>
                <w:lang w:eastAsia="zh-CN"/>
              </w:rPr>
            </w:pPr>
            <w:r>
              <w:rPr>
                <w:rFonts w:hint="eastAsia" w:ascii="宋体" w:hAnsi="宋体" w:cs="宋体"/>
                <w:color w:val="auto"/>
                <w:w w:val="99"/>
                <w:sz w:val="21"/>
                <w:szCs w:val="21"/>
                <w:highlight w:val="none"/>
                <w:lang w:eastAsia="zh-CN"/>
              </w:rPr>
              <w:t>《复印</w:t>
            </w:r>
            <w:r>
              <w:rPr>
                <w:rFonts w:hint="eastAsia" w:ascii="宋体" w:hAnsi="宋体" w:cs="宋体"/>
                <w:color w:val="auto"/>
                <w:spacing w:val="2"/>
                <w:w w:val="99"/>
                <w:sz w:val="21"/>
                <w:szCs w:val="21"/>
                <w:highlight w:val="none"/>
                <w:lang w:eastAsia="zh-CN"/>
              </w:rPr>
              <w:t>机</w:t>
            </w:r>
            <w:r>
              <w:rPr>
                <w:rFonts w:hint="eastAsia" w:ascii="宋体" w:hAnsi="宋体" w:cs="宋体"/>
                <w:color w:val="auto"/>
                <w:spacing w:val="-58"/>
                <w:w w:val="99"/>
                <w:sz w:val="21"/>
                <w:szCs w:val="21"/>
                <w:highlight w:val="none"/>
                <w:lang w:eastAsia="zh-CN"/>
              </w:rPr>
              <w:t>、</w:t>
            </w:r>
            <w:r>
              <w:rPr>
                <w:rFonts w:hint="eastAsia" w:ascii="宋体" w:hAnsi="宋体" w:cs="宋体"/>
                <w:color w:val="auto"/>
                <w:spacing w:val="2"/>
                <w:w w:val="99"/>
                <w:sz w:val="21"/>
                <w:szCs w:val="21"/>
                <w:highlight w:val="none"/>
                <w:lang w:eastAsia="zh-CN"/>
              </w:rPr>
              <w:t>打</w:t>
            </w:r>
            <w:r>
              <w:rPr>
                <w:rFonts w:hint="eastAsia" w:ascii="宋体" w:hAnsi="宋体" w:cs="宋体"/>
                <w:color w:val="auto"/>
                <w:w w:val="99"/>
                <w:sz w:val="21"/>
                <w:szCs w:val="21"/>
                <w:highlight w:val="none"/>
                <w:lang w:eastAsia="zh-CN"/>
              </w:rPr>
              <w:t>印机</w:t>
            </w:r>
            <w:r>
              <w:rPr>
                <w:rFonts w:hint="eastAsia" w:ascii="宋体" w:hAnsi="宋体" w:cs="宋体"/>
                <w:color w:val="auto"/>
                <w:spacing w:val="2"/>
                <w:w w:val="99"/>
                <w:sz w:val="21"/>
                <w:szCs w:val="21"/>
                <w:highlight w:val="none"/>
                <w:lang w:eastAsia="zh-CN"/>
              </w:rPr>
              <w:t>和</w:t>
            </w:r>
            <w:r>
              <w:rPr>
                <w:rFonts w:hint="eastAsia" w:ascii="宋体" w:hAnsi="宋体" w:cs="宋体"/>
                <w:color w:val="auto"/>
                <w:w w:val="99"/>
                <w:sz w:val="21"/>
                <w:szCs w:val="21"/>
                <w:highlight w:val="none"/>
                <w:lang w:eastAsia="zh-CN"/>
              </w:rPr>
              <w:t>传真</w:t>
            </w:r>
            <w:r>
              <w:rPr>
                <w:rFonts w:hint="eastAsia" w:ascii="宋体" w:hAnsi="宋体" w:cs="宋体"/>
                <w:color w:val="auto"/>
                <w:spacing w:val="2"/>
                <w:w w:val="99"/>
                <w:sz w:val="21"/>
                <w:szCs w:val="21"/>
                <w:highlight w:val="none"/>
                <w:lang w:eastAsia="zh-CN"/>
              </w:rPr>
              <w:t>机</w:t>
            </w:r>
            <w:r>
              <w:rPr>
                <w:rFonts w:hint="eastAsia" w:ascii="宋体" w:hAnsi="宋体" w:cs="宋体"/>
                <w:color w:val="auto"/>
                <w:w w:val="99"/>
                <w:sz w:val="21"/>
                <w:szCs w:val="21"/>
                <w:highlight w:val="none"/>
                <w:lang w:eastAsia="zh-CN"/>
              </w:rPr>
              <w:t>能效限定值及</w:t>
            </w:r>
            <w:r>
              <w:rPr>
                <w:rFonts w:hint="eastAsia" w:ascii="宋体" w:hAnsi="宋体" w:cs="宋体"/>
                <w:color w:val="auto"/>
                <w:spacing w:val="2"/>
                <w:w w:val="99"/>
                <w:sz w:val="21"/>
                <w:szCs w:val="21"/>
                <w:highlight w:val="none"/>
                <w:lang w:eastAsia="zh-CN"/>
              </w:rPr>
              <w:t>能</w:t>
            </w:r>
            <w:r>
              <w:rPr>
                <w:rFonts w:hint="eastAsia" w:ascii="宋体" w:hAnsi="宋体" w:cs="宋体"/>
                <w:color w:val="auto"/>
                <w:w w:val="99"/>
                <w:sz w:val="21"/>
                <w:szCs w:val="21"/>
                <w:highlight w:val="none"/>
                <w:lang w:eastAsia="zh-CN"/>
              </w:rPr>
              <w:t>效等</w:t>
            </w:r>
            <w:r>
              <w:rPr>
                <w:rFonts w:hint="eastAsia" w:ascii="宋体" w:hAnsi="宋体" w:cs="宋体"/>
                <w:color w:val="auto"/>
                <w:spacing w:val="2"/>
                <w:w w:val="99"/>
                <w:sz w:val="21"/>
                <w:szCs w:val="21"/>
                <w:highlight w:val="none"/>
                <w:lang w:eastAsia="zh-CN"/>
              </w:rPr>
              <w:t>级</w:t>
            </w: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21</w:t>
            </w:r>
            <w:r>
              <w:rPr>
                <w:rFonts w:hint="eastAsia" w:ascii="宋体" w:hAnsi="宋体" w:cs="宋体"/>
                <w:color w:val="auto"/>
                <w:w w:val="99"/>
                <w:sz w:val="21"/>
                <w:szCs w:val="21"/>
                <w:highlight w:val="none"/>
                <w:lang w:eastAsia="zh-CN"/>
              </w:rPr>
              <w:t>52</w:t>
            </w:r>
            <w:r>
              <w:rPr>
                <w:rFonts w:hint="eastAsia" w:ascii="宋体" w:hAnsi="宋体" w:cs="宋体"/>
                <w:color w:val="auto"/>
                <w:spacing w:val="1"/>
                <w:w w:val="99"/>
                <w:sz w:val="21"/>
                <w:szCs w:val="21"/>
                <w:highlight w:val="none"/>
                <w:lang w:eastAsia="zh-CN"/>
              </w:rPr>
              <w:t>1</w:t>
            </w:r>
            <w:r>
              <w:rPr>
                <w:rFonts w:hint="eastAsia" w:ascii="宋体" w:hAnsi="宋体" w:cs="宋体"/>
                <w:color w:val="auto"/>
                <w:w w:val="99"/>
                <w:sz w:val="21"/>
                <w:szCs w:val="21"/>
                <w:highlight w:val="none"/>
                <w:lang w:eastAsia="zh-CN"/>
              </w:rPr>
              <w:t>）</w:t>
            </w:r>
          </w:p>
        </w:tc>
      </w:tr>
      <w:tr w14:paraId="067C6A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3" w:hRule="exact"/>
        </w:trPr>
        <w:tc>
          <w:tcPr>
            <w:tcW w:w="744" w:type="dxa"/>
            <w:vMerge w:val="continue"/>
            <w:vAlign w:val="center"/>
          </w:tcPr>
          <w:p w14:paraId="3FAE7D8B">
            <w:pPr>
              <w:widowControl/>
              <w:jc w:val="left"/>
              <w:rPr>
                <w:rFonts w:ascii="宋体" w:hAnsi="宋体" w:cs="宋体"/>
                <w:color w:val="auto"/>
                <w:kern w:val="0"/>
                <w:szCs w:val="21"/>
                <w:highlight w:val="none"/>
              </w:rPr>
            </w:pPr>
          </w:p>
        </w:tc>
        <w:tc>
          <w:tcPr>
            <w:tcW w:w="996" w:type="dxa"/>
            <w:vMerge w:val="continue"/>
            <w:vAlign w:val="center"/>
          </w:tcPr>
          <w:p w14:paraId="41ED85E5">
            <w:pPr>
              <w:widowControl/>
              <w:jc w:val="left"/>
              <w:rPr>
                <w:rFonts w:ascii="宋体" w:hAnsi="宋体" w:cs="宋体"/>
                <w:color w:val="auto"/>
                <w:kern w:val="0"/>
                <w:szCs w:val="21"/>
                <w:highlight w:val="none"/>
              </w:rPr>
            </w:pPr>
          </w:p>
        </w:tc>
        <w:tc>
          <w:tcPr>
            <w:tcW w:w="1800" w:type="dxa"/>
            <w:vAlign w:val="top"/>
          </w:tcPr>
          <w:p w14:paraId="7D21A0FE">
            <w:pPr>
              <w:pStyle w:val="63"/>
              <w:spacing w:before="2"/>
              <w:rPr>
                <w:rFonts w:ascii="宋体" w:hAnsi="宋体" w:cs="宋体"/>
                <w:color w:val="auto"/>
                <w:sz w:val="21"/>
                <w:szCs w:val="21"/>
                <w:highlight w:val="none"/>
                <w:lang w:eastAsia="zh-CN"/>
              </w:rPr>
            </w:pPr>
          </w:p>
          <w:p w14:paraId="7D4A33C3">
            <w:pPr>
              <w:pStyle w:val="63"/>
              <w:ind w:left="7"/>
              <w:rPr>
                <w:rFonts w:ascii="宋体" w:hAnsi="宋体" w:cs="宋体"/>
                <w:color w:val="auto"/>
                <w:sz w:val="21"/>
                <w:szCs w:val="21"/>
                <w:highlight w:val="none"/>
              </w:rPr>
            </w:pP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01</w:t>
            </w:r>
            <w:r>
              <w:rPr>
                <w:rFonts w:hint="eastAsia" w:ascii="宋体" w:hAnsi="宋体" w:cs="宋体"/>
                <w:color w:val="auto"/>
                <w:spacing w:val="1"/>
                <w:w w:val="99"/>
                <w:sz w:val="21"/>
                <w:szCs w:val="21"/>
                <w:highlight w:val="none"/>
              </w:rPr>
              <w:t>0</w:t>
            </w:r>
            <w:r>
              <w:rPr>
                <w:rFonts w:hint="eastAsia" w:ascii="宋体" w:hAnsi="宋体" w:cs="宋体"/>
                <w:color w:val="auto"/>
                <w:w w:val="99"/>
                <w:sz w:val="21"/>
                <w:szCs w:val="21"/>
                <w:highlight w:val="none"/>
              </w:rPr>
              <w:t>604显示设备</w:t>
            </w:r>
          </w:p>
        </w:tc>
        <w:tc>
          <w:tcPr>
            <w:tcW w:w="1916" w:type="dxa"/>
            <w:vAlign w:val="top"/>
          </w:tcPr>
          <w:p w14:paraId="105649CD">
            <w:pPr>
              <w:pStyle w:val="63"/>
              <w:spacing w:before="68"/>
              <w:ind w:left="7"/>
              <w:rPr>
                <w:rFonts w:ascii="宋体" w:hAnsi="宋体" w:cs="宋体"/>
                <w:color w:val="auto"/>
                <w:sz w:val="21"/>
                <w:szCs w:val="21"/>
                <w:highlight w:val="none"/>
              </w:rPr>
            </w:pPr>
            <w:r>
              <w:rPr>
                <w:rFonts w:hint="eastAsia" w:ascii="宋体" w:hAnsi="宋体" w:cs="宋体"/>
                <w:color w:val="auto"/>
                <w:w w:val="99"/>
                <w:sz w:val="21"/>
                <w:szCs w:val="21"/>
                <w:highlight w:val="none"/>
              </w:rPr>
              <w:t>★</w:t>
            </w: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01</w:t>
            </w:r>
            <w:r>
              <w:rPr>
                <w:rFonts w:hint="eastAsia" w:ascii="宋体" w:hAnsi="宋体" w:cs="宋体"/>
                <w:color w:val="auto"/>
                <w:spacing w:val="1"/>
                <w:w w:val="99"/>
                <w:sz w:val="21"/>
                <w:szCs w:val="21"/>
                <w:highlight w:val="none"/>
              </w:rPr>
              <w:t>0</w:t>
            </w:r>
            <w:r>
              <w:rPr>
                <w:rFonts w:hint="eastAsia" w:ascii="宋体" w:hAnsi="宋体" w:cs="宋体"/>
                <w:color w:val="auto"/>
                <w:w w:val="99"/>
                <w:sz w:val="21"/>
                <w:szCs w:val="21"/>
                <w:highlight w:val="none"/>
              </w:rPr>
              <w:t>60</w:t>
            </w:r>
            <w:r>
              <w:rPr>
                <w:rFonts w:hint="eastAsia" w:ascii="宋体" w:hAnsi="宋体" w:cs="宋体"/>
                <w:color w:val="auto"/>
                <w:spacing w:val="1"/>
                <w:w w:val="99"/>
                <w:sz w:val="21"/>
                <w:szCs w:val="21"/>
                <w:highlight w:val="none"/>
              </w:rPr>
              <w:t>4</w:t>
            </w:r>
            <w:r>
              <w:rPr>
                <w:rFonts w:hint="eastAsia" w:ascii="宋体" w:hAnsi="宋体" w:cs="宋体"/>
                <w:color w:val="auto"/>
                <w:w w:val="99"/>
                <w:sz w:val="21"/>
                <w:szCs w:val="21"/>
                <w:highlight w:val="none"/>
              </w:rPr>
              <w:t>01液晶</w:t>
            </w:r>
          </w:p>
          <w:p w14:paraId="04F343C3">
            <w:pPr>
              <w:pStyle w:val="63"/>
              <w:spacing w:before="50"/>
              <w:ind w:left="7"/>
              <w:rPr>
                <w:rFonts w:ascii="宋体" w:hAnsi="宋体" w:cs="宋体"/>
                <w:color w:val="auto"/>
                <w:sz w:val="21"/>
                <w:szCs w:val="21"/>
                <w:highlight w:val="none"/>
              </w:rPr>
            </w:pPr>
            <w:r>
              <w:rPr>
                <w:rFonts w:hint="eastAsia" w:ascii="宋体" w:hAnsi="宋体" w:cs="宋体"/>
                <w:color w:val="auto"/>
                <w:w w:val="99"/>
                <w:sz w:val="21"/>
                <w:szCs w:val="21"/>
                <w:highlight w:val="none"/>
              </w:rPr>
              <w:t>显示器</w:t>
            </w:r>
          </w:p>
        </w:tc>
        <w:tc>
          <w:tcPr>
            <w:tcW w:w="3325" w:type="dxa"/>
            <w:vAlign w:val="top"/>
          </w:tcPr>
          <w:p w14:paraId="675DA9C6">
            <w:pPr>
              <w:pStyle w:val="63"/>
              <w:spacing w:before="68" w:line="280" w:lineRule="auto"/>
              <w:ind w:left="7" w:right="4"/>
              <w:rPr>
                <w:rFonts w:ascii="宋体" w:hAnsi="宋体" w:cs="宋体"/>
                <w:color w:val="auto"/>
                <w:sz w:val="21"/>
                <w:szCs w:val="21"/>
                <w:highlight w:val="none"/>
                <w:lang w:eastAsia="zh-CN"/>
              </w:rPr>
            </w:pPr>
            <w:r>
              <w:rPr>
                <w:rFonts w:hint="eastAsia" w:ascii="宋体" w:hAnsi="宋体" w:cs="宋体"/>
                <w:color w:val="auto"/>
                <w:spacing w:val="12"/>
                <w:w w:val="99"/>
                <w:sz w:val="21"/>
                <w:szCs w:val="21"/>
                <w:highlight w:val="none"/>
                <w:lang w:eastAsia="zh-CN"/>
              </w:rPr>
              <w:t>《计算机显示器能效限</w:t>
            </w:r>
            <w:r>
              <w:rPr>
                <w:rFonts w:hint="eastAsia" w:ascii="宋体" w:hAnsi="宋体" w:cs="宋体"/>
                <w:color w:val="auto"/>
                <w:spacing w:val="9"/>
                <w:w w:val="99"/>
                <w:sz w:val="21"/>
                <w:szCs w:val="21"/>
                <w:highlight w:val="none"/>
                <w:lang w:eastAsia="zh-CN"/>
              </w:rPr>
              <w:t>定</w:t>
            </w:r>
            <w:r>
              <w:rPr>
                <w:rFonts w:hint="eastAsia" w:ascii="宋体" w:hAnsi="宋体" w:cs="宋体"/>
                <w:color w:val="auto"/>
                <w:spacing w:val="12"/>
                <w:w w:val="99"/>
                <w:sz w:val="21"/>
                <w:szCs w:val="21"/>
                <w:highlight w:val="none"/>
                <w:lang w:eastAsia="zh-CN"/>
              </w:rPr>
              <w:t>值及</w:t>
            </w:r>
            <w:r>
              <w:rPr>
                <w:rFonts w:hint="eastAsia" w:ascii="宋体" w:hAnsi="宋体" w:cs="宋体"/>
                <w:color w:val="auto"/>
                <w:w w:val="99"/>
                <w:sz w:val="21"/>
                <w:szCs w:val="21"/>
                <w:highlight w:val="none"/>
                <w:lang w:eastAsia="zh-CN"/>
              </w:rPr>
              <w:t>能效等级</w:t>
            </w:r>
            <w:r>
              <w:rPr>
                <w:rFonts w:hint="eastAsia" w:ascii="宋体" w:hAnsi="宋体" w:cs="宋体"/>
                <w:color w:val="auto"/>
                <w:spacing w:val="2"/>
                <w:w w:val="99"/>
                <w:sz w:val="21"/>
                <w:szCs w:val="21"/>
                <w:highlight w:val="none"/>
                <w:lang w:eastAsia="zh-CN"/>
              </w:rPr>
              <w:t>》</w:t>
            </w: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21</w:t>
            </w:r>
            <w:r>
              <w:rPr>
                <w:rFonts w:hint="eastAsia" w:ascii="宋体" w:hAnsi="宋体" w:cs="宋体"/>
                <w:color w:val="auto"/>
                <w:w w:val="99"/>
                <w:sz w:val="21"/>
                <w:szCs w:val="21"/>
                <w:highlight w:val="none"/>
                <w:lang w:eastAsia="zh-CN"/>
              </w:rPr>
              <w:t>52</w:t>
            </w:r>
            <w:r>
              <w:rPr>
                <w:rFonts w:hint="eastAsia" w:ascii="宋体" w:hAnsi="宋体" w:cs="宋体"/>
                <w:color w:val="auto"/>
                <w:spacing w:val="1"/>
                <w:w w:val="99"/>
                <w:sz w:val="21"/>
                <w:szCs w:val="21"/>
                <w:highlight w:val="none"/>
                <w:lang w:eastAsia="zh-CN"/>
              </w:rPr>
              <w:t>0</w:t>
            </w:r>
            <w:r>
              <w:rPr>
                <w:rFonts w:hint="eastAsia" w:ascii="宋体" w:hAnsi="宋体" w:cs="宋体"/>
                <w:color w:val="auto"/>
                <w:w w:val="99"/>
                <w:sz w:val="21"/>
                <w:szCs w:val="21"/>
                <w:highlight w:val="none"/>
                <w:lang w:eastAsia="zh-CN"/>
              </w:rPr>
              <w:t>）</w:t>
            </w:r>
          </w:p>
        </w:tc>
      </w:tr>
      <w:tr w14:paraId="0C5439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61" w:hRule="exact"/>
        </w:trPr>
        <w:tc>
          <w:tcPr>
            <w:tcW w:w="744" w:type="dxa"/>
            <w:vMerge w:val="continue"/>
            <w:vAlign w:val="center"/>
          </w:tcPr>
          <w:p w14:paraId="6134D046">
            <w:pPr>
              <w:widowControl/>
              <w:jc w:val="left"/>
              <w:rPr>
                <w:rFonts w:ascii="宋体" w:hAnsi="宋体" w:cs="宋体"/>
                <w:color w:val="auto"/>
                <w:kern w:val="0"/>
                <w:szCs w:val="21"/>
                <w:highlight w:val="none"/>
              </w:rPr>
            </w:pPr>
          </w:p>
        </w:tc>
        <w:tc>
          <w:tcPr>
            <w:tcW w:w="996" w:type="dxa"/>
            <w:vMerge w:val="continue"/>
            <w:vAlign w:val="center"/>
          </w:tcPr>
          <w:p w14:paraId="66C97D22">
            <w:pPr>
              <w:widowControl/>
              <w:jc w:val="left"/>
              <w:rPr>
                <w:rFonts w:ascii="宋体" w:hAnsi="宋体" w:cs="宋体"/>
                <w:color w:val="auto"/>
                <w:kern w:val="0"/>
                <w:szCs w:val="21"/>
                <w:highlight w:val="none"/>
              </w:rPr>
            </w:pPr>
          </w:p>
        </w:tc>
        <w:tc>
          <w:tcPr>
            <w:tcW w:w="1800" w:type="dxa"/>
            <w:vAlign w:val="top"/>
          </w:tcPr>
          <w:p w14:paraId="1FDD0B2A">
            <w:pPr>
              <w:pStyle w:val="63"/>
              <w:spacing w:before="8"/>
              <w:rPr>
                <w:rFonts w:ascii="宋体" w:hAnsi="宋体" w:cs="宋体"/>
                <w:color w:val="auto"/>
                <w:sz w:val="21"/>
                <w:szCs w:val="21"/>
                <w:highlight w:val="none"/>
                <w:lang w:eastAsia="zh-CN"/>
              </w:rPr>
            </w:pPr>
          </w:p>
          <w:p w14:paraId="5DD9BA6F">
            <w:pPr>
              <w:pStyle w:val="63"/>
              <w:spacing w:line="280" w:lineRule="auto"/>
              <w:ind w:left="7" w:right="5"/>
              <w:rPr>
                <w:rFonts w:ascii="宋体" w:hAnsi="宋体" w:cs="宋体"/>
                <w:color w:val="auto"/>
                <w:sz w:val="21"/>
                <w:szCs w:val="21"/>
                <w:highlight w:val="none"/>
              </w:rPr>
            </w:pP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01</w:t>
            </w:r>
            <w:r>
              <w:rPr>
                <w:rFonts w:hint="eastAsia" w:ascii="宋体" w:hAnsi="宋体" w:cs="宋体"/>
                <w:color w:val="auto"/>
                <w:spacing w:val="1"/>
                <w:w w:val="99"/>
                <w:sz w:val="21"/>
                <w:szCs w:val="21"/>
                <w:highlight w:val="none"/>
              </w:rPr>
              <w:t>0</w:t>
            </w:r>
            <w:r>
              <w:rPr>
                <w:rFonts w:hint="eastAsia" w:ascii="宋体" w:hAnsi="宋体" w:cs="宋体"/>
                <w:color w:val="auto"/>
                <w:w w:val="99"/>
                <w:sz w:val="21"/>
                <w:szCs w:val="21"/>
                <w:highlight w:val="none"/>
              </w:rPr>
              <w:t>609图形图像输入设备</w:t>
            </w:r>
          </w:p>
        </w:tc>
        <w:tc>
          <w:tcPr>
            <w:tcW w:w="1916" w:type="dxa"/>
            <w:vAlign w:val="top"/>
          </w:tcPr>
          <w:p w14:paraId="4E0C2B6B">
            <w:pPr>
              <w:pStyle w:val="63"/>
              <w:rPr>
                <w:rFonts w:ascii="宋体" w:hAnsi="宋体" w:cs="宋体"/>
                <w:color w:val="auto"/>
                <w:sz w:val="21"/>
                <w:szCs w:val="21"/>
                <w:highlight w:val="none"/>
              </w:rPr>
            </w:pPr>
          </w:p>
          <w:p w14:paraId="4F0A9644">
            <w:pPr>
              <w:pStyle w:val="63"/>
              <w:spacing w:before="7"/>
              <w:rPr>
                <w:rFonts w:ascii="宋体" w:hAnsi="宋体" w:cs="宋体"/>
                <w:color w:val="auto"/>
                <w:sz w:val="21"/>
                <w:szCs w:val="21"/>
                <w:highlight w:val="none"/>
              </w:rPr>
            </w:pPr>
          </w:p>
          <w:p w14:paraId="012A78E7">
            <w:pPr>
              <w:pStyle w:val="63"/>
              <w:ind w:left="7"/>
              <w:rPr>
                <w:rFonts w:ascii="宋体" w:hAnsi="宋体" w:cs="宋体"/>
                <w:color w:val="auto"/>
                <w:sz w:val="21"/>
                <w:szCs w:val="21"/>
                <w:highlight w:val="none"/>
              </w:rPr>
            </w:pP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01</w:t>
            </w:r>
            <w:r>
              <w:rPr>
                <w:rFonts w:hint="eastAsia" w:ascii="宋体" w:hAnsi="宋体" w:cs="宋体"/>
                <w:color w:val="auto"/>
                <w:spacing w:val="1"/>
                <w:w w:val="99"/>
                <w:sz w:val="21"/>
                <w:szCs w:val="21"/>
                <w:highlight w:val="none"/>
              </w:rPr>
              <w:t>0</w:t>
            </w:r>
            <w:r>
              <w:rPr>
                <w:rFonts w:hint="eastAsia" w:ascii="宋体" w:hAnsi="宋体" w:cs="宋体"/>
                <w:color w:val="auto"/>
                <w:w w:val="99"/>
                <w:sz w:val="21"/>
                <w:szCs w:val="21"/>
                <w:highlight w:val="none"/>
              </w:rPr>
              <w:t>60</w:t>
            </w:r>
            <w:r>
              <w:rPr>
                <w:rFonts w:hint="eastAsia" w:ascii="宋体" w:hAnsi="宋体" w:cs="宋体"/>
                <w:color w:val="auto"/>
                <w:spacing w:val="1"/>
                <w:w w:val="99"/>
                <w:sz w:val="21"/>
                <w:szCs w:val="21"/>
                <w:highlight w:val="none"/>
              </w:rPr>
              <w:t>9</w:t>
            </w:r>
            <w:r>
              <w:rPr>
                <w:rFonts w:hint="eastAsia" w:ascii="宋体" w:hAnsi="宋体" w:cs="宋体"/>
                <w:color w:val="auto"/>
                <w:w w:val="99"/>
                <w:sz w:val="21"/>
                <w:szCs w:val="21"/>
                <w:highlight w:val="none"/>
              </w:rPr>
              <w:t>01扫描仪</w:t>
            </w:r>
          </w:p>
        </w:tc>
        <w:tc>
          <w:tcPr>
            <w:tcW w:w="3325" w:type="dxa"/>
            <w:vAlign w:val="top"/>
          </w:tcPr>
          <w:p w14:paraId="0E03E854">
            <w:pPr>
              <w:pStyle w:val="63"/>
              <w:spacing w:before="49" w:line="280" w:lineRule="auto"/>
              <w:ind w:left="7" w:right="7"/>
              <w:rPr>
                <w:rFonts w:ascii="宋体" w:hAnsi="宋体" w:cs="宋体"/>
                <w:color w:val="auto"/>
                <w:sz w:val="21"/>
                <w:szCs w:val="21"/>
                <w:highlight w:val="none"/>
                <w:lang w:eastAsia="zh-CN"/>
              </w:rPr>
            </w:pPr>
            <w:r>
              <w:rPr>
                <w:rFonts w:hint="eastAsia" w:ascii="宋体" w:hAnsi="宋体" w:cs="宋体"/>
                <w:color w:val="auto"/>
                <w:w w:val="99"/>
                <w:sz w:val="21"/>
                <w:szCs w:val="21"/>
                <w:highlight w:val="none"/>
                <w:lang w:eastAsia="zh-CN"/>
              </w:rPr>
              <w:t>参</w:t>
            </w:r>
            <w:r>
              <w:rPr>
                <w:rFonts w:hint="eastAsia" w:ascii="宋体" w:hAnsi="宋体" w:cs="宋体"/>
                <w:color w:val="auto"/>
                <w:spacing w:val="-29"/>
                <w:w w:val="99"/>
                <w:sz w:val="21"/>
                <w:szCs w:val="21"/>
                <w:highlight w:val="none"/>
                <w:lang w:eastAsia="zh-CN"/>
              </w:rPr>
              <w:t>照</w:t>
            </w:r>
            <w:r>
              <w:rPr>
                <w:rFonts w:hint="eastAsia" w:ascii="宋体" w:hAnsi="宋体" w:cs="宋体"/>
                <w:color w:val="auto"/>
                <w:w w:val="99"/>
                <w:sz w:val="21"/>
                <w:szCs w:val="21"/>
                <w:highlight w:val="none"/>
                <w:lang w:eastAsia="zh-CN"/>
              </w:rPr>
              <w:t>《</w:t>
            </w:r>
            <w:r>
              <w:rPr>
                <w:rFonts w:hint="eastAsia" w:ascii="宋体" w:hAnsi="宋体" w:cs="宋体"/>
                <w:color w:val="auto"/>
                <w:spacing w:val="2"/>
                <w:w w:val="99"/>
                <w:sz w:val="21"/>
                <w:szCs w:val="21"/>
                <w:highlight w:val="none"/>
                <w:lang w:eastAsia="zh-CN"/>
              </w:rPr>
              <w:t>复</w:t>
            </w:r>
            <w:r>
              <w:rPr>
                <w:rFonts w:hint="eastAsia" w:ascii="宋体" w:hAnsi="宋体" w:cs="宋体"/>
                <w:color w:val="auto"/>
                <w:w w:val="99"/>
                <w:sz w:val="21"/>
                <w:szCs w:val="21"/>
                <w:highlight w:val="none"/>
                <w:lang w:eastAsia="zh-CN"/>
              </w:rPr>
              <w:t>印</w:t>
            </w:r>
            <w:r>
              <w:rPr>
                <w:rFonts w:hint="eastAsia" w:ascii="宋体" w:hAnsi="宋体" w:cs="宋体"/>
                <w:color w:val="auto"/>
                <w:spacing w:val="2"/>
                <w:w w:val="99"/>
                <w:sz w:val="21"/>
                <w:szCs w:val="21"/>
                <w:highlight w:val="none"/>
                <w:lang w:eastAsia="zh-CN"/>
              </w:rPr>
              <w:t>机</w:t>
            </w:r>
            <w:r>
              <w:rPr>
                <w:rFonts w:hint="eastAsia" w:ascii="宋体" w:hAnsi="宋体" w:cs="宋体"/>
                <w:color w:val="auto"/>
                <w:spacing w:val="-29"/>
                <w:w w:val="99"/>
                <w:sz w:val="21"/>
                <w:szCs w:val="21"/>
                <w:highlight w:val="none"/>
                <w:lang w:eastAsia="zh-CN"/>
              </w:rPr>
              <w:t>、</w:t>
            </w:r>
            <w:r>
              <w:rPr>
                <w:rFonts w:hint="eastAsia" w:ascii="宋体" w:hAnsi="宋体" w:cs="宋体"/>
                <w:color w:val="auto"/>
                <w:w w:val="99"/>
                <w:sz w:val="21"/>
                <w:szCs w:val="21"/>
                <w:highlight w:val="none"/>
                <w:lang w:eastAsia="zh-CN"/>
              </w:rPr>
              <w:t>打</w:t>
            </w:r>
            <w:r>
              <w:rPr>
                <w:rFonts w:hint="eastAsia" w:ascii="宋体" w:hAnsi="宋体" w:cs="宋体"/>
                <w:color w:val="auto"/>
                <w:spacing w:val="2"/>
                <w:w w:val="99"/>
                <w:sz w:val="21"/>
                <w:szCs w:val="21"/>
                <w:highlight w:val="none"/>
                <w:lang w:eastAsia="zh-CN"/>
              </w:rPr>
              <w:t>印</w:t>
            </w:r>
            <w:r>
              <w:rPr>
                <w:rFonts w:hint="eastAsia" w:ascii="宋体" w:hAnsi="宋体" w:cs="宋体"/>
                <w:color w:val="auto"/>
                <w:w w:val="99"/>
                <w:sz w:val="21"/>
                <w:szCs w:val="21"/>
                <w:highlight w:val="none"/>
                <w:lang w:eastAsia="zh-CN"/>
              </w:rPr>
              <w:t>机和</w:t>
            </w:r>
            <w:r>
              <w:rPr>
                <w:rFonts w:hint="eastAsia" w:ascii="宋体" w:hAnsi="宋体" w:cs="宋体"/>
                <w:color w:val="auto"/>
                <w:spacing w:val="2"/>
                <w:w w:val="99"/>
                <w:sz w:val="21"/>
                <w:szCs w:val="21"/>
                <w:highlight w:val="none"/>
                <w:lang w:eastAsia="zh-CN"/>
              </w:rPr>
              <w:t>传</w:t>
            </w:r>
            <w:r>
              <w:rPr>
                <w:rFonts w:hint="eastAsia" w:ascii="宋体" w:hAnsi="宋体" w:cs="宋体"/>
                <w:color w:val="auto"/>
                <w:w w:val="99"/>
                <w:sz w:val="21"/>
                <w:szCs w:val="21"/>
                <w:highlight w:val="none"/>
                <w:lang w:eastAsia="zh-CN"/>
              </w:rPr>
              <w:t>真机能效限定</w:t>
            </w:r>
            <w:r>
              <w:rPr>
                <w:rFonts w:hint="eastAsia" w:ascii="宋体" w:hAnsi="宋体" w:cs="宋体"/>
                <w:color w:val="auto"/>
                <w:spacing w:val="2"/>
                <w:w w:val="99"/>
                <w:sz w:val="21"/>
                <w:szCs w:val="21"/>
                <w:highlight w:val="none"/>
                <w:lang w:eastAsia="zh-CN"/>
              </w:rPr>
              <w:t>值</w:t>
            </w:r>
            <w:r>
              <w:rPr>
                <w:rFonts w:hint="eastAsia" w:ascii="宋体" w:hAnsi="宋体" w:cs="宋体"/>
                <w:color w:val="auto"/>
                <w:w w:val="99"/>
                <w:sz w:val="21"/>
                <w:szCs w:val="21"/>
                <w:highlight w:val="none"/>
                <w:lang w:eastAsia="zh-CN"/>
              </w:rPr>
              <w:t>及能</w:t>
            </w:r>
            <w:r>
              <w:rPr>
                <w:rFonts w:hint="eastAsia" w:ascii="宋体" w:hAnsi="宋体" w:cs="宋体"/>
                <w:color w:val="auto"/>
                <w:spacing w:val="2"/>
                <w:w w:val="99"/>
                <w:sz w:val="21"/>
                <w:szCs w:val="21"/>
                <w:highlight w:val="none"/>
                <w:lang w:eastAsia="zh-CN"/>
              </w:rPr>
              <w:t>效</w:t>
            </w:r>
            <w:r>
              <w:rPr>
                <w:rFonts w:hint="eastAsia" w:ascii="宋体" w:hAnsi="宋体" w:cs="宋体"/>
                <w:color w:val="auto"/>
                <w:w w:val="99"/>
                <w:sz w:val="21"/>
                <w:szCs w:val="21"/>
                <w:highlight w:val="none"/>
                <w:lang w:eastAsia="zh-CN"/>
              </w:rPr>
              <w:t>等级</w:t>
            </w:r>
            <w:r>
              <w:rPr>
                <w:rFonts w:hint="eastAsia" w:ascii="宋体" w:hAnsi="宋体" w:cs="宋体"/>
                <w:color w:val="auto"/>
                <w:spacing w:val="-106"/>
                <w:w w:val="99"/>
                <w:sz w:val="21"/>
                <w:szCs w:val="21"/>
                <w:highlight w:val="none"/>
                <w:lang w:eastAsia="zh-CN"/>
              </w:rPr>
              <w:t>》</w:t>
            </w: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2152</w:t>
            </w:r>
            <w:r>
              <w:rPr>
                <w:rFonts w:hint="eastAsia" w:ascii="宋体" w:hAnsi="宋体" w:cs="宋体"/>
                <w:color w:val="auto"/>
                <w:w w:val="99"/>
                <w:sz w:val="21"/>
                <w:szCs w:val="21"/>
                <w:highlight w:val="none"/>
                <w:lang w:eastAsia="zh-CN"/>
              </w:rPr>
              <w:t>1</w:t>
            </w:r>
          </w:p>
          <w:p w14:paraId="37740694">
            <w:pPr>
              <w:pStyle w:val="63"/>
              <w:spacing w:before="12" w:line="280" w:lineRule="auto"/>
              <w:ind w:left="7" w:right="5"/>
              <w:rPr>
                <w:rFonts w:ascii="宋体" w:hAnsi="宋体" w:cs="宋体"/>
                <w:color w:val="auto"/>
                <w:sz w:val="21"/>
                <w:szCs w:val="21"/>
                <w:highlight w:val="none"/>
                <w:lang w:eastAsia="zh-CN"/>
              </w:rPr>
            </w:pPr>
            <w:r>
              <w:rPr>
                <w:rFonts w:hint="eastAsia" w:ascii="宋体" w:hAnsi="宋体" w:cs="宋体"/>
                <w:color w:val="auto"/>
                <w:spacing w:val="2"/>
                <w:w w:val="99"/>
                <w:sz w:val="21"/>
                <w:szCs w:val="21"/>
                <w:highlight w:val="none"/>
                <w:lang w:eastAsia="zh-CN"/>
              </w:rPr>
              <w:t>中</w:t>
            </w:r>
            <w:r>
              <w:rPr>
                <w:rFonts w:hint="eastAsia" w:ascii="宋体" w:hAnsi="宋体" w:cs="宋体"/>
                <w:color w:val="auto"/>
                <w:spacing w:val="4"/>
                <w:w w:val="99"/>
                <w:sz w:val="21"/>
                <w:szCs w:val="21"/>
                <w:highlight w:val="none"/>
                <w:lang w:eastAsia="zh-CN"/>
              </w:rPr>
              <w:t>打印速</w:t>
            </w:r>
            <w:r>
              <w:rPr>
                <w:rFonts w:hint="eastAsia" w:ascii="宋体" w:hAnsi="宋体" w:cs="宋体"/>
                <w:color w:val="auto"/>
                <w:spacing w:val="2"/>
                <w:w w:val="99"/>
                <w:sz w:val="21"/>
                <w:szCs w:val="21"/>
                <w:highlight w:val="none"/>
                <w:lang w:eastAsia="zh-CN"/>
              </w:rPr>
              <w:t>度</w:t>
            </w:r>
            <w:r>
              <w:rPr>
                <w:rFonts w:hint="eastAsia" w:ascii="宋体" w:hAnsi="宋体" w:cs="宋体"/>
                <w:color w:val="auto"/>
                <w:w w:val="99"/>
                <w:sz w:val="21"/>
                <w:szCs w:val="21"/>
                <w:highlight w:val="none"/>
                <w:lang w:eastAsia="zh-CN"/>
              </w:rPr>
              <w:t>为</w:t>
            </w:r>
            <w:r>
              <w:rPr>
                <w:rFonts w:hint="eastAsia" w:ascii="宋体" w:hAnsi="宋体" w:cs="宋体"/>
                <w:color w:val="auto"/>
                <w:spacing w:val="1"/>
                <w:w w:val="99"/>
                <w:sz w:val="21"/>
                <w:szCs w:val="21"/>
                <w:highlight w:val="none"/>
                <w:lang w:eastAsia="zh-CN"/>
              </w:rPr>
              <w:t>1</w:t>
            </w:r>
            <w:r>
              <w:rPr>
                <w:rFonts w:hint="eastAsia" w:ascii="宋体" w:hAnsi="宋体" w:cs="宋体"/>
                <w:color w:val="auto"/>
                <w:w w:val="99"/>
                <w:sz w:val="21"/>
                <w:szCs w:val="21"/>
                <w:highlight w:val="none"/>
                <w:lang w:eastAsia="zh-CN"/>
              </w:rPr>
              <w:t>5</w:t>
            </w:r>
            <w:r>
              <w:rPr>
                <w:rFonts w:hint="eastAsia" w:ascii="宋体" w:hAnsi="宋体" w:cs="宋体"/>
                <w:color w:val="auto"/>
                <w:spacing w:val="2"/>
                <w:w w:val="99"/>
                <w:sz w:val="21"/>
                <w:szCs w:val="21"/>
                <w:highlight w:val="none"/>
                <w:lang w:eastAsia="zh-CN"/>
              </w:rPr>
              <w:t>页</w:t>
            </w:r>
            <w:r>
              <w:rPr>
                <w:rFonts w:hint="eastAsia" w:ascii="宋体" w:hAnsi="宋体" w:cs="宋体"/>
                <w:color w:val="auto"/>
                <w:spacing w:val="5"/>
                <w:w w:val="99"/>
                <w:sz w:val="21"/>
                <w:szCs w:val="21"/>
                <w:highlight w:val="none"/>
                <w:lang w:eastAsia="zh-CN"/>
              </w:rPr>
              <w:t>/</w:t>
            </w:r>
            <w:r>
              <w:rPr>
                <w:rFonts w:hint="eastAsia" w:ascii="宋体" w:hAnsi="宋体" w:cs="宋体"/>
                <w:color w:val="auto"/>
                <w:spacing w:val="4"/>
                <w:w w:val="99"/>
                <w:sz w:val="21"/>
                <w:szCs w:val="21"/>
                <w:highlight w:val="none"/>
                <w:lang w:eastAsia="zh-CN"/>
              </w:rPr>
              <w:t>分的</w:t>
            </w:r>
            <w:r>
              <w:rPr>
                <w:rFonts w:hint="eastAsia" w:ascii="宋体" w:hAnsi="宋体" w:cs="宋体"/>
                <w:color w:val="auto"/>
                <w:spacing w:val="2"/>
                <w:w w:val="99"/>
                <w:sz w:val="21"/>
                <w:szCs w:val="21"/>
                <w:highlight w:val="none"/>
                <w:lang w:eastAsia="zh-CN"/>
              </w:rPr>
              <w:t>针</w:t>
            </w:r>
            <w:r>
              <w:rPr>
                <w:rFonts w:hint="eastAsia" w:ascii="宋体" w:hAnsi="宋体" w:cs="宋体"/>
                <w:color w:val="auto"/>
                <w:spacing w:val="4"/>
                <w:w w:val="99"/>
                <w:sz w:val="21"/>
                <w:szCs w:val="21"/>
                <w:highlight w:val="none"/>
                <w:lang w:eastAsia="zh-CN"/>
              </w:rPr>
              <w:t>式</w:t>
            </w:r>
            <w:r>
              <w:rPr>
                <w:rFonts w:hint="eastAsia" w:ascii="宋体" w:hAnsi="宋体" w:cs="宋体"/>
                <w:color w:val="auto"/>
                <w:w w:val="99"/>
                <w:sz w:val="21"/>
                <w:szCs w:val="21"/>
                <w:highlight w:val="none"/>
                <w:lang w:eastAsia="zh-CN"/>
              </w:rPr>
              <w:t>打印机相</w:t>
            </w:r>
            <w:r>
              <w:rPr>
                <w:rFonts w:hint="eastAsia" w:ascii="宋体" w:hAnsi="宋体" w:cs="宋体"/>
                <w:color w:val="auto"/>
                <w:spacing w:val="2"/>
                <w:w w:val="99"/>
                <w:sz w:val="21"/>
                <w:szCs w:val="21"/>
                <w:highlight w:val="none"/>
                <w:lang w:eastAsia="zh-CN"/>
              </w:rPr>
              <w:t>关</w:t>
            </w:r>
            <w:r>
              <w:rPr>
                <w:rFonts w:hint="eastAsia" w:ascii="宋体" w:hAnsi="宋体" w:cs="宋体"/>
                <w:color w:val="auto"/>
                <w:w w:val="99"/>
                <w:sz w:val="21"/>
                <w:szCs w:val="21"/>
                <w:highlight w:val="none"/>
                <w:lang w:eastAsia="zh-CN"/>
              </w:rPr>
              <w:t>要求</w:t>
            </w:r>
          </w:p>
        </w:tc>
      </w:tr>
      <w:tr w14:paraId="2C77E8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4" w:hRule="exact"/>
        </w:trPr>
        <w:tc>
          <w:tcPr>
            <w:tcW w:w="744" w:type="dxa"/>
            <w:vAlign w:val="top"/>
          </w:tcPr>
          <w:p w14:paraId="79AE14A5">
            <w:pPr>
              <w:pStyle w:val="63"/>
              <w:spacing w:before="179"/>
              <w:ind w:right="1"/>
              <w:jc w:val="center"/>
              <w:rPr>
                <w:rFonts w:ascii="宋体" w:hAnsi="宋体" w:cs="宋体"/>
                <w:color w:val="auto"/>
                <w:sz w:val="21"/>
                <w:szCs w:val="21"/>
                <w:highlight w:val="none"/>
              </w:rPr>
            </w:pPr>
            <w:r>
              <w:rPr>
                <w:rFonts w:hint="eastAsia" w:ascii="宋体" w:hAnsi="宋体" w:cs="宋体"/>
                <w:color w:val="auto"/>
                <w:w w:val="99"/>
                <w:sz w:val="21"/>
                <w:szCs w:val="21"/>
                <w:highlight w:val="none"/>
              </w:rPr>
              <w:t>3</w:t>
            </w:r>
          </w:p>
        </w:tc>
        <w:tc>
          <w:tcPr>
            <w:tcW w:w="996" w:type="dxa"/>
            <w:vAlign w:val="top"/>
          </w:tcPr>
          <w:p w14:paraId="7056E927">
            <w:pPr>
              <w:pStyle w:val="63"/>
              <w:spacing w:before="23"/>
              <w:ind w:left="7"/>
              <w:rPr>
                <w:rFonts w:ascii="宋体" w:hAnsi="宋体" w:cs="宋体"/>
                <w:color w:val="auto"/>
                <w:sz w:val="21"/>
                <w:szCs w:val="21"/>
                <w:highlight w:val="none"/>
              </w:rPr>
            </w:pP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02</w:t>
            </w:r>
            <w:r>
              <w:rPr>
                <w:rFonts w:hint="eastAsia" w:ascii="宋体" w:hAnsi="宋体" w:cs="宋体"/>
                <w:color w:val="auto"/>
                <w:spacing w:val="1"/>
                <w:w w:val="99"/>
                <w:sz w:val="21"/>
                <w:szCs w:val="21"/>
                <w:highlight w:val="none"/>
              </w:rPr>
              <w:t>0</w:t>
            </w:r>
            <w:r>
              <w:rPr>
                <w:rFonts w:hint="eastAsia" w:ascii="宋体" w:hAnsi="宋体" w:cs="宋体"/>
                <w:color w:val="auto"/>
                <w:w w:val="99"/>
                <w:sz w:val="21"/>
                <w:szCs w:val="21"/>
                <w:highlight w:val="none"/>
              </w:rPr>
              <w:t>2投影仪</w:t>
            </w:r>
          </w:p>
        </w:tc>
        <w:tc>
          <w:tcPr>
            <w:tcW w:w="1800" w:type="dxa"/>
            <w:vAlign w:val="top"/>
          </w:tcPr>
          <w:p w14:paraId="2CCAD717">
            <w:pPr>
              <w:rPr>
                <w:rFonts w:ascii="宋体" w:hAnsi="宋体" w:cs="宋体"/>
                <w:color w:val="auto"/>
                <w:szCs w:val="21"/>
                <w:highlight w:val="none"/>
              </w:rPr>
            </w:pPr>
          </w:p>
        </w:tc>
        <w:tc>
          <w:tcPr>
            <w:tcW w:w="1916" w:type="dxa"/>
            <w:vAlign w:val="top"/>
          </w:tcPr>
          <w:p w14:paraId="21AF8CF6">
            <w:pPr>
              <w:rPr>
                <w:rFonts w:ascii="宋体" w:hAnsi="宋体" w:cs="宋体"/>
                <w:color w:val="auto"/>
                <w:szCs w:val="21"/>
                <w:highlight w:val="none"/>
              </w:rPr>
            </w:pPr>
          </w:p>
        </w:tc>
        <w:tc>
          <w:tcPr>
            <w:tcW w:w="3325" w:type="dxa"/>
            <w:vAlign w:val="top"/>
          </w:tcPr>
          <w:p w14:paraId="17A71729">
            <w:pPr>
              <w:pStyle w:val="63"/>
              <w:spacing w:before="23"/>
              <w:ind w:left="7"/>
              <w:rPr>
                <w:rFonts w:ascii="宋体" w:hAnsi="宋体" w:cs="宋体"/>
                <w:color w:val="auto"/>
                <w:sz w:val="21"/>
                <w:szCs w:val="21"/>
                <w:highlight w:val="none"/>
                <w:lang w:eastAsia="zh-CN"/>
              </w:rPr>
            </w:pPr>
            <w:r>
              <w:rPr>
                <w:rFonts w:hint="eastAsia" w:ascii="宋体" w:hAnsi="宋体" w:cs="宋体"/>
                <w:color w:val="auto"/>
                <w:w w:val="99"/>
                <w:sz w:val="21"/>
                <w:szCs w:val="21"/>
                <w:highlight w:val="none"/>
                <w:lang w:eastAsia="zh-CN"/>
              </w:rPr>
              <w:t>《投影</w:t>
            </w:r>
            <w:r>
              <w:rPr>
                <w:rFonts w:hint="eastAsia" w:ascii="宋体" w:hAnsi="宋体" w:cs="宋体"/>
                <w:color w:val="auto"/>
                <w:spacing w:val="2"/>
                <w:w w:val="99"/>
                <w:sz w:val="21"/>
                <w:szCs w:val="21"/>
                <w:highlight w:val="none"/>
                <w:lang w:eastAsia="zh-CN"/>
              </w:rPr>
              <w:t>机</w:t>
            </w:r>
            <w:r>
              <w:rPr>
                <w:rFonts w:hint="eastAsia" w:ascii="宋体" w:hAnsi="宋体" w:cs="宋体"/>
                <w:color w:val="auto"/>
                <w:w w:val="99"/>
                <w:sz w:val="21"/>
                <w:szCs w:val="21"/>
                <w:highlight w:val="none"/>
                <w:lang w:eastAsia="zh-CN"/>
              </w:rPr>
              <w:t>能效</w:t>
            </w:r>
            <w:r>
              <w:rPr>
                <w:rFonts w:hint="eastAsia" w:ascii="宋体" w:hAnsi="宋体" w:cs="宋体"/>
                <w:color w:val="auto"/>
                <w:spacing w:val="2"/>
                <w:w w:val="99"/>
                <w:sz w:val="21"/>
                <w:szCs w:val="21"/>
                <w:highlight w:val="none"/>
                <w:lang w:eastAsia="zh-CN"/>
              </w:rPr>
              <w:t>限</w:t>
            </w:r>
            <w:r>
              <w:rPr>
                <w:rFonts w:hint="eastAsia" w:ascii="宋体" w:hAnsi="宋体" w:cs="宋体"/>
                <w:color w:val="auto"/>
                <w:w w:val="99"/>
                <w:sz w:val="21"/>
                <w:szCs w:val="21"/>
                <w:highlight w:val="none"/>
                <w:lang w:eastAsia="zh-CN"/>
              </w:rPr>
              <w:t>定值</w:t>
            </w:r>
            <w:r>
              <w:rPr>
                <w:rFonts w:hint="eastAsia" w:ascii="宋体" w:hAnsi="宋体" w:cs="宋体"/>
                <w:color w:val="auto"/>
                <w:spacing w:val="2"/>
                <w:w w:val="99"/>
                <w:sz w:val="21"/>
                <w:szCs w:val="21"/>
                <w:highlight w:val="none"/>
                <w:lang w:eastAsia="zh-CN"/>
              </w:rPr>
              <w:t>及</w:t>
            </w:r>
            <w:r>
              <w:rPr>
                <w:rFonts w:hint="eastAsia" w:ascii="宋体" w:hAnsi="宋体" w:cs="宋体"/>
                <w:color w:val="auto"/>
                <w:w w:val="99"/>
                <w:sz w:val="21"/>
                <w:szCs w:val="21"/>
                <w:highlight w:val="none"/>
                <w:lang w:eastAsia="zh-CN"/>
              </w:rPr>
              <w:t>能</w:t>
            </w:r>
            <w:r>
              <w:rPr>
                <w:rFonts w:hint="eastAsia" w:ascii="宋体" w:hAnsi="宋体" w:cs="宋体"/>
                <w:color w:val="auto"/>
                <w:spacing w:val="2"/>
                <w:w w:val="99"/>
                <w:sz w:val="21"/>
                <w:szCs w:val="21"/>
                <w:highlight w:val="none"/>
                <w:lang w:eastAsia="zh-CN"/>
              </w:rPr>
              <w:t>效</w:t>
            </w:r>
            <w:r>
              <w:rPr>
                <w:rFonts w:hint="eastAsia" w:ascii="宋体" w:hAnsi="宋体" w:cs="宋体"/>
                <w:color w:val="auto"/>
                <w:w w:val="99"/>
                <w:sz w:val="21"/>
                <w:szCs w:val="21"/>
                <w:highlight w:val="none"/>
                <w:lang w:eastAsia="zh-CN"/>
              </w:rPr>
              <w:t>等级</w:t>
            </w:r>
          </w:p>
          <w:p w14:paraId="435A57A0">
            <w:pPr>
              <w:pStyle w:val="63"/>
              <w:spacing w:before="50"/>
              <w:ind w:left="7"/>
              <w:rPr>
                <w:rFonts w:ascii="宋体" w:hAnsi="宋体" w:cs="宋体"/>
                <w:color w:val="auto"/>
                <w:sz w:val="21"/>
                <w:szCs w:val="21"/>
                <w:highlight w:val="none"/>
              </w:rPr>
            </w:pPr>
            <w:r>
              <w:rPr>
                <w:rFonts w:hint="eastAsia" w:ascii="宋体" w:hAnsi="宋体" w:cs="宋体"/>
                <w:color w:val="auto"/>
                <w:w w:val="99"/>
                <w:sz w:val="21"/>
                <w:szCs w:val="21"/>
                <w:highlight w:val="none"/>
              </w:rPr>
              <w:t>（</w:t>
            </w:r>
            <w:r>
              <w:rPr>
                <w:rFonts w:hint="eastAsia" w:ascii="宋体" w:hAnsi="宋体" w:cs="宋体"/>
                <w:color w:val="auto"/>
                <w:spacing w:val="1"/>
                <w:w w:val="99"/>
                <w:sz w:val="21"/>
                <w:szCs w:val="21"/>
                <w:highlight w:val="none"/>
              </w:rPr>
              <w:t>G</w:t>
            </w:r>
            <w:r>
              <w:rPr>
                <w:rFonts w:hint="eastAsia" w:ascii="宋体" w:hAnsi="宋体" w:cs="宋体"/>
                <w:color w:val="auto"/>
                <w:w w:val="99"/>
                <w:sz w:val="21"/>
                <w:szCs w:val="21"/>
                <w:highlight w:val="none"/>
              </w:rPr>
              <w:t>B</w:t>
            </w:r>
            <w:r>
              <w:rPr>
                <w:rFonts w:hint="eastAsia" w:ascii="宋体" w:hAnsi="宋体" w:cs="宋体"/>
                <w:color w:val="auto"/>
                <w:spacing w:val="1"/>
                <w:w w:val="99"/>
                <w:sz w:val="21"/>
                <w:szCs w:val="21"/>
                <w:highlight w:val="none"/>
              </w:rPr>
              <w:t>3</w:t>
            </w:r>
            <w:r>
              <w:rPr>
                <w:rFonts w:hint="eastAsia" w:ascii="宋体" w:hAnsi="宋体" w:cs="宋体"/>
                <w:color w:val="auto"/>
                <w:w w:val="99"/>
                <w:sz w:val="21"/>
                <w:szCs w:val="21"/>
                <w:highlight w:val="none"/>
              </w:rPr>
              <w:t>20</w:t>
            </w:r>
            <w:r>
              <w:rPr>
                <w:rFonts w:hint="eastAsia" w:ascii="宋体" w:hAnsi="宋体" w:cs="宋体"/>
                <w:color w:val="auto"/>
                <w:spacing w:val="1"/>
                <w:w w:val="99"/>
                <w:sz w:val="21"/>
                <w:szCs w:val="21"/>
                <w:highlight w:val="none"/>
              </w:rPr>
              <w:t>28</w:t>
            </w:r>
            <w:r>
              <w:rPr>
                <w:rFonts w:hint="eastAsia" w:ascii="宋体" w:hAnsi="宋体" w:cs="宋体"/>
                <w:color w:val="auto"/>
                <w:w w:val="99"/>
                <w:sz w:val="21"/>
                <w:szCs w:val="21"/>
                <w:highlight w:val="none"/>
              </w:rPr>
              <w:t>）</w:t>
            </w:r>
          </w:p>
        </w:tc>
      </w:tr>
      <w:tr w14:paraId="11F7D2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90" w:hRule="exact"/>
        </w:trPr>
        <w:tc>
          <w:tcPr>
            <w:tcW w:w="744" w:type="dxa"/>
            <w:vAlign w:val="top"/>
          </w:tcPr>
          <w:p w14:paraId="7531FCC6">
            <w:pPr>
              <w:pStyle w:val="63"/>
              <w:spacing w:before="13"/>
              <w:rPr>
                <w:rFonts w:ascii="宋体" w:hAnsi="宋体" w:cs="宋体"/>
                <w:color w:val="auto"/>
                <w:sz w:val="21"/>
                <w:szCs w:val="21"/>
                <w:highlight w:val="none"/>
              </w:rPr>
            </w:pPr>
          </w:p>
          <w:p w14:paraId="12EC9395">
            <w:pPr>
              <w:pStyle w:val="63"/>
              <w:ind w:right="1"/>
              <w:jc w:val="center"/>
              <w:rPr>
                <w:rFonts w:ascii="宋体" w:hAnsi="宋体" w:cs="宋体"/>
                <w:color w:val="auto"/>
                <w:sz w:val="21"/>
                <w:szCs w:val="21"/>
                <w:highlight w:val="none"/>
              </w:rPr>
            </w:pPr>
            <w:r>
              <w:rPr>
                <w:rFonts w:hint="eastAsia" w:ascii="宋体" w:hAnsi="宋体" w:cs="宋体"/>
                <w:color w:val="auto"/>
                <w:w w:val="99"/>
                <w:sz w:val="21"/>
                <w:szCs w:val="21"/>
                <w:highlight w:val="none"/>
              </w:rPr>
              <w:t>4</w:t>
            </w:r>
          </w:p>
        </w:tc>
        <w:tc>
          <w:tcPr>
            <w:tcW w:w="996" w:type="dxa"/>
            <w:vAlign w:val="top"/>
          </w:tcPr>
          <w:p w14:paraId="7C763D10">
            <w:pPr>
              <w:pStyle w:val="63"/>
              <w:spacing w:before="66"/>
              <w:ind w:left="7"/>
              <w:rPr>
                <w:rFonts w:ascii="宋体" w:hAnsi="宋体" w:cs="宋体"/>
                <w:color w:val="auto"/>
                <w:sz w:val="21"/>
                <w:szCs w:val="21"/>
                <w:highlight w:val="none"/>
              </w:rPr>
            </w:pP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02</w:t>
            </w:r>
            <w:r>
              <w:rPr>
                <w:rFonts w:hint="eastAsia" w:ascii="宋体" w:hAnsi="宋体" w:cs="宋体"/>
                <w:color w:val="auto"/>
                <w:spacing w:val="1"/>
                <w:w w:val="99"/>
                <w:sz w:val="21"/>
                <w:szCs w:val="21"/>
                <w:highlight w:val="none"/>
              </w:rPr>
              <w:t>0</w:t>
            </w:r>
            <w:r>
              <w:rPr>
                <w:rFonts w:hint="eastAsia" w:ascii="宋体" w:hAnsi="宋体" w:cs="宋体"/>
                <w:color w:val="auto"/>
                <w:w w:val="99"/>
                <w:sz w:val="21"/>
                <w:szCs w:val="21"/>
                <w:highlight w:val="none"/>
              </w:rPr>
              <w:t>4多功能一体机</w:t>
            </w:r>
          </w:p>
        </w:tc>
        <w:tc>
          <w:tcPr>
            <w:tcW w:w="1800" w:type="dxa"/>
            <w:vAlign w:val="top"/>
          </w:tcPr>
          <w:p w14:paraId="404D3BDE">
            <w:pPr>
              <w:rPr>
                <w:rFonts w:ascii="宋体" w:hAnsi="宋体" w:cs="宋体"/>
                <w:color w:val="auto"/>
                <w:szCs w:val="21"/>
                <w:highlight w:val="none"/>
              </w:rPr>
            </w:pPr>
          </w:p>
        </w:tc>
        <w:tc>
          <w:tcPr>
            <w:tcW w:w="1916" w:type="dxa"/>
            <w:vAlign w:val="top"/>
          </w:tcPr>
          <w:p w14:paraId="3B16AD8D">
            <w:pPr>
              <w:rPr>
                <w:rFonts w:ascii="宋体" w:hAnsi="宋体" w:cs="宋体"/>
                <w:color w:val="auto"/>
                <w:szCs w:val="21"/>
                <w:highlight w:val="none"/>
              </w:rPr>
            </w:pPr>
          </w:p>
        </w:tc>
        <w:tc>
          <w:tcPr>
            <w:tcW w:w="3325" w:type="dxa"/>
            <w:vAlign w:val="top"/>
          </w:tcPr>
          <w:p w14:paraId="33DDF73E">
            <w:pPr>
              <w:pStyle w:val="63"/>
              <w:spacing w:before="66" w:line="280" w:lineRule="auto"/>
              <w:ind w:left="7" w:right="7"/>
              <w:rPr>
                <w:rFonts w:ascii="宋体" w:hAnsi="宋体" w:cs="宋体"/>
                <w:color w:val="auto"/>
                <w:sz w:val="21"/>
                <w:szCs w:val="21"/>
                <w:highlight w:val="none"/>
                <w:lang w:eastAsia="zh-CN"/>
              </w:rPr>
            </w:pPr>
            <w:r>
              <w:rPr>
                <w:rFonts w:hint="eastAsia" w:ascii="宋体" w:hAnsi="宋体" w:cs="宋体"/>
                <w:color w:val="auto"/>
                <w:w w:val="99"/>
                <w:sz w:val="21"/>
                <w:szCs w:val="21"/>
                <w:highlight w:val="none"/>
                <w:lang w:eastAsia="zh-CN"/>
              </w:rPr>
              <w:t>《复印</w:t>
            </w:r>
            <w:r>
              <w:rPr>
                <w:rFonts w:hint="eastAsia" w:ascii="宋体" w:hAnsi="宋体" w:cs="宋体"/>
                <w:color w:val="auto"/>
                <w:spacing w:val="2"/>
                <w:w w:val="99"/>
                <w:sz w:val="21"/>
                <w:szCs w:val="21"/>
                <w:highlight w:val="none"/>
                <w:lang w:eastAsia="zh-CN"/>
              </w:rPr>
              <w:t>机</w:t>
            </w:r>
            <w:r>
              <w:rPr>
                <w:rFonts w:hint="eastAsia" w:ascii="宋体" w:hAnsi="宋体" w:cs="宋体"/>
                <w:color w:val="auto"/>
                <w:spacing w:val="-58"/>
                <w:w w:val="99"/>
                <w:sz w:val="21"/>
                <w:szCs w:val="21"/>
                <w:highlight w:val="none"/>
                <w:lang w:eastAsia="zh-CN"/>
              </w:rPr>
              <w:t>、</w:t>
            </w:r>
            <w:r>
              <w:rPr>
                <w:rFonts w:hint="eastAsia" w:ascii="宋体" w:hAnsi="宋体" w:cs="宋体"/>
                <w:color w:val="auto"/>
                <w:spacing w:val="2"/>
                <w:w w:val="99"/>
                <w:sz w:val="21"/>
                <w:szCs w:val="21"/>
                <w:highlight w:val="none"/>
                <w:lang w:eastAsia="zh-CN"/>
              </w:rPr>
              <w:t>打</w:t>
            </w:r>
            <w:r>
              <w:rPr>
                <w:rFonts w:hint="eastAsia" w:ascii="宋体" w:hAnsi="宋体" w:cs="宋体"/>
                <w:color w:val="auto"/>
                <w:w w:val="99"/>
                <w:sz w:val="21"/>
                <w:szCs w:val="21"/>
                <w:highlight w:val="none"/>
                <w:lang w:eastAsia="zh-CN"/>
              </w:rPr>
              <w:t>印机</w:t>
            </w:r>
            <w:r>
              <w:rPr>
                <w:rFonts w:hint="eastAsia" w:ascii="宋体" w:hAnsi="宋体" w:cs="宋体"/>
                <w:color w:val="auto"/>
                <w:spacing w:val="2"/>
                <w:w w:val="99"/>
                <w:sz w:val="21"/>
                <w:szCs w:val="21"/>
                <w:highlight w:val="none"/>
                <w:lang w:eastAsia="zh-CN"/>
              </w:rPr>
              <w:t>和</w:t>
            </w:r>
            <w:r>
              <w:rPr>
                <w:rFonts w:hint="eastAsia" w:ascii="宋体" w:hAnsi="宋体" w:cs="宋体"/>
                <w:color w:val="auto"/>
                <w:w w:val="99"/>
                <w:sz w:val="21"/>
                <w:szCs w:val="21"/>
                <w:highlight w:val="none"/>
                <w:lang w:eastAsia="zh-CN"/>
              </w:rPr>
              <w:t>传真</w:t>
            </w:r>
            <w:r>
              <w:rPr>
                <w:rFonts w:hint="eastAsia" w:ascii="宋体" w:hAnsi="宋体" w:cs="宋体"/>
                <w:color w:val="auto"/>
                <w:spacing w:val="2"/>
                <w:w w:val="99"/>
                <w:sz w:val="21"/>
                <w:szCs w:val="21"/>
                <w:highlight w:val="none"/>
                <w:lang w:eastAsia="zh-CN"/>
              </w:rPr>
              <w:t>机</w:t>
            </w:r>
            <w:r>
              <w:rPr>
                <w:rFonts w:hint="eastAsia" w:ascii="宋体" w:hAnsi="宋体" w:cs="宋体"/>
                <w:color w:val="auto"/>
                <w:w w:val="99"/>
                <w:sz w:val="21"/>
                <w:szCs w:val="21"/>
                <w:highlight w:val="none"/>
                <w:lang w:eastAsia="zh-CN"/>
              </w:rPr>
              <w:t>能效限定值及</w:t>
            </w:r>
            <w:r>
              <w:rPr>
                <w:rFonts w:hint="eastAsia" w:ascii="宋体" w:hAnsi="宋体" w:cs="宋体"/>
                <w:color w:val="auto"/>
                <w:spacing w:val="2"/>
                <w:w w:val="99"/>
                <w:sz w:val="21"/>
                <w:szCs w:val="21"/>
                <w:highlight w:val="none"/>
                <w:lang w:eastAsia="zh-CN"/>
              </w:rPr>
              <w:t>能</w:t>
            </w:r>
            <w:r>
              <w:rPr>
                <w:rFonts w:hint="eastAsia" w:ascii="宋体" w:hAnsi="宋体" w:cs="宋体"/>
                <w:color w:val="auto"/>
                <w:w w:val="99"/>
                <w:sz w:val="21"/>
                <w:szCs w:val="21"/>
                <w:highlight w:val="none"/>
                <w:lang w:eastAsia="zh-CN"/>
              </w:rPr>
              <w:t>效等</w:t>
            </w:r>
            <w:r>
              <w:rPr>
                <w:rFonts w:hint="eastAsia" w:ascii="宋体" w:hAnsi="宋体" w:cs="宋体"/>
                <w:color w:val="auto"/>
                <w:spacing w:val="2"/>
                <w:w w:val="99"/>
                <w:sz w:val="21"/>
                <w:szCs w:val="21"/>
                <w:highlight w:val="none"/>
                <w:lang w:eastAsia="zh-CN"/>
              </w:rPr>
              <w:t>级</w:t>
            </w: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21</w:t>
            </w:r>
            <w:r>
              <w:rPr>
                <w:rFonts w:hint="eastAsia" w:ascii="宋体" w:hAnsi="宋体" w:cs="宋体"/>
                <w:color w:val="auto"/>
                <w:w w:val="99"/>
                <w:sz w:val="21"/>
                <w:szCs w:val="21"/>
                <w:highlight w:val="none"/>
                <w:lang w:eastAsia="zh-CN"/>
              </w:rPr>
              <w:t>52</w:t>
            </w:r>
            <w:r>
              <w:rPr>
                <w:rFonts w:hint="eastAsia" w:ascii="宋体" w:hAnsi="宋体" w:cs="宋体"/>
                <w:color w:val="auto"/>
                <w:spacing w:val="1"/>
                <w:w w:val="99"/>
                <w:sz w:val="21"/>
                <w:szCs w:val="21"/>
                <w:highlight w:val="none"/>
                <w:lang w:eastAsia="zh-CN"/>
              </w:rPr>
              <w:t>1</w:t>
            </w:r>
            <w:r>
              <w:rPr>
                <w:rFonts w:hint="eastAsia" w:ascii="宋体" w:hAnsi="宋体" w:cs="宋体"/>
                <w:color w:val="auto"/>
                <w:w w:val="99"/>
                <w:sz w:val="21"/>
                <w:szCs w:val="21"/>
                <w:highlight w:val="none"/>
                <w:lang w:eastAsia="zh-CN"/>
              </w:rPr>
              <w:t>）</w:t>
            </w:r>
          </w:p>
        </w:tc>
      </w:tr>
      <w:tr w14:paraId="35718C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6" w:hRule="exact"/>
        </w:trPr>
        <w:tc>
          <w:tcPr>
            <w:tcW w:w="744" w:type="dxa"/>
            <w:vAlign w:val="top"/>
          </w:tcPr>
          <w:p w14:paraId="7B96A0F3">
            <w:pPr>
              <w:pStyle w:val="63"/>
              <w:spacing w:before="160"/>
              <w:ind w:right="1"/>
              <w:jc w:val="center"/>
              <w:rPr>
                <w:rFonts w:ascii="宋体" w:hAnsi="宋体" w:cs="宋体"/>
                <w:color w:val="auto"/>
                <w:sz w:val="21"/>
                <w:szCs w:val="21"/>
                <w:highlight w:val="none"/>
              </w:rPr>
            </w:pPr>
            <w:r>
              <w:rPr>
                <w:rFonts w:hint="eastAsia" w:ascii="宋体" w:hAnsi="宋体" w:cs="宋体"/>
                <w:color w:val="auto"/>
                <w:w w:val="99"/>
                <w:sz w:val="21"/>
                <w:szCs w:val="21"/>
                <w:highlight w:val="none"/>
              </w:rPr>
              <w:t>5</w:t>
            </w:r>
          </w:p>
        </w:tc>
        <w:tc>
          <w:tcPr>
            <w:tcW w:w="996" w:type="dxa"/>
            <w:vAlign w:val="top"/>
          </w:tcPr>
          <w:p w14:paraId="0EE2CFB0">
            <w:pPr>
              <w:pStyle w:val="63"/>
              <w:spacing w:before="160"/>
              <w:ind w:left="7"/>
              <w:rPr>
                <w:rFonts w:ascii="宋体" w:hAnsi="宋体" w:cs="宋体"/>
                <w:color w:val="auto"/>
                <w:sz w:val="21"/>
                <w:szCs w:val="21"/>
                <w:highlight w:val="none"/>
              </w:rPr>
            </w:pP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05</w:t>
            </w:r>
            <w:r>
              <w:rPr>
                <w:rFonts w:hint="eastAsia" w:ascii="宋体" w:hAnsi="宋体" w:cs="宋体"/>
                <w:color w:val="auto"/>
                <w:spacing w:val="1"/>
                <w:w w:val="99"/>
                <w:sz w:val="21"/>
                <w:szCs w:val="21"/>
                <w:highlight w:val="none"/>
              </w:rPr>
              <w:t>1</w:t>
            </w:r>
            <w:r>
              <w:rPr>
                <w:rFonts w:hint="eastAsia" w:ascii="宋体" w:hAnsi="宋体" w:cs="宋体"/>
                <w:color w:val="auto"/>
                <w:w w:val="99"/>
                <w:sz w:val="21"/>
                <w:szCs w:val="21"/>
                <w:highlight w:val="none"/>
              </w:rPr>
              <w:t>9泵</w:t>
            </w:r>
          </w:p>
        </w:tc>
        <w:tc>
          <w:tcPr>
            <w:tcW w:w="1800" w:type="dxa"/>
            <w:vAlign w:val="top"/>
          </w:tcPr>
          <w:p w14:paraId="7A2BF04F">
            <w:pPr>
              <w:pStyle w:val="63"/>
              <w:spacing w:before="160"/>
              <w:ind w:left="7"/>
              <w:rPr>
                <w:rFonts w:ascii="宋体" w:hAnsi="宋体" w:cs="宋体"/>
                <w:color w:val="auto"/>
                <w:sz w:val="21"/>
                <w:szCs w:val="21"/>
                <w:highlight w:val="none"/>
              </w:rPr>
            </w:pP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05</w:t>
            </w:r>
            <w:r>
              <w:rPr>
                <w:rFonts w:hint="eastAsia" w:ascii="宋体" w:hAnsi="宋体" w:cs="宋体"/>
                <w:color w:val="auto"/>
                <w:spacing w:val="1"/>
                <w:w w:val="99"/>
                <w:sz w:val="21"/>
                <w:szCs w:val="21"/>
                <w:highlight w:val="none"/>
              </w:rPr>
              <w:t>1</w:t>
            </w:r>
            <w:r>
              <w:rPr>
                <w:rFonts w:hint="eastAsia" w:ascii="宋体" w:hAnsi="宋体" w:cs="宋体"/>
                <w:color w:val="auto"/>
                <w:w w:val="99"/>
                <w:sz w:val="21"/>
                <w:szCs w:val="21"/>
                <w:highlight w:val="none"/>
              </w:rPr>
              <w:t>901离心泵</w:t>
            </w:r>
          </w:p>
        </w:tc>
        <w:tc>
          <w:tcPr>
            <w:tcW w:w="1916" w:type="dxa"/>
            <w:vAlign w:val="top"/>
          </w:tcPr>
          <w:p w14:paraId="6D1F4301">
            <w:pPr>
              <w:rPr>
                <w:rFonts w:ascii="宋体" w:hAnsi="宋体" w:cs="宋体"/>
                <w:color w:val="auto"/>
                <w:szCs w:val="21"/>
                <w:highlight w:val="none"/>
              </w:rPr>
            </w:pPr>
          </w:p>
        </w:tc>
        <w:tc>
          <w:tcPr>
            <w:tcW w:w="3325" w:type="dxa"/>
            <w:vAlign w:val="top"/>
          </w:tcPr>
          <w:p w14:paraId="14B98C2C">
            <w:pPr>
              <w:pStyle w:val="63"/>
              <w:spacing w:before="4" w:line="280" w:lineRule="auto"/>
              <w:ind w:left="7" w:right="4"/>
              <w:rPr>
                <w:rFonts w:ascii="宋体" w:hAnsi="宋体" w:cs="宋体"/>
                <w:color w:val="auto"/>
                <w:sz w:val="21"/>
                <w:szCs w:val="21"/>
                <w:highlight w:val="none"/>
                <w:lang w:eastAsia="zh-CN"/>
              </w:rPr>
            </w:pPr>
            <w:r>
              <w:rPr>
                <w:rFonts w:hint="eastAsia" w:ascii="宋体" w:hAnsi="宋体" w:cs="宋体"/>
                <w:color w:val="auto"/>
                <w:spacing w:val="12"/>
                <w:w w:val="99"/>
                <w:sz w:val="21"/>
                <w:szCs w:val="21"/>
                <w:highlight w:val="none"/>
                <w:lang w:eastAsia="zh-CN"/>
              </w:rPr>
              <w:t>《清水离心泵能效限定</w:t>
            </w:r>
            <w:r>
              <w:rPr>
                <w:rFonts w:hint="eastAsia" w:ascii="宋体" w:hAnsi="宋体" w:cs="宋体"/>
                <w:color w:val="auto"/>
                <w:spacing w:val="9"/>
                <w:w w:val="99"/>
                <w:sz w:val="21"/>
                <w:szCs w:val="21"/>
                <w:highlight w:val="none"/>
                <w:lang w:eastAsia="zh-CN"/>
              </w:rPr>
              <w:t>值</w:t>
            </w:r>
            <w:r>
              <w:rPr>
                <w:rFonts w:hint="eastAsia" w:ascii="宋体" w:hAnsi="宋体" w:cs="宋体"/>
                <w:color w:val="auto"/>
                <w:spacing w:val="12"/>
                <w:w w:val="99"/>
                <w:sz w:val="21"/>
                <w:szCs w:val="21"/>
                <w:highlight w:val="none"/>
                <w:lang w:eastAsia="zh-CN"/>
              </w:rPr>
              <w:t>及节</w:t>
            </w:r>
            <w:r>
              <w:rPr>
                <w:rFonts w:hint="eastAsia" w:ascii="宋体" w:hAnsi="宋体" w:cs="宋体"/>
                <w:color w:val="auto"/>
                <w:w w:val="99"/>
                <w:sz w:val="21"/>
                <w:szCs w:val="21"/>
                <w:highlight w:val="none"/>
                <w:lang w:eastAsia="zh-CN"/>
              </w:rPr>
              <w:t>能评价值</w:t>
            </w:r>
            <w:r>
              <w:rPr>
                <w:rFonts w:hint="eastAsia" w:ascii="宋体" w:hAnsi="宋体" w:cs="宋体"/>
                <w:color w:val="auto"/>
                <w:spacing w:val="2"/>
                <w:w w:val="99"/>
                <w:sz w:val="21"/>
                <w:szCs w:val="21"/>
                <w:highlight w:val="none"/>
                <w:lang w:eastAsia="zh-CN"/>
              </w:rPr>
              <w:t>》</w:t>
            </w: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19</w:t>
            </w:r>
            <w:r>
              <w:rPr>
                <w:rFonts w:hint="eastAsia" w:ascii="宋体" w:hAnsi="宋体" w:cs="宋体"/>
                <w:color w:val="auto"/>
                <w:w w:val="99"/>
                <w:sz w:val="21"/>
                <w:szCs w:val="21"/>
                <w:highlight w:val="none"/>
                <w:lang w:eastAsia="zh-CN"/>
              </w:rPr>
              <w:t>76</w:t>
            </w:r>
            <w:r>
              <w:rPr>
                <w:rFonts w:hint="eastAsia" w:ascii="宋体" w:hAnsi="宋体" w:cs="宋体"/>
                <w:color w:val="auto"/>
                <w:spacing w:val="1"/>
                <w:w w:val="99"/>
                <w:sz w:val="21"/>
                <w:szCs w:val="21"/>
                <w:highlight w:val="none"/>
                <w:lang w:eastAsia="zh-CN"/>
              </w:rPr>
              <w:t>2</w:t>
            </w:r>
            <w:r>
              <w:rPr>
                <w:rFonts w:hint="eastAsia" w:ascii="宋体" w:hAnsi="宋体" w:cs="宋体"/>
                <w:color w:val="auto"/>
                <w:w w:val="99"/>
                <w:sz w:val="21"/>
                <w:szCs w:val="21"/>
                <w:highlight w:val="none"/>
                <w:lang w:eastAsia="zh-CN"/>
              </w:rPr>
              <w:t>）</w:t>
            </w:r>
          </w:p>
        </w:tc>
      </w:tr>
      <w:tr w14:paraId="7857E8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22" w:hRule="exact"/>
        </w:trPr>
        <w:tc>
          <w:tcPr>
            <w:tcW w:w="744" w:type="dxa"/>
            <w:vMerge w:val="restart"/>
            <w:vAlign w:val="top"/>
          </w:tcPr>
          <w:p w14:paraId="66AA7F9B">
            <w:pPr>
              <w:pStyle w:val="63"/>
              <w:rPr>
                <w:rFonts w:ascii="宋体" w:hAnsi="宋体" w:cs="宋体"/>
                <w:color w:val="auto"/>
                <w:sz w:val="21"/>
                <w:szCs w:val="21"/>
                <w:highlight w:val="none"/>
                <w:lang w:eastAsia="zh-CN"/>
              </w:rPr>
            </w:pPr>
          </w:p>
          <w:p w14:paraId="198922A1">
            <w:pPr>
              <w:pStyle w:val="63"/>
              <w:rPr>
                <w:rFonts w:ascii="宋体" w:hAnsi="宋体" w:cs="宋体"/>
                <w:color w:val="auto"/>
                <w:sz w:val="21"/>
                <w:szCs w:val="21"/>
                <w:highlight w:val="none"/>
                <w:lang w:eastAsia="zh-CN"/>
              </w:rPr>
            </w:pPr>
          </w:p>
          <w:p w14:paraId="46DECFA6">
            <w:pPr>
              <w:pStyle w:val="63"/>
              <w:spacing w:before="7"/>
              <w:rPr>
                <w:rFonts w:ascii="宋体" w:hAnsi="宋体" w:cs="宋体"/>
                <w:color w:val="auto"/>
                <w:sz w:val="21"/>
                <w:szCs w:val="21"/>
                <w:highlight w:val="none"/>
                <w:lang w:eastAsia="zh-CN"/>
              </w:rPr>
            </w:pPr>
          </w:p>
          <w:p w14:paraId="46A40E4C">
            <w:pPr>
              <w:pStyle w:val="63"/>
              <w:ind w:right="1"/>
              <w:jc w:val="center"/>
              <w:rPr>
                <w:rFonts w:ascii="宋体" w:hAnsi="宋体" w:cs="宋体"/>
                <w:color w:val="auto"/>
                <w:sz w:val="21"/>
                <w:szCs w:val="21"/>
                <w:highlight w:val="none"/>
              </w:rPr>
            </w:pPr>
            <w:r>
              <w:rPr>
                <w:rFonts w:hint="eastAsia" w:ascii="宋体" w:hAnsi="宋体" w:cs="宋体"/>
                <w:color w:val="auto"/>
                <w:w w:val="99"/>
                <w:sz w:val="21"/>
                <w:szCs w:val="21"/>
                <w:highlight w:val="none"/>
              </w:rPr>
              <w:t>6</w:t>
            </w:r>
          </w:p>
        </w:tc>
        <w:tc>
          <w:tcPr>
            <w:tcW w:w="996" w:type="dxa"/>
            <w:vMerge w:val="restart"/>
            <w:vAlign w:val="top"/>
          </w:tcPr>
          <w:p w14:paraId="42B4A9B6">
            <w:pPr>
              <w:pStyle w:val="63"/>
              <w:rPr>
                <w:rFonts w:ascii="宋体" w:hAnsi="宋体" w:cs="宋体"/>
                <w:color w:val="auto"/>
                <w:sz w:val="21"/>
                <w:szCs w:val="21"/>
                <w:highlight w:val="none"/>
              </w:rPr>
            </w:pPr>
          </w:p>
          <w:p w14:paraId="744DE8AA">
            <w:pPr>
              <w:pStyle w:val="63"/>
              <w:rPr>
                <w:rFonts w:ascii="宋体" w:hAnsi="宋体" w:cs="宋体"/>
                <w:color w:val="auto"/>
                <w:sz w:val="21"/>
                <w:szCs w:val="21"/>
                <w:highlight w:val="none"/>
              </w:rPr>
            </w:pPr>
          </w:p>
          <w:p w14:paraId="2687AADE">
            <w:pPr>
              <w:pStyle w:val="63"/>
              <w:spacing w:before="8"/>
              <w:rPr>
                <w:rFonts w:ascii="宋体" w:hAnsi="宋体" w:cs="宋体"/>
                <w:color w:val="auto"/>
                <w:sz w:val="21"/>
                <w:szCs w:val="21"/>
                <w:highlight w:val="none"/>
              </w:rPr>
            </w:pPr>
          </w:p>
          <w:p w14:paraId="6EF702A5">
            <w:pPr>
              <w:pStyle w:val="63"/>
              <w:ind w:left="7"/>
              <w:rPr>
                <w:rFonts w:ascii="宋体" w:hAnsi="宋体" w:cs="宋体"/>
                <w:color w:val="auto"/>
                <w:sz w:val="21"/>
                <w:szCs w:val="21"/>
                <w:highlight w:val="none"/>
              </w:rPr>
            </w:pP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05</w:t>
            </w:r>
            <w:r>
              <w:rPr>
                <w:rFonts w:hint="eastAsia" w:ascii="宋体" w:hAnsi="宋体" w:cs="宋体"/>
                <w:color w:val="auto"/>
                <w:spacing w:val="1"/>
                <w:w w:val="99"/>
                <w:sz w:val="21"/>
                <w:szCs w:val="21"/>
                <w:highlight w:val="none"/>
              </w:rPr>
              <w:t>2</w:t>
            </w:r>
            <w:r>
              <w:rPr>
                <w:rFonts w:hint="eastAsia" w:ascii="宋体" w:hAnsi="宋体" w:cs="宋体"/>
                <w:color w:val="auto"/>
                <w:w w:val="99"/>
                <w:sz w:val="21"/>
                <w:szCs w:val="21"/>
                <w:highlight w:val="none"/>
              </w:rPr>
              <w:t>3制冷</w:t>
            </w:r>
          </w:p>
          <w:p w14:paraId="5CD20815">
            <w:pPr>
              <w:pStyle w:val="63"/>
              <w:spacing w:before="50"/>
              <w:ind w:left="7"/>
              <w:rPr>
                <w:rFonts w:ascii="宋体" w:hAnsi="宋体" w:cs="宋体"/>
                <w:color w:val="auto"/>
                <w:sz w:val="21"/>
                <w:szCs w:val="21"/>
                <w:highlight w:val="none"/>
              </w:rPr>
            </w:pPr>
            <w:r>
              <w:rPr>
                <w:rFonts w:hint="eastAsia" w:ascii="宋体" w:hAnsi="宋体" w:cs="宋体"/>
                <w:color w:val="auto"/>
                <w:w w:val="99"/>
                <w:sz w:val="21"/>
                <w:szCs w:val="21"/>
                <w:highlight w:val="none"/>
              </w:rPr>
              <w:t>空调设备</w:t>
            </w:r>
          </w:p>
        </w:tc>
        <w:tc>
          <w:tcPr>
            <w:tcW w:w="1800" w:type="dxa"/>
            <w:vMerge w:val="restart"/>
            <w:vAlign w:val="top"/>
          </w:tcPr>
          <w:p w14:paraId="621B9B8C">
            <w:pPr>
              <w:pStyle w:val="63"/>
              <w:rPr>
                <w:rFonts w:ascii="宋体" w:hAnsi="宋体" w:cs="宋体"/>
                <w:color w:val="auto"/>
                <w:sz w:val="21"/>
                <w:szCs w:val="21"/>
                <w:highlight w:val="none"/>
              </w:rPr>
            </w:pPr>
          </w:p>
          <w:p w14:paraId="07FA318D">
            <w:pPr>
              <w:pStyle w:val="63"/>
              <w:rPr>
                <w:rFonts w:ascii="宋体" w:hAnsi="宋体" w:cs="宋体"/>
                <w:color w:val="auto"/>
                <w:sz w:val="21"/>
                <w:szCs w:val="21"/>
                <w:highlight w:val="none"/>
              </w:rPr>
            </w:pPr>
          </w:p>
          <w:p w14:paraId="2E2E7563">
            <w:pPr>
              <w:pStyle w:val="63"/>
              <w:spacing w:before="8"/>
              <w:rPr>
                <w:rFonts w:ascii="宋体" w:hAnsi="宋体" w:cs="宋体"/>
                <w:color w:val="auto"/>
                <w:sz w:val="21"/>
                <w:szCs w:val="21"/>
                <w:highlight w:val="none"/>
              </w:rPr>
            </w:pPr>
          </w:p>
          <w:p w14:paraId="3ED10EFD">
            <w:pPr>
              <w:pStyle w:val="63"/>
              <w:spacing w:line="280" w:lineRule="auto"/>
              <w:ind w:left="7" w:right="5"/>
              <w:rPr>
                <w:rFonts w:ascii="宋体" w:hAnsi="宋体" w:cs="宋体"/>
                <w:color w:val="auto"/>
                <w:sz w:val="21"/>
                <w:szCs w:val="21"/>
                <w:highlight w:val="none"/>
              </w:rPr>
            </w:pPr>
            <w:r>
              <w:rPr>
                <w:rFonts w:hint="eastAsia" w:ascii="宋体" w:hAnsi="宋体" w:cs="宋体"/>
                <w:color w:val="auto"/>
                <w:w w:val="99"/>
                <w:sz w:val="21"/>
                <w:szCs w:val="21"/>
                <w:highlight w:val="none"/>
              </w:rPr>
              <w:t>★</w:t>
            </w:r>
            <w:r>
              <w:rPr>
                <w:rFonts w:hint="eastAsia" w:ascii="宋体" w:hAnsi="宋体" w:cs="宋体"/>
                <w:color w:val="auto"/>
                <w:spacing w:val="1"/>
                <w:w w:val="99"/>
                <w:sz w:val="21"/>
                <w:szCs w:val="21"/>
                <w:highlight w:val="none"/>
              </w:rPr>
              <w:t>A020</w:t>
            </w:r>
            <w:r>
              <w:rPr>
                <w:rFonts w:hint="eastAsia" w:ascii="宋体" w:hAnsi="宋体" w:cs="宋体"/>
                <w:color w:val="auto"/>
                <w:w w:val="99"/>
                <w:sz w:val="21"/>
                <w:szCs w:val="21"/>
                <w:highlight w:val="none"/>
              </w:rPr>
              <w:t>52</w:t>
            </w:r>
            <w:r>
              <w:rPr>
                <w:rFonts w:hint="eastAsia" w:ascii="宋体" w:hAnsi="宋体" w:cs="宋体"/>
                <w:color w:val="auto"/>
                <w:spacing w:val="1"/>
                <w:w w:val="99"/>
                <w:sz w:val="21"/>
                <w:szCs w:val="21"/>
                <w:highlight w:val="none"/>
              </w:rPr>
              <w:t>3</w:t>
            </w:r>
            <w:r>
              <w:rPr>
                <w:rFonts w:hint="eastAsia" w:ascii="宋体" w:hAnsi="宋体" w:cs="宋体"/>
                <w:color w:val="auto"/>
                <w:w w:val="99"/>
                <w:sz w:val="21"/>
                <w:szCs w:val="21"/>
                <w:highlight w:val="none"/>
              </w:rPr>
              <w:t>01制冷压缩机</w:t>
            </w:r>
          </w:p>
        </w:tc>
        <w:tc>
          <w:tcPr>
            <w:tcW w:w="1916" w:type="dxa"/>
            <w:vAlign w:val="top"/>
          </w:tcPr>
          <w:p w14:paraId="5EF73326">
            <w:pPr>
              <w:pStyle w:val="63"/>
              <w:rPr>
                <w:rFonts w:ascii="宋体" w:hAnsi="宋体" w:cs="宋体"/>
                <w:color w:val="auto"/>
                <w:sz w:val="21"/>
                <w:szCs w:val="21"/>
                <w:highlight w:val="none"/>
              </w:rPr>
            </w:pPr>
          </w:p>
          <w:p w14:paraId="610CAA20">
            <w:pPr>
              <w:pStyle w:val="63"/>
              <w:spacing w:before="1"/>
              <w:rPr>
                <w:rFonts w:ascii="宋体" w:hAnsi="宋体" w:cs="宋体"/>
                <w:color w:val="auto"/>
                <w:sz w:val="21"/>
                <w:szCs w:val="21"/>
                <w:highlight w:val="none"/>
              </w:rPr>
            </w:pPr>
          </w:p>
          <w:p w14:paraId="1F3A9F22">
            <w:pPr>
              <w:pStyle w:val="63"/>
              <w:ind w:left="7"/>
              <w:rPr>
                <w:rFonts w:ascii="宋体" w:hAnsi="宋体" w:cs="宋体"/>
                <w:color w:val="auto"/>
                <w:sz w:val="21"/>
                <w:szCs w:val="21"/>
                <w:highlight w:val="none"/>
              </w:rPr>
            </w:pPr>
            <w:r>
              <w:rPr>
                <w:rFonts w:hint="eastAsia" w:ascii="宋体" w:hAnsi="宋体" w:cs="宋体"/>
                <w:color w:val="auto"/>
                <w:w w:val="99"/>
                <w:sz w:val="21"/>
                <w:szCs w:val="21"/>
                <w:highlight w:val="none"/>
              </w:rPr>
              <w:t>冷水机组</w:t>
            </w:r>
          </w:p>
        </w:tc>
        <w:tc>
          <w:tcPr>
            <w:tcW w:w="3325" w:type="dxa"/>
            <w:vAlign w:val="top"/>
          </w:tcPr>
          <w:p w14:paraId="33E71FA6">
            <w:pPr>
              <w:pStyle w:val="63"/>
              <w:spacing w:before="30" w:line="280" w:lineRule="auto"/>
              <w:ind w:left="7" w:right="4"/>
              <w:jc w:val="both"/>
              <w:rPr>
                <w:rFonts w:ascii="宋体" w:hAnsi="宋体" w:cs="宋体"/>
                <w:color w:val="auto"/>
                <w:sz w:val="21"/>
                <w:szCs w:val="21"/>
                <w:highlight w:val="none"/>
                <w:lang w:eastAsia="zh-CN"/>
              </w:rPr>
            </w:pPr>
            <w:r>
              <w:rPr>
                <w:rFonts w:hint="eastAsia" w:ascii="宋体" w:hAnsi="宋体" w:cs="宋体"/>
                <w:color w:val="auto"/>
                <w:spacing w:val="12"/>
                <w:w w:val="99"/>
                <w:sz w:val="21"/>
                <w:szCs w:val="21"/>
                <w:highlight w:val="none"/>
                <w:lang w:eastAsia="zh-CN"/>
              </w:rPr>
              <w:t>《冷水机组能效限定值</w:t>
            </w:r>
            <w:r>
              <w:rPr>
                <w:rFonts w:hint="eastAsia" w:ascii="宋体" w:hAnsi="宋体" w:cs="宋体"/>
                <w:color w:val="auto"/>
                <w:spacing w:val="9"/>
                <w:w w:val="99"/>
                <w:sz w:val="21"/>
                <w:szCs w:val="21"/>
                <w:highlight w:val="none"/>
                <w:lang w:eastAsia="zh-CN"/>
              </w:rPr>
              <w:t>及</w:t>
            </w:r>
            <w:r>
              <w:rPr>
                <w:rFonts w:hint="eastAsia" w:ascii="宋体" w:hAnsi="宋体" w:cs="宋体"/>
                <w:color w:val="auto"/>
                <w:spacing w:val="12"/>
                <w:w w:val="99"/>
                <w:sz w:val="21"/>
                <w:szCs w:val="21"/>
                <w:highlight w:val="none"/>
                <w:lang w:eastAsia="zh-CN"/>
              </w:rPr>
              <w:t>能效</w:t>
            </w:r>
            <w:r>
              <w:rPr>
                <w:rFonts w:hint="eastAsia" w:ascii="宋体" w:hAnsi="宋体" w:cs="宋体"/>
                <w:color w:val="auto"/>
                <w:w w:val="99"/>
                <w:sz w:val="21"/>
                <w:szCs w:val="21"/>
                <w:highlight w:val="none"/>
                <w:lang w:eastAsia="zh-CN"/>
              </w:rPr>
              <w:t>等级</w:t>
            </w:r>
            <w:r>
              <w:rPr>
                <w:rFonts w:hint="eastAsia" w:ascii="宋体" w:hAnsi="宋体" w:cs="宋体"/>
                <w:color w:val="auto"/>
                <w:spacing w:val="-3"/>
                <w:w w:val="99"/>
                <w:sz w:val="21"/>
                <w:szCs w:val="21"/>
                <w:highlight w:val="none"/>
                <w:lang w:eastAsia="zh-CN"/>
              </w:rPr>
              <w:t>》</w:t>
            </w: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195</w:t>
            </w:r>
            <w:r>
              <w:rPr>
                <w:rFonts w:hint="eastAsia" w:ascii="宋体" w:hAnsi="宋体" w:cs="宋体"/>
                <w:color w:val="auto"/>
                <w:w w:val="99"/>
                <w:sz w:val="21"/>
                <w:szCs w:val="21"/>
                <w:highlight w:val="none"/>
                <w:lang w:eastAsia="zh-CN"/>
              </w:rPr>
              <w:t>77</w:t>
            </w:r>
            <w:r>
              <w:rPr>
                <w:rFonts w:hint="eastAsia" w:ascii="宋体" w:hAnsi="宋体" w:cs="宋体"/>
                <w:color w:val="auto"/>
                <w:spacing w:val="-3"/>
                <w:w w:val="99"/>
                <w:sz w:val="21"/>
                <w:szCs w:val="21"/>
                <w:highlight w:val="none"/>
                <w:lang w:eastAsia="zh-CN"/>
              </w:rPr>
              <w:t>），</w:t>
            </w:r>
            <w:r>
              <w:rPr>
                <w:rFonts w:hint="eastAsia" w:ascii="宋体" w:hAnsi="宋体" w:cs="宋体"/>
                <w:color w:val="auto"/>
                <w:w w:val="99"/>
                <w:sz w:val="21"/>
                <w:szCs w:val="21"/>
                <w:highlight w:val="none"/>
                <w:lang w:eastAsia="zh-CN"/>
              </w:rPr>
              <w:t>《低</w:t>
            </w:r>
            <w:r>
              <w:rPr>
                <w:rFonts w:hint="eastAsia" w:ascii="宋体" w:hAnsi="宋体" w:cs="宋体"/>
                <w:color w:val="auto"/>
                <w:spacing w:val="2"/>
                <w:w w:val="99"/>
                <w:sz w:val="21"/>
                <w:szCs w:val="21"/>
                <w:highlight w:val="none"/>
                <w:lang w:eastAsia="zh-CN"/>
              </w:rPr>
              <w:t>环</w:t>
            </w:r>
            <w:r>
              <w:rPr>
                <w:rFonts w:hint="eastAsia" w:ascii="宋体" w:hAnsi="宋体" w:cs="宋体"/>
                <w:color w:val="auto"/>
                <w:w w:val="99"/>
                <w:sz w:val="21"/>
                <w:szCs w:val="21"/>
                <w:highlight w:val="none"/>
                <w:lang w:eastAsia="zh-CN"/>
              </w:rPr>
              <w:t>境温度空气源</w:t>
            </w:r>
            <w:r>
              <w:rPr>
                <w:rFonts w:hint="eastAsia" w:ascii="宋体" w:hAnsi="宋体" w:cs="宋体"/>
                <w:color w:val="auto"/>
                <w:spacing w:val="2"/>
                <w:w w:val="99"/>
                <w:sz w:val="21"/>
                <w:szCs w:val="21"/>
                <w:highlight w:val="none"/>
                <w:lang w:eastAsia="zh-CN"/>
              </w:rPr>
              <w:t>热</w:t>
            </w:r>
            <w:r>
              <w:rPr>
                <w:rFonts w:hint="eastAsia" w:ascii="宋体" w:hAnsi="宋体" w:cs="宋体"/>
                <w:color w:val="auto"/>
                <w:spacing w:val="-29"/>
                <w:w w:val="99"/>
                <w:sz w:val="21"/>
                <w:szCs w:val="21"/>
                <w:highlight w:val="none"/>
                <w:lang w:eastAsia="zh-CN"/>
              </w:rPr>
              <w:t>泵</w:t>
            </w:r>
            <w:r>
              <w:rPr>
                <w:rFonts w:hint="eastAsia" w:ascii="宋体" w:hAnsi="宋体" w:cs="宋体"/>
                <w:color w:val="auto"/>
                <w:spacing w:val="2"/>
                <w:w w:val="99"/>
                <w:sz w:val="21"/>
                <w:szCs w:val="21"/>
                <w:highlight w:val="none"/>
                <w:lang w:eastAsia="zh-CN"/>
              </w:rPr>
              <w:t>（</w:t>
            </w:r>
            <w:r>
              <w:rPr>
                <w:rFonts w:hint="eastAsia" w:ascii="宋体" w:hAnsi="宋体" w:cs="宋体"/>
                <w:color w:val="auto"/>
                <w:w w:val="99"/>
                <w:sz w:val="21"/>
                <w:szCs w:val="21"/>
                <w:highlight w:val="none"/>
                <w:lang w:eastAsia="zh-CN"/>
              </w:rPr>
              <w:t>冷水</w:t>
            </w:r>
            <w:r>
              <w:rPr>
                <w:rFonts w:hint="eastAsia" w:ascii="宋体" w:hAnsi="宋体" w:cs="宋体"/>
                <w:color w:val="auto"/>
                <w:spacing w:val="-27"/>
                <w:w w:val="99"/>
                <w:sz w:val="21"/>
                <w:szCs w:val="21"/>
                <w:highlight w:val="none"/>
                <w:lang w:eastAsia="zh-CN"/>
              </w:rPr>
              <w:t>）</w:t>
            </w:r>
            <w:r>
              <w:rPr>
                <w:rFonts w:hint="eastAsia" w:ascii="宋体" w:hAnsi="宋体" w:cs="宋体"/>
                <w:color w:val="auto"/>
                <w:w w:val="99"/>
                <w:sz w:val="21"/>
                <w:szCs w:val="21"/>
                <w:highlight w:val="none"/>
                <w:lang w:eastAsia="zh-CN"/>
              </w:rPr>
              <w:t>机组</w:t>
            </w:r>
            <w:r>
              <w:rPr>
                <w:rFonts w:hint="eastAsia" w:ascii="宋体" w:hAnsi="宋体" w:cs="宋体"/>
                <w:color w:val="auto"/>
                <w:spacing w:val="2"/>
                <w:w w:val="99"/>
                <w:sz w:val="21"/>
                <w:szCs w:val="21"/>
                <w:highlight w:val="none"/>
                <w:lang w:eastAsia="zh-CN"/>
              </w:rPr>
              <w:t>能</w:t>
            </w:r>
            <w:r>
              <w:rPr>
                <w:rFonts w:hint="eastAsia" w:ascii="宋体" w:hAnsi="宋体" w:cs="宋体"/>
                <w:color w:val="auto"/>
                <w:w w:val="99"/>
                <w:sz w:val="21"/>
                <w:szCs w:val="21"/>
                <w:highlight w:val="none"/>
                <w:lang w:eastAsia="zh-CN"/>
              </w:rPr>
              <w:t>效限定值及能</w:t>
            </w:r>
            <w:r>
              <w:rPr>
                <w:rFonts w:hint="eastAsia" w:ascii="宋体" w:hAnsi="宋体" w:cs="宋体"/>
                <w:color w:val="auto"/>
                <w:spacing w:val="2"/>
                <w:w w:val="99"/>
                <w:sz w:val="21"/>
                <w:szCs w:val="21"/>
                <w:highlight w:val="none"/>
                <w:lang w:eastAsia="zh-CN"/>
              </w:rPr>
              <w:t>效</w:t>
            </w:r>
            <w:r>
              <w:rPr>
                <w:rFonts w:hint="eastAsia" w:ascii="宋体" w:hAnsi="宋体" w:cs="宋体"/>
                <w:color w:val="auto"/>
                <w:w w:val="99"/>
                <w:sz w:val="21"/>
                <w:szCs w:val="21"/>
                <w:highlight w:val="none"/>
                <w:lang w:eastAsia="zh-CN"/>
              </w:rPr>
              <w:t>等级</w:t>
            </w:r>
            <w:r>
              <w:rPr>
                <w:rFonts w:hint="eastAsia" w:ascii="宋体" w:hAnsi="宋体" w:cs="宋体"/>
                <w:color w:val="auto"/>
                <w:spacing w:val="2"/>
                <w:w w:val="99"/>
                <w:sz w:val="21"/>
                <w:szCs w:val="21"/>
                <w:highlight w:val="none"/>
                <w:lang w:eastAsia="zh-CN"/>
              </w:rPr>
              <w:t>》</w:t>
            </w: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37</w:t>
            </w:r>
            <w:r>
              <w:rPr>
                <w:rFonts w:hint="eastAsia" w:ascii="宋体" w:hAnsi="宋体" w:cs="宋体"/>
                <w:color w:val="auto"/>
                <w:w w:val="99"/>
                <w:sz w:val="21"/>
                <w:szCs w:val="21"/>
                <w:highlight w:val="none"/>
                <w:lang w:eastAsia="zh-CN"/>
              </w:rPr>
              <w:t>48</w:t>
            </w:r>
            <w:r>
              <w:rPr>
                <w:rFonts w:hint="eastAsia" w:ascii="宋体" w:hAnsi="宋体" w:cs="宋体"/>
                <w:color w:val="auto"/>
                <w:spacing w:val="-2"/>
                <w:w w:val="99"/>
                <w:sz w:val="21"/>
                <w:szCs w:val="21"/>
                <w:highlight w:val="none"/>
                <w:lang w:eastAsia="zh-CN"/>
              </w:rPr>
              <w:t>0</w:t>
            </w:r>
            <w:r>
              <w:rPr>
                <w:rFonts w:hint="eastAsia" w:ascii="宋体" w:hAnsi="宋体" w:cs="宋体"/>
                <w:color w:val="auto"/>
                <w:w w:val="99"/>
                <w:sz w:val="21"/>
                <w:szCs w:val="21"/>
                <w:highlight w:val="none"/>
                <w:lang w:eastAsia="zh-CN"/>
              </w:rPr>
              <w:t>）</w:t>
            </w:r>
          </w:p>
        </w:tc>
      </w:tr>
      <w:tr w14:paraId="09119F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4" w:hRule="exact"/>
        </w:trPr>
        <w:tc>
          <w:tcPr>
            <w:tcW w:w="744" w:type="dxa"/>
            <w:vMerge w:val="continue"/>
            <w:vAlign w:val="center"/>
          </w:tcPr>
          <w:p w14:paraId="3CD6D710">
            <w:pPr>
              <w:widowControl/>
              <w:jc w:val="left"/>
              <w:rPr>
                <w:rFonts w:ascii="宋体" w:hAnsi="宋体" w:cs="宋体"/>
                <w:color w:val="auto"/>
                <w:kern w:val="0"/>
                <w:szCs w:val="21"/>
                <w:highlight w:val="none"/>
              </w:rPr>
            </w:pPr>
          </w:p>
        </w:tc>
        <w:tc>
          <w:tcPr>
            <w:tcW w:w="996" w:type="dxa"/>
            <w:vMerge w:val="continue"/>
            <w:vAlign w:val="center"/>
          </w:tcPr>
          <w:p w14:paraId="0161FCDA">
            <w:pPr>
              <w:widowControl/>
              <w:jc w:val="left"/>
              <w:rPr>
                <w:rFonts w:ascii="宋体" w:hAnsi="宋体" w:cs="宋体"/>
                <w:color w:val="auto"/>
                <w:kern w:val="0"/>
                <w:szCs w:val="21"/>
                <w:highlight w:val="none"/>
              </w:rPr>
            </w:pPr>
          </w:p>
        </w:tc>
        <w:tc>
          <w:tcPr>
            <w:tcW w:w="1800" w:type="dxa"/>
            <w:vMerge w:val="continue"/>
            <w:vAlign w:val="center"/>
          </w:tcPr>
          <w:p w14:paraId="2CA4E541">
            <w:pPr>
              <w:widowControl/>
              <w:jc w:val="left"/>
              <w:rPr>
                <w:rFonts w:ascii="宋体" w:hAnsi="宋体" w:cs="宋体"/>
                <w:color w:val="auto"/>
                <w:kern w:val="0"/>
                <w:szCs w:val="21"/>
                <w:highlight w:val="none"/>
              </w:rPr>
            </w:pPr>
          </w:p>
        </w:tc>
        <w:tc>
          <w:tcPr>
            <w:tcW w:w="1916" w:type="dxa"/>
            <w:vAlign w:val="top"/>
          </w:tcPr>
          <w:p w14:paraId="61FAA823">
            <w:pPr>
              <w:pStyle w:val="63"/>
              <w:spacing w:before="12"/>
              <w:rPr>
                <w:rFonts w:ascii="宋体" w:hAnsi="宋体" w:cs="宋体"/>
                <w:color w:val="auto"/>
                <w:sz w:val="21"/>
                <w:szCs w:val="21"/>
                <w:highlight w:val="none"/>
                <w:lang w:eastAsia="zh-CN"/>
              </w:rPr>
            </w:pPr>
          </w:p>
          <w:p w14:paraId="690D1B0B">
            <w:pPr>
              <w:pStyle w:val="63"/>
              <w:ind w:left="7"/>
              <w:rPr>
                <w:rFonts w:ascii="宋体" w:hAnsi="宋体" w:cs="宋体"/>
                <w:color w:val="auto"/>
                <w:sz w:val="21"/>
                <w:szCs w:val="21"/>
                <w:highlight w:val="none"/>
              </w:rPr>
            </w:pPr>
            <w:r>
              <w:rPr>
                <w:rFonts w:hint="eastAsia" w:ascii="宋体" w:hAnsi="宋体" w:cs="宋体"/>
                <w:color w:val="auto"/>
                <w:w w:val="99"/>
                <w:sz w:val="21"/>
                <w:szCs w:val="21"/>
                <w:highlight w:val="none"/>
              </w:rPr>
              <w:t>水源热</w:t>
            </w:r>
            <w:r>
              <w:rPr>
                <w:rFonts w:hint="eastAsia" w:ascii="宋体" w:hAnsi="宋体" w:cs="宋体"/>
                <w:color w:val="auto"/>
                <w:spacing w:val="2"/>
                <w:w w:val="99"/>
                <w:sz w:val="21"/>
                <w:szCs w:val="21"/>
                <w:highlight w:val="none"/>
              </w:rPr>
              <w:t>泵</w:t>
            </w:r>
            <w:r>
              <w:rPr>
                <w:rFonts w:hint="eastAsia" w:ascii="宋体" w:hAnsi="宋体" w:cs="宋体"/>
                <w:color w:val="auto"/>
                <w:w w:val="99"/>
                <w:sz w:val="21"/>
                <w:szCs w:val="21"/>
                <w:highlight w:val="none"/>
              </w:rPr>
              <w:t>机组</w:t>
            </w:r>
          </w:p>
        </w:tc>
        <w:tc>
          <w:tcPr>
            <w:tcW w:w="3325" w:type="dxa"/>
            <w:vAlign w:val="top"/>
          </w:tcPr>
          <w:p w14:paraId="4E0475C9">
            <w:pPr>
              <w:pStyle w:val="63"/>
              <w:spacing w:before="52" w:line="280" w:lineRule="auto"/>
              <w:ind w:left="7" w:right="7"/>
              <w:rPr>
                <w:rFonts w:ascii="宋体" w:hAnsi="宋体" w:cs="宋体"/>
                <w:color w:val="auto"/>
                <w:sz w:val="21"/>
                <w:szCs w:val="21"/>
                <w:highlight w:val="none"/>
                <w:lang w:eastAsia="zh-CN"/>
              </w:rPr>
            </w:pPr>
            <w:r>
              <w:rPr>
                <w:rFonts w:hint="eastAsia" w:ascii="宋体" w:hAnsi="宋体" w:cs="宋体"/>
                <w:color w:val="auto"/>
                <w:w w:val="99"/>
                <w:sz w:val="21"/>
                <w:szCs w:val="21"/>
                <w:highlight w:val="none"/>
                <w:lang w:eastAsia="zh-CN"/>
              </w:rPr>
              <w:t>《</w:t>
            </w:r>
            <w:r>
              <w:rPr>
                <w:rFonts w:hint="eastAsia" w:ascii="宋体" w:hAnsi="宋体" w:cs="宋体"/>
                <w:color w:val="auto"/>
                <w:spacing w:val="-29"/>
                <w:w w:val="99"/>
                <w:sz w:val="21"/>
                <w:szCs w:val="21"/>
                <w:highlight w:val="none"/>
                <w:lang w:eastAsia="zh-CN"/>
              </w:rPr>
              <w:t>水</w:t>
            </w:r>
            <w:r>
              <w:rPr>
                <w:rFonts w:hint="eastAsia" w:ascii="宋体" w:hAnsi="宋体" w:cs="宋体"/>
                <w:color w:val="auto"/>
                <w:w w:val="99"/>
                <w:sz w:val="21"/>
                <w:szCs w:val="21"/>
                <w:highlight w:val="none"/>
                <w:lang w:eastAsia="zh-CN"/>
              </w:rPr>
              <w:t>（</w:t>
            </w:r>
            <w:r>
              <w:rPr>
                <w:rFonts w:hint="eastAsia" w:ascii="宋体" w:hAnsi="宋体" w:cs="宋体"/>
                <w:color w:val="auto"/>
                <w:spacing w:val="2"/>
                <w:w w:val="99"/>
                <w:sz w:val="21"/>
                <w:szCs w:val="21"/>
                <w:highlight w:val="none"/>
                <w:lang w:eastAsia="zh-CN"/>
              </w:rPr>
              <w:t>地</w:t>
            </w:r>
            <w:r>
              <w:rPr>
                <w:rFonts w:hint="eastAsia" w:ascii="宋体" w:hAnsi="宋体" w:cs="宋体"/>
                <w:color w:val="auto"/>
                <w:spacing w:val="-29"/>
                <w:w w:val="99"/>
                <w:sz w:val="21"/>
                <w:szCs w:val="21"/>
                <w:highlight w:val="none"/>
                <w:lang w:eastAsia="zh-CN"/>
              </w:rPr>
              <w:t>）</w:t>
            </w:r>
            <w:r>
              <w:rPr>
                <w:rFonts w:hint="eastAsia" w:ascii="宋体" w:hAnsi="宋体" w:cs="宋体"/>
                <w:color w:val="auto"/>
                <w:spacing w:val="2"/>
                <w:w w:val="99"/>
                <w:sz w:val="21"/>
                <w:szCs w:val="21"/>
                <w:highlight w:val="none"/>
                <w:lang w:eastAsia="zh-CN"/>
              </w:rPr>
              <w:t>源</w:t>
            </w:r>
            <w:r>
              <w:rPr>
                <w:rFonts w:hint="eastAsia" w:ascii="宋体" w:hAnsi="宋体" w:cs="宋体"/>
                <w:color w:val="auto"/>
                <w:w w:val="99"/>
                <w:sz w:val="21"/>
                <w:szCs w:val="21"/>
                <w:highlight w:val="none"/>
                <w:lang w:eastAsia="zh-CN"/>
              </w:rPr>
              <w:t>热泵</w:t>
            </w:r>
            <w:r>
              <w:rPr>
                <w:rFonts w:hint="eastAsia" w:ascii="宋体" w:hAnsi="宋体" w:cs="宋体"/>
                <w:color w:val="auto"/>
                <w:spacing w:val="2"/>
                <w:w w:val="99"/>
                <w:sz w:val="21"/>
                <w:szCs w:val="21"/>
                <w:highlight w:val="none"/>
                <w:lang w:eastAsia="zh-CN"/>
              </w:rPr>
              <w:t>机</w:t>
            </w:r>
            <w:r>
              <w:rPr>
                <w:rFonts w:hint="eastAsia" w:ascii="宋体" w:hAnsi="宋体" w:cs="宋体"/>
                <w:color w:val="auto"/>
                <w:w w:val="99"/>
                <w:sz w:val="21"/>
                <w:szCs w:val="21"/>
                <w:highlight w:val="none"/>
                <w:lang w:eastAsia="zh-CN"/>
              </w:rPr>
              <w:t>组能</w:t>
            </w:r>
            <w:r>
              <w:rPr>
                <w:rFonts w:hint="eastAsia" w:ascii="宋体" w:hAnsi="宋体" w:cs="宋体"/>
                <w:color w:val="auto"/>
                <w:spacing w:val="2"/>
                <w:w w:val="99"/>
                <w:sz w:val="21"/>
                <w:szCs w:val="21"/>
                <w:highlight w:val="none"/>
                <w:lang w:eastAsia="zh-CN"/>
              </w:rPr>
              <w:t>效</w:t>
            </w:r>
            <w:r>
              <w:rPr>
                <w:rFonts w:hint="eastAsia" w:ascii="宋体" w:hAnsi="宋体" w:cs="宋体"/>
                <w:color w:val="auto"/>
                <w:w w:val="99"/>
                <w:sz w:val="21"/>
                <w:szCs w:val="21"/>
                <w:highlight w:val="none"/>
                <w:lang w:eastAsia="zh-CN"/>
              </w:rPr>
              <w:t>限定值及能效</w:t>
            </w:r>
            <w:r>
              <w:rPr>
                <w:rFonts w:hint="eastAsia" w:ascii="宋体" w:hAnsi="宋体" w:cs="宋体"/>
                <w:color w:val="auto"/>
                <w:spacing w:val="2"/>
                <w:w w:val="99"/>
                <w:sz w:val="21"/>
                <w:szCs w:val="21"/>
                <w:highlight w:val="none"/>
                <w:lang w:eastAsia="zh-CN"/>
              </w:rPr>
              <w:t>等</w:t>
            </w:r>
            <w:r>
              <w:rPr>
                <w:rFonts w:hint="eastAsia" w:ascii="宋体" w:hAnsi="宋体" w:cs="宋体"/>
                <w:color w:val="auto"/>
                <w:w w:val="99"/>
                <w:sz w:val="21"/>
                <w:szCs w:val="21"/>
                <w:highlight w:val="none"/>
                <w:lang w:eastAsia="zh-CN"/>
              </w:rPr>
              <w:t>级》（</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30721</w:t>
            </w:r>
            <w:r>
              <w:rPr>
                <w:rFonts w:hint="eastAsia" w:ascii="宋体" w:hAnsi="宋体" w:cs="宋体"/>
                <w:color w:val="auto"/>
                <w:w w:val="99"/>
                <w:sz w:val="21"/>
                <w:szCs w:val="21"/>
                <w:highlight w:val="none"/>
                <w:lang w:eastAsia="zh-CN"/>
              </w:rPr>
              <w:t>）</w:t>
            </w:r>
          </w:p>
        </w:tc>
      </w:tr>
    </w:tbl>
    <w:p w14:paraId="372AB94C">
      <w:pPr>
        <w:spacing w:line="360" w:lineRule="auto"/>
        <w:rPr>
          <w:rFonts w:ascii="宋体" w:hAnsi="宋体" w:cs="宋体"/>
          <w:color w:val="auto"/>
          <w:sz w:val="20"/>
          <w:szCs w:val="20"/>
          <w:highlight w:val="none"/>
        </w:rPr>
      </w:pPr>
    </w:p>
    <w:tbl>
      <w:tblPr>
        <w:tblStyle w:val="32"/>
        <w:tblW w:w="0" w:type="auto"/>
        <w:tblInd w:w="-5" w:type="dxa"/>
        <w:tblLayout w:type="fixed"/>
        <w:tblCellMar>
          <w:top w:w="0" w:type="dxa"/>
          <w:left w:w="0" w:type="dxa"/>
          <w:bottom w:w="0" w:type="dxa"/>
          <w:right w:w="0" w:type="dxa"/>
        </w:tblCellMar>
      </w:tblPr>
      <w:tblGrid>
        <w:gridCol w:w="574"/>
        <w:gridCol w:w="1166"/>
        <w:gridCol w:w="1800"/>
        <w:gridCol w:w="1915"/>
        <w:gridCol w:w="3971"/>
      </w:tblGrid>
      <w:tr w14:paraId="72B255E3">
        <w:tblPrEx>
          <w:tblCellMar>
            <w:top w:w="0" w:type="dxa"/>
            <w:left w:w="0" w:type="dxa"/>
            <w:bottom w:w="0" w:type="dxa"/>
            <w:right w:w="0" w:type="dxa"/>
          </w:tblCellMar>
        </w:tblPrEx>
        <w:trPr>
          <w:trHeight w:val="416" w:hRule="exact"/>
        </w:trPr>
        <w:tc>
          <w:tcPr>
            <w:tcW w:w="574" w:type="dxa"/>
            <w:vMerge w:val="restart"/>
            <w:tcBorders>
              <w:top w:val="single" w:color="000000" w:sz="4" w:space="0"/>
              <w:left w:val="single" w:color="000000" w:sz="4" w:space="0"/>
              <w:bottom w:val="single" w:color="000000" w:sz="4" w:space="0"/>
              <w:right w:val="single" w:color="000000" w:sz="4" w:space="0"/>
            </w:tcBorders>
            <w:vAlign w:val="top"/>
          </w:tcPr>
          <w:p w14:paraId="36CCCFF0">
            <w:pPr>
              <w:rPr>
                <w:rFonts w:ascii="Calibri" w:hAnsi="Calibri"/>
                <w:color w:val="auto"/>
                <w:sz w:val="22"/>
                <w:szCs w:val="22"/>
                <w:highlight w:val="none"/>
              </w:rPr>
            </w:pPr>
          </w:p>
        </w:tc>
        <w:tc>
          <w:tcPr>
            <w:tcW w:w="1166" w:type="dxa"/>
            <w:vMerge w:val="restart"/>
            <w:tcBorders>
              <w:top w:val="single" w:color="000000" w:sz="4" w:space="0"/>
              <w:left w:val="single" w:color="000000" w:sz="4" w:space="0"/>
              <w:bottom w:val="single" w:color="000000" w:sz="4" w:space="0"/>
              <w:right w:val="single" w:color="000000" w:sz="4" w:space="0"/>
            </w:tcBorders>
            <w:vAlign w:val="top"/>
          </w:tcPr>
          <w:p w14:paraId="0B158CD0">
            <w:pPr>
              <w:rPr>
                <w:rFonts w:ascii="Calibri" w:hAnsi="Calibri"/>
                <w:color w:val="auto"/>
                <w:sz w:val="22"/>
                <w:szCs w:val="22"/>
                <w:highlight w:val="none"/>
              </w:rPr>
            </w:pPr>
          </w:p>
        </w:tc>
        <w:tc>
          <w:tcPr>
            <w:tcW w:w="1800" w:type="dxa"/>
            <w:vMerge w:val="restart"/>
            <w:tcBorders>
              <w:top w:val="single" w:color="000000" w:sz="4" w:space="0"/>
              <w:left w:val="single" w:color="000000" w:sz="4" w:space="0"/>
              <w:bottom w:val="single" w:color="000000" w:sz="4" w:space="0"/>
              <w:right w:val="single" w:color="000000" w:sz="4" w:space="0"/>
            </w:tcBorders>
            <w:vAlign w:val="top"/>
          </w:tcPr>
          <w:p w14:paraId="4CD53DED">
            <w:pPr>
              <w:rPr>
                <w:rFonts w:ascii="Calibri" w:hAnsi="Calibri"/>
                <w:color w:val="auto"/>
                <w:sz w:val="22"/>
                <w:szCs w:val="22"/>
                <w:highlight w:val="none"/>
              </w:rPr>
            </w:pPr>
          </w:p>
        </w:tc>
        <w:tc>
          <w:tcPr>
            <w:tcW w:w="1915" w:type="dxa"/>
            <w:tcBorders>
              <w:top w:val="single" w:color="000000" w:sz="4" w:space="0"/>
              <w:left w:val="single" w:color="000000" w:sz="4" w:space="0"/>
              <w:bottom w:val="nil"/>
              <w:right w:val="single" w:color="000000" w:sz="4" w:space="0"/>
            </w:tcBorders>
            <w:vAlign w:val="top"/>
          </w:tcPr>
          <w:p w14:paraId="4CC778DA">
            <w:pPr>
              <w:pStyle w:val="63"/>
              <w:spacing w:before="93"/>
              <w:ind w:left="7"/>
              <w:rPr>
                <w:rFonts w:ascii="宋体" w:hAnsi="宋体" w:cs="宋体"/>
                <w:color w:val="auto"/>
                <w:sz w:val="20"/>
                <w:szCs w:val="20"/>
                <w:highlight w:val="none"/>
              </w:rPr>
            </w:pPr>
            <w:r>
              <w:rPr>
                <w:rFonts w:hint="eastAsia" w:ascii="宋体" w:hAnsi="宋体" w:cs="宋体"/>
                <w:color w:val="auto"/>
                <w:spacing w:val="12"/>
                <w:w w:val="99"/>
                <w:sz w:val="20"/>
                <w:szCs w:val="20"/>
                <w:highlight w:val="none"/>
              </w:rPr>
              <w:t>溴化锂吸收式冷水</w:t>
            </w:r>
            <w:r>
              <w:rPr>
                <w:rFonts w:hint="eastAsia" w:ascii="宋体" w:hAnsi="宋体" w:cs="宋体"/>
                <w:color w:val="auto"/>
                <w:w w:val="99"/>
                <w:sz w:val="20"/>
                <w:szCs w:val="20"/>
                <w:highlight w:val="none"/>
              </w:rPr>
              <w:t>机</w:t>
            </w:r>
          </w:p>
        </w:tc>
        <w:tc>
          <w:tcPr>
            <w:tcW w:w="3971" w:type="dxa"/>
            <w:tcBorders>
              <w:top w:val="single" w:color="000000" w:sz="4" w:space="0"/>
              <w:left w:val="single" w:color="000000" w:sz="4" w:space="0"/>
              <w:bottom w:val="nil"/>
              <w:right w:val="single" w:color="000000" w:sz="4" w:space="0"/>
            </w:tcBorders>
            <w:vAlign w:val="top"/>
          </w:tcPr>
          <w:p w14:paraId="23278C98">
            <w:pPr>
              <w:pStyle w:val="63"/>
              <w:spacing w:before="93"/>
              <w:ind w:left="7"/>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《溴化锂吸收式冷水机</w:t>
            </w:r>
            <w:r>
              <w:rPr>
                <w:rFonts w:hint="eastAsia" w:ascii="宋体" w:hAnsi="宋体" w:cs="宋体"/>
                <w:color w:val="auto"/>
                <w:spacing w:val="9"/>
                <w:w w:val="99"/>
                <w:sz w:val="20"/>
                <w:szCs w:val="20"/>
                <w:highlight w:val="none"/>
                <w:lang w:eastAsia="zh-CN"/>
              </w:rPr>
              <w:t>组</w:t>
            </w:r>
            <w:r>
              <w:rPr>
                <w:rFonts w:hint="eastAsia" w:ascii="宋体" w:hAnsi="宋体" w:cs="宋体"/>
                <w:color w:val="auto"/>
                <w:spacing w:val="12"/>
                <w:w w:val="99"/>
                <w:sz w:val="20"/>
                <w:szCs w:val="20"/>
                <w:highlight w:val="none"/>
                <w:lang w:eastAsia="zh-CN"/>
              </w:rPr>
              <w:t>能效</w:t>
            </w:r>
            <w:r>
              <w:rPr>
                <w:rFonts w:hint="eastAsia" w:ascii="宋体" w:hAnsi="宋体" w:cs="宋体"/>
                <w:color w:val="auto"/>
                <w:w w:val="99"/>
                <w:sz w:val="20"/>
                <w:szCs w:val="20"/>
                <w:highlight w:val="none"/>
                <w:lang w:eastAsia="zh-CN"/>
              </w:rPr>
              <w:t>限</w:t>
            </w:r>
          </w:p>
        </w:tc>
      </w:tr>
      <w:tr w14:paraId="016BAB30">
        <w:tblPrEx>
          <w:tblCellMar>
            <w:top w:w="0" w:type="dxa"/>
            <w:left w:w="0" w:type="dxa"/>
            <w:bottom w:w="0" w:type="dxa"/>
            <w:right w:w="0" w:type="dxa"/>
          </w:tblCellMar>
        </w:tblPrEx>
        <w:trPr>
          <w:trHeight w:val="408"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133836E2">
            <w:pPr>
              <w:widowControl/>
              <w:jc w:val="left"/>
              <w:rPr>
                <w:rFonts w:ascii="Calibri" w:hAnsi="Calibri" w:eastAsia="Times New Roman"/>
                <w:color w:val="auto"/>
                <w:sz w:val="22"/>
                <w:szCs w:val="22"/>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03235C1F">
            <w:pPr>
              <w:widowControl/>
              <w:jc w:val="left"/>
              <w:rPr>
                <w:rFonts w:ascii="Calibri" w:hAnsi="Calibri" w:eastAsia="Times New Roman"/>
                <w:color w:val="auto"/>
                <w:sz w:val="22"/>
                <w:szCs w:val="22"/>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4B7A5ADC">
            <w:pPr>
              <w:widowControl/>
              <w:jc w:val="left"/>
              <w:rPr>
                <w:rFonts w:ascii="Calibri" w:hAnsi="Calibri" w:eastAsia="Times New Roman"/>
                <w:color w:val="auto"/>
                <w:sz w:val="22"/>
                <w:szCs w:val="22"/>
                <w:highlight w:val="none"/>
              </w:rPr>
            </w:pPr>
          </w:p>
        </w:tc>
        <w:tc>
          <w:tcPr>
            <w:tcW w:w="1915" w:type="dxa"/>
            <w:tcBorders>
              <w:top w:val="nil"/>
              <w:left w:val="single" w:color="000000" w:sz="4" w:space="0"/>
              <w:bottom w:val="single" w:color="000000" w:sz="4" w:space="0"/>
              <w:right w:val="single" w:color="000000" w:sz="4" w:space="0"/>
            </w:tcBorders>
            <w:vAlign w:val="top"/>
          </w:tcPr>
          <w:p w14:paraId="256BA84D">
            <w:pPr>
              <w:pStyle w:val="63"/>
              <w:spacing w:line="256" w:lineRule="exact"/>
              <w:ind w:left="7"/>
              <w:rPr>
                <w:rFonts w:ascii="宋体" w:hAnsi="宋体" w:cs="宋体"/>
                <w:color w:val="auto"/>
                <w:sz w:val="20"/>
                <w:szCs w:val="20"/>
                <w:highlight w:val="none"/>
              </w:rPr>
            </w:pPr>
            <w:r>
              <w:rPr>
                <w:rFonts w:hint="eastAsia" w:ascii="宋体" w:hAnsi="宋体" w:cs="宋体"/>
                <w:color w:val="auto"/>
                <w:w w:val="99"/>
                <w:sz w:val="20"/>
                <w:szCs w:val="20"/>
                <w:highlight w:val="none"/>
              </w:rPr>
              <w:t>组</w:t>
            </w:r>
          </w:p>
        </w:tc>
        <w:tc>
          <w:tcPr>
            <w:tcW w:w="3971" w:type="dxa"/>
            <w:tcBorders>
              <w:top w:val="nil"/>
              <w:left w:val="single" w:color="000000" w:sz="4" w:space="0"/>
              <w:bottom w:val="single" w:color="000000" w:sz="4" w:space="0"/>
              <w:right w:val="single" w:color="000000" w:sz="4" w:space="0"/>
            </w:tcBorders>
            <w:vAlign w:val="top"/>
          </w:tcPr>
          <w:p w14:paraId="05FF7D1D">
            <w:pPr>
              <w:pStyle w:val="63"/>
              <w:spacing w:line="256" w:lineRule="exact"/>
              <w:ind w:lef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29</w:t>
            </w:r>
            <w:r>
              <w:rPr>
                <w:rFonts w:hint="eastAsia" w:ascii="宋体" w:hAnsi="宋体" w:cs="宋体"/>
                <w:color w:val="auto"/>
                <w:w w:val="99"/>
                <w:sz w:val="20"/>
                <w:szCs w:val="20"/>
                <w:highlight w:val="none"/>
                <w:lang w:eastAsia="zh-CN"/>
              </w:rPr>
              <w:t>54</w:t>
            </w:r>
            <w:r>
              <w:rPr>
                <w:rFonts w:hint="eastAsia" w:ascii="宋体" w:hAnsi="宋体" w:cs="宋体"/>
                <w:color w:val="auto"/>
                <w:spacing w:val="1"/>
                <w:w w:val="99"/>
                <w:sz w:val="20"/>
                <w:szCs w:val="20"/>
                <w:highlight w:val="none"/>
                <w:lang w:eastAsia="zh-CN"/>
              </w:rPr>
              <w:t>0</w:t>
            </w:r>
            <w:r>
              <w:rPr>
                <w:rFonts w:hint="eastAsia" w:ascii="宋体" w:hAnsi="宋体" w:cs="宋体"/>
                <w:color w:val="auto"/>
                <w:w w:val="99"/>
                <w:sz w:val="20"/>
                <w:szCs w:val="20"/>
                <w:highlight w:val="none"/>
                <w:lang w:eastAsia="zh-CN"/>
              </w:rPr>
              <w:t>）</w:t>
            </w:r>
          </w:p>
        </w:tc>
      </w:tr>
      <w:tr w14:paraId="0207E81B">
        <w:tblPrEx>
          <w:tblCellMar>
            <w:top w:w="0" w:type="dxa"/>
            <w:left w:w="0" w:type="dxa"/>
            <w:bottom w:w="0" w:type="dxa"/>
            <w:right w:w="0" w:type="dxa"/>
          </w:tblCellMar>
        </w:tblPrEx>
        <w:trPr>
          <w:trHeight w:val="958"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32CE1770">
            <w:pPr>
              <w:widowControl/>
              <w:jc w:val="left"/>
              <w:rPr>
                <w:rFonts w:ascii="Calibri" w:hAnsi="Calibri" w:eastAsia="Times New Roman"/>
                <w:color w:val="auto"/>
                <w:sz w:val="22"/>
                <w:szCs w:val="22"/>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44DBE2BD">
            <w:pPr>
              <w:widowControl/>
              <w:jc w:val="left"/>
              <w:rPr>
                <w:rFonts w:ascii="Calibri" w:hAnsi="Calibri" w:eastAsia="Times New Roman"/>
                <w:color w:val="auto"/>
                <w:sz w:val="22"/>
                <w:szCs w:val="22"/>
                <w:highlight w:val="none"/>
              </w:rPr>
            </w:pPr>
          </w:p>
        </w:tc>
        <w:tc>
          <w:tcPr>
            <w:tcW w:w="1800" w:type="dxa"/>
            <w:vMerge w:val="restart"/>
            <w:tcBorders>
              <w:top w:val="single" w:color="000000" w:sz="4" w:space="0"/>
              <w:left w:val="single" w:color="000000" w:sz="4" w:space="0"/>
              <w:bottom w:val="single" w:color="000000" w:sz="4" w:space="0"/>
              <w:right w:val="single" w:color="000000" w:sz="4" w:space="0"/>
            </w:tcBorders>
            <w:vAlign w:val="top"/>
          </w:tcPr>
          <w:p w14:paraId="41ED270F">
            <w:pPr>
              <w:pStyle w:val="63"/>
              <w:rPr>
                <w:rFonts w:ascii="宋体" w:hAnsi="宋体" w:cs="宋体"/>
                <w:color w:val="auto"/>
                <w:sz w:val="20"/>
                <w:szCs w:val="20"/>
                <w:highlight w:val="none"/>
                <w:lang w:eastAsia="zh-CN"/>
              </w:rPr>
            </w:pPr>
          </w:p>
          <w:p w14:paraId="731D70B1">
            <w:pPr>
              <w:pStyle w:val="63"/>
              <w:rPr>
                <w:rFonts w:ascii="宋体" w:hAnsi="宋体" w:cs="宋体"/>
                <w:color w:val="auto"/>
                <w:sz w:val="20"/>
                <w:szCs w:val="20"/>
                <w:highlight w:val="none"/>
                <w:lang w:eastAsia="zh-CN"/>
              </w:rPr>
            </w:pPr>
          </w:p>
          <w:p w14:paraId="32CBB60F">
            <w:pPr>
              <w:pStyle w:val="63"/>
              <w:spacing w:before="3"/>
              <w:rPr>
                <w:rFonts w:ascii="宋体" w:hAnsi="宋体" w:cs="宋体"/>
                <w:color w:val="auto"/>
                <w:sz w:val="21"/>
                <w:szCs w:val="21"/>
                <w:highlight w:val="none"/>
                <w:lang w:eastAsia="zh-CN"/>
              </w:rPr>
            </w:pPr>
          </w:p>
          <w:p w14:paraId="3E00C0ED">
            <w:pPr>
              <w:pStyle w:val="63"/>
              <w:spacing w:line="280" w:lineRule="auto"/>
              <w:ind w:left="7" w:right="5"/>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52</w:t>
            </w:r>
            <w:r>
              <w:rPr>
                <w:rFonts w:hint="eastAsia" w:ascii="宋体" w:hAnsi="宋体" w:cs="宋体"/>
                <w:color w:val="auto"/>
                <w:spacing w:val="1"/>
                <w:w w:val="99"/>
                <w:sz w:val="20"/>
                <w:szCs w:val="20"/>
                <w:highlight w:val="none"/>
              </w:rPr>
              <w:t>3</w:t>
            </w:r>
            <w:r>
              <w:rPr>
                <w:rFonts w:hint="eastAsia" w:ascii="宋体" w:hAnsi="宋体" w:cs="宋体"/>
                <w:color w:val="auto"/>
                <w:w w:val="99"/>
                <w:sz w:val="20"/>
                <w:szCs w:val="20"/>
                <w:highlight w:val="none"/>
              </w:rPr>
              <w:t>05空调机组</w:t>
            </w:r>
          </w:p>
        </w:tc>
        <w:tc>
          <w:tcPr>
            <w:tcW w:w="1915" w:type="dxa"/>
            <w:tcBorders>
              <w:top w:val="single" w:color="000000" w:sz="4" w:space="0"/>
              <w:left w:val="single" w:color="000000" w:sz="4" w:space="0"/>
              <w:bottom w:val="single" w:color="000000" w:sz="4" w:space="0"/>
              <w:right w:val="single" w:color="000000" w:sz="4" w:space="0"/>
            </w:tcBorders>
            <w:vAlign w:val="top"/>
          </w:tcPr>
          <w:p w14:paraId="0E0E9845">
            <w:pPr>
              <w:pStyle w:val="63"/>
              <w:spacing w:before="4" w:line="280" w:lineRule="auto"/>
              <w:ind w:left="7" w:right="7"/>
              <w:jc w:val="both"/>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多联式空</w:t>
            </w:r>
            <w:r>
              <w:rPr>
                <w:rFonts w:hint="eastAsia" w:ascii="宋体" w:hAnsi="宋体" w:cs="宋体"/>
                <w:color w:val="auto"/>
                <w:spacing w:val="11"/>
                <w:w w:val="99"/>
                <w:sz w:val="20"/>
                <w:szCs w:val="20"/>
                <w:highlight w:val="none"/>
                <w:lang w:eastAsia="zh-CN"/>
              </w:rPr>
              <w:t>调（</w:t>
            </w:r>
            <w:r>
              <w:rPr>
                <w:rFonts w:hint="eastAsia" w:ascii="宋体" w:hAnsi="宋体" w:cs="宋体"/>
                <w:color w:val="auto"/>
                <w:spacing w:val="12"/>
                <w:w w:val="99"/>
                <w:sz w:val="20"/>
                <w:szCs w:val="20"/>
                <w:highlight w:val="none"/>
                <w:lang w:eastAsia="zh-CN"/>
              </w:rPr>
              <w:t>热泵</w:t>
            </w:r>
            <w:r>
              <w:rPr>
                <w:rFonts w:hint="eastAsia" w:ascii="宋体" w:hAnsi="宋体" w:cs="宋体"/>
                <w:color w:val="auto"/>
                <w:w w:val="99"/>
                <w:sz w:val="20"/>
                <w:szCs w:val="20"/>
                <w:highlight w:val="none"/>
                <w:lang w:eastAsia="zh-CN"/>
              </w:rPr>
              <w:t>）机组(制冷量</w:t>
            </w:r>
            <w:r>
              <w:rPr>
                <w:rFonts w:hint="eastAsia" w:ascii="宋体" w:hAnsi="宋体" w:cs="宋体"/>
                <w:color w:val="auto"/>
                <w:spacing w:val="1"/>
                <w:w w:val="99"/>
                <w:sz w:val="20"/>
                <w:szCs w:val="20"/>
                <w:highlight w:val="none"/>
                <w:lang w:eastAsia="zh-CN"/>
              </w:rPr>
              <w:t>&gt;140</w:t>
            </w:r>
            <w:r>
              <w:rPr>
                <w:rFonts w:hint="eastAsia" w:ascii="宋体" w:hAnsi="宋体" w:cs="宋体"/>
                <w:color w:val="auto"/>
                <w:w w:val="99"/>
                <w:sz w:val="20"/>
                <w:szCs w:val="20"/>
                <w:highlight w:val="none"/>
                <w:lang w:eastAsia="zh-CN"/>
              </w:rPr>
              <w:t>00</w:t>
            </w:r>
            <w:r>
              <w:rPr>
                <w:rFonts w:hint="eastAsia" w:ascii="宋体" w:hAnsi="宋体" w:cs="宋体"/>
                <w:color w:val="auto"/>
                <w:spacing w:val="1"/>
                <w:w w:val="99"/>
                <w:sz w:val="20"/>
                <w:szCs w:val="20"/>
                <w:highlight w:val="none"/>
                <w:lang w:eastAsia="zh-CN"/>
              </w:rPr>
              <w:t>W</w:t>
            </w:r>
            <w:r>
              <w:rPr>
                <w:rFonts w:hint="eastAsia" w:ascii="宋体" w:hAnsi="宋体" w:cs="宋体"/>
                <w:color w:val="auto"/>
                <w:w w:val="99"/>
                <w:sz w:val="20"/>
                <w:szCs w:val="20"/>
                <w:highlight w:val="none"/>
                <w:lang w:eastAsia="zh-CN"/>
              </w:rPr>
              <w:t>)</w:t>
            </w:r>
          </w:p>
        </w:tc>
        <w:tc>
          <w:tcPr>
            <w:tcW w:w="3971" w:type="dxa"/>
            <w:tcBorders>
              <w:top w:val="single" w:color="000000" w:sz="4" w:space="0"/>
              <w:left w:val="single" w:color="000000" w:sz="4" w:space="0"/>
              <w:bottom w:val="single" w:color="000000" w:sz="4" w:space="0"/>
              <w:right w:val="single" w:color="000000" w:sz="4" w:space="0"/>
            </w:tcBorders>
            <w:vAlign w:val="top"/>
          </w:tcPr>
          <w:p w14:paraId="548C9C4E">
            <w:pPr>
              <w:pStyle w:val="63"/>
              <w:spacing w:before="160" w:line="280" w:lineRule="auto"/>
              <w:ind w:left="7"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《多联</w:t>
            </w:r>
            <w:r>
              <w:rPr>
                <w:rFonts w:hint="eastAsia" w:ascii="宋体" w:hAnsi="宋体" w:cs="宋体"/>
                <w:color w:val="auto"/>
                <w:spacing w:val="2"/>
                <w:w w:val="99"/>
                <w:sz w:val="20"/>
                <w:szCs w:val="20"/>
                <w:highlight w:val="none"/>
                <w:lang w:eastAsia="zh-CN"/>
              </w:rPr>
              <w:t>式</w:t>
            </w:r>
            <w:r>
              <w:rPr>
                <w:rFonts w:hint="eastAsia" w:ascii="宋体" w:hAnsi="宋体" w:cs="宋体"/>
                <w:color w:val="auto"/>
                <w:w w:val="99"/>
                <w:sz w:val="20"/>
                <w:szCs w:val="20"/>
                <w:highlight w:val="none"/>
                <w:lang w:eastAsia="zh-CN"/>
              </w:rPr>
              <w:t>空</w:t>
            </w:r>
            <w:r>
              <w:rPr>
                <w:rFonts w:hint="eastAsia" w:ascii="宋体" w:hAnsi="宋体" w:cs="宋体"/>
                <w:color w:val="auto"/>
                <w:spacing w:val="-27"/>
                <w:w w:val="99"/>
                <w:sz w:val="20"/>
                <w:szCs w:val="20"/>
                <w:highlight w:val="none"/>
                <w:lang w:eastAsia="zh-CN"/>
              </w:rPr>
              <w:t>调</w:t>
            </w:r>
            <w:r>
              <w:rPr>
                <w:rFonts w:hint="eastAsia" w:ascii="宋体" w:hAnsi="宋体" w:cs="宋体"/>
                <w:color w:val="auto"/>
                <w:w w:val="99"/>
                <w:sz w:val="20"/>
                <w:szCs w:val="20"/>
                <w:highlight w:val="none"/>
                <w:lang w:eastAsia="zh-CN"/>
              </w:rPr>
              <w:t>（热</w:t>
            </w:r>
            <w:r>
              <w:rPr>
                <w:rFonts w:hint="eastAsia" w:ascii="宋体" w:hAnsi="宋体" w:cs="宋体"/>
                <w:color w:val="auto"/>
                <w:spacing w:val="2"/>
                <w:w w:val="99"/>
                <w:sz w:val="20"/>
                <w:szCs w:val="20"/>
                <w:highlight w:val="none"/>
                <w:lang w:eastAsia="zh-CN"/>
              </w:rPr>
              <w:t>泵</w:t>
            </w:r>
            <w:r>
              <w:rPr>
                <w:rFonts w:hint="eastAsia" w:ascii="宋体" w:hAnsi="宋体" w:cs="宋体"/>
                <w:color w:val="auto"/>
                <w:spacing w:val="-29"/>
                <w:w w:val="99"/>
                <w:sz w:val="20"/>
                <w:szCs w:val="20"/>
                <w:highlight w:val="none"/>
                <w:lang w:eastAsia="zh-CN"/>
              </w:rPr>
              <w:t>）</w:t>
            </w:r>
            <w:r>
              <w:rPr>
                <w:rFonts w:hint="eastAsia" w:ascii="宋体" w:hAnsi="宋体" w:cs="宋体"/>
                <w:color w:val="auto"/>
                <w:w w:val="99"/>
                <w:sz w:val="20"/>
                <w:szCs w:val="20"/>
                <w:highlight w:val="none"/>
                <w:lang w:eastAsia="zh-CN"/>
              </w:rPr>
              <w:t>机</w:t>
            </w:r>
            <w:r>
              <w:rPr>
                <w:rFonts w:hint="eastAsia" w:ascii="宋体" w:hAnsi="宋体" w:cs="宋体"/>
                <w:color w:val="auto"/>
                <w:spacing w:val="2"/>
                <w:w w:val="99"/>
                <w:sz w:val="20"/>
                <w:szCs w:val="20"/>
                <w:highlight w:val="none"/>
                <w:lang w:eastAsia="zh-CN"/>
              </w:rPr>
              <w:t>组</w:t>
            </w:r>
            <w:r>
              <w:rPr>
                <w:rFonts w:hint="eastAsia" w:ascii="宋体" w:hAnsi="宋体" w:cs="宋体"/>
                <w:color w:val="auto"/>
                <w:w w:val="99"/>
                <w:sz w:val="20"/>
                <w:szCs w:val="20"/>
                <w:highlight w:val="none"/>
                <w:lang w:eastAsia="zh-CN"/>
              </w:rPr>
              <w:t>能效限定值及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源效</w:t>
            </w:r>
            <w:r>
              <w:rPr>
                <w:rFonts w:hint="eastAsia" w:ascii="宋体" w:hAnsi="宋体" w:cs="宋体"/>
                <w:color w:val="auto"/>
                <w:spacing w:val="2"/>
                <w:w w:val="99"/>
                <w:sz w:val="20"/>
                <w:szCs w:val="20"/>
                <w:highlight w:val="none"/>
                <w:lang w:eastAsia="zh-CN"/>
              </w:rPr>
              <w:t>率</w:t>
            </w:r>
            <w:r>
              <w:rPr>
                <w:rFonts w:hint="eastAsia" w:ascii="宋体" w:hAnsi="宋体" w:cs="宋体"/>
                <w:color w:val="auto"/>
                <w:w w:val="99"/>
                <w:sz w:val="20"/>
                <w:szCs w:val="20"/>
                <w:highlight w:val="none"/>
                <w:lang w:eastAsia="zh-CN"/>
              </w:rPr>
              <w:t>等级</w:t>
            </w:r>
            <w:r>
              <w:rPr>
                <w:rFonts w:hint="eastAsia" w:ascii="宋体" w:hAnsi="宋体" w:cs="宋体"/>
                <w:color w:val="auto"/>
                <w:spacing w:val="-106"/>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2145</w:t>
            </w:r>
            <w:r>
              <w:rPr>
                <w:rFonts w:hint="eastAsia" w:ascii="宋体" w:hAnsi="宋体" w:cs="宋体"/>
                <w:color w:val="auto"/>
                <w:w w:val="99"/>
                <w:sz w:val="20"/>
                <w:szCs w:val="20"/>
                <w:highlight w:val="none"/>
                <w:lang w:eastAsia="zh-CN"/>
              </w:rPr>
              <w:t>4</w:t>
            </w:r>
          </w:p>
        </w:tc>
      </w:tr>
      <w:tr w14:paraId="4D8DAF7B">
        <w:tblPrEx>
          <w:tblCellMar>
            <w:top w:w="0" w:type="dxa"/>
            <w:left w:w="0" w:type="dxa"/>
            <w:bottom w:w="0" w:type="dxa"/>
            <w:right w:w="0" w:type="dxa"/>
          </w:tblCellMar>
        </w:tblPrEx>
        <w:trPr>
          <w:trHeight w:val="644"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3368F45A">
            <w:pPr>
              <w:widowControl/>
              <w:jc w:val="left"/>
              <w:rPr>
                <w:rFonts w:ascii="Calibri" w:hAnsi="Calibri" w:eastAsia="Times New Roman"/>
                <w:color w:val="auto"/>
                <w:sz w:val="22"/>
                <w:szCs w:val="22"/>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1CEF030A">
            <w:pPr>
              <w:widowControl/>
              <w:jc w:val="left"/>
              <w:rPr>
                <w:rFonts w:ascii="Calibri" w:hAnsi="Calibri" w:eastAsia="Times New Roman"/>
                <w:color w:val="auto"/>
                <w:sz w:val="22"/>
                <w:szCs w:val="22"/>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6005DA96">
            <w:pPr>
              <w:widowControl/>
              <w:jc w:val="left"/>
              <w:rPr>
                <w:rFonts w:ascii="宋体" w:hAnsi="宋体" w:eastAsia="Times New Roman" w:cs="宋体"/>
                <w:color w:val="auto"/>
                <w:kern w:val="0"/>
                <w:sz w:val="20"/>
                <w:szCs w:val="20"/>
                <w:highlight w:val="none"/>
              </w:rPr>
            </w:pPr>
          </w:p>
        </w:tc>
        <w:tc>
          <w:tcPr>
            <w:tcW w:w="1915" w:type="dxa"/>
            <w:tcBorders>
              <w:top w:val="single" w:color="000000" w:sz="4" w:space="0"/>
              <w:left w:val="single" w:color="000000" w:sz="4" w:space="0"/>
              <w:bottom w:val="nil"/>
              <w:right w:val="single" w:color="000000" w:sz="4" w:space="0"/>
            </w:tcBorders>
            <w:vAlign w:val="top"/>
          </w:tcPr>
          <w:p w14:paraId="145A1D75">
            <w:pPr>
              <w:pStyle w:val="63"/>
              <w:spacing w:before="7"/>
              <w:rPr>
                <w:rFonts w:ascii="宋体" w:hAnsi="宋体" w:cs="宋体"/>
                <w:color w:val="auto"/>
                <w:sz w:val="24"/>
                <w:szCs w:val="24"/>
                <w:highlight w:val="none"/>
                <w:lang w:eastAsia="zh-CN"/>
              </w:rPr>
            </w:pPr>
          </w:p>
          <w:p w14:paraId="16576958">
            <w:pPr>
              <w:pStyle w:val="63"/>
              <w:ind w:left="7"/>
              <w:rPr>
                <w:rFonts w:ascii="宋体" w:hAnsi="宋体" w:cs="宋体"/>
                <w:color w:val="auto"/>
                <w:sz w:val="20"/>
                <w:szCs w:val="20"/>
                <w:highlight w:val="none"/>
              </w:rPr>
            </w:pPr>
            <w:r>
              <w:rPr>
                <w:rFonts w:hint="eastAsia" w:ascii="宋体" w:hAnsi="宋体" w:cs="宋体"/>
                <w:color w:val="auto"/>
                <w:w w:val="99"/>
                <w:sz w:val="20"/>
                <w:szCs w:val="20"/>
                <w:highlight w:val="none"/>
              </w:rPr>
              <w:t>单元式空气调节机</w:t>
            </w:r>
          </w:p>
        </w:tc>
        <w:tc>
          <w:tcPr>
            <w:tcW w:w="3971" w:type="dxa"/>
            <w:tcBorders>
              <w:top w:val="single" w:color="000000" w:sz="4" w:space="0"/>
              <w:left w:val="single" w:color="000000" w:sz="4" w:space="0"/>
              <w:bottom w:val="nil"/>
              <w:right w:val="single" w:color="000000" w:sz="4" w:space="0"/>
            </w:tcBorders>
            <w:vAlign w:val="top"/>
          </w:tcPr>
          <w:p w14:paraId="31330822">
            <w:pPr>
              <w:pStyle w:val="63"/>
              <w:spacing w:before="9" w:line="280"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《单元式空气调节机能</w:t>
            </w:r>
            <w:r>
              <w:rPr>
                <w:rFonts w:hint="eastAsia" w:ascii="宋体" w:hAnsi="宋体" w:cs="宋体"/>
                <w:color w:val="auto"/>
                <w:spacing w:val="9"/>
                <w:w w:val="99"/>
                <w:sz w:val="20"/>
                <w:szCs w:val="20"/>
                <w:highlight w:val="none"/>
                <w:lang w:eastAsia="zh-CN"/>
              </w:rPr>
              <w:t>效</w:t>
            </w:r>
            <w:r>
              <w:rPr>
                <w:rFonts w:hint="eastAsia" w:ascii="宋体" w:hAnsi="宋体" w:cs="宋体"/>
                <w:color w:val="auto"/>
                <w:spacing w:val="12"/>
                <w:w w:val="99"/>
                <w:sz w:val="20"/>
                <w:szCs w:val="20"/>
                <w:highlight w:val="none"/>
                <w:lang w:eastAsia="zh-CN"/>
              </w:rPr>
              <w:t>限定</w:t>
            </w:r>
            <w:r>
              <w:rPr>
                <w:rFonts w:hint="eastAsia" w:ascii="宋体" w:hAnsi="宋体" w:cs="宋体"/>
                <w:color w:val="auto"/>
                <w:w w:val="99"/>
                <w:sz w:val="20"/>
                <w:szCs w:val="20"/>
                <w:highlight w:val="none"/>
                <w:lang w:eastAsia="zh-CN"/>
              </w:rPr>
              <w:t>值及能效</w:t>
            </w:r>
            <w:r>
              <w:rPr>
                <w:rFonts w:hint="eastAsia" w:ascii="宋体" w:hAnsi="宋体" w:cs="宋体"/>
                <w:color w:val="auto"/>
                <w:spacing w:val="2"/>
                <w:w w:val="99"/>
                <w:sz w:val="20"/>
                <w:szCs w:val="20"/>
                <w:highlight w:val="none"/>
                <w:lang w:eastAsia="zh-CN"/>
              </w:rPr>
              <w:t>等</w:t>
            </w:r>
            <w:r>
              <w:rPr>
                <w:rFonts w:hint="eastAsia" w:ascii="宋体" w:hAnsi="宋体" w:cs="宋体"/>
                <w:color w:val="auto"/>
                <w:w w:val="99"/>
                <w:sz w:val="20"/>
                <w:szCs w:val="20"/>
                <w:highlight w:val="none"/>
                <w:lang w:eastAsia="zh-CN"/>
              </w:rPr>
              <w:t>级</w:t>
            </w:r>
            <w:r>
              <w:rPr>
                <w:rFonts w:hint="eastAsia" w:ascii="宋体" w:hAnsi="宋体" w:cs="宋体"/>
                <w:color w:val="auto"/>
                <w:spacing w:val="-3"/>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195</w:t>
            </w:r>
            <w:r>
              <w:rPr>
                <w:rFonts w:hint="eastAsia" w:ascii="宋体" w:hAnsi="宋体" w:cs="宋体"/>
                <w:color w:val="auto"/>
                <w:w w:val="99"/>
                <w:sz w:val="20"/>
                <w:szCs w:val="20"/>
                <w:highlight w:val="none"/>
                <w:lang w:eastAsia="zh-CN"/>
              </w:rPr>
              <w:t>7</w:t>
            </w:r>
            <w:r>
              <w:rPr>
                <w:rFonts w:hint="eastAsia" w:ascii="宋体" w:hAnsi="宋体" w:cs="宋体"/>
                <w:color w:val="auto"/>
                <w:spacing w:val="-1"/>
                <w:w w:val="99"/>
                <w:sz w:val="20"/>
                <w:szCs w:val="20"/>
                <w:highlight w:val="none"/>
                <w:lang w:eastAsia="zh-CN"/>
              </w:rPr>
              <w:t>6</w:t>
            </w:r>
            <w:r>
              <w:rPr>
                <w:rFonts w:hint="eastAsia" w:ascii="宋体" w:hAnsi="宋体" w:cs="宋体"/>
                <w:color w:val="auto"/>
                <w:spacing w:val="-5"/>
                <w:w w:val="99"/>
                <w:sz w:val="20"/>
                <w:szCs w:val="20"/>
                <w:highlight w:val="none"/>
                <w:lang w:eastAsia="zh-CN"/>
              </w:rPr>
              <w:t>）</w:t>
            </w:r>
            <w:r>
              <w:rPr>
                <w:rFonts w:hint="eastAsia" w:ascii="宋体" w:hAnsi="宋体" w:cs="宋体"/>
                <w:color w:val="auto"/>
                <w:w w:val="99"/>
                <w:sz w:val="20"/>
                <w:szCs w:val="20"/>
                <w:highlight w:val="none"/>
                <w:lang w:eastAsia="zh-CN"/>
              </w:rPr>
              <w:t>《风管</w:t>
            </w:r>
          </w:p>
        </w:tc>
      </w:tr>
      <w:tr w14:paraId="67E9E249">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1603582D">
            <w:pPr>
              <w:widowControl/>
              <w:jc w:val="left"/>
              <w:rPr>
                <w:rFonts w:ascii="Calibri" w:hAnsi="Calibri" w:eastAsia="Times New Roman"/>
                <w:color w:val="auto"/>
                <w:sz w:val="22"/>
                <w:szCs w:val="22"/>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7896F2C2">
            <w:pPr>
              <w:widowControl/>
              <w:jc w:val="left"/>
              <w:rPr>
                <w:rFonts w:ascii="Calibri" w:hAnsi="Calibri" w:eastAsia="Times New Roman"/>
                <w:color w:val="auto"/>
                <w:sz w:val="22"/>
                <w:szCs w:val="22"/>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40464264">
            <w:pPr>
              <w:widowControl/>
              <w:jc w:val="left"/>
              <w:rPr>
                <w:rFonts w:ascii="宋体" w:hAnsi="宋体" w:eastAsia="Times New Roman" w:cs="宋体"/>
                <w:color w:val="auto"/>
                <w:kern w:val="0"/>
                <w:sz w:val="20"/>
                <w:szCs w:val="20"/>
                <w:highlight w:val="none"/>
              </w:rPr>
            </w:pPr>
          </w:p>
        </w:tc>
        <w:tc>
          <w:tcPr>
            <w:tcW w:w="1915" w:type="dxa"/>
            <w:vMerge w:val="restart"/>
            <w:tcBorders>
              <w:top w:val="nil"/>
              <w:left w:val="single" w:color="000000" w:sz="4" w:space="0"/>
              <w:bottom w:val="single" w:color="000000" w:sz="4" w:space="0"/>
              <w:right w:val="single" w:color="000000" w:sz="4" w:space="0"/>
            </w:tcBorders>
            <w:vAlign w:val="top"/>
          </w:tcPr>
          <w:p w14:paraId="51B17250">
            <w:pPr>
              <w:pStyle w:val="63"/>
              <w:spacing w:line="256" w:lineRule="exact"/>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w:t>
            </w:r>
            <w:r>
              <w:rPr>
                <w:rFonts w:hint="eastAsia" w:ascii="宋体" w:hAnsi="宋体" w:cs="宋体"/>
                <w:color w:val="auto"/>
                <w:w w:val="99"/>
                <w:sz w:val="20"/>
                <w:szCs w:val="20"/>
                <w:highlight w:val="none"/>
              </w:rPr>
              <w:t>制冷量</w:t>
            </w:r>
            <w:r>
              <w:rPr>
                <w:rFonts w:hint="eastAsia" w:ascii="宋体" w:hAnsi="宋体" w:cs="宋体"/>
                <w:color w:val="auto"/>
                <w:spacing w:val="1"/>
                <w:w w:val="99"/>
                <w:sz w:val="20"/>
                <w:szCs w:val="20"/>
                <w:highlight w:val="none"/>
              </w:rPr>
              <w:t>&gt;1400</w:t>
            </w:r>
            <w:r>
              <w:rPr>
                <w:rFonts w:hint="eastAsia" w:ascii="宋体" w:hAnsi="宋体" w:cs="宋体"/>
                <w:color w:val="auto"/>
                <w:w w:val="99"/>
                <w:sz w:val="20"/>
                <w:szCs w:val="20"/>
                <w:highlight w:val="none"/>
              </w:rPr>
              <w:t>0W)</w:t>
            </w:r>
          </w:p>
        </w:tc>
        <w:tc>
          <w:tcPr>
            <w:tcW w:w="3971" w:type="dxa"/>
            <w:tcBorders>
              <w:top w:val="nil"/>
              <w:left w:val="single" w:color="000000" w:sz="4" w:space="0"/>
              <w:bottom w:val="nil"/>
              <w:right w:val="single" w:color="000000" w:sz="4" w:space="0"/>
            </w:tcBorders>
            <w:vAlign w:val="top"/>
          </w:tcPr>
          <w:p w14:paraId="4ADC8914">
            <w:pPr>
              <w:pStyle w:val="63"/>
              <w:spacing w:line="256" w:lineRule="exact"/>
              <w:ind w:left="7"/>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送风式空调机组能效限</w:t>
            </w:r>
            <w:r>
              <w:rPr>
                <w:rFonts w:hint="eastAsia" w:ascii="宋体" w:hAnsi="宋体" w:cs="宋体"/>
                <w:color w:val="auto"/>
                <w:spacing w:val="9"/>
                <w:w w:val="99"/>
                <w:sz w:val="20"/>
                <w:szCs w:val="20"/>
                <w:highlight w:val="none"/>
                <w:lang w:eastAsia="zh-CN"/>
              </w:rPr>
              <w:t>定</w:t>
            </w:r>
            <w:r>
              <w:rPr>
                <w:rFonts w:hint="eastAsia" w:ascii="宋体" w:hAnsi="宋体" w:cs="宋体"/>
                <w:color w:val="auto"/>
                <w:spacing w:val="12"/>
                <w:w w:val="99"/>
                <w:sz w:val="20"/>
                <w:szCs w:val="20"/>
                <w:highlight w:val="none"/>
                <w:lang w:eastAsia="zh-CN"/>
              </w:rPr>
              <w:t>值及</w:t>
            </w:r>
            <w:r>
              <w:rPr>
                <w:rFonts w:hint="eastAsia" w:ascii="宋体" w:hAnsi="宋体" w:cs="宋体"/>
                <w:color w:val="auto"/>
                <w:w w:val="99"/>
                <w:sz w:val="20"/>
                <w:szCs w:val="20"/>
                <w:highlight w:val="none"/>
                <w:lang w:eastAsia="zh-CN"/>
              </w:rPr>
              <w:t>能</w:t>
            </w:r>
          </w:p>
        </w:tc>
      </w:tr>
      <w:tr w14:paraId="4A2093FB">
        <w:tblPrEx>
          <w:tblCellMar>
            <w:top w:w="0" w:type="dxa"/>
            <w:left w:w="0" w:type="dxa"/>
            <w:bottom w:w="0" w:type="dxa"/>
            <w:right w:w="0" w:type="dxa"/>
          </w:tblCellMar>
        </w:tblPrEx>
        <w:trPr>
          <w:trHeight w:val="326"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7234CA9C">
            <w:pPr>
              <w:widowControl/>
              <w:jc w:val="left"/>
              <w:rPr>
                <w:rFonts w:ascii="Calibri" w:hAnsi="Calibri" w:eastAsia="Times New Roman"/>
                <w:color w:val="auto"/>
                <w:sz w:val="22"/>
                <w:szCs w:val="22"/>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44C15A5C">
            <w:pPr>
              <w:widowControl/>
              <w:jc w:val="left"/>
              <w:rPr>
                <w:rFonts w:ascii="Calibri" w:hAnsi="Calibri" w:eastAsia="Times New Roman"/>
                <w:color w:val="auto"/>
                <w:sz w:val="22"/>
                <w:szCs w:val="22"/>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03B1E0D0">
            <w:pPr>
              <w:widowControl/>
              <w:jc w:val="left"/>
              <w:rPr>
                <w:rFonts w:ascii="宋体" w:hAnsi="宋体" w:eastAsia="Times New Roman" w:cs="宋体"/>
                <w:color w:val="auto"/>
                <w:kern w:val="0"/>
                <w:sz w:val="20"/>
                <w:szCs w:val="20"/>
                <w:highlight w:val="none"/>
              </w:rPr>
            </w:pPr>
          </w:p>
        </w:tc>
        <w:tc>
          <w:tcPr>
            <w:tcW w:w="1915" w:type="dxa"/>
            <w:vMerge w:val="continue"/>
            <w:tcBorders>
              <w:top w:val="nil"/>
              <w:left w:val="single" w:color="000000" w:sz="4" w:space="0"/>
              <w:bottom w:val="single" w:color="000000" w:sz="4" w:space="0"/>
              <w:right w:val="single" w:color="000000" w:sz="4" w:space="0"/>
            </w:tcBorders>
            <w:vAlign w:val="center"/>
          </w:tcPr>
          <w:p w14:paraId="12D8825F">
            <w:pPr>
              <w:widowControl/>
              <w:jc w:val="left"/>
              <w:rPr>
                <w:rFonts w:ascii="宋体" w:hAnsi="宋体" w:eastAsia="Times New Roman" w:cs="宋体"/>
                <w:color w:val="auto"/>
                <w:kern w:val="0"/>
                <w:sz w:val="20"/>
                <w:szCs w:val="20"/>
                <w:highlight w:val="none"/>
              </w:rPr>
            </w:pPr>
          </w:p>
        </w:tc>
        <w:tc>
          <w:tcPr>
            <w:tcW w:w="3971" w:type="dxa"/>
            <w:tcBorders>
              <w:top w:val="nil"/>
              <w:left w:val="single" w:color="000000" w:sz="4" w:space="0"/>
              <w:bottom w:val="single" w:color="000000" w:sz="4" w:space="0"/>
              <w:right w:val="single" w:color="000000" w:sz="4" w:space="0"/>
            </w:tcBorders>
            <w:vAlign w:val="top"/>
          </w:tcPr>
          <w:p w14:paraId="745C184E">
            <w:pPr>
              <w:pStyle w:val="63"/>
              <w:spacing w:line="256" w:lineRule="exact"/>
              <w:ind w:left="7"/>
              <w:rPr>
                <w:rFonts w:ascii="宋体" w:hAnsi="宋体" w:cs="宋体"/>
                <w:color w:val="auto"/>
                <w:sz w:val="20"/>
                <w:szCs w:val="20"/>
                <w:highlight w:val="none"/>
              </w:rPr>
            </w:pPr>
            <w:r>
              <w:rPr>
                <w:rFonts w:hint="eastAsia" w:ascii="宋体" w:hAnsi="宋体" w:cs="宋体"/>
                <w:color w:val="auto"/>
                <w:w w:val="99"/>
                <w:sz w:val="20"/>
                <w:szCs w:val="20"/>
                <w:highlight w:val="none"/>
              </w:rPr>
              <w:t>效等级</w:t>
            </w:r>
            <w:r>
              <w:rPr>
                <w:rFonts w:hint="eastAsia" w:ascii="宋体" w:hAnsi="宋体" w:cs="宋体"/>
                <w:color w:val="auto"/>
                <w:spacing w:val="2"/>
                <w:w w:val="99"/>
                <w:sz w:val="20"/>
                <w:szCs w:val="20"/>
                <w:highlight w:val="none"/>
              </w:rPr>
              <w:t>》</w:t>
            </w: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G</w:t>
            </w:r>
            <w:r>
              <w:rPr>
                <w:rFonts w:hint="eastAsia" w:ascii="宋体" w:hAnsi="宋体" w:cs="宋体"/>
                <w:color w:val="auto"/>
                <w:w w:val="99"/>
                <w:sz w:val="20"/>
                <w:szCs w:val="20"/>
                <w:highlight w:val="none"/>
              </w:rPr>
              <w:t>B</w:t>
            </w:r>
            <w:r>
              <w:rPr>
                <w:rFonts w:hint="eastAsia" w:ascii="宋体" w:hAnsi="宋体" w:cs="宋体"/>
                <w:color w:val="auto"/>
                <w:spacing w:val="1"/>
                <w:w w:val="99"/>
                <w:sz w:val="20"/>
                <w:szCs w:val="20"/>
                <w:highlight w:val="none"/>
              </w:rPr>
              <w:t>37</w:t>
            </w:r>
            <w:r>
              <w:rPr>
                <w:rFonts w:hint="eastAsia" w:ascii="宋体" w:hAnsi="宋体" w:cs="宋体"/>
                <w:color w:val="auto"/>
                <w:w w:val="99"/>
                <w:sz w:val="20"/>
                <w:szCs w:val="20"/>
                <w:highlight w:val="none"/>
              </w:rPr>
              <w:t>47</w:t>
            </w:r>
            <w:r>
              <w:rPr>
                <w:rFonts w:hint="eastAsia" w:ascii="宋体" w:hAnsi="宋体" w:cs="宋体"/>
                <w:color w:val="auto"/>
                <w:spacing w:val="1"/>
                <w:w w:val="99"/>
                <w:sz w:val="20"/>
                <w:szCs w:val="20"/>
                <w:highlight w:val="none"/>
              </w:rPr>
              <w:t>9</w:t>
            </w:r>
            <w:r>
              <w:rPr>
                <w:rFonts w:hint="eastAsia" w:ascii="宋体" w:hAnsi="宋体" w:cs="宋体"/>
                <w:color w:val="auto"/>
                <w:w w:val="99"/>
                <w:sz w:val="20"/>
                <w:szCs w:val="20"/>
                <w:highlight w:val="none"/>
              </w:rPr>
              <w:t>）</w:t>
            </w:r>
          </w:p>
        </w:tc>
      </w:tr>
      <w:tr w14:paraId="10EFA1E5">
        <w:tblPrEx>
          <w:tblCellMar>
            <w:top w:w="0" w:type="dxa"/>
            <w:left w:w="0" w:type="dxa"/>
            <w:bottom w:w="0" w:type="dxa"/>
            <w:right w:w="0" w:type="dxa"/>
          </w:tblCellMar>
        </w:tblPrEx>
        <w:trPr>
          <w:trHeight w:val="405"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218D938C">
            <w:pPr>
              <w:widowControl/>
              <w:jc w:val="left"/>
              <w:rPr>
                <w:rFonts w:ascii="Calibri" w:hAnsi="Calibri" w:eastAsia="Times New Roman"/>
                <w:color w:val="auto"/>
                <w:sz w:val="22"/>
                <w:szCs w:val="22"/>
                <w:highlight w:val="none"/>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6207E22F">
            <w:pPr>
              <w:widowControl/>
              <w:jc w:val="left"/>
              <w:rPr>
                <w:rFonts w:ascii="Calibri" w:hAnsi="Calibri" w:eastAsia="Times New Roman"/>
                <w:color w:val="auto"/>
                <w:sz w:val="22"/>
                <w:szCs w:val="22"/>
                <w:highlight w:val="none"/>
                <w:lang w:eastAsia="en-US"/>
              </w:rPr>
            </w:pPr>
          </w:p>
        </w:tc>
        <w:tc>
          <w:tcPr>
            <w:tcW w:w="1800" w:type="dxa"/>
            <w:tcBorders>
              <w:top w:val="single" w:color="000000" w:sz="4" w:space="0"/>
              <w:left w:val="single" w:color="000000" w:sz="4" w:space="0"/>
              <w:bottom w:val="nil"/>
              <w:right w:val="single" w:color="000000" w:sz="4" w:space="0"/>
            </w:tcBorders>
            <w:vAlign w:val="top"/>
          </w:tcPr>
          <w:p w14:paraId="2FA22917">
            <w:pPr>
              <w:pStyle w:val="63"/>
              <w:spacing w:before="83"/>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52</w:t>
            </w:r>
            <w:r>
              <w:rPr>
                <w:rFonts w:hint="eastAsia" w:ascii="宋体" w:hAnsi="宋体" w:cs="宋体"/>
                <w:color w:val="auto"/>
                <w:spacing w:val="1"/>
                <w:w w:val="99"/>
                <w:sz w:val="20"/>
                <w:szCs w:val="20"/>
                <w:highlight w:val="none"/>
              </w:rPr>
              <w:t>3</w:t>
            </w:r>
            <w:r>
              <w:rPr>
                <w:rFonts w:hint="eastAsia" w:ascii="宋体" w:hAnsi="宋体" w:cs="宋体"/>
                <w:color w:val="auto"/>
                <w:w w:val="99"/>
                <w:sz w:val="20"/>
                <w:szCs w:val="20"/>
                <w:highlight w:val="none"/>
              </w:rPr>
              <w:t>09专用制</w:t>
            </w:r>
          </w:p>
        </w:tc>
        <w:tc>
          <w:tcPr>
            <w:tcW w:w="1915" w:type="dxa"/>
            <w:vMerge w:val="restart"/>
            <w:tcBorders>
              <w:top w:val="single" w:color="000000" w:sz="4" w:space="0"/>
              <w:left w:val="single" w:color="000000" w:sz="4" w:space="0"/>
              <w:bottom w:val="single" w:color="000000" w:sz="4" w:space="0"/>
              <w:right w:val="single" w:color="000000" w:sz="4" w:space="0"/>
            </w:tcBorders>
            <w:vAlign w:val="top"/>
          </w:tcPr>
          <w:p w14:paraId="62904976">
            <w:pPr>
              <w:pStyle w:val="63"/>
              <w:spacing w:before="1"/>
              <w:rPr>
                <w:rFonts w:ascii="宋体" w:hAnsi="宋体" w:cs="宋体"/>
                <w:color w:val="auto"/>
                <w:sz w:val="18"/>
                <w:szCs w:val="18"/>
                <w:highlight w:val="none"/>
              </w:rPr>
            </w:pPr>
          </w:p>
          <w:p w14:paraId="45D89427">
            <w:pPr>
              <w:pStyle w:val="63"/>
              <w:ind w:left="7"/>
              <w:rPr>
                <w:rFonts w:ascii="宋体" w:hAnsi="宋体" w:cs="宋体"/>
                <w:color w:val="auto"/>
                <w:sz w:val="20"/>
                <w:szCs w:val="20"/>
                <w:highlight w:val="none"/>
              </w:rPr>
            </w:pPr>
            <w:r>
              <w:rPr>
                <w:rFonts w:hint="eastAsia" w:ascii="宋体" w:hAnsi="宋体" w:cs="宋体"/>
                <w:color w:val="auto"/>
                <w:w w:val="99"/>
                <w:sz w:val="20"/>
                <w:szCs w:val="20"/>
                <w:highlight w:val="none"/>
              </w:rPr>
              <w:t>机房空调</w:t>
            </w:r>
          </w:p>
        </w:tc>
        <w:tc>
          <w:tcPr>
            <w:tcW w:w="3971" w:type="dxa"/>
            <w:tcBorders>
              <w:top w:val="single" w:color="000000" w:sz="4" w:space="0"/>
              <w:left w:val="single" w:color="000000" w:sz="4" w:space="0"/>
              <w:bottom w:val="nil"/>
              <w:right w:val="single" w:color="000000" w:sz="4" w:space="0"/>
            </w:tcBorders>
            <w:vAlign w:val="top"/>
          </w:tcPr>
          <w:p w14:paraId="4AD3EA05">
            <w:pPr>
              <w:pStyle w:val="63"/>
              <w:spacing w:before="83"/>
              <w:ind w:left="7"/>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《单元式空气调节机能</w:t>
            </w:r>
            <w:r>
              <w:rPr>
                <w:rFonts w:hint="eastAsia" w:ascii="宋体" w:hAnsi="宋体" w:cs="宋体"/>
                <w:color w:val="auto"/>
                <w:spacing w:val="9"/>
                <w:w w:val="99"/>
                <w:sz w:val="20"/>
                <w:szCs w:val="20"/>
                <w:highlight w:val="none"/>
                <w:lang w:eastAsia="zh-CN"/>
              </w:rPr>
              <w:t>效</w:t>
            </w:r>
            <w:r>
              <w:rPr>
                <w:rFonts w:hint="eastAsia" w:ascii="宋体" w:hAnsi="宋体" w:cs="宋体"/>
                <w:color w:val="auto"/>
                <w:spacing w:val="12"/>
                <w:w w:val="99"/>
                <w:sz w:val="20"/>
                <w:szCs w:val="20"/>
                <w:highlight w:val="none"/>
                <w:lang w:eastAsia="zh-CN"/>
              </w:rPr>
              <w:t>限定</w:t>
            </w:r>
            <w:r>
              <w:rPr>
                <w:rFonts w:hint="eastAsia" w:ascii="宋体" w:hAnsi="宋体" w:cs="宋体"/>
                <w:color w:val="auto"/>
                <w:w w:val="99"/>
                <w:sz w:val="20"/>
                <w:szCs w:val="20"/>
                <w:highlight w:val="none"/>
                <w:lang w:eastAsia="zh-CN"/>
              </w:rPr>
              <w:t>值</w:t>
            </w:r>
          </w:p>
        </w:tc>
      </w:tr>
      <w:tr w14:paraId="25EEFAED">
        <w:tblPrEx>
          <w:tblCellMar>
            <w:top w:w="0" w:type="dxa"/>
            <w:left w:w="0" w:type="dxa"/>
            <w:bottom w:w="0" w:type="dxa"/>
            <w:right w:w="0" w:type="dxa"/>
          </w:tblCellMar>
        </w:tblPrEx>
        <w:trPr>
          <w:trHeight w:val="397"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5531B6BE">
            <w:pPr>
              <w:widowControl/>
              <w:jc w:val="left"/>
              <w:rPr>
                <w:rFonts w:ascii="Calibri" w:hAnsi="Calibri" w:eastAsia="Times New Roman"/>
                <w:color w:val="auto"/>
                <w:sz w:val="22"/>
                <w:szCs w:val="22"/>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66E822D6">
            <w:pPr>
              <w:widowControl/>
              <w:jc w:val="left"/>
              <w:rPr>
                <w:rFonts w:ascii="Calibri" w:hAnsi="Calibri" w:eastAsia="Times New Roman"/>
                <w:color w:val="auto"/>
                <w:sz w:val="22"/>
                <w:szCs w:val="22"/>
                <w:highlight w:val="none"/>
              </w:rPr>
            </w:pPr>
          </w:p>
        </w:tc>
        <w:tc>
          <w:tcPr>
            <w:tcW w:w="1800" w:type="dxa"/>
            <w:tcBorders>
              <w:top w:val="nil"/>
              <w:left w:val="single" w:color="000000" w:sz="4" w:space="0"/>
              <w:bottom w:val="single" w:color="000000" w:sz="4" w:space="0"/>
              <w:right w:val="single" w:color="000000" w:sz="4" w:space="0"/>
            </w:tcBorders>
            <w:vAlign w:val="top"/>
          </w:tcPr>
          <w:p w14:paraId="14BB6F42">
            <w:pPr>
              <w:pStyle w:val="63"/>
              <w:spacing w:line="254" w:lineRule="exact"/>
              <w:ind w:left="7"/>
              <w:rPr>
                <w:rFonts w:ascii="宋体" w:hAnsi="宋体" w:cs="宋体"/>
                <w:color w:val="auto"/>
                <w:sz w:val="20"/>
                <w:szCs w:val="20"/>
                <w:highlight w:val="none"/>
              </w:rPr>
            </w:pPr>
            <w:r>
              <w:rPr>
                <w:rFonts w:hint="eastAsia" w:ascii="宋体" w:hAnsi="宋体" w:cs="宋体"/>
                <w:color w:val="auto"/>
                <w:w w:val="99"/>
                <w:sz w:val="20"/>
                <w:szCs w:val="20"/>
                <w:highlight w:val="none"/>
              </w:rPr>
              <w:t>冷、空</w:t>
            </w:r>
            <w:r>
              <w:rPr>
                <w:rFonts w:hint="eastAsia" w:ascii="宋体" w:hAnsi="宋体" w:cs="宋体"/>
                <w:color w:val="auto"/>
                <w:spacing w:val="2"/>
                <w:w w:val="99"/>
                <w:sz w:val="20"/>
                <w:szCs w:val="20"/>
                <w:highlight w:val="none"/>
              </w:rPr>
              <w:t>调</w:t>
            </w:r>
            <w:r>
              <w:rPr>
                <w:rFonts w:hint="eastAsia" w:ascii="宋体" w:hAnsi="宋体" w:cs="宋体"/>
                <w:color w:val="auto"/>
                <w:w w:val="99"/>
                <w:sz w:val="20"/>
                <w:szCs w:val="20"/>
                <w:highlight w:val="none"/>
              </w:rPr>
              <w:t>设备</w:t>
            </w: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7D255B36">
            <w:pPr>
              <w:widowControl/>
              <w:jc w:val="left"/>
              <w:rPr>
                <w:rFonts w:ascii="宋体" w:hAnsi="宋体" w:eastAsia="Times New Roman" w:cs="宋体"/>
                <w:color w:val="auto"/>
                <w:kern w:val="0"/>
                <w:sz w:val="20"/>
                <w:szCs w:val="20"/>
                <w:highlight w:val="none"/>
                <w:lang w:eastAsia="en-US"/>
              </w:rPr>
            </w:pPr>
          </w:p>
        </w:tc>
        <w:tc>
          <w:tcPr>
            <w:tcW w:w="3971" w:type="dxa"/>
            <w:tcBorders>
              <w:top w:val="nil"/>
              <w:left w:val="single" w:color="000000" w:sz="4" w:space="0"/>
              <w:bottom w:val="single" w:color="000000" w:sz="4" w:space="0"/>
              <w:right w:val="single" w:color="000000" w:sz="4" w:space="0"/>
            </w:tcBorders>
            <w:vAlign w:val="top"/>
          </w:tcPr>
          <w:p w14:paraId="31F031B3">
            <w:pPr>
              <w:pStyle w:val="63"/>
              <w:spacing w:line="254" w:lineRule="exact"/>
              <w:ind w:lef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及能效</w:t>
            </w:r>
            <w:r>
              <w:rPr>
                <w:rFonts w:hint="eastAsia" w:ascii="宋体" w:hAnsi="宋体" w:cs="宋体"/>
                <w:color w:val="auto"/>
                <w:spacing w:val="2"/>
                <w:w w:val="99"/>
                <w:sz w:val="20"/>
                <w:szCs w:val="20"/>
                <w:highlight w:val="none"/>
                <w:lang w:eastAsia="zh-CN"/>
              </w:rPr>
              <w:t>等</w:t>
            </w:r>
            <w:r>
              <w:rPr>
                <w:rFonts w:hint="eastAsia" w:ascii="宋体" w:hAnsi="宋体" w:cs="宋体"/>
                <w:color w:val="auto"/>
                <w:w w:val="99"/>
                <w:sz w:val="20"/>
                <w:szCs w:val="20"/>
                <w:highlight w:val="none"/>
                <w:lang w:eastAsia="zh-CN"/>
              </w:rPr>
              <w:t>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19576</w:t>
            </w:r>
            <w:r>
              <w:rPr>
                <w:rFonts w:hint="eastAsia" w:ascii="宋体" w:hAnsi="宋体" w:cs="宋体"/>
                <w:color w:val="auto"/>
                <w:w w:val="99"/>
                <w:sz w:val="20"/>
                <w:szCs w:val="20"/>
                <w:highlight w:val="none"/>
                <w:lang w:eastAsia="zh-CN"/>
              </w:rPr>
              <w:t>）</w:t>
            </w:r>
          </w:p>
        </w:tc>
      </w:tr>
      <w:tr w14:paraId="6A54789E">
        <w:tblPrEx>
          <w:tblCellMar>
            <w:top w:w="0" w:type="dxa"/>
            <w:left w:w="0" w:type="dxa"/>
            <w:bottom w:w="0" w:type="dxa"/>
            <w:right w:w="0" w:type="dxa"/>
          </w:tblCellMar>
        </w:tblPrEx>
        <w:trPr>
          <w:trHeight w:val="543"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71C60E40">
            <w:pPr>
              <w:widowControl/>
              <w:jc w:val="left"/>
              <w:rPr>
                <w:rFonts w:ascii="Calibri" w:hAnsi="Calibri" w:eastAsia="Times New Roman"/>
                <w:color w:val="auto"/>
                <w:sz w:val="22"/>
                <w:szCs w:val="22"/>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4E5FD1B1">
            <w:pPr>
              <w:widowControl/>
              <w:jc w:val="left"/>
              <w:rPr>
                <w:rFonts w:ascii="Calibri" w:hAnsi="Calibri" w:eastAsia="Times New Roman"/>
                <w:color w:val="auto"/>
                <w:sz w:val="22"/>
                <w:szCs w:val="22"/>
                <w:highlight w:val="none"/>
              </w:rPr>
            </w:pPr>
          </w:p>
        </w:tc>
        <w:tc>
          <w:tcPr>
            <w:tcW w:w="1800" w:type="dxa"/>
            <w:vMerge w:val="restart"/>
            <w:tcBorders>
              <w:top w:val="single" w:color="000000" w:sz="4" w:space="0"/>
              <w:left w:val="single" w:color="000000" w:sz="4" w:space="0"/>
              <w:bottom w:val="nil"/>
              <w:right w:val="single" w:color="000000" w:sz="4" w:space="0"/>
            </w:tcBorders>
            <w:vAlign w:val="top"/>
          </w:tcPr>
          <w:p w14:paraId="4D0B6D37">
            <w:pPr>
              <w:pStyle w:val="63"/>
              <w:rPr>
                <w:rFonts w:ascii="宋体" w:hAnsi="宋体" w:cs="宋体"/>
                <w:color w:val="auto"/>
                <w:sz w:val="20"/>
                <w:szCs w:val="20"/>
                <w:highlight w:val="none"/>
                <w:lang w:eastAsia="zh-CN"/>
              </w:rPr>
            </w:pPr>
          </w:p>
          <w:p w14:paraId="0562838A">
            <w:pPr>
              <w:pStyle w:val="63"/>
              <w:spacing w:before="9"/>
              <w:rPr>
                <w:rFonts w:ascii="宋体" w:hAnsi="宋体" w:cs="宋体"/>
                <w:color w:val="auto"/>
                <w:sz w:val="20"/>
                <w:szCs w:val="20"/>
                <w:highlight w:val="none"/>
                <w:lang w:eastAsia="zh-CN"/>
              </w:rPr>
            </w:pPr>
          </w:p>
          <w:p w14:paraId="059FC3F4">
            <w:pPr>
              <w:pStyle w:val="63"/>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05</w:t>
            </w:r>
            <w:r>
              <w:rPr>
                <w:rFonts w:hint="eastAsia" w:ascii="宋体" w:hAnsi="宋体" w:cs="宋体"/>
                <w:color w:val="auto"/>
                <w:spacing w:val="1"/>
                <w:w w:val="99"/>
                <w:sz w:val="20"/>
                <w:szCs w:val="20"/>
                <w:highlight w:val="none"/>
              </w:rPr>
              <w:t>2</w:t>
            </w:r>
            <w:r>
              <w:rPr>
                <w:rFonts w:hint="eastAsia" w:ascii="宋体" w:hAnsi="宋体" w:cs="宋体"/>
                <w:color w:val="auto"/>
                <w:w w:val="99"/>
                <w:sz w:val="20"/>
                <w:szCs w:val="20"/>
                <w:highlight w:val="none"/>
              </w:rPr>
              <w:t>399其他制冷</w:t>
            </w:r>
          </w:p>
        </w:tc>
        <w:tc>
          <w:tcPr>
            <w:tcW w:w="1915" w:type="dxa"/>
            <w:vMerge w:val="restart"/>
            <w:tcBorders>
              <w:top w:val="single" w:color="000000" w:sz="4" w:space="0"/>
              <w:left w:val="single" w:color="000000" w:sz="4" w:space="0"/>
              <w:bottom w:val="single" w:color="000000" w:sz="4" w:space="0"/>
              <w:right w:val="single" w:color="000000" w:sz="4" w:space="0"/>
            </w:tcBorders>
            <w:vAlign w:val="top"/>
          </w:tcPr>
          <w:p w14:paraId="2B56874B">
            <w:pPr>
              <w:pStyle w:val="63"/>
              <w:rPr>
                <w:rFonts w:ascii="宋体" w:hAnsi="宋体" w:cs="宋体"/>
                <w:color w:val="auto"/>
                <w:sz w:val="20"/>
                <w:szCs w:val="20"/>
                <w:highlight w:val="none"/>
              </w:rPr>
            </w:pPr>
          </w:p>
          <w:p w14:paraId="1EA1FC63">
            <w:pPr>
              <w:pStyle w:val="63"/>
              <w:rPr>
                <w:rFonts w:ascii="宋体" w:hAnsi="宋体" w:cs="宋体"/>
                <w:color w:val="auto"/>
                <w:sz w:val="20"/>
                <w:szCs w:val="20"/>
                <w:highlight w:val="none"/>
              </w:rPr>
            </w:pPr>
          </w:p>
          <w:p w14:paraId="01833EA2">
            <w:pPr>
              <w:pStyle w:val="63"/>
              <w:spacing w:before="164"/>
              <w:ind w:left="7"/>
              <w:rPr>
                <w:rFonts w:ascii="宋体" w:hAnsi="宋体" w:cs="宋体"/>
                <w:color w:val="auto"/>
                <w:sz w:val="20"/>
                <w:szCs w:val="20"/>
                <w:highlight w:val="none"/>
              </w:rPr>
            </w:pPr>
            <w:r>
              <w:rPr>
                <w:rFonts w:hint="eastAsia" w:ascii="宋体" w:hAnsi="宋体" w:cs="宋体"/>
                <w:color w:val="auto"/>
                <w:w w:val="99"/>
                <w:sz w:val="20"/>
                <w:szCs w:val="20"/>
                <w:highlight w:val="none"/>
              </w:rPr>
              <w:t>冷却塔</w:t>
            </w:r>
          </w:p>
        </w:tc>
        <w:tc>
          <w:tcPr>
            <w:tcW w:w="3971" w:type="dxa"/>
            <w:tcBorders>
              <w:top w:val="single" w:color="000000" w:sz="4" w:space="0"/>
              <w:left w:val="single" w:color="000000" w:sz="4" w:space="0"/>
              <w:bottom w:val="nil"/>
              <w:right w:val="single" w:color="000000" w:sz="4" w:space="0"/>
            </w:tcBorders>
            <w:vAlign w:val="top"/>
          </w:tcPr>
          <w:p w14:paraId="5E1965D7">
            <w:pPr>
              <w:pStyle w:val="63"/>
              <w:spacing w:before="11"/>
              <w:rPr>
                <w:rFonts w:ascii="宋体" w:hAnsi="宋体" w:cs="宋体"/>
                <w:color w:val="auto"/>
                <w:sz w:val="16"/>
                <w:szCs w:val="16"/>
                <w:highlight w:val="none"/>
                <w:lang w:eastAsia="zh-CN"/>
              </w:rPr>
            </w:pPr>
          </w:p>
          <w:p w14:paraId="6F7B40C8">
            <w:pPr>
              <w:pStyle w:val="63"/>
              <w:ind w:lef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《机械</w:t>
            </w:r>
            <w:r>
              <w:rPr>
                <w:rFonts w:hint="eastAsia" w:ascii="宋体" w:hAnsi="宋体" w:cs="宋体"/>
                <w:color w:val="auto"/>
                <w:spacing w:val="2"/>
                <w:w w:val="99"/>
                <w:sz w:val="20"/>
                <w:szCs w:val="20"/>
                <w:highlight w:val="none"/>
                <w:lang w:eastAsia="zh-CN"/>
              </w:rPr>
              <w:t>通</w:t>
            </w:r>
            <w:r>
              <w:rPr>
                <w:rFonts w:hint="eastAsia" w:ascii="宋体" w:hAnsi="宋体" w:cs="宋体"/>
                <w:color w:val="auto"/>
                <w:w w:val="99"/>
                <w:sz w:val="20"/>
                <w:szCs w:val="20"/>
                <w:highlight w:val="none"/>
                <w:lang w:eastAsia="zh-CN"/>
              </w:rPr>
              <w:t>风冷</w:t>
            </w:r>
            <w:r>
              <w:rPr>
                <w:rFonts w:hint="eastAsia" w:ascii="宋体" w:hAnsi="宋体" w:cs="宋体"/>
                <w:color w:val="auto"/>
                <w:spacing w:val="2"/>
                <w:w w:val="99"/>
                <w:sz w:val="20"/>
                <w:szCs w:val="20"/>
                <w:highlight w:val="none"/>
                <w:lang w:eastAsia="zh-CN"/>
              </w:rPr>
              <w:t>却</w:t>
            </w:r>
            <w:r>
              <w:rPr>
                <w:rFonts w:hint="eastAsia" w:ascii="宋体" w:hAnsi="宋体" w:cs="宋体"/>
                <w:color w:val="auto"/>
                <w:w w:val="99"/>
                <w:sz w:val="20"/>
                <w:szCs w:val="20"/>
                <w:highlight w:val="none"/>
                <w:lang w:eastAsia="zh-CN"/>
              </w:rPr>
              <w:t>塔第1部分：中</w:t>
            </w:r>
          </w:p>
        </w:tc>
      </w:tr>
      <w:tr w14:paraId="653FE1B5">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6AC7DD27">
            <w:pPr>
              <w:widowControl/>
              <w:jc w:val="left"/>
              <w:rPr>
                <w:rFonts w:ascii="Calibri" w:hAnsi="Calibri" w:eastAsia="Times New Roman"/>
                <w:color w:val="auto"/>
                <w:sz w:val="22"/>
                <w:szCs w:val="22"/>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4CFC1837">
            <w:pPr>
              <w:widowControl/>
              <w:jc w:val="left"/>
              <w:rPr>
                <w:rFonts w:ascii="Calibri" w:hAnsi="Calibri" w:eastAsia="Times New Roman"/>
                <w:color w:val="auto"/>
                <w:sz w:val="22"/>
                <w:szCs w:val="22"/>
                <w:highlight w:val="none"/>
              </w:rPr>
            </w:pPr>
          </w:p>
        </w:tc>
        <w:tc>
          <w:tcPr>
            <w:tcW w:w="1800" w:type="dxa"/>
            <w:vMerge w:val="continue"/>
            <w:tcBorders>
              <w:top w:val="single" w:color="000000" w:sz="4" w:space="0"/>
              <w:left w:val="single" w:color="000000" w:sz="4" w:space="0"/>
              <w:bottom w:val="nil"/>
              <w:right w:val="single" w:color="000000" w:sz="4" w:space="0"/>
            </w:tcBorders>
            <w:vAlign w:val="center"/>
          </w:tcPr>
          <w:p w14:paraId="57A6AE5F">
            <w:pPr>
              <w:widowControl/>
              <w:jc w:val="left"/>
              <w:rPr>
                <w:rFonts w:ascii="宋体" w:hAnsi="宋体" w:eastAsia="Times New Roman" w:cs="宋体"/>
                <w:color w:val="auto"/>
                <w:kern w:val="0"/>
                <w:sz w:val="20"/>
                <w:szCs w:val="20"/>
                <w:highlight w:val="none"/>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46654DEC">
            <w:pPr>
              <w:widowControl/>
              <w:jc w:val="left"/>
              <w:rPr>
                <w:rFonts w:ascii="宋体" w:hAnsi="宋体" w:eastAsia="Times New Roman" w:cs="宋体"/>
                <w:color w:val="auto"/>
                <w:kern w:val="0"/>
                <w:sz w:val="20"/>
                <w:szCs w:val="20"/>
                <w:highlight w:val="none"/>
              </w:rPr>
            </w:pPr>
          </w:p>
        </w:tc>
        <w:tc>
          <w:tcPr>
            <w:tcW w:w="3971" w:type="dxa"/>
            <w:tcBorders>
              <w:top w:val="nil"/>
              <w:left w:val="single" w:color="000000" w:sz="4" w:space="0"/>
              <w:bottom w:val="nil"/>
              <w:right w:val="single" w:color="000000" w:sz="4" w:space="0"/>
            </w:tcBorders>
            <w:vAlign w:val="top"/>
          </w:tcPr>
          <w:p w14:paraId="227EAFDE">
            <w:pPr>
              <w:pStyle w:val="63"/>
              <w:spacing w:line="256" w:lineRule="exact"/>
              <w:ind w:lef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小型开</w:t>
            </w:r>
            <w:r>
              <w:rPr>
                <w:rFonts w:hint="eastAsia" w:ascii="宋体" w:hAnsi="宋体" w:cs="宋体"/>
                <w:color w:val="auto"/>
                <w:spacing w:val="2"/>
                <w:w w:val="99"/>
                <w:sz w:val="20"/>
                <w:szCs w:val="20"/>
                <w:highlight w:val="none"/>
                <w:lang w:eastAsia="zh-CN"/>
              </w:rPr>
              <w:t>式</w:t>
            </w:r>
            <w:r>
              <w:rPr>
                <w:rFonts w:hint="eastAsia" w:ascii="宋体" w:hAnsi="宋体" w:cs="宋体"/>
                <w:color w:val="auto"/>
                <w:w w:val="99"/>
                <w:sz w:val="20"/>
                <w:szCs w:val="20"/>
                <w:highlight w:val="none"/>
                <w:lang w:eastAsia="zh-CN"/>
              </w:rPr>
              <w:t>冷却</w:t>
            </w:r>
            <w:r>
              <w:rPr>
                <w:rFonts w:hint="eastAsia" w:ascii="宋体" w:hAnsi="宋体" w:cs="宋体"/>
                <w:color w:val="auto"/>
                <w:spacing w:val="2"/>
                <w:w w:val="99"/>
                <w:sz w:val="20"/>
                <w:szCs w:val="20"/>
                <w:highlight w:val="none"/>
                <w:lang w:eastAsia="zh-CN"/>
              </w:rPr>
              <w:t>塔</w:t>
            </w:r>
            <w:r>
              <w:rPr>
                <w:rFonts w:hint="eastAsia" w:ascii="宋体" w:hAnsi="宋体" w:cs="宋体"/>
                <w:color w:val="auto"/>
                <w:spacing w:val="-171"/>
                <w:w w:val="99"/>
                <w:sz w:val="20"/>
                <w:szCs w:val="20"/>
                <w:highlight w:val="none"/>
                <w:lang w:eastAsia="zh-CN"/>
              </w:rPr>
              <w:t>》</w:t>
            </w:r>
            <w:r>
              <w:rPr>
                <w:rFonts w:hint="eastAsia" w:ascii="宋体" w:hAnsi="宋体" w:cs="宋体"/>
                <w:color w:val="auto"/>
                <w:spacing w:val="-1"/>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w:t>
            </w:r>
            <w:r>
              <w:rPr>
                <w:rFonts w:hint="eastAsia" w:ascii="宋体" w:hAnsi="宋体" w:cs="宋体"/>
                <w:color w:val="auto"/>
                <w:w w:val="99"/>
                <w:sz w:val="20"/>
                <w:szCs w:val="20"/>
                <w:highlight w:val="none"/>
                <w:lang w:eastAsia="zh-CN"/>
              </w:rPr>
              <w:t>T7190</w:t>
            </w:r>
            <w:r>
              <w:rPr>
                <w:rFonts w:hint="eastAsia" w:ascii="宋体" w:hAnsi="宋体" w:cs="宋体"/>
                <w:color w:val="auto"/>
                <w:spacing w:val="1"/>
                <w:w w:val="99"/>
                <w:sz w:val="20"/>
                <w:szCs w:val="20"/>
                <w:highlight w:val="none"/>
                <w:lang w:eastAsia="zh-CN"/>
              </w:rPr>
              <w:t>.1</w:t>
            </w:r>
            <w:r>
              <w:rPr>
                <w:rFonts w:hint="eastAsia" w:ascii="宋体" w:hAnsi="宋体" w:cs="宋体"/>
                <w:color w:val="auto"/>
                <w:spacing w:val="-87"/>
                <w:w w:val="99"/>
                <w:sz w:val="20"/>
                <w:szCs w:val="20"/>
                <w:highlight w:val="none"/>
                <w:lang w:eastAsia="zh-CN"/>
              </w:rPr>
              <w:t>）</w:t>
            </w:r>
          </w:p>
        </w:tc>
      </w:tr>
      <w:tr w14:paraId="084CD9AA">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16ECEA59">
            <w:pPr>
              <w:widowControl/>
              <w:jc w:val="left"/>
              <w:rPr>
                <w:rFonts w:ascii="Calibri" w:hAnsi="Calibri" w:eastAsia="Times New Roman"/>
                <w:color w:val="auto"/>
                <w:sz w:val="22"/>
                <w:szCs w:val="22"/>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16F6B67A">
            <w:pPr>
              <w:widowControl/>
              <w:jc w:val="left"/>
              <w:rPr>
                <w:rFonts w:ascii="Calibri" w:hAnsi="Calibri" w:eastAsia="Times New Roman"/>
                <w:color w:val="auto"/>
                <w:sz w:val="22"/>
                <w:szCs w:val="22"/>
                <w:highlight w:val="none"/>
              </w:rPr>
            </w:pPr>
          </w:p>
        </w:tc>
        <w:tc>
          <w:tcPr>
            <w:tcW w:w="1800" w:type="dxa"/>
            <w:vMerge w:val="restart"/>
            <w:tcBorders>
              <w:top w:val="nil"/>
              <w:left w:val="single" w:color="000000" w:sz="4" w:space="0"/>
              <w:bottom w:val="single" w:color="000000" w:sz="4" w:space="0"/>
              <w:right w:val="single" w:color="000000" w:sz="4" w:space="0"/>
            </w:tcBorders>
            <w:vAlign w:val="top"/>
          </w:tcPr>
          <w:p w14:paraId="66711BB1">
            <w:pPr>
              <w:pStyle w:val="63"/>
              <w:spacing w:line="256" w:lineRule="exact"/>
              <w:ind w:left="7"/>
              <w:rPr>
                <w:rFonts w:ascii="宋体" w:hAnsi="宋体" w:cs="宋体"/>
                <w:color w:val="auto"/>
                <w:sz w:val="20"/>
                <w:szCs w:val="20"/>
                <w:highlight w:val="none"/>
              </w:rPr>
            </w:pPr>
            <w:r>
              <w:rPr>
                <w:rFonts w:hint="eastAsia" w:ascii="宋体" w:hAnsi="宋体" w:cs="宋体"/>
                <w:color w:val="auto"/>
                <w:w w:val="99"/>
                <w:sz w:val="20"/>
                <w:szCs w:val="20"/>
                <w:highlight w:val="none"/>
              </w:rPr>
              <w:t>空调设备</w:t>
            </w: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3CF3526A">
            <w:pPr>
              <w:widowControl/>
              <w:jc w:val="left"/>
              <w:rPr>
                <w:rFonts w:ascii="宋体" w:hAnsi="宋体" w:eastAsia="Times New Roman" w:cs="宋体"/>
                <w:color w:val="auto"/>
                <w:kern w:val="0"/>
                <w:sz w:val="20"/>
                <w:szCs w:val="20"/>
                <w:highlight w:val="none"/>
                <w:lang w:eastAsia="en-US"/>
              </w:rPr>
            </w:pPr>
          </w:p>
        </w:tc>
        <w:tc>
          <w:tcPr>
            <w:tcW w:w="3971" w:type="dxa"/>
            <w:tcBorders>
              <w:top w:val="nil"/>
              <w:left w:val="single" w:color="000000" w:sz="4" w:space="0"/>
              <w:bottom w:val="nil"/>
              <w:right w:val="single" w:color="000000" w:sz="4" w:space="0"/>
            </w:tcBorders>
            <w:vAlign w:val="top"/>
          </w:tcPr>
          <w:p w14:paraId="1ACA0C63">
            <w:pPr>
              <w:pStyle w:val="63"/>
              <w:spacing w:line="256" w:lineRule="exact"/>
              <w:ind w:lef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《机械</w:t>
            </w:r>
            <w:r>
              <w:rPr>
                <w:rFonts w:hint="eastAsia" w:ascii="宋体" w:hAnsi="宋体" w:cs="宋体"/>
                <w:color w:val="auto"/>
                <w:spacing w:val="2"/>
                <w:w w:val="99"/>
                <w:sz w:val="20"/>
                <w:szCs w:val="20"/>
                <w:highlight w:val="none"/>
                <w:lang w:eastAsia="zh-CN"/>
              </w:rPr>
              <w:t>通</w:t>
            </w:r>
            <w:r>
              <w:rPr>
                <w:rFonts w:hint="eastAsia" w:ascii="宋体" w:hAnsi="宋体" w:cs="宋体"/>
                <w:color w:val="auto"/>
                <w:w w:val="99"/>
                <w:sz w:val="20"/>
                <w:szCs w:val="20"/>
                <w:highlight w:val="none"/>
                <w:lang w:eastAsia="zh-CN"/>
              </w:rPr>
              <w:t>风冷</w:t>
            </w:r>
            <w:r>
              <w:rPr>
                <w:rFonts w:hint="eastAsia" w:ascii="宋体" w:hAnsi="宋体" w:cs="宋体"/>
                <w:color w:val="auto"/>
                <w:spacing w:val="2"/>
                <w:w w:val="99"/>
                <w:sz w:val="20"/>
                <w:szCs w:val="20"/>
                <w:highlight w:val="none"/>
                <w:lang w:eastAsia="zh-CN"/>
              </w:rPr>
              <w:t>却</w:t>
            </w:r>
            <w:r>
              <w:rPr>
                <w:rFonts w:hint="eastAsia" w:ascii="宋体" w:hAnsi="宋体" w:cs="宋体"/>
                <w:color w:val="auto"/>
                <w:w w:val="99"/>
                <w:sz w:val="20"/>
                <w:szCs w:val="20"/>
                <w:highlight w:val="none"/>
                <w:lang w:eastAsia="zh-CN"/>
              </w:rPr>
              <w:t>塔第2部分：大</w:t>
            </w:r>
          </w:p>
        </w:tc>
      </w:tr>
      <w:tr w14:paraId="0BB4B35E">
        <w:tblPrEx>
          <w:tblCellMar>
            <w:top w:w="0" w:type="dxa"/>
            <w:left w:w="0" w:type="dxa"/>
            <w:bottom w:w="0" w:type="dxa"/>
            <w:right w:w="0" w:type="dxa"/>
          </w:tblCellMar>
        </w:tblPrEx>
        <w:trPr>
          <w:trHeight w:val="535"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3CCECF1C">
            <w:pPr>
              <w:widowControl/>
              <w:jc w:val="left"/>
              <w:rPr>
                <w:rFonts w:ascii="Calibri" w:hAnsi="Calibri" w:eastAsia="Times New Roman"/>
                <w:color w:val="auto"/>
                <w:sz w:val="22"/>
                <w:szCs w:val="22"/>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697568C9">
            <w:pPr>
              <w:widowControl/>
              <w:jc w:val="left"/>
              <w:rPr>
                <w:rFonts w:ascii="Calibri" w:hAnsi="Calibri" w:eastAsia="Times New Roman"/>
                <w:color w:val="auto"/>
                <w:sz w:val="22"/>
                <w:szCs w:val="22"/>
                <w:highlight w:val="none"/>
              </w:rPr>
            </w:pPr>
          </w:p>
        </w:tc>
        <w:tc>
          <w:tcPr>
            <w:tcW w:w="1800" w:type="dxa"/>
            <w:vMerge w:val="continue"/>
            <w:tcBorders>
              <w:top w:val="nil"/>
              <w:left w:val="single" w:color="000000" w:sz="4" w:space="0"/>
              <w:bottom w:val="single" w:color="000000" w:sz="4" w:space="0"/>
              <w:right w:val="single" w:color="000000" w:sz="4" w:space="0"/>
            </w:tcBorders>
            <w:vAlign w:val="center"/>
          </w:tcPr>
          <w:p w14:paraId="1EA91DCF">
            <w:pPr>
              <w:widowControl/>
              <w:jc w:val="left"/>
              <w:rPr>
                <w:rFonts w:ascii="宋体" w:hAnsi="宋体" w:eastAsia="Times New Roman" w:cs="宋体"/>
                <w:color w:val="auto"/>
                <w:kern w:val="0"/>
                <w:sz w:val="20"/>
                <w:szCs w:val="20"/>
                <w:highlight w:val="none"/>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343F353F">
            <w:pPr>
              <w:widowControl/>
              <w:jc w:val="left"/>
              <w:rPr>
                <w:rFonts w:ascii="宋体" w:hAnsi="宋体" w:eastAsia="Times New Roman" w:cs="宋体"/>
                <w:color w:val="auto"/>
                <w:kern w:val="0"/>
                <w:sz w:val="20"/>
                <w:szCs w:val="20"/>
                <w:highlight w:val="none"/>
              </w:rPr>
            </w:pPr>
          </w:p>
        </w:tc>
        <w:tc>
          <w:tcPr>
            <w:tcW w:w="3971" w:type="dxa"/>
            <w:tcBorders>
              <w:top w:val="nil"/>
              <w:left w:val="single" w:color="000000" w:sz="4" w:space="0"/>
              <w:bottom w:val="single" w:color="000000" w:sz="4" w:space="0"/>
              <w:right w:val="single" w:color="000000" w:sz="4" w:space="0"/>
            </w:tcBorders>
            <w:vAlign w:val="top"/>
          </w:tcPr>
          <w:p w14:paraId="7C0D1477">
            <w:pPr>
              <w:pStyle w:val="63"/>
              <w:spacing w:line="256" w:lineRule="exact"/>
              <w:ind w:lef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型开式</w:t>
            </w:r>
            <w:r>
              <w:rPr>
                <w:rFonts w:hint="eastAsia" w:ascii="宋体" w:hAnsi="宋体" w:cs="宋体"/>
                <w:color w:val="auto"/>
                <w:spacing w:val="2"/>
                <w:w w:val="99"/>
                <w:sz w:val="20"/>
                <w:szCs w:val="20"/>
                <w:highlight w:val="none"/>
                <w:lang w:eastAsia="zh-CN"/>
              </w:rPr>
              <w:t>冷</w:t>
            </w:r>
            <w:r>
              <w:rPr>
                <w:rFonts w:hint="eastAsia" w:ascii="宋体" w:hAnsi="宋体" w:cs="宋体"/>
                <w:color w:val="auto"/>
                <w:w w:val="99"/>
                <w:sz w:val="20"/>
                <w:szCs w:val="20"/>
                <w:highlight w:val="none"/>
                <w:lang w:eastAsia="zh-CN"/>
              </w:rPr>
              <w:t>却塔</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w:t>
            </w:r>
            <w:r>
              <w:rPr>
                <w:rFonts w:hint="eastAsia" w:ascii="宋体" w:hAnsi="宋体" w:cs="宋体"/>
                <w:color w:val="auto"/>
                <w:w w:val="99"/>
                <w:sz w:val="20"/>
                <w:szCs w:val="20"/>
                <w:highlight w:val="none"/>
                <w:lang w:eastAsia="zh-CN"/>
              </w:rPr>
              <w:t>T719</w:t>
            </w:r>
            <w:r>
              <w:rPr>
                <w:rFonts w:hint="eastAsia" w:ascii="宋体" w:hAnsi="宋体" w:cs="宋体"/>
                <w:color w:val="auto"/>
                <w:spacing w:val="1"/>
                <w:w w:val="99"/>
                <w:sz w:val="20"/>
                <w:szCs w:val="20"/>
                <w:highlight w:val="none"/>
                <w:lang w:eastAsia="zh-CN"/>
              </w:rPr>
              <w:t>0.</w:t>
            </w:r>
            <w:r>
              <w:rPr>
                <w:rFonts w:hint="eastAsia" w:ascii="宋体" w:hAnsi="宋体" w:cs="宋体"/>
                <w:color w:val="auto"/>
                <w:w w:val="99"/>
                <w:sz w:val="20"/>
                <w:szCs w:val="20"/>
                <w:highlight w:val="none"/>
                <w:lang w:eastAsia="zh-CN"/>
              </w:rPr>
              <w:t>2</w:t>
            </w:r>
          </w:p>
        </w:tc>
      </w:tr>
      <w:tr w14:paraId="4615132E">
        <w:tblPrEx>
          <w:tblCellMar>
            <w:top w:w="0" w:type="dxa"/>
            <w:left w:w="0" w:type="dxa"/>
            <w:bottom w:w="0" w:type="dxa"/>
            <w:right w:w="0" w:type="dxa"/>
          </w:tblCellMar>
        </w:tblPrEx>
        <w:trPr>
          <w:trHeight w:val="742" w:hRule="exact"/>
        </w:trPr>
        <w:tc>
          <w:tcPr>
            <w:tcW w:w="574" w:type="dxa"/>
            <w:tcBorders>
              <w:top w:val="single" w:color="000000" w:sz="4" w:space="0"/>
              <w:left w:val="single" w:color="000000" w:sz="4" w:space="0"/>
              <w:bottom w:val="single" w:color="000000" w:sz="4" w:space="0"/>
              <w:right w:val="single" w:color="000000" w:sz="4" w:space="0"/>
            </w:tcBorders>
            <w:vAlign w:val="top"/>
          </w:tcPr>
          <w:p w14:paraId="362131F4">
            <w:pPr>
              <w:pStyle w:val="63"/>
              <w:spacing w:before="12"/>
              <w:rPr>
                <w:rFonts w:ascii="宋体" w:hAnsi="宋体" w:cs="宋体"/>
                <w:color w:val="auto"/>
                <w:sz w:val="15"/>
                <w:szCs w:val="15"/>
                <w:highlight w:val="none"/>
                <w:lang w:eastAsia="zh-CN"/>
              </w:rPr>
            </w:pPr>
          </w:p>
          <w:p w14:paraId="13A681E7">
            <w:pPr>
              <w:pStyle w:val="63"/>
              <w:ind w:right="1"/>
              <w:jc w:val="center"/>
              <w:rPr>
                <w:rFonts w:ascii="宋体" w:hAnsi="宋体" w:cs="宋体"/>
                <w:color w:val="auto"/>
                <w:sz w:val="20"/>
                <w:szCs w:val="20"/>
                <w:highlight w:val="none"/>
              </w:rPr>
            </w:pPr>
            <w:r>
              <w:rPr>
                <w:rFonts w:hint="eastAsia" w:ascii="宋体"/>
                <w:color w:val="auto"/>
                <w:w w:val="99"/>
                <w:sz w:val="20"/>
                <w:highlight w:val="none"/>
              </w:rPr>
              <w:t>7</w:t>
            </w:r>
          </w:p>
        </w:tc>
        <w:tc>
          <w:tcPr>
            <w:tcW w:w="1166" w:type="dxa"/>
            <w:tcBorders>
              <w:top w:val="single" w:color="000000" w:sz="4" w:space="0"/>
              <w:left w:val="single" w:color="000000" w:sz="4" w:space="0"/>
              <w:bottom w:val="single" w:color="000000" w:sz="4" w:space="0"/>
              <w:right w:val="single" w:color="000000" w:sz="4" w:space="0"/>
            </w:tcBorders>
            <w:vAlign w:val="top"/>
          </w:tcPr>
          <w:p w14:paraId="555A6875">
            <w:pPr>
              <w:pStyle w:val="63"/>
              <w:spacing w:before="12"/>
              <w:rPr>
                <w:rFonts w:ascii="宋体" w:hAnsi="宋体" w:cs="宋体"/>
                <w:color w:val="auto"/>
                <w:sz w:val="15"/>
                <w:szCs w:val="15"/>
                <w:highlight w:val="none"/>
              </w:rPr>
            </w:pPr>
          </w:p>
          <w:p w14:paraId="4902C022">
            <w:pPr>
              <w:pStyle w:val="63"/>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1电机</w:t>
            </w:r>
          </w:p>
        </w:tc>
        <w:tc>
          <w:tcPr>
            <w:tcW w:w="1800" w:type="dxa"/>
            <w:tcBorders>
              <w:top w:val="single" w:color="000000" w:sz="4" w:space="0"/>
              <w:left w:val="single" w:color="000000" w:sz="4" w:space="0"/>
              <w:bottom w:val="single" w:color="000000" w:sz="4" w:space="0"/>
              <w:right w:val="single" w:color="000000" w:sz="4" w:space="0"/>
            </w:tcBorders>
            <w:vAlign w:val="top"/>
          </w:tcPr>
          <w:p w14:paraId="4ABAD6A0">
            <w:pPr>
              <w:rPr>
                <w:rFonts w:ascii="Calibri" w:hAnsi="Calibri"/>
                <w:color w:val="auto"/>
                <w:sz w:val="22"/>
                <w:szCs w:val="22"/>
                <w:highlight w:val="none"/>
              </w:rPr>
            </w:pPr>
          </w:p>
        </w:tc>
        <w:tc>
          <w:tcPr>
            <w:tcW w:w="1915" w:type="dxa"/>
            <w:tcBorders>
              <w:top w:val="single" w:color="000000" w:sz="4" w:space="0"/>
              <w:left w:val="single" w:color="000000" w:sz="4" w:space="0"/>
              <w:bottom w:val="single" w:color="000000" w:sz="4" w:space="0"/>
              <w:right w:val="single" w:color="000000" w:sz="4" w:space="0"/>
            </w:tcBorders>
            <w:vAlign w:val="top"/>
          </w:tcPr>
          <w:p w14:paraId="06943753">
            <w:pPr>
              <w:rPr>
                <w:rFonts w:ascii="Calibri" w:hAnsi="Calibri"/>
                <w:color w:val="auto"/>
                <w:sz w:val="22"/>
                <w:szCs w:val="22"/>
                <w:highlight w:val="none"/>
              </w:rPr>
            </w:pPr>
          </w:p>
        </w:tc>
        <w:tc>
          <w:tcPr>
            <w:tcW w:w="3971" w:type="dxa"/>
            <w:tcBorders>
              <w:top w:val="single" w:color="000000" w:sz="4" w:space="0"/>
              <w:left w:val="single" w:color="000000" w:sz="4" w:space="0"/>
              <w:bottom w:val="single" w:color="000000" w:sz="4" w:space="0"/>
              <w:right w:val="single" w:color="000000" w:sz="4" w:space="0"/>
            </w:tcBorders>
            <w:vAlign w:val="top"/>
          </w:tcPr>
          <w:p w14:paraId="2BBDBC44">
            <w:pPr>
              <w:pStyle w:val="63"/>
              <w:spacing w:before="52" w:line="280"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《中小型三相异步电动</w:t>
            </w:r>
            <w:r>
              <w:rPr>
                <w:rFonts w:hint="eastAsia" w:ascii="宋体" w:hAnsi="宋体" w:cs="宋体"/>
                <w:color w:val="auto"/>
                <w:spacing w:val="9"/>
                <w:w w:val="99"/>
                <w:sz w:val="20"/>
                <w:szCs w:val="20"/>
                <w:highlight w:val="none"/>
                <w:lang w:eastAsia="zh-CN"/>
              </w:rPr>
              <w:t>机</w:t>
            </w:r>
            <w:r>
              <w:rPr>
                <w:rFonts w:hint="eastAsia" w:ascii="宋体" w:hAnsi="宋体" w:cs="宋体"/>
                <w:color w:val="auto"/>
                <w:spacing w:val="12"/>
                <w:w w:val="99"/>
                <w:sz w:val="20"/>
                <w:szCs w:val="20"/>
                <w:highlight w:val="none"/>
                <w:lang w:eastAsia="zh-CN"/>
              </w:rPr>
              <w:t>能效</w:t>
            </w:r>
            <w:r>
              <w:rPr>
                <w:rFonts w:hint="eastAsia" w:ascii="宋体" w:hAnsi="宋体" w:cs="宋体"/>
                <w:color w:val="auto"/>
                <w:w w:val="99"/>
                <w:sz w:val="20"/>
                <w:szCs w:val="20"/>
                <w:highlight w:val="none"/>
                <w:lang w:eastAsia="zh-CN"/>
              </w:rPr>
              <w:t>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18</w:t>
            </w:r>
            <w:r>
              <w:rPr>
                <w:rFonts w:hint="eastAsia" w:ascii="宋体" w:hAnsi="宋体" w:cs="宋体"/>
                <w:color w:val="auto"/>
                <w:w w:val="99"/>
                <w:sz w:val="20"/>
                <w:szCs w:val="20"/>
                <w:highlight w:val="none"/>
                <w:lang w:eastAsia="zh-CN"/>
              </w:rPr>
              <w:t>61</w:t>
            </w:r>
            <w:r>
              <w:rPr>
                <w:rFonts w:hint="eastAsia" w:ascii="宋体" w:hAnsi="宋体" w:cs="宋体"/>
                <w:color w:val="auto"/>
                <w:spacing w:val="1"/>
                <w:w w:val="99"/>
                <w:sz w:val="20"/>
                <w:szCs w:val="20"/>
                <w:highlight w:val="none"/>
                <w:lang w:eastAsia="zh-CN"/>
              </w:rPr>
              <w:t>3</w:t>
            </w:r>
            <w:r>
              <w:rPr>
                <w:rFonts w:hint="eastAsia" w:ascii="宋体" w:hAnsi="宋体" w:cs="宋体"/>
                <w:color w:val="auto"/>
                <w:w w:val="99"/>
                <w:sz w:val="20"/>
                <w:szCs w:val="20"/>
                <w:highlight w:val="none"/>
                <w:lang w:eastAsia="zh-CN"/>
              </w:rPr>
              <w:t>）</w:t>
            </w:r>
          </w:p>
        </w:tc>
      </w:tr>
      <w:tr w14:paraId="564D3B35">
        <w:tblPrEx>
          <w:tblCellMar>
            <w:top w:w="0" w:type="dxa"/>
            <w:left w:w="0" w:type="dxa"/>
            <w:bottom w:w="0" w:type="dxa"/>
            <w:right w:w="0" w:type="dxa"/>
          </w:tblCellMar>
        </w:tblPrEx>
        <w:trPr>
          <w:trHeight w:val="353" w:hRule="exact"/>
        </w:trPr>
        <w:tc>
          <w:tcPr>
            <w:tcW w:w="574" w:type="dxa"/>
            <w:vMerge w:val="restart"/>
            <w:tcBorders>
              <w:top w:val="single" w:color="000000" w:sz="4" w:space="0"/>
              <w:left w:val="single" w:color="000000" w:sz="4" w:space="0"/>
              <w:bottom w:val="single" w:color="000000" w:sz="4" w:space="0"/>
              <w:right w:val="single" w:color="000000" w:sz="4" w:space="0"/>
            </w:tcBorders>
            <w:vAlign w:val="top"/>
          </w:tcPr>
          <w:p w14:paraId="33DD9E5B">
            <w:pPr>
              <w:pStyle w:val="63"/>
              <w:spacing w:before="3"/>
              <w:rPr>
                <w:rFonts w:ascii="宋体" w:hAnsi="宋体" w:cs="宋体"/>
                <w:color w:val="auto"/>
                <w:sz w:val="14"/>
                <w:szCs w:val="14"/>
                <w:highlight w:val="none"/>
                <w:lang w:eastAsia="zh-CN"/>
              </w:rPr>
            </w:pPr>
          </w:p>
          <w:p w14:paraId="28C2E253">
            <w:pPr>
              <w:pStyle w:val="63"/>
              <w:ind w:right="1"/>
              <w:jc w:val="center"/>
              <w:rPr>
                <w:rFonts w:ascii="宋体" w:hAnsi="宋体" w:cs="宋体"/>
                <w:color w:val="auto"/>
                <w:sz w:val="20"/>
                <w:szCs w:val="20"/>
                <w:highlight w:val="none"/>
              </w:rPr>
            </w:pPr>
            <w:r>
              <w:rPr>
                <w:rFonts w:hint="eastAsia" w:ascii="宋体"/>
                <w:color w:val="auto"/>
                <w:w w:val="99"/>
                <w:sz w:val="20"/>
                <w:highlight w:val="none"/>
              </w:rPr>
              <w:t>8</w:t>
            </w:r>
          </w:p>
        </w:tc>
        <w:tc>
          <w:tcPr>
            <w:tcW w:w="1166" w:type="dxa"/>
            <w:tcBorders>
              <w:top w:val="single" w:color="000000" w:sz="4" w:space="0"/>
              <w:left w:val="single" w:color="000000" w:sz="4" w:space="0"/>
              <w:bottom w:val="nil"/>
              <w:right w:val="single" w:color="000000" w:sz="4" w:space="0"/>
            </w:tcBorders>
            <w:vAlign w:val="top"/>
          </w:tcPr>
          <w:p w14:paraId="4358BA63">
            <w:pPr>
              <w:pStyle w:val="63"/>
              <w:spacing w:before="30"/>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2变压</w:t>
            </w:r>
          </w:p>
        </w:tc>
        <w:tc>
          <w:tcPr>
            <w:tcW w:w="1800" w:type="dxa"/>
            <w:vMerge w:val="restart"/>
            <w:tcBorders>
              <w:top w:val="single" w:color="000000" w:sz="4" w:space="0"/>
              <w:left w:val="single" w:color="000000" w:sz="4" w:space="0"/>
              <w:bottom w:val="single" w:color="000000" w:sz="4" w:space="0"/>
              <w:right w:val="single" w:color="000000" w:sz="4" w:space="0"/>
            </w:tcBorders>
            <w:vAlign w:val="top"/>
          </w:tcPr>
          <w:p w14:paraId="3B75E09C">
            <w:pPr>
              <w:pStyle w:val="63"/>
              <w:spacing w:before="3"/>
              <w:rPr>
                <w:rFonts w:ascii="宋体" w:hAnsi="宋体" w:cs="宋体"/>
                <w:color w:val="auto"/>
                <w:sz w:val="14"/>
                <w:szCs w:val="14"/>
                <w:highlight w:val="none"/>
              </w:rPr>
            </w:pPr>
          </w:p>
          <w:p w14:paraId="75EC0774">
            <w:pPr>
              <w:pStyle w:val="63"/>
              <w:ind w:left="7"/>
              <w:rPr>
                <w:rFonts w:ascii="宋体" w:hAnsi="宋体" w:cs="宋体"/>
                <w:color w:val="auto"/>
                <w:sz w:val="20"/>
                <w:szCs w:val="20"/>
                <w:highlight w:val="none"/>
              </w:rPr>
            </w:pPr>
            <w:r>
              <w:rPr>
                <w:rFonts w:hint="eastAsia" w:ascii="宋体" w:hAnsi="宋体" w:cs="宋体"/>
                <w:color w:val="auto"/>
                <w:w w:val="99"/>
                <w:sz w:val="20"/>
                <w:szCs w:val="20"/>
                <w:highlight w:val="none"/>
              </w:rPr>
              <w:t>配电变</w:t>
            </w:r>
            <w:r>
              <w:rPr>
                <w:rFonts w:hint="eastAsia" w:ascii="宋体" w:hAnsi="宋体" w:cs="宋体"/>
                <w:color w:val="auto"/>
                <w:spacing w:val="2"/>
                <w:w w:val="99"/>
                <w:sz w:val="20"/>
                <w:szCs w:val="20"/>
                <w:highlight w:val="none"/>
              </w:rPr>
              <w:t>压</w:t>
            </w:r>
            <w:r>
              <w:rPr>
                <w:rFonts w:hint="eastAsia" w:ascii="宋体" w:hAnsi="宋体" w:cs="宋体"/>
                <w:color w:val="auto"/>
                <w:w w:val="99"/>
                <w:sz w:val="20"/>
                <w:szCs w:val="20"/>
                <w:highlight w:val="none"/>
              </w:rPr>
              <w:t>器</w:t>
            </w:r>
          </w:p>
        </w:tc>
        <w:tc>
          <w:tcPr>
            <w:tcW w:w="1915" w:type="dxa"/>
            <w:vMerge w:val="restart"/>
            <w:tcBorders>
              <w:top w:val="single" w:color="000000" w:sz="4" w:space="0"/>
              <w:left w:val="single" w:color="000000" w:sz="4" w:space="0"/>
              <w:bottom w:val="single" w:color="000000" w:sz="4" w:space="0"/>
              <w:right w:val="single" w:color="000000" w:sz="4" w:space="0"/>
            </w:tcBorders>
            <w:vAlign w:val="top"/>
          </w:tcPr>
          <w:p w14:paraId="56801817">
            <w:pPr>
              <w:rPr>
                <w:rFonts w:ascii="Calibri" w:hAnsi="Calibri"/>
                <w:color w:val="auto"/>
                <w:sz w:val="22"/>
                <w:szCs w:val="22"/>
                <w:highlight w:val="none"/>
              </w:rPr>
            </w:pPr>
          </w:p>
        </w:tc>
        <w:tc>
          <w:tcPr>
            <w:tcW w:w="3971" w:type="dxa"/>
            <w:tcBorders>
              <w:top w:val="single" w:color="000000" w:sz="4" w:space="0"/>
              <w:left w:val="single" w:color="000000" w:sz="4" w:space="0"/>
              <w:bottom w:val="nil"/>
              <w:right w:val="single" w:color="000000" w:sz="4" w:space="0"/>
            </w:tcBorders>
            <w:vAlign w:val="top"/>
          </w:tcPr>
          <w:p w14:paraId="57A4A46F">
            <w:pPr>
              <w:pStyle w:val="63"/>
              <w:spacing w:before="30"/>
              <w:ind w:left="7"/>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《三相配电变压器能效</w:t>
            </w:r>
            <w:r>
              <w:rPr>
                <w:rFonts w:hint="eastAsia" w:ascii="宋体" w:hAnsi="宋体" w:cs="宋体"/>
                <w:color w:val="auto"/>
                <w:spacing w:val="9"/>
                <w:w w:val="99"/>
                <w:sz w:val="20"/>
                <w:szCs w:val="20"/>
                <w:highlight w:val="none"/>
                <w:lang w:eastAsia="zh-CN"/>
              </w:rPr>
              <w:t>限</w:t>
            </w:r>
            <w:r>
              <w:rPr>
                <w:rFonts w:hint="eastAsia" w:ascii="宋体" w:hAnsi="宋体" w:cs="宋体"/>
                <w:color w:val="auto"/>
                <w:spacing w:val="12"/>
                <w:w w:val="99"/>
                <w:sz w:val="20"/>
                <w:szCs w:val="20"/>
                <w:highlight w:val="none"/>
                <w:lang w:eastAsia="zh-CN"/>
              </w:rPr>
              <w:t>定值</w:t>
            </w:r>
            <w:r>
              <w:rPr>
                <w:rFonts w:hint="eastAsia" w:ascii="宋体" w:hAnsi="宋体" w:cs="宋体"/>
                <w:color w:val="auto"/>
                <w:w w:val="99"/>
                <w:sz w:val="20"/>
                <w:szCs w:val="20"/>
                <w:highlight w:val="none"/>
                <w:lang w:eastAsia="zh-CN"/>
              </w:rPr>
              <w:t>及</w:t>
            </w:r>
          </w:p>
        </w:tc>
      </w:tr>
      <w:tr w14:paraId="5A876C64">
        <w:tblPrEx>
          <w:tblCellMar>
            <w:top w:w="0" w:type="dxa"/>
            <w:left w:w="0" w:type="dxa"/>
            <w:bottom w:w="0" w:type="dxa"/>
            <w:right w:w="0" w:type="dxa"/>
          </w:tblCellMar>
        </w:tblPrEx>
        <w:trPr>
          <w:trHeight w:val="345"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385033BC">
            <w:pPr>
              <w:widowControl/>
              <w:jc w:val="left"/>
              <w:rPr>
                <w:rFonts w:ascii="宋体" w:hAnsi="宋体" w:eastAsia="Times New Roman" w:cs="宋体"/>
                <w:color w:val="auto"/>
                <w:kern w:val="0"/>
                <w:sz w:val="20"/>
                <w:szCs w:val="20"/>
                <w:highlight w:val="none"/>
              </w:rPr>
            </w:pPr>
          </w:p>
        </w:tc>
        <w:tc>
          <w:tcPr>
            <w:tcW w:w="1166" w:type="dxa"/>
            <w:tcBorders>
              <w:top w:val="nil"/>
              <w:left w:val="single" w:color="000000" w:sz="4" w:space="0"/>
              <w:bottom w:val="single" w:color="000000" w:sz="4" w:space="0"/>
              <w:right w:val="single" w:color="000000" w:sz="4" w:space="0"/>
            </w:tcBorders>
            <w:vAlign w:val="top"/>
          </w:tcPr>
          <w:p w14:paraId="79CEF559">
            <w:pPr>
              <w:pStyle w:val="63"/>
              <w:spacing w:line="256" w:lineRule="exact"/>
              <w:ind w:left="7"/>
              <w:rPr>
                <w:rFonts w:ascii="宋体" w:hAnsi="宋体" w:cs="宋体"/>
                <w:color w:val="auto"/>
                <w:sz w:val="20"/>
                <w:szCs w:val="20"/>
                <w:highlight w:val="none"/>
              </w:rPr>
            </w:pPr>
            <w:r>
              <w:rPr>
                <w:rFonts w:hint="eastAsia" w:ascii="宋体" w:hAnsi="宋体" w:cs="宋体"/>
                <w:color w:val="auto"/>
                <w:w w:val="99"/>
                <w:sz w:val="20"/>
                <w:szCs w:val="20"/>
                <w:highlight w:val="none"/>
              </w:rPr>
              <w:t>器</w:t>
            </w: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6A59F22E">
            <w:pPr>
              <w:widowControl/>
              <w:jc w:val="left"/>
              <w:rPr>
                <w:rFonts w:ascii="宋体" w:hAnsi="宋体" w:eastAsia="Times New Roman" w:cs="宋体"/>
                <w:color w:val="auto"/>
                <w:kern w:val="0"/>
                <w:sz w:val="20"/>
                <w:szCs w:val="20"/>
                <w:highlight w:val="none"/>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4463A45C">
            <w:pPr>
              <w:widowControl/>
              <w:jc w:val="left"/>
              <w:rPr>
                <w:rFonts w:ascii="Calibri" w:hAnsi="Calibri" w:eastAsia="Times New Roman"/>
                <w:color w:val="auto"/>
                <w:sz w:val="22"/>
                <w:szCs w:val="22"/>
                <w:highlight w:val="none"/>
                <w:lang w:eastAsia="en-US"/>
              </w:rPr>
            </w:pPr>
          </w:p>
        </w:tc>
        <w:tc>
          <w:tcPr>
            <w:tcW w:w="3971" w:type="dxa"/>
            <w:tcBorders>
              <w:top w:val="nil"/>
              <w:left w:val="single" w:color="000000" w:sz="4" w:space="0"/>
              <w:bottom w:val="single" w:color="000000" w:sz="4" w:space="0"/>
              <w:right w:val="single" w:color="000000" w:sz="4" w:space="0"/>
            </w:tcBorders>
            <w:vAlign w:val="top"/>
          </w:tcPr>
          <w:p w14:paraId="3D657611">
            <w:pPr>
              <w:pStyle w:val="63"/>
              <w:spacing w:line="256" w:lineRule="exact"/>
              <w:ind w:left="7"/>
              <w:rPr>
                <w:rFonts w:ascii="宋体" w:hAnsi="宋体" w:cs="宋体"/>
                <w:color w:val="auto"/>
                <w:sz w:val="20"/>
                <w:szCs w:val="20"/>
                <w:highlight w:val="none"/>
              </w:rPr>
            </w:pPr>
            <w:r>
              <w:rPr>
                <w:rFonts w:hint="eastAsia" w:ascii="宋体" w:hAnsi="宋体" w:cs="宋体"/>
                <w:color w:val="auto"/>
                <w:w w:val="99"/>
                <w:sz w:val="20"/>
                <w:szCs w:val="20"/>
                <w:highlight w:val="none"/>
              </w:rPr>
              <w:t>能效等</w:t>
            </w:r>
            <w:r>
              <w:rPr>
                <w:rFonts w:hint="eastAsia" w:ascii="宋体" w:hAnsi="宋体" w:cs="宋体"/>
                <w:color w:val="auto"/>
                <w:spacing w:val="2"/>
                <w:w w:val="99"/>
                <w:sz w:val="20"/>
                <w:szCs w:val="20"/>
                <w:highlight w:val="none"/>
              </w:rPr>
              <w:t>级</w:t>
            </w: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G</w:t>
            </w:r>
            <w:r>
              <w:rPr>
                <w:rFonts w:hint="eastAsia" w:ascii="宋体" w:hAnsi="宋体" w:cs="宋体"/>
                <w:color w:val="auto"/>
                <w:w w:val="99"/>
                <w:sz w:val="20"/>
                <w:szCs w:val="20"/>
                <w:highlight w:val="none"/>
              </w:rPr>
              <w:t>B</w:t>
            </w:r>
            <w:r>
              <w:rPr>
                <w:rFonts w:hint="eastAsia" w:ascii="宋体" w:hAnsi="宋体" w:cs="宋体"/>
                <w:color w:val="auto"/>
                <w:spacing w:val="1"/>
                <w:w w:val="99"/>
                <w:sz w:val="20"/>
                <w:szCs w:val="20"/>
                <w:highlight w:val="none"/>
              </w:rPr>
              <w:t>200</w:t>
            </w:r>
            <w:r>
              <w:rPr>
                <w:rFonts w:hint="eastAsia" w:ascii="宋体" w:hAnsi="宋体" w:cs="宋体"/>
                <w:color w:val="auto"/>
                <w:w w:val="99"/>
                <w:sz w:val="20"/>
                <w:szCs w:val="20"/>
                <w:highlight w:val="none"/>
              </w:rPr>
              <w:t>5</w:t>
            </w:r>
            <w:r>
              <w:rPr>
                <w:rFonts w:hint="eastAsia" w:ascii="宋体" w:hAnsi="宋体" w:cs="宋体"/>
                <w:color w:val="auto"/>
                <w:spacing w:val="-1"/>
                <w:w w:val="99"/>
                <w:sz w:val="20"/>
                <w:szCs w:val="20"/>
                <w:highlight w:val="none"/>
              </w:rPr>
              <w:t>2</w:t>
            </w:r>
            <w:r>
              <w:rPr>
                <w:rFonts w:hint="eastAsia" w:ascii="宋体" w:hAnsi="宋体" w:cs="宋体"/>
                <w:color w:val="auto"/>
                <w:w w:val="99"/>
                <w:sz w:val="20"/>
                <w:szCs w:val="20"/>
                <w:highlight w:val="none"/>
              </w:rPr>
              <w:t>）</w:t>
            </w:r>
          </w:p>
        </w:tc>
      </w:tr>
      <w:tr w14:paraId="46301420">
        <w:tblPrEx>
          <w:tblCellMar>
            <w:top w:w="0" w:type="dxa"/>
            <w:left w:w="0" w:type="dxa"/>
            <w:bottom w:w="0" w:type="dxa"/>
            <w:right w:w="0" w:type="dxa"/>
          </w:tblCellMar>
        </w:tblPrEx>
        <w:trPr>
          <w:trHeight w:val="449" w:hRule="exact"/>
        </w:trPr>
        <w:tc>
          <w:tcPr>
            <w:tcW w:w="574" w:type="dxa"/>
            <w:vMerge w:val="restart"/>
            <w:tcBorders>
              <w:top w:val="single" w:color="000000" w:sz="4" w:space="0"/>
              <w:left w:val="single" w:color="000000" w:sz="4" w:space="0"/>
              <w:bottom w:val="single" w:color="000000" w:sz="4" w:space="0"/>
              <w:right w:val="single" w:color="000000" w:sz="4" w:space="0"/>
            </w:tcBorders>
            <w:vAlign w:val="top"/>
          </w:tcPr>
          <w:p w14:paraId="55B7B801">
            <w:pPr>
              <w:pStyle w:val="63"/>
              <w:spacing w:before="8"/>
              <w:rPr>
                <w:rFonts w:ascii="宋体" w:hAnsi="宋体" w:cs="宋体"/>
                <w:color w:val="auto"/>
                <w:sz w:val="21"/>
                <w:szCs w:val="21"/>
                <w:highlight w:val="none"/>
              </w:rPr>
            </w:pPr>
          </w:p>
          <w:p w14:paraId="151FC0AE">
            <w:pPr>
              <w:pStyle w:val="63"/>
              <w:ind w:right="1"/>
              <w:jc w:val="center"/>
              <w:rPr>
                <w:rFonts w:ascii="宋体" w:hAnsi="宋体" w:cs="宋体"/>
                <w:color w:val="auto"/>
                <w:sz w:val="20"/>
                <w:szCs w:val="20"/>
                <w:highlight w:val="none"/>
              </w:rPr>
            </w:pPr>
            <w:r>
              <w:rPr>
                <w:rFonts w:hint="eastAsia" w:ascii="宋体"/>
                <w:color w:val="auto"/>
                <w:w w:val="99"/>
                <w:sz w:val="20"/>
                <w:highlight w:val="none"/>
              </w:rPr>
              <w:t>9</w:t>
            </w:r>
          </w:p>
        </w:tc>
        <w:tc>
          <w:tcPr>
            <w:tcW w:w="1166" w:type="dxa"/>
            <w:tcBorders>
              <w:top w:val="single" w:color="000000" w:sz="4" w:space="0"/>
              <w:left w:val="single" w:color="000000" w:sz="4" w:space="0"/>
              <w:bottom w:val="nil"/>
              <w:right w:val="single" w:color="000000" w:sz="4" w:space="0"/>
            </w:tcBorders>
            <w:vAlign w:val="top"/>
          </w:tcPr>
          <w:p w14:paraId="6FA56ADA">
            <w:pPr>
              <w:pStyle w:val="63"/>
              <w:spacing w:before="126"/>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609镇</w:t>
            </w:r>
          </w:p>
        </w:tc>
        <w:tc>
          <w:tcPr>
            <w:tcW w:w="1800" w:type="dxa"/>
            <w:vMerge w:val="restart"/>
            <w:tcBorders>
              <w:top w:val="single" w:color="000000" w:sz="4" w:space="0"/>
              <w:left w:val="single" w:color="000000" w:sz="4" w:space="0"/>
              <w:bottom w:val="single" w:color="000000" w:sz="4" w:space="0"/>
              <w:right w:val="single" w:color="000000" w:sz="4" w:space="0"/>
            </w:tcBorders>
            <w:vAlign w:val="top"/>
          </w:tcPr>
          <w:p w14:paraId="1F775D91">
            <w:pPr>
              <w:pStyle w:val="63"/>
              <w:spacing w:before="8"/>
              <w:rPr>
                <w:rFonts w:ascii="宋体" w:hAnsi="宋体" w:cs="宋体"/>
                <w:color w:val="auto"/>
                <w:sz w:val="21"/>
                <w:szCs w:val="21"/>
                <w:highlight w:val="none"/>
              </w:rPr>
            </w:pPr>
          </w:p>
          <w:p w14:paraId="4211D203">
            <w:pPr>
              <w:pStyle w:val="63"/>
              <w:ind w:left="7"/>
              <w:rPr>
                <w:rFonts w:ascii="宋体" w:hAnsi="宋体" w:cs="宋体"/>
                <w:color w:val="auto"/>
                <w:sz w:val="20"/>
                <w:szCs w:val="20"/>
                <w:highlight w:val="none"/>
              </w:rPr>
            </w:pPr>
            <w:r>
              <w:rPr>
                <w:rFonts w:hint="eastAsia" w:ascii="宋体" w:hAnsi="宋体" w:cs="宋体"/>
                <w:color w:val="auto"/>
                <w:w w:val="99"/>
                <w:sz w:val="20"/>
                <w:szCs w:val="20"/>
                <w:highlight w:val="none"/>
              </w:rPr>
              <w:t>管型荧</w:t>
            </w:r>
            <w:r>
              <w:rPr>
                <w:rFonts w:hint="eastAsia" w:ascii="宋体" w:hAnsi="宋体" w:cs="宋体"/>
                <w:color w:val="auto"/>
                <w:spacing w:val="2"/>
                <w:w w:val="99"/>
                <w:sz w:val="20"/>
                <w:szCs w:val="20"/>
                <w:highlight w:val="none"/>
              </w:rPr>
              <w:t>光</w:t>
            </w:r>
            <w:r>
              <w:rPr>
                <w:rFonts w:hint="eastAsia" w:ascii="宋体" w:hAnsi="宋体" w:cs="宋体"/>
                <w:color w:val="auto"/>
                <w:w w:val="99"/>
                <w:sz w:val="20"/>
                <w:szCs w:val="20"/>
                <w:highlight w:val="none"/>
              </w:rPr>
              <w:t>灯镇</w:t>
            </w:r>
            <w:r>
              <w:rPr>
                <w:rFonts w:hint="eastAsia" w:ascii="宋体" w:hAnsi="宋体" w:cs="宋体"/>
                <w:color w:val="auto"/>
                <w:spacing w:val="2"/>
                <w:w w:val="99"/>
                <w:sz w:val="20"/>
                <w:szCs w:val="20"/>
                <w:highlight w:val="none"/>
              </w:rPr>
              <w:t>流</w:t>
            </w:r>
            <w:r>
              <w:rPr>
                <w:rFonts w:hint="eastAsia" w:ascii="宋体" w:hAnsi="宋体" w:cs="宋体"/>
                <w:color w:val="auto"/>
                <w:w w:val="99"/>
                <w:sz w:val="20"/>
                <w:szCs w:val="20"/>
                <w:highlight w:val="none"/>
              </w:rPr>
              <w:t>器</w:t>
            </w:r>
          </w:p>
        </w:tc>
        <w:tc>
          <w:tcPr>
            <w:tcW w:w="1915" w:type="dxa"/>
            <w:vMerge w:val="restart"/>
            <w:tcBorders>
              <w:top w:val="single" w:color="000000" w:sz="4" w:space="0"/>
              <w:left w:val="single" w:color="000000" w:sz="4" w:space="0"/>
              <w:bottom w:val="single" w:color="000000" w:sz="4" w:space="0"/>
              <w:right w:val="single" w:color="000000" w:sz="4" w:space="0"/>
            </w:tcBorders>
            <w:vAlign w:val="top"/>
          </w:tcPr>
          <w:p w14:paraId="66B5B8A9">
            <w:pPr>
              <w:rPr>
                <w:rFonts w:ascii="Calibri" w:hAnsi="Calibri"/>
                <w:color w:val="auto"/>
                <w:sz w:val="22"/>
                <w:szCs w:val="22"/>
                <w:highlight w:val="none"/>
              </w:rPr>
            </w:pPr>
          </w:p>
        </w:tc>
        <w:tc>
          <w:tcPr>
            <w:tcW w:w="3971" w:type="dxa"/>
            <w:tcBorders>
              <w:top w:val="single" w:color="000000" w:sz="4" w:space="0"/>
              <w:left w:val="single" w:color="000000" w:sz="4" w:space="0"/>
              <w:bottom w:val="nil"/>
              <w:right w:val="single" w:color="000000" w:sz="4" w:space="0"/>
            </w:tcBorders>
            <w:vAlign w:val="top"/>
          </w:tcPr>
          <w:p w14:paraId="47B5C1FF">
            <w:pPr>
              <w:pStyle w:val="63"/>
              <w:spacing w:before="126"/>
              <w:ind w:left="7"/>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《管形荧光灯镇流器能</w:t>
            </w:r>
            <w:r>
              <w:rPr>
                <w:rFonts w:hint="eastAsia" w:ascii="宋体" w:hAnsi="宋体" w:cs="宋体"/>
                <w:color w:val="auto"/>
                <w:spacing w:val="9"/>
                <w:w w:val="99"/>
                <w:sz w:val="20"/>
                <w:szCs w:val="20"/>
                <w:highlight w:val="none"/>
                <w:lang w:eastAsia="zh-CN"/>
              </w:rPr>
              <w:t>效</w:t>
            </w:r>
            <w:r>
              <w:rPr>
                <w:rFonts w:hint="eastAsia" w:ascii="宋体" w:hAnsi="宋体" w:cs="宋体"/>
                <w:color w:val="auto"/>
                <w:spacing w:val="12"/>
                <w:w w:val="99"/>
                <w:sz w:val="20"/>
                <w:szCs w:val="20"/>
                <w:highlight w:val="none"/>
                <w:lang w:eastAsia="zh-CN"/>
              </w:rPr>
              <w:t>限定</w:t>
            </w:r>
            <w:r>
              <w:rPr>
                <w:rFonts w:hint="eastAsia" w:ascii="宋体" w:hAnsi="宋体" w:cs="宋体"/>
                <w:color w:val="auto"/>
                <w:w w:val="99"/>
                <w:sz w:val="20"/>
                <w:szCs w:val="20"/>
                <w:highlight w:val="none"/>
                <w:lang w:eastAsia="zh-CN"/>
              </w:rPr>
              <w:t>值</w:t>
            </w:r>
          </w:p>
        </w:tc>
      </w:tr>
      <w:tr w14:paraId="7A5432CA">
        <w:tblPrEx>
          <w:tblCellMar>
            <w:top w:w="0" w:type="dxa"/>
            <w:left w:w="0" w:type="dxa"/>
            <w:bottom w:w="0" w:type="dxa"/>
            <w:right w:w="0" w:type="dxa"/>
          </w:tblCellMar>
        </w:tblPrEx>
        <w:trPr>
          <w:trHeight w:val="441"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03089870">
            <w:pPr>
              <w:widowControl/>
              <w:jc w:val="left"/>
              <w:rPr>
                <w:rFonts w:ascii="宋体" w:hAnsi="宋体" w:eastAsia="Times New Roman" w:cs="宋体"/>
                <w:color w:val="auto"/>
                <w:kern w:val="0"/>
                <w:sz w:val="20"/>
                <w:szCs w:val="20"/>
                <w:highlight w:val="none"/>
              </w:rPr>
            </w:pPr>
          </w:p>
        </w:tc>
        <w:tc>
          <w:tcPr>
            <w:tcW w:w="1166" w:type="dxa"/>
            <w:tcBorders>
              <w:top w:val="nil"/>
              <w:left w:val="single" w:color="000000" w:sz="4" w:space="0"/>
              <w:bottom w:val="single" w:color="000000" w:sz="4" w:space="0"/>
              <w:right w:val="single" w:color="000000" w:sz="4" w:space="0"/>
            </w:tcBorders>
            <w:vAlign w:val="top"/>
          </w:tcPr>
          <w:p w14:paraId="7201F90A">
            <w:pPr>
              <w:pStyle w:val="63"/>
              <w:spacing w:line="256" w:lineRule="exact"/>
              <w:ind w:left="7"/>
              <w:rPr>
                <w:rFonts w:ascii="宋体" w:hAnsi="宋体" w:cs="宋体"/>
                <w:color w:val="auto"/>
                <w:sz w:val="20"/>
                <w:szCs w:val="20"/>
                <w:highlight w:val="none"/>
              </w:rPr>
            </w:pPr>
            <w:r>
              <w:rPr>
                <w:rFonts w:hint="eastAsia" w:ascii="宋体" w:hAnsi="宋体" w:cs="宋体"/>
                <w:color w:val="auto"/>
                <w:w w:val="99"/>
                <w:sz w:val="20"/>
                <w:szCs w:val="20"/>
                <w:highlight w:val="none"/>
              </w:rPr>
              <w:t>流器</w:t>
            </w: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367A3F60">
            <w:pPr>
              <w:widowControl/>
              <w:jc w:val="left"/>
              <w:rPr>
                <w:rFonts w:ascii="宋体" w:hAnsi="宋体" w:eastAsia="Times New Roman" w:cs="宋体"/>
                <w:color w:val="auto"/>
                <w:kern w:val="0"/>
                <w:sz w:val="20"/>
                <w:szCs w:val="20"/>
                <w:highlight w:val="none"/>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622BBEE1">
            <w:pPr>
              <w:widowControl/>
              <w:jc w:val="left"/>
              <w:rPr>
                <w:rFonts w:ascii="Calibri" w:hAnsi="Calibri" w:eastAsia="Times New Roman"/>
                <w:color w:val="auto"/>
                <w:sz w:val="22"/>
                <w:szCs w:val="22"/>
                <w:highlight w:val="none"/>
                <w:lang w:eastAsia="en-US"/>
              </w:rPr>
            </w:pPr>
          </w:p>
        </w:tc>
        <w:tc>
          <w:tcPr>
            <w:tcW w:w="3971" w:type="dxa"/>
            <w:tcBorders>
              <w:top w:val="nil"/>
              <w:left w:val="single" w:color="000000" w:sz="4" w:space="0"/>
              <w:bottom w:val="single" w:color="000000" w:sz="4" w:space="0"/>
              <w:right w:val="single" w:color="000000" w:sz="4" w:space="0"/>
            </w:tcBorders>
            <w:vAlign w:val="top"/>
          </w:tcPr>
          <w:p w14:paraId="477117F6">
            <w:pPr>
              <w:pStyle w:val="63"/>
              <w:spacing w:line="256" w:lineRule="exact"/>
              <w:ind w:lef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及能效</w:t>
            </w:r>
            <w:r>
              <w:rPr>
                <w:rFonts w:hint="eastAsia" w:ascii="宋体" w:hAnsi="宋体" w:cs="宋体"/>
                <w:color w:val="auto"/>
                <w:spacing w:val="2"/>
                <w:w w:val="99"/>
                <w:sz w:val="20"/>
                <w:szCs w:val="20"/>
                <w:highlight w:val="none"/>
                <w:lang w:eastAsia="zh-CN"/>
              </w:rPr>
              <w:t>等</w:t>
            </w:r>
            <w:r>
              <w:rPr>
                <w:rFonts w:hint="eastAsia" w:ascii="宋体" w:hAnsi="宋体" w:cs="宋体"/>
                <w:color w:val="auto"/>
                <w:w w:val="99"/>
                <w:sz w:val="20"/>
                <w:szCs w:val="20"/>
                <w:highlight w:val="none"/>
                <w:lang w:eastAsia="zh-CN"/>
              </w:rPr>
              <w:t>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17896</w:t>
            </w:r>
            <w:r>
              <w:rPr>
                <w:rFonts w:hint="eastAsia" w:ascii="宋体" w:hAnsi="宋体" w:cs="宋体"/>
                <w:color w:val="auto"/>
                <w:w w:val="99"/>
                <w:sz w:val="20"/>
                <w:szCs w:val="20"/>
                <w:highlight w:val="none"/>
                <w:lang w:eastAsia="zh-CN"/>
              </w:rPr>
              <w:t>）</w:t>
            </w:r>
          </w:p>
        </w:tc>
      </w:tr>
      <w:tr w14:paraId="450D3E9A">
        <w:tblPrEx>
          <w:tblCellMar>
            <w:top w:w="0" w:type="dxa"/>
            <w:left w:w="0" w:type="dxa"/>
            <w:bottom w:w="0" w:type="dxa"/>
            <w:right w:w="0" w:type="dxa"/>
          </w:tblCellMar>
        </w:tblPrEx>
        <w:trPr>
          <w:trHeight w:val="377" w:hRule="exact"/>
        </w:trPr>
        <w:tc>
          <w:tcPr>
            <w:tcW w:w="574" w:type="dxa"/>
            <w:vMerge w:val="restart"/>
            <w:tcBorders>
              <w:top w:val="single" w:color="000000" w:sz="4" w:space="0"/>
              <w:left w:val="single" w:color="000000" w:sz="4" w:space="0"/>
              <w:bottom w:val="single" w:color="000000" w:sz="4" w:space="0"/>
              <w:right w:val="single" w:color="000000" w:sz="4" w:space="0"/>
            </w:tcBorders>
            <w:vAlign w:val="top"/>
          </w:tcPr>
          <w:p w14:paraId="44E3B7DC">
            <w:pPr>
              <w:pStyle w:val="63"/>
              <w:rPr>
                <w:rFonts w:ascii="宋体" w:hAnsi="宋体" w:cs="宋体"/>
                <w:color w:val="auto"/>
                <w:sz w:val="20"/>
                <w:szCs w:val="20"/>
                <w:highlight w:val="none"/>
                <w:lang w:eastAsia="zh-CN"/>
              </w:rPr>
            </w:pPr>
          </w:p>
          <w:p w14:paraId="0C5E996F">
            <w:pPr>
              <w:pStyle w:val="63"/>
              <w:rPr>
                <w:rFonts w:ascii="宋体" w:hAnsi="宋体" w:cs="宋体"/>
                <w:color w:val="auto"/>
                <w:sz w:val="20"/>
                <w:szCs w:val="20"/>
                <w:highlight w:val="none"/>
                <w:lang w:eastAsia="zh-CN"/>
              </w:rPr>
            </w:pPr>
          </w:p>
          <w:p w14:paraId="26CACC3E">
            <w:pPr>
              <w:pStyle w:val="63"/>
              <w:rPr>
                <w:rFonts w:ascii="宋体" w:hAnsi="宋体" w:cs="宋体"/>
                <w:color w:val="auto"/>
                <w:sz w:val="20"/>
                <w:szCs w:val="20"/>
                <w:highlight w:val="none"/>
                <w:lang w:eastAsia="zh-CN"/>
              </w:rPr>
            </w:pPr>
          </w:p>
          <w:p w14:paraId="2135CA8B">
            <w:pPr>
              <w:pStyle w:val="63"/>
              <w:rPr>
                <w:rFonts w:ascii="宋体" w:hAnsi="宋体" w:cs="宋体"/>
                <w:color w:val="auto"/>
                <w:sz w:val="20"/>
                <w:szCs w:val="20"/>
                <w:highlight w:val="none"/>
                <w:lang w:eastAsia="zh-CN"/>
              </w:rPr>
            </w:pPr>
          </w:p>
          <w:p w14:paraId="7A9F6ECB">
            <w:pPr>
              <w:pStyle w:val="63"/>
              <w:rPr>
                <w:rFonts w:ascii="宋体" w:hAnsi="宋体" w:cs="宋体"/>
                <w:color w:val="auto"/>
                <w:sz w:val="20"/>
                <w:szCs w:val="20"/>
                <w:highlight w:val="none"/>
                <w:lang w:eastAsia="zh-CN"/>
              </w:rPr>
            </w:pPr>
          </w:p>
          <w:p w14:paraId="44DB83E1">
            <w:pPr>
              <w:pStyle w:val="63"/>
              <w:rPr>
                <w:rFonts w:ascii="宋体" w:hAnsi="宋体" w:cs="宋体"/>
                <w:color w:val="auto"/>
                <w:sz w:val="20"/>
                <w:szCs w:val="20"/>
                <w:highlight w:val="none"/>
                <w:lang w:eastAsia="zh-CN"/>
              </w:rPr>
            </w:pPr>
          </w:p>
          <w:p w14:paraId="7C7AC972">
            <w:pPr>
              <w:pStyle w:val="63"/>
              <w:rPr>
                <w:rFonts w:ascii="宋体" w:hAnsi="宋体" w:cs="宋体"/>
                <w:color w:val="auto"/>
                <w:sz w:val="20"/>
                <w:szCs w:val="20"/>
                <w:highlight w:val="none"/>
                <w:lang w:eastAsia="zh-CN"/>
              </w:rPr>
            </w:pPr>
          </w:p>
          <w:p w14:paraId="58425E3B">
            <w:pPr>
              <w:pStyle w:val="63"/>
              <w:rPr>
                <w:rFonts w:ascii="宋体" w:hAnsi="宋体" w:cs="宋体"/>
                <w:color w:val="auto"/>
                <w:sz w:val="20"/>
                <w:szCs w:val="20"/>
                <w:highlight w:val="none"/>
                <w:lang w:eastAsia="zh-CN"/>
              </w:rPr>
            </w:pPr>
          </w:p>
          <w:p w14:paraId="39EF14A9">
            <w:pPr>
              <w:pStyle w:val="63"/>
              <w:rPr>
                <w:rFonts w:ascii="宋体" w:hAnsi="宋体" w:cs="宋体"/>
                <w:color w:val="auto"/>
                <w:sz w:val="20"/>
                <w:szCs w:val="20"/>
                <w:highlight w:val="none"/>
                <w:lang w:eastAsia="zh-CN"/>
              </w:rPr>
            </w:pPr>
          </w:p>
          <w:p w14:paraId="2FD7C8DF">
            <w:pPr>
              <w:pStyle w:val="63"/>
              <w:spacing w:before="5"/>
              <w:rPr>
                <w:rFonts w:ascii="宋体" w:hAnsi="宋体" w:cs="宋体"/>
                <w:color w:val="auto"/>
                <w:sz w:val="18"/>
                <w:szCs w:val="18"/>
                <w:highlight w:val="none"/>
                <w:lang w:eastAsia="zh-CN"/>
              </w:rPr>
            </w:pPr>
          </w:p>
          <w:p w14:paraId="1786720F">
            <w:pPr>
              <w:pStyle w:val="63"/>
              <w:ind w:left="182"/>
              <w:rPr>
                <w:rFonts w:ascii="宋体" w:hAnsi="宋体" w:cs="宋体"/>
                <w:color w:val="auto"/>
                <w:sz w:val="20"/>
                <w:szCs w:val="20"/>
                <w:highlight w:val="none"/>
              </w:rPr>
            </w:pPr>
            <w:r>
              <w:rPr>
                <w:rFonts w:hint="eastAsia" w:ascii="宋体"/>
                <w:color w:val="auto"/>
                <w:spacing w:val="1"/>
                <w:w w:val="99"/>
                <w:sz w:val="20"/>
                <w:highlight w:val="none"/>
              </w:rPr>
              <w:t>1</w:t>
            </w:r>
            <w:r>
              <w:rPr>
                <w:rFonts w:hint="eastAsia" w:ascii="宋体"/>
                <w:color w:val="auto"/>
                <w:w w:val="99"/>
                <w:sz w:val="20"/>
                <w:highlight w:val="none"/>
              </w:rPr>
              <w:t>0</w:t>
            </w:r>
          </w:p>
        </w:tc>
        <w:tc>
          <w:tcPr>
            <w:tcW w:w="1166" w:type="dxa"/>
            <w:vMerge w:val="restart"/>
            <w:tcBorders>
              <w:top w:val="single" w:color="000000" w:sz="4" w:space="0"/>
              <w:left w:val="single" w:color="000000" w:sz="4" w:space="0"/>
              <w:bottom w:val="single" w:color="000000" w:sz="4" w:space="0"/>
              <w:right w:val="single" w:color="000000" w:sz="4" w:space="0"/>
            </w:tcBorders>
            <w:vAlign w:val="top"/>
          </w:tcPr>
          <w:p w14:paraId="37405E03">
            <w:pPr>
              <w:pStyle w:val="63"/>
              <w:rPr>
                <w:rFonts w:ascii="宋体" w:hAnsi="宋体" w:cs="宋体"/>
                <w:color w:val="auto"/>
                <w:sz w:val="20"/>
                <w:szCs w:val="20"/>
                <w:highlight w:val="none"/>
              </w:rPr>
            </w:pPr>
          </w:p>
          <w:p w14:paraId="6DAFCFF9">
            <w:pPr>
              <w:pStyle w:val="63"/>
              <w:rPr>
                <w:rFonts w:ascii="宋体" w:hAnsi="宋体" w:cs="宋体"/>
                <w:color w:val="auto"/>
                <w:sz w:val="20"/>
                <w:szCs w:val="20"/>
                <w:highlight w:val="none"/>
              </w:rPr>
            </w:pPr>
          </w:p>
          <w:p w14:paraId="0037109C">
            <w:pPr>
              <w:pStyle w:val="63"/>
              <w:rPr>
                <w:rFonts w:ascii="宋体" w:hAnsi="宋体" w:cs="宋体"/>
                <w:color w:val="auto"/>
                <w:sz w:val="20"/>
                <w:szCs w:val="20"/>
                <w:highlight w:val="none"/>
              </w:rPr>
            </w:pPr>
          </w:p>
          <w:p w14:paraId="52D590DF">
            <w:pPr>
              <w:pStyle w:val="63"/>
              <w:rPr>
                <w:rFonts w:ascii="宋体" w:hAnsi="宋体" w:cs="宋体"/>
                <w:color w:val="auto"/>
                <w:sz w:val="20"/>
                <w:szCs w:val="20"/>
                <w:highlight w:val="none"/>
              </w:rPr>
            </w:pPr>
          </w:p>
          <w:p w14:paraId="21C95708">
            <w:pPr>
              <w:pStyle w:val="63"/>
              <w:rPr>
                <w:rFonts w:ascii="宋体" w:hAnsi="宋体" w:cs="宋体"/>
                <w:color w:val="auto"/>
                <w:sz w:val="20"/>
                <w:szCs w:val="20"/>
                <w:highlight w:val="none"/>
              </w:rPr>
            </w:pPr>
          </w:p>
          <w:p w14:paraId="20A68CFB">
            <w:pPr>
              <w:pStyle w:val="63"/>
              <w:rPr>
                <w:rFonts w:ascii="宋体" w:hAnsi="宋体" w:cs="宋体"/>
                <w:color w:val="auto"/>
                <w:sz w:val="20"/>
                <w:szCs w:val="20"/>
                <w:highlight w:val="none"/>
              </w:rPr>
            </w:pPr>
          </w:p>
          <w:p w14:paraId="2EDD0967">
            <w:pPr>
              <w:pStyle w:val="63"/>
              <w:rPr>
                <w:rFonts w:ascii="宋体" w:hAnsi="宋体" w:cs="宋体"/>
                <w:color w:val="auto"/>
                <w:sz w:val="20"/>
                <w:szCs w:val="20"/>
                <w:highlight w:val="none"/>
              </w:rPr>
            </w:pPr>
          </w:p>
          <w:p w14:paraId="02224458">
            <w:pPr>
              <w:pStyle w:val="63"/>
              <w:rPr>
                <w:rFonts w:ascii="宋体" w:hAnsi="宋体" w:cs="宋体"/>
                <w:color w:val="auto"/>
                <w:sz w:val="20"/>
                <w:szCs w:val="20"/>
                <w:highlight w:val="none"/>
              </w:rPr>
            </w:pPr>
          </w:p>
          <w:p w14:paraId="159C7523">
            <w:pPr>
              <w:pStyle w:val="63"/>
              <w:spacing w:before="6"/>
              <w:rPr>
                <w:rFonts w:ascii="宋体" w:hAnsi="宋体" w:cs="宋体"/>
                <w:color w:val="auto"/>
                <w:sz w:val="26"/>
                <w:szCs w:val="26"/>
                <w:highlight w:val="none"/>
              </w:rPr>
            </w:pPr>
          </w:p>
          <w:p w14:paraId="7181DA25">
            <w:pPr>
              <w:pStyle w:val="63"/>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8生活</w:t>
            </w:r>
          </w:p>
          <w:p w14:paraId="04B0F61D">
            <w:pPr>
              <w:pStyle w:val="63"/>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用电器</w:t>
            </w:r>
          </w:p>
        </w:tc>
        <w:tc>
          <w:tcPr>
            <w:tcW w:w="1800" w:type="dxa"/>
            <w:vMerge w:val="restart"/>
            <w:tcBorders>
              <w:top w:val="single" w:color="000000" w:sz="4" w:space="0"/>
              <w:left w:val="single" w:color="000000" w:sz="4" w:space="0"/>
              <w:bottom w:val="single" w:color="000000" w:sz="4" w:space="0"/>
              <w:right w:val="single" w:color="000000" w:sz="4" w:space="0"/>
            </w:tcBorders>
            <w:vAlign w:val="top"/>
          </w:tcPr>
          <w:p w14:paraId="22D0AE2D">
            <w:pPr>
              <w:pStyle w:val="63"/>
              <w:spacing w:before="1"/>
              <w:rPr>
                <w:rFonts w:ascii="宋体" w:hAnsi="宋体" w:cs="宋体"/>
                <w:color w:val="auto"/>
                <w:sz w:val="16"/>
                <w:szCs w:val="16"/>
                <w:highlight w:val="none"/>
              </w:rPr>
            </w:pPr>
          </w:p>
          <w:p w14:paraId="023DABD8">
            <w:pPr>
              <w:pStyle w:val="63"/>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80</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01电冰箱</w:t>
            </w:r>
          </w:p>
        </w:tc>
        <w:tc>
          <w:tcPr>
            <w:tcW w:w="1915" w:type="dxa"/>
            <w:vMerge w:val="restart"/>
            <w:tcBorders>
              <w:top w:val="single" w:color="000000" w:sz="4" w:space="0"/>
              <w:left w:val="single" w:color="000000" w:sz="4" w:space="0"/>
              <w:bottom w:val="single" w:color="000000" w:sz="4" w:space="0"/>
              <w:right w:val="single" w:color="000000" w:sz="4" w:space="0"/>
            </w:tcBorders>
            <w:vAlign w:val="top"/>
          </w:tcPr>
          <w:p w14:paraId="0FC7918C">
            <w:pPr>
              <w:rPr>
                <w:rFonts w:ascii="Calibri" w:hAnsi="Calibri"/>
                <w:color w:val="auto"/>
                <w:sz w:val="22"/>
                <w:szCs w:val="22"/>
                <w:highlight w:val="none"/>
              </w:rPr>
            </w:pPr>
          </w:p>
        </w:tc>
        <w:tc>
          <w:tcPr>
            <w:tcW w:w="3971" w:type="dxa"/>
            <w:tcBorders>
              <w:top w:val="single" w:color="000000" w:sz="4" w:space="0"/>
              <w:left w:val="single" w:color="000000" w:sz="4" w:space="0"/>
              <w:bottom w:val="nil"/>
              <w:right w:val="single" w:color="000000" w:sz="4" w:space="0"/>
            </w:tcBorders>
            <w:vAlign w:val="top"/>
          </w:tcPr>
          <w:p w14:paraId="3031DBE9">
            <w:pPr>
              <w:pStyle w:val="63"/>
              <w:spacing w:before="54"/>
              <w:ind w:left="7"/>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《家用电冰箱耗电量限</w:t>
            </w:r>
            <w:r>
              <w:rPr>
                <w:rFonts w:hint="eastAsia" w:ascii="宋体" w:hAnsi="宋体" w:cs="宋体"/>
                <w:color w:val="auto"/>
                <w:spacing w:val="9"/>
                <w:w w:val="99"/>
                <w:sz w:val="20"/>
                <w:szCs w:val="20"/>
                <w:highlight w:val="none"/>
                <w:lang w:eastAsia="zh-CN"/>
              </w:rPr>
              <w:t>定</w:t>
            </w:r>
            <w:r>
              <w:rPr>
                <w:rFonts w:hint="eastAsia" w:ascii="宋体" w:hAnsi="宋体" w:cs="宋体"/>
                <w:color w:val="auto"/>
                <w:spacing w:val="12"/>
                <w:w w:val="99"/>
                <w:sz w:val="20"/>
                <w:szCs w:val="20"/>
                <w:highlight w:val="none"/>
                <w:lang w:eastAsia="zh-CN"/>
              </w:rPr>
              <w:t>值及</w:t>
            </w:r>
            <w:r>
              <w:rPr>
                <w:rFonts w:hint="eastAsia" w:ascii="宋体" w:hAnsi="宋体" w:cs="宋体"/>
                <w:color w:val="auto"/>
                <w:w w:val="99"/>
                <w:sz w:val="20"/>
                <w:szCs w:val="20"/>
                <w:highlight w:val="none"/>
                <w:lang w:eastAsia="zh-CN"/>
              </w:rPr>
              <w:t>能</w:t>
            </w:r>
          </w:p>
        </w:tc>
      </w:tr>
      <w:tr w14:paraId="3F4F14F7">
        <w:tblPrEx>
          <w:tblCellMar>
            <w:top w:w="0" w:type="dxa"/>
            <w:left w:w="0" w:type="dxa"/>
            <w:bottom w:w="0" w:type="dxa"/>
            <w:right w:w="0" w:type="dxa"/>
          </w:tblCellMar>
        </w:tblPrEx>
        <w:trPr>
          <w:trHeight w:val="367"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14075D7B">
            <w:pPr>
              <w:widowControl/>
              <w:jc w:val="left"/>
              <w:rPr>
                <w:rFonts w:ascii="宋体" w:hAnsi="宋体" w:eastAsia="Times New Roman" w:cs="宋体"/>
                <w:color w:val="auto"/>
                <w:kern w:val="0"/>
                <w:sz w:val="20"/>
                <w:szCs w:val="20"/>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6B1D5D83">
            <w:pPr>
              <w:widowControl/>
              <w:jc w:val="left"/>
              <w:rPr>
                <w:rFonts w:ascii="宋体" w:hAnsi="宋体" w:eastAsia="Times New Roman" w:cs="宋体"/>
                <w:color w:val="auto"/>
                <w:kern w:val="0"/>
                <w:sz w:val="20"/>
                <w:szCs w:val="20"/>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745C4951">
            <w:pPr>
              <w:widowControl/>
              <w:jc w:val="left"/>
              <w:rPr>
                <w:rFonts w:ascii="宋体" w:hAnsi="宋体" w:eastAsia="Times New Roman" w:cs="宋体"/>
                <w:color w:val="auto"/>
                <w:kern w:val="0"/>
                <w:sz w:val="20"/>
                <w:szCs w:val="20"/>
                <w:highlight w:val="none"/>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64E971E1">
            <w:pPr>
              <w:widowControl/>
              <w:jc w:val="left"/>
              <w:rPr>
                <w:rFonts w:ascii="Calibri" w:hAnsi="Calibri" w:eastAsia="Times New Roman"/>
                <w:color w:val="auto"/>
                <w:sz w:val="22"/>
                <w:szCs w:val="22"/>
                <w:highlight w:val="none"/>
              </w:rPr>
            </w:pPr>
          </w:p>
        </w:tc>
        <w:tc>
          <w:tcPr>
            <w:tcW w:w="3971" w:type="dxa"/>
            <w:tcBorders>
              <w:top w:val="nil"/>
              <w:left w:val="single" w:color="000000" w:sz="4" w:space="0"/>
              <w:bottom w:val="single" w:color="000000" w:sz="4" w:space="0"/>
              <w:right w:val="single" w:color="000000" w:sz="4" w:space="0"/>
            </w:tcBorders>
            <w:vAlign w:val="top"/>
          </w:tcPr>
          <w:p w14:paraId="072FD8BD">
            <w:pPr>
              <w:pStyle w:val="63"/>
              <w:tabs>
                <w:tab w:val="left" w:pos="1408"/>
              </w:tabs>
              <w:spacing w:line="256" w:lineRule="exact"/>
              <w:ind w:left="7"/>
              <w:rPr>
                <w:rFonts w:ascii="宋体" w:hAnsi="宋体" w:cs="宋体"/>
                <w:color w:val="auto"/>
                <w:sz w:val="20"/>
                <w:szCs w:val="20"/>
                <w:highlight w:val="none"/>
              </w:rPr>
            </w:pPr>
            <w:r>
              <w:rPr>
                <w:rFonts w:hint="eastAsia" w:ascii="宋体" w:hAnsi="宋体" w:cs="宋体"/>
                <w:color w:val="auto"/>
                <w:w w:val="99"/>
                <w:sz w:val="20"/>
                <w:szCs w:val="20"/>
                <w:highlight w:val="none"/>
              </w:rPr>
              <w:t>效等级</w:t>
            </w:r>
            <w:r>
              <w:rPr>
                <w:rFonts w:hint="eastAsia" w:ascii="宋体" w:hAnsi="宋体" w:cs="宋体"/>
                <w:color w:val="auto"/>
                <w:spacing w:val="2"/>
                <w:w w:val="99"/>
                <w:sz w:val="20"/>
                <w:szCs w:val="20"/>
                <w:highlight w:val="none"/>
              </w:rPr>
              <w:t>》</w:t>
            </w: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G</w:t>
            </w:r>
            <w:r>
              <w:rPr>
                <w:rFonts w:hint="eastAsia" w:ascii="宋体" w:hAnsi="宋体" w:cs="宋体"/>
                <w:color w:val="auto"/>
                <w:w w:val="99"/>
                <w:sz w:val="20"/>
                <w:szCs w:val="20"/>
                <w:highlight w:val="none"/>
              </w:rPr>
              <w:t>B</w:t>
            </w:r>
            <w:r>
              <w:rPr>
                <w:rFonts w:hint="eastAsia" w:ascii="宋体" w:hAnsi="宋体" w:cs="宋体"/>
                <w:color w:val="auto"/>
                <w:sz w:val="20"/>
                <w:szCs w:val="20"/>
                <w:highlight w:val="none"/>
              </w:rPr>
              <w:tab/>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20</w:t>
            </w:r>
            <w:r>
              <w:rPr>
                <w:rFonts w:hint="eastAsia" w:ascii="宋体" w:hAnsi="宋体" w:cs="宋体"/>
                <w:color w:val="auto"/>
                <w:spacing w:val="1"/>
                <w:w w:val="99"/>
                <w:sz w:val="20"/>
                <w:szCs w:val="20"/>
                <w:highlight w:val="none"/>
              </w:rPr>
              <w:t>2</w:t>
            </w:r>
            <w:r>
              <w:rPr>
                <w:rFonts w:hint="eastAsia" w:ascii="宋体" w:hAnsi="宋体" w:cs="宋体"/>
                <w:color w:val="auto"/>
                <w:w w:val="99"/>
                <w:sz w:val="20"/>
                <w:szCs w:val="20"/>
                <w:highlight w:val="none"/>
              </w:rPr>
              <w:t>1.</w:t>
            </w:r>
            <w:r>
              <w:rPr>
                <w:rFonts w:hint="eastAsia" w:ascii="宋体" w:hAnsi="宋体" w:cs="宋体"/>
                <w:color w:val="auto"/>
                <w:spacing w:val="1"/>
                <w:w w:val="99"/>
                <w:sz w:val="20"/>
                <w:szCs w:val="20"/>
                <w:highlight w:val="none"/>
              </w:rPr>
              <w:t>2</w:t>
            </w:r>
            <w:r>
              <w:rPr>
                <w:rFonts w:hint="eastAsia" w:ascii="宋体" w:hAnsi="宋体" w:cs="宋体"/>
                <w:color w:val="auto"/>
                <w:w w:val="99"/>
                <w:sz w:val="20"/>
                <w:szCs w:val="20"/>
                <w:highlight w:val="none"/>
              </w:rPr>
              <w:t>）</w:t>
            </w:r>
          </w:p>
        </w:tc>
      </w:tr>
      <w:tr w14:paraId="2ED00AF5">
        <w:tblPrEx>
          <w:tblCellMar>
            <w:top w:w="0" w:type="dxa"/>
            <w:left w:w="0" w:type="dxa"/>
            <w:bottom w:w="0" w:type="dxa"/>
            <w:right w:w="0" w:type="dxa"/>
          </w:tblCellMar>
        </w:tblPrEx>
        <w:trPr>
          <w:trHeight w:val="327"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654D6CD7">
            <w:pPr>
              <w:widowControl/>
              <w:jc w:val="left"/>
              <w:rPr>
                <w:rFonts w:ascii="宋体" w:hAnsi="宋体" w:eastAsia="Times New Roman" w:cs="宋体"/>
                <w:color w:val="auto"/>
                <w:kern w:val="0"/>
                <w:sz w:val="20"/>
                <w:szCs w:val="20"/>
                <w:highlight w:val="none"/>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7E403A87">
            <w:pPr>
              <w:widowControl/>
              <w:jc w:val="left"/>
              <w:rPr>
                <w:rFonts w:ascii="宋体" w:hAnsi="宋体" w:eastAsia="Times New Roman" w:cs="宋体"/>
                <w:color w:val="auto"/>
                <w:kern w:val="0"/>
                <w:sz w:val="20"/>
                <w:szCs w:val="20"/>
                <w:highlight w:val="none"/>
                <w:lang w:eastAsia="en-US"/>
              </w:rPr>
            </w:pPr>
          </w:p>
        </w:tc>
        <w:tc>
          <w:tcPr>
            <w:tcW w:w="1800" w:type="dxa"/>
            <w:vMerge w:val="restart"/>
            <w:tcBorders>
              <w:top w:val="single" w:color="000000" w:sz="4" w:space="0"/>
              <w:left w:val="single" w:color="000000" w:sz="4" w:space="0"/>
              <w:bottom w:val="single" w:color="000000" w:sz="4" w:space="0"/>
              <w:right w:val="single" w:color="000000" w:sz="4" w:space="0"/>
            </w:tcBorders>
            <w:vAlign w:val="top"/>
          </w:tcPr>
          <w:p w14:paraId="612FA937">
            <w:pPr>
              <w:pStyle w:val="63"/>
              <w:rPr>
                <w:rFonts w:ascii="宋体" w:hAnsi="宋体" w:cs="宋体"/>
                <w:color w:val="auto"/>
                <w:sz w:val="20"/>
                <w:szCs w:val="20"/>
                <w:highlight w:val="none"/>
              </w:rPr>
            </w:pPr>
          </w:p>
          <w:p w14:paraId="1378D573">
            <w:pPr>
              <w:pStyle w:val="63"/>
              <w:rPr>
                <w:rFonts w:ascii="宋体" w:hAnsi="宋体" w:cs="宋体"/>
                <w:color w:val="auto"/>
                <w:sz w:val="20"/>
                <w:szCs w:val="20"/>
                <w:highlight w:val="none"/>
              </w:rPr>
            </w:pPr>
          </w:p>
          <w:p w14:paraId="6740726D">
            <w:pPr>
              <w:pStyle w:val="63"/>
              <w:rPr>
                <w:rFonts w:ascii="宋体" w:hAnsi="宋体" w:cs="宋体"/>
                <w:color w:val="auto"/>
                <w:sz w:val="20"/>
                <w:szCs w:val="20"/>
                <w:highlight w:val="none"/>
              </w:rPr>
            </w:pPr>
          </w:p>
          <w:p w14:paraId="64A4EF37">
            <w:pPr>
              <w:pStyle w:val="63"/>
              <w:rPr>
                <w:rFonts w:ascii="宋体" w:hAnsi="宋体" w:cs="宋体"/>
                <w:color w:val="auto"/>
                <w:sz w:val="20"/>
                <w:szCs w:val="20"/>
                <w:highlight w:val="none"/>
              </w:rPr>
            </w:pPr>
          </w:p>
          <w:p w14:paraId="59C55A79">
            <w:pPr>
              <w:pStyle w:val="63"/>
              <w:rPr>
                <w:rFonts w:ascii="宋体" w:hAnsi="宋体" w:cs="宋体"/>
                <w:color w:val="auto"/>
                <w:sz w:val="20"/>
                <w:szCs w:val="20"/>
                <w:highlight w:val="none"/>
              </w:rPr>
            </w:pPr>
          </w:p>
          <w:p w14:paraId="1FA6C107">
            <w:pPr>
              <w:pStyle w:val="63"/>
              <w:rPr>
                <w:rFonts w:ascii="宋体" w:hAnsi="宋体" w:cs="宋体"/>
                <w:color w:val="auto"/>
                <w:sz w:val="20"/>
                <w:szCs w:val="20"/>
                <w:highlight w:val="none"/>
              </w:rPr>
            </w:pPr>
          </w:p>
          <w:p w14:paraId="624162AF">
            <w:pPr>
              <w:pStyle w:val="63"/>
              <w:spacing w:before="171"/>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61</w:t>
            </w:r>
            <w:r>
              <w:rPr>
                <w:rFonts w:hint="eastAsia" w:ascii="宋体" w:hAnsi="宋体" w:cs="宋体"/>
                <w:color w:val="auto"/>
                <w:spacing w:val="1"/>
                <w:w w:val="99"/>
                <w:sz w:val="20"/>
                <w:szCs w:val="20"/>
                <w:highlight w:val="none"/>
              </w:rPr>
              <w:t>8</w:t>
            </w:r>
            <w:r>
              <w:rPr>
                <w:rFonts w:hint="eastAsia" w:ascii="宋体" w:hAnsi="宋体" w:cs="宋体"/>
                <w:color w:val="auto"/>
                <w:w w:val="99"/>
                <w:sz w:val="20"/>
                <w:szCs w:val="20"/>
                <w:highlight w:val="none"/>
              </w:rPr>
              <w:t>0203空调</w:t>
            </w:r>
          </w:p>
          <w:p w14:paraId="2F172240">
            <w:pPr>
              <w:pStyle w:val="63"/>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机</w:t>
            </w:r>
          </w:p>
        </w:tc>
        <w:tc>
          <w:tcPr>
            <w:tcW w:w="1915" w:type="dxa"/>
            <w:vMerge w:val="restart"/>
            <w:tcBorders>
              <w:top w:val="single" w:color="000000" w:sz="4" w:space="0"/>
              <w:left w:val="single" w:color="000000" w:sz="4" w:space="0"/>
              <w:bottom w:val="single" w:color="000000" w:sz="4" w:space="0"/>
              <w:right w:val="single" w:color="000000" w:sz="4" w:space="0"/>
            </w:tcBorders>
            <w:vAlign w:val="top"/>
          </w:tcPr>
          <w:p w14:paraId="75E38C73">
            <w:pPr>
              <w:pStyle w:val="63"/>
              <w:rPr>
                <w:rFonts w:ascii="宋体" w:hAnsi="宋体" w:cs="宋体"/>
                <w:color w:val="auto"/>
                <w:sz w:val="20"/>
                <w:szCs w:val="20"/>
                <w:highlight w:val="none"/>
              </w:rPr>
            </w:pPr>
          </w:p>
          <w:p w14:paraId="50E95E23">
            <w:pPr>
              <w:pStyle w:val="63"/>
              <w:rPr>
                <w:rFonts w:ascii="宋体" w:hAnsi="宋体" w:cs="宋体"/>
                <w:color w:val="auto"/>
                <w:sz w:val="20"/>
                <w:szCs w:val="20"/>
                <w:highlight w:val="none"/>
              </w:rPr>
            </w:pPr>
          </w:p>
          <w:p w14:paraId="26CA7E67">
            <w:pPr>
              <w:pStyle w:val="63"/>
              <w:spacing w:before="12"/>
              <w:rPr>
                <w:rFonts w:ascii="宋体" w:hAnsi="宋体" w:cs="宋体"/>
                <w:color w:val="auto"/>
                <w:sz w:val="19"/>
                <w:szCs w:val="19"/>
                <w:highlight w:val="none"/>
              </w:rPr>
            </w:pPr>
          </w:p>
          <w:p w14:paraId="7EF8C411">
            <w:pPr>
              <w:pStyle w:val="63"/>
              <w:ind w:left="7"/>
              <w:rPr>
                <w:rFonts w:ascii="宋体" w:hAnsi="宋体" w:cs="宋体"/>
                <w:color w:val="auto"/>
                <w:sz w:val="20"/>
                <w:szCs w:val="20"/>
                <w:highlight w:val="none"/>
              </w:rPr>
            </w:pPr>
            <w:r>
              <w:rPr>
                <w:rFonts w:hint="eastAsia" w:ascii="宋体" w:hAnsi="宋体" w:cs="宋体"/>
                <w:color w:val="auto"/>
                <w:w w:val="99"/>
                <w:sz w:val="20"/>
                <w:szCs w:val="20"/>
                <w:highlight w:val="none"/>
              </w:rPr>
              <w:t>房间空</w:t>
            </w:r>
            <w:r>
              <w:rPr>
                <w:rFonts w:hint="eastAsia" w:ascii="宋体" w:hAnsi="宋体" w:cs="宋体"/>
                <w:color w:val="auto"/>
                <w:spacing w:val="2"/>
                <w:w w:val="99"/>
                <w:sz w:val="20"/>
                <w:szCs w:val="20"/>
                <w:highlight w:val="none"/>
              </w:rPr>
              <w:t>气</w:t>
            </w:r>
            <w:r>
              <w:rPr>
                <w:rFonts w:hint="eastAsia" w:ascii="宋体" w:hAnsi="宋体" w:cs="宋体"/>
                <w:color w:val="auto"/>
                <w:w w:val="99"/>
                <w:sz w:val="20"/>
                <w:szCs w:val="20"/>
                <w:highlight w:val="none"/>
              </w:rPr>
              <w:t>调节器</w:t>
            </w:r>
          </w:p>
        </w:tc>
        <w:tc>
          <w:tcPr>
            <w:tcW w:w="3971" w:type="dxa"/>
            <w:tcBorders>
              <w:top w:val="single" w:color="000000" w:sz="4" w:space="0"/>
              <w:left w:val="single" w:color="000000" w:sz="4" w:space="0"/>
              <w:bottom w:val="nil"/>
              <w:right w:val="single" w:color="000000" w:sz="4" w:space="0"/>
            </w:tcBorders>
            <w:vAlign w:val="top"/>
          </w:tcPr>
          <w:p w14:paraId="1B5D4D20">
            <w:pPr>
              <w:pStyle w:val="63"/>
              <w:spacing w:before="4"/>
              <w:ind w:left="7"/>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《转速可控型房间空气</w:t>
            </w:r>
            <w:r>
              <w:rPr>
                <w:rFonts w:hint="eastAsia" w:ascii="宋体" w:hAnsi="宋体" w:cs="宋体"/>
                <w:color w:val="auto"/>
                <w:spacing w:val="9"/>
                <w:w w:val="99"/>
                <w:sz w:val="20"/>
                <w:szCs w:val="20"/>
                <w:highlight w:val="none"/>
                <w:lang w:eastAsia="zh-CN"/>
              </w:rPr>
              <w:t>调</w:t>
            </w:r>
            <w:r>
              <w:rPr>
                <w:rFonts w:hint="eastAsia" w:ascii="宋体" w:hAnsi="宋体" w:cs="宋体"/>
                <w:color w:val="auto"/>
                <w:spacing w:val="12"/>
                <w:w w:val="99"/>
                <w:sz w:val="20"/>
                <w:szCs w:val="20"/>
                <w:highlight w:val="none"/>
                <w:lang w:eastAsia="zh-CN"/>
              </w:rPr>
              <w:t>节器</w:t>
            </w:r>
            <w:r>
              <w:rPr>
                <w:rFonts w:hint="eastAsia" w:ascii="宋体" w:hAnsi="宋体" w:cs="宋体"/>
                <w:color w:val="auto"/>
                <w:w w:val="99"/>
                <w:sz w:val="20"/>
                <w:szCs w:val="20"/>
                <w:highlight w:val="none"/>
                <w:lang w:eastAsia="zh-CN"/>
              </w:rPr>
              <w:t>能</w:t>
            </w:r>
          </w:p>
        </w:tc>
      </w:tr>
      <w:tr w14:paraId="4C7162DC">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46EC3D3C">
            <w:pPr>
              <w:widowControl/>
              <w:jc w:val="left"/>
              <w:rPr>
                <w:rFonts w:ascii="宋体" w:hAnsi="宋体" w:eastAsia="Times New Roman" w:cs="宋体"/>
                <w:color w:val="auto"/>
                <w:kern w:val="0"/>
                <w:sz w:val="20"/>
                <w:szCs w:val="20"/>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0DA5A109">
            <w:pPr>
              <w:widowControl/>
              <w:jc w:val="left"/>
              <w:rPr>
                <w:rFonts w:ascii="宋体" w:hAnsi="宋体" w:eastAsia="Times New Roman" w:cs="宋体"/>
                <w:color w:val="auto"/>
                <w:kern w:val="0"/>
                <w:sz w:val="20"/>
                <w:szCs w:val="20"/>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5048A88E">
            <w:pPr>
              <w:widowControl/>
              <w:jc w:val="left"/>
              <w:rPr>
                <w:rFonts w:ascii="宋体" w:hAnsi="宋体" w:eastAsia="Times New Roman" w:cs="宋体"/>
                <w:color w:val="auto"/>
                <w:kern w:val="0"/>
                <w:sz w:val="20"/>
                <w:szCs w:val="20"/>
                <w:highlight w:val="none"/>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7A18340F">
            <w:pPr>
              <w:widowControl/>
              <w:jc w:val="left"/>
              <w:rPr>
                <w:rFonts w:ascii="宋体" w:hAnsi="宋体" w:eastAsia="Times New Roman" w:cs="宋体"/>
                <w:color w:val="auto"/>
                <w:kern w:val="0"/>
                <w:sz w:val="20"/>
                <w:szCs w:val="20"/>
                <w:highlight w:val="none"/>
              </w:rPr>
            </w:pPr>
          </w:p>
        </w:tc>
        <w:tc>
          <w:tcPr>
            <w:tcW w:w="3971" w:type="dxa"/>
            <w:tcBorders>
              <w:top w:val="nil"/>
              <w:left w:val="single" w:color="000000" w:sz="4" w:space="0"/>
              <w:bottom w:val="nil"/>
              <w:right w:val="single" w:color="000000" w:sz="4" w:space="0"/>
            </w:tcBorders>
            <w:vAlign w:val="top"/>
          </w:tcPr>
          <w:p w14:paraId="61DE2C6F">
            <w:pPr>
              <w:pStyle w:val="63"/>
              <w:spacing w:line="256" w:lineRule="exact"/>
              <w:ind w:lef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效限定值及能效等级》（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p>
        </w:tc>
      </w:tr>
      <w:tr w14:paraId="0066D6A6">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3C689C48">
            <w:pPr>
              <w:widowControl/>
              <w:jc w:val="left"/>
              <w:rPr>
                <w:rFonts w:ascii="宋体" w:hAnsi="宋体" w:eastAsia="Times New Roman" w:cs="宋体"/>
                <w:color w:val="auto"/>
                <w:kern w:val="0"/>
                <w:sz w:val="20"/>
                <w:szCs w:val="20"/>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0064A448">
            <w:pPr>
              <w:widowControl/>
              <w:jc w:val="left"/>
              <w:rPr>
                <w:rFonts w:ascii="宋体" w:hAnsi="宋体" w:eastAsia="Times New Roman" w:cs="宋体"/>
                <w:color w:val="auto"/>
                <w:kern w:val="0"/>
                <w:sz w:val="20"/>
                <w:szCs w:val="20"/>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71381EC4">
            <w:pPr>
              <w:widowControl/>
              <w:jc w:val="left"/>
              <w:rPr>
                <w:rFonts w:ascii="宋体" w:hAnsi="宋体" w:eastAsia="Times New Roman" w:cs="宋体"/>
                <w:color w:val="auto"/>
                <w:kern w:val="0"/>
                <w:sz w:val="20"/>
                <w:szCs w:val="20"/>
                <w:highlight w:val="none"/>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58B53943">
            <w:pPr>
              <w:widowControl/>
              <w:jc w:val="left"/>
              <w:rPr>
                <w:rFonts w:ascii="宋体" w:hAnsi="宋体" w:eastAsia="Times New Roman" w:cs="宋体"/>
                <w:color w:val="auto"/>
                <w:kern w:val="0"/>
                <w:sz w:val="20"/>
                <w:szCs w:val="20"/>
                <w:highlight w:val="none"/>
              </w:rPr>
            </w:pPr>
          </w:p>
        </w:tc>
        <w:tc>
          <w:tcPr>
            <w:tcW w:w="3971" w:type="dxa"/>
            <w:tcBorders>
              <w:top w:val="nil"/>
              <w:left w:val="single" w:color="000000" w:sz="4" w:space="0"/>
              <w:bottom w:val="nil"/>
              <w:right w:val="single" w:color="000000" w:sz="4" w:space="0"/>
            </w:tcBorders>
            <w:vAlign w:val="top"/>
          </w:tcPr>
          <w:p w14:paraId="6B18640A">
            <w:pPr>
              <w:pStyle w:val="63"/>
              <w:spacing w:line="256" w:lineRule="exact"/>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214</w:t>
            </w:r>
            <w:r>
              <w:rPr>
                <w:rFonts w:hint="eastAsia" w:ascii="宋体" w:hAnsi="宋体" w:cs="宋体"/>
                <w:color w:val="auto"/>
                <w:w w:val="99"/>
                <w:sz w:val="20"/>
                <w:szCs w:val="20"/>
                <w:highlight w:val="none"/>
              </w:rPr>
              <w:t>55</w:t>
            </w:r>
            <w:r>
              <w:rPr>
                <w:rFonts w:hint="eastAsia" w:ascii="宋体" w:hAnsi="宋体" w:cs="宋体"/>
                <w:color w:val="auto"/>
                <w:spacing w:val="1"/>
                <w:w w:val="99"/>
                <w:sz w:val="20"/>
                <w:szCs w:val="20"/>
                <w:highlight w:val="none"/>
              </w:rPr>
              <w:t>-</w:t>
            </w:r>
            <w:r>
              <w:rPr>
                <w:rFonts w:hint="eastAsia" w:ascii="宋体" w:hAnsi="宋体" w:cs="宋体"/>
                <w:color w:val="auto"/>
                <w:w w:val="99"/>
                <w:sz w:val="20"/>
                <w:szCs w:val="20"/>
                <w:highlight w:val="none"/>
              </w:rPr>
              <w:t>20</w:t>
            </w:r>
            <w:r>
              <w:rPr>
                <w:rFonts w:hint="eastAsia" w:ascii="宋体" w:hAnsi="宋体" w:cs="宋体"/>
                <w:color w:val="auto"/>
                <w:spacing w:val="1"/>
                <w:w w:val="99"/>
                <w:sz w:val="20"/>
                <w:szCs w:val="20"/>
                <w:highlight w:val="none"/>
              </w:rPr>
              <w:t>13</w:t>
            </w:r>
            <w:r>
              <w:rPr>
                <w:rFonts w:hint="eastAsia" w:ascii="宋体" w:hAnsi="宋体" w:cs="宋体"/>
                <w:color w:val="auto"/>
                <w:w w:val="99"/>
                <w:sz w:val="20"/>
                <w:szCs w:val="20"/>
                <w:highlight w:val="none"/>
              </w:rPr>
              <w:t>），待</w:t>
            </w:r>
            <w:r>
              <w:rPr>
                <w:rFonts w:hint="eastAsia" w:ascii="宋体" w:hAnsi="宋体" w:cs="宋体"/>
                <w:color w:val="auto"/>
                <w:spacing w:val="1"/>
                <w:w w:val="99"/>
                <w:sz w:val="20"/>
                <w:szCs w:val="20"/>
                <w:highlight w:val="none"/>
              </w:rPr>
              <w:t>20</w:t>
            </w:r>
            <w:r>
              <w:rPr>
                <w:rFonts w:hint="eastAsia" w:ascii="宋体" w:hAnsi="宋体" w:cs="宋体"/>
                <w:color w:val="auto"/>
                <w:w w:val="99"/>
                <w:sz w:val="20"/>
                <w:szCs w:val="20"/>
                <w:highlight w:val="none"/>
              </w:rPr>
              <w:t>19</w:t>
            </w:r>
            <w:r>
              <w:rPr>
                <w:rFonts w:hint="eastAsia" w:ascii="宋体" w:hAnsi="宋体" w:cs="宋体"/>
                <w:color w:val="auto"/>
                <w:spacing w:val="-3"/>
                <w:w w:val="99"/>
                <w:sz w:val="20"/>
                <w:szCs w:val="20"/>
                <w:highlight w:val="none"/>
              </w:rPr>
              <w:t>年</w:t>
            </w:r>
            <w:r>
              <w:rPr>
                <w:rFonts w:hint="eastAsia" w:ascii="宋体" w:hAnsi="宋体" w:cs="宋体"/>
                <w:color w:val="auto"/>
                <w:w w:val="99"/>
                <w:sz w:val="20"/>
                <w:szCs w:val="20"/>
                <w:highlight w:val="none"/>
              </w:rPr>
              <w:t>修订发</w:t>
            </w:r>
          </w:p>
        </w:tc>
      </w:tr>
      <w:tr w14:paraId="2FF4D03F">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15B83F75">
            <w:pPr>
              <w:widowControl/>
              <w:jc w:val="left"/>
              <w:rPr>
                <w:rFonts w:ascii="宋体" w:hAnsi="宋体" w:eastAsia="Times New Roman" w:cs="宋体"/>
                <w:color w:val="auto"/>
                <w:kern w:val="0"/>
                <w:sz w:val="20"/>
                <w:szCs w:val="20"/>
                <w:highlight w:val="none"/>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7563D5CD">
            <w:pPr>
              <w:widowControl/>
              <w:jc w:val="left"/>
              <w:rPr>
                <w:rFonts w:ascii="宋体" w:hAnsi="宋体" w:eastAsia="Times New Roman" w:cs="宋体"/>
                <w:color w:val="auto"/>
                <w:kern w:val="0"/>
                <w:sz w:val="20"/>
                <w:szCs w:val="20"/>
                <w:highlight w:val="none"/>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03CE32A9">
            <w:pPr>
              <w:widowControl/>
              <w:jc w:val="left"/>
              <w:rPr>
                <w:rFonts w:ascii="宋体" w:hAnsi="宋体" w:eastAsia="Times New Roman" w:cs="宋体"/>
                <w:color w:val="auto"/>
                <w:kern w:val="0"/>
                <w:sz w:val="20"/>
                <w:szCs w:val="20"/>
                <w:highlight w:val="none"/>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007C6FE0">
            <w:pPr>
              <w:widowControl/>
              <w:jc w:val="left"/>
              <w:rPr>
                <w:rFonts w:ascii="宋体" w:hAnsi="宋体" w:eastAsia="Times New Roman" w:cs="宋体"/>
                <w:color w:val="auto"/>
                <w:kern w:val="0"/>
                <w:sz w:val="20"/>
                <w:szCs w:val="20"/>
                <w:highlight w:val="none"/>
                <w:lang w:eastAsia="en-US"/>
              </w:rPr>
            </w:pPr>
          </w:p>
        </w:tc>
        <w:tc>
          <w:tcPr>
            <w:tcW w:w="3971" w:type="dxa"/>
            <w:tcBorders>
              <w:top w:val="nil"/>
              <w:left w:val="single" w:color="000000" w:sz="4" w:space="0"/>
              <w:bottom w:val="nil"/>
              <w:right w:val="single" w:color="000000" w:sz="4" w:space="0"/>
            </w:tcBorders>
            <w:vAlign w:val="top"/>
          </w:tcPr>
          <w:p w14:paraId="355EC4F3">
            <w:pPr>
              <w:pStyle w:val="63"/>
              <w:spacing w:line="256" w:lineRule="exact"/>
              <w:ind w:lef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布后</w:t>
            </w:r>
            <w:r>
              <w:rPr>
                <w:rFonts w:hint="eastAsia" w:ascii="宋体" w:hAnsi="宋体" w:cs="宋体"/>
                <w:color w:val="auto"/>
                <w:spacing w:val="-29"/>
                <w:w w:val="99"/>
                <w:sz w:val="20"/>
                <w:szCs w:val="20"/>
                <w:highlight w:val="none"/>
                <w:lang w:eastAsia="zh-CN"/>
              </w:rPr>
              <w:t>，</w:t>
            </w:r>
            <w:r>
              <w:rPr>
                <w:rFonts w:hint="eastAsia" w:ascii="宋体" w:hAnsi="宋体" w:cs="宋体"/>
                <w:color w:val="auto"/>
                <w:spacing w:val="-27"/>
                <w:w w:val="99"/>
                <w:sz w:val="20"/>
                <w:szCs w:val="20"/>
                <w:highlight w:val="none"/>
                <w:lang w:eastAsia="zh-CN"/>
              </w:rPr>
              <w:t>按</w:t>
            </w:r>
            <w:r>
              <w:rPr>
                <w:rFonts w:hint="eastAsia" w:ascii="宋体" w:hAnsi="宋体" w:cs="宋体"/>
                <w:color w:val="auto"/>
                <w:w w:val="99"/>
                <w:sz w:val="20"/>
                <w:szCs w:val="20"/>
                <w:highlight w:val="none"/>
                <w:lang w:eastAsia="zh-CN"/>
              </w:rPr>
              <w:t>《</w:t>
            </w:r>
            <w:r>
              <w:rPr>
                <w:rFonts w:hint="eastAsia" w:ascii="宋体" w:hAnsi="宋体" w:cs="宋体"/>
                <w:color w:val="auto"/>
                <w:spacing w:val="2"/>
                <w:w w:val="99"/>
                <w:sz w:val="20"/>
                <w:szCs w:val="20"/>
                <w:highlight w:val="none"/>
                <w:lang w:eastAsia="zh-CN"/>
              </w:rPr>
              <w:t>房</w:t>
            </w:r>
            <w:r>
              <w:rPr>
                <w:rFonts w:hint="eastAsia" w:ascii="宋体" w:hAnsi="宋体" w:cs="宋体"/>
                <w:color w:val="auto"/>
                <w:w w:val="99"/>
                <w:sz w:val="20"/>
                <w:szCs w:val="20"/>
                <w:highlight w:val="none"/>
                <w:lang w:eastAsia="zh-CN"/>
              </w:rPr>
              <w:t>间空</w:t>
            </w:r>
            <w:r>
              <w:rPr>
                <w:rFonts w:hint="eastAsia" w:ascii="宋体" w:hAnsi="宋体" w:cs="宋体"/>
                <w:color w:val="auto"/>
                <w:spacing w:val="2"/>
                <w:w w:val="99"/>
                <w:sz w:val="20"/>
                <w:szCs w:val="20"/>
                <w:highlight w:val="none"/>
                <w:lang w:eastAsia="zh-CN"/>
              </w:rPr>
              <w:t>气</w:t>
            </w:r>
            <w:r>
              <w:rPr>
                <w:rFonts w:hint="eastAsia" w:ascii="宋体" w:hAnsi="宋体" w:cs="宋体"/>
                <w:color w:val="auto"/>
                <w:w w:val="99"/>
                <w:sz w:val="20"/>
                <w:szCs w:val="20"/>
                <w:highlight w:val="none"/>
                <w:lang w:eastAsia="zh-CN"/>
              </w:rPr>
              <w:t>调节</w:t>
            </w:r>
            <w:r>
              <w:rPr>
                <w:rFonts w:hint="eastAsia" w:ascii="宋体" w:hAnsi="宋体" w:cs="宋体"/>
                <w:color w:val="auto"/>
                <w:spacing w:val="2"/>
                <w:w w:val="99"/>
                <w:sz w:val="20"/>
                <w:szCs w:val="20"/>
                <w:highlight w:val="none"/>
                <w:lang w:eastAsia="zh-CN"/>
              </w:rPr>
              <w:t>器</w:t>
            </w:r>
            <w:r>
              <w:rPr>
                <w:rFonts w:hint="eastAsia" w:ascii="宋体" w:hAnsi="宋体" w:cs="宋体"/>
                <w:color w:val="auto"/>
                <w:w w:val="99"/>
                <w:sz w:val="20"/>
                <w:szCs w:val="20"/>
                <w:highlight w:val="none"/>
                <w:lang w:eastAsia="zh-CN"/>
              </w:rPr>
              <w:t>能效限</w:t>
            </w:r>
          </w:p>
        </w:tc>
      </w:tr>
      <w:tr w14:paraId="1F1EF916">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0AFB7CAE">
            <w:pPr>
              <w:widowControl/>
              <w:jc w:val="left"/>
              <w:rPr>
                <w:rFonts w:ascii="宋体" w:hAnsi="宋体" w:eastAsia="Times New Roman" w:cs="宋体"/>
                <w:color w:val="auto"/>
                <w:kern w:val="0"/>
                <w:sz w:val="20"/>
                <w:szCs w:val="20"/>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5AF1FDCA">
            <w:pPr>
              <w:widowControl/>
              <w:jc w:val="left"/>
              <w:rPr>
                <w:rFonts w:ascii="宋体" w:hAnsi="宋体" w:eastAsia="Times New Roman" w:cs="宋体"/>
                <w:color w:val="auto"/>
                <w:kern w:val="0"/>
                <w:sz w:val="20"/>
                <w:szCs w:val="20"/>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2492EF47">
            <w:pPr>
              <w:widowControl/>
              <w:jc w:val="left"/>
              <w:rPr>
                <w:rFonts w:ascii="宋体" w:hAnsi="宋体" w:eastAsia="Times New Roman" w:cs="宋体"/>
                <w:color w:val="auto"/>
                <w:kern w:val="0"/>
                <w:sz w:val="20"/>
                <w:szCs w:val="20"/>
                <w:highlight w:val="none"/>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1109F1C8">
            <w:pPr>
              <w:widowControl/>
              <w:jc w:val="left"/>
              <w:rPr>
                <w:rFonts w:ascii="宋体" w:hAnsi="宋体" w:eastAsia="Times New Roman" w:cs="宋体"/>
                <w:color w:val="auto"/>
                <w:kern w:val="0"/>
                <w:sz w:val="20"/>
                <w:szCs w:val="20"/>
                <w:highlight w:val="none"/>
              </w:rPr>
            </w:pPr>
          </w:p>
        </w:tc>
        <w:tc>
          <w:tcPr>
            <w:tcW w:w="3971" w:type="dxa"/>
            <w:tcBorders>
              <w:top w:val="nil"/>
              <w:left w:val="single" w:color="000000" w:sz="4" w:space="0"/>
              <w:bottom w:val="nil"/>
              <w:right w:val="single" w:color="000000" w:sz="4" w:space="0"/>
            </w:tcBorders>
            <w:vAlign w:val="top"/>
          </w:tcPr>
          <w:p w14:paraId="4D0F7FC4">
            <w:pPr>
              <w:pStyle w:val="63"/>
              <w:spacing w:line="256" w:lineRule="exact"/>
              <w:ind w:lef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spacing w:val="-156"/>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GB214</w:t>
            </w:r>
            <w:r>
              <w:rPr>
                <w:rFonts w:hint="eastAsia" w:ascii="宋体" w:hAnsi="宋体" w:cs="宋体"/>
                <w:color w:val="auto"/>
                <w:w w:val="99"/>
                <w:sz w:val="20"/>
                <w:szCs w:val="20"/>
                <w:highlight w:val="none"/>
                <w:lang w:eastAsia="zh-CN"/>
              </w:rPr>
              <w:t>5</w:t>
            </w:r>
            <w:r>
              <w:rPr>
                <w:rFonts w:hint="eastAsia" w:ascii="宋体" w:hAnsi="宋体" w:cs="宋体"/>
                <w:color w:val="auto"/>
                <w:spacing w:val="-1"/>
                <w:w w:val="99"/>
                <w:sz w:val="20"/>
                <w:szCs w:val="20"/>
                <w:highlight w:val="none"/>
                <w:lang w:eastAsia="zh-CN"/>
              </w:rPr>
              <w:t>5</w:t>
            </w:r>
            <w:r>
              <w:rPr>
                <w:rFonts w:hint="eastAsia" w:ascii="宋体" w:hAnsi="宋体" w:cs="宋体"/>
                <w:color w:val="auto"/>
                <w:spacing w:val="-2"/>
                <w:w w:val="99"/>
                <w:sz w:val="20"/>
                <w:szCs w:val="20"/>
                <w:highlight w:val="none"/>
                <w:lang w:eastAsia="zh-CN"/>
              </w:rPr>
              <w:t>-</w:t>
            </w:r>
            <w:r>
              <w:rPr>
                <w:rFonts w:hint="eastAsia" w:ascii="宋体" w:hAnsi="宋体" w:cs="宋体"/>
                <w:color w:val="auto"/>
                <w:spacing w:val="1"/>
                <w:w w:val="99"/>
                <w:sz w:val="20"/>
                <w:szCs w:val="20"/>
                <w:highlight w:val="none"/>
                <w:lang w:eastAsia="zh-CN"/>
              </w:rPr>
              <w:t>201</w:t>
            </w:r>
            <w:r>
              <w:rPr>
                <w:rFonts w:hint="eastAsia" w:ascii="宋体" w:hAnsi="宋体" w:cs="宋体"/>
                <w:color w:val="auto"/>
                <w:w w:val="99"/>
                <w:sz w:val="20"/>
                <w:szCs w:val="20"/>
                <w:highlight w:val="none"/>
                <w:lang w:eastAsia="zh-CN"/>
              </w:rPr>
              <w:t>9</w:t>
            </w:r>
          </w:p>
        </w:tc>
      </w:tr>
      <w:tr w14:paraId="79C5FC6E">
        <w:tblPrEx>
          <w:tblCellMar>
            <w:top w:w="0" w:type="dxa"/>
            <w:left w:w="0" w:type="dxa"/>
            <w:bottom w:w="0" w:type="dxa"/>
            <w:right w:w="0" w:type="dxa"/>
          </w:tblCellMar>
        </w:tblPrEx>
        <w:trPr>
          <w:trHeight w:val="319"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6DE99860">
            <w:pPr>
              <w:widowControl/>
              <w:jc w:val="left"/>
              <w:rPr>
                <w:rFonts w:ascii="宋体" w:hAnsi="宋体" w:eastAsia="Times New Roman" w:cs="宋体"/>
                <w:color w:val="auto"/>
                <w:kern w:val="0"/>
                <w:sz w:val="20"/>
                <w:szCs w:val="20"/>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55DDFD69">
            <w:pPr>
              <w:widowControl/>
              <w:jc w:val="left"/>
              <w:rPr>
                <w:rFonts w:ascii="宋体" w:hAnsi="宋体" w:eastAsia="Times New Roman" w:cs="宋体"/>
                <w:color w:val="auto"/>
                <w:kern w:val="0"/>
                <w:sz w:val="20"/>
                <w:szCs w:val="20"/>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14EE0536">
            <w:pPr>
              <w:widowControl/>
              <w:jc w:val="left"/>
              <w:rPr>
                <w:rFonts w:ascii="宋体" w:hAnsi="宋体" w:eastAsia="Times New Roman" w:cs="宋体"/>
                <w:color w:val="auto"/>
                <w:kern w:val="0"/>
                <w:sz w:val="20"/>
                <w:szCs w:val="20"/>
                <w:highlight w:val="none"/>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4AB34889">
            <w:pPr>
              <w:widowControl/>
              <w:jc w:val="left"/>
              <w:rPr>
                <w:rFonts w:ascii="宋体" w:hAnsi="宋体" w:eastAsia="Times New Roman" w:cs="宋体"/>
                <w:color w:val="auto"/>
                <w:kern w:val="0"/>
                <w:sz w:val="20"/>
                <w:szCs w:val="20"/>
                <w:highlight w:val="none"/>
              </w:rPr>
            </w:pPr>
          </w:p>
        </w:tc>
        <w:tc>
          <w:tcPr>
            <w:tcW w:w="3971" w:type="dxa"/>
            <w:tcBorders>
              <w:top w:val="nil"/>
              <w:left w:val="single" w:color="000000" w:sz="4" w:space="0"/>
              <w:bottom w:val="single" w:color="000000" w:sz="4" w:space="0"/>
              <w:right w:val="single" w:color="000000" w:sz="4" w:space="0"/>
            </w:tcBorders>
            <w:vAlign w:val="top"/>
          </w:tcPr>
          <w:p w14:paraId="1E07D2A3">
            <w:pPr>
              <w:pStyle w:val="63"/>
              <w:spacing w:line="256" w:lineRule="exact"/>
              <w:ind w:left="7"/>
              <w:rPr>
                <w:rFonts w:ascii="宋体" w:hAnsi="宋体" w:cs="宋体"/>
                <w:color w:val="auto"/>
                <w:sz w:val="20"/>
                <w:szCs w:val="20"/>
                <w:highlight w:val="none"/>
              </w:rPr>
            </w:pPr>
            <w:r>
              <w:rPr>
                <w:rFonts w:hint="eastAsia" w:ascii="宋体" w:hAnsi="宋体" w:cs="宋体"/>
                <w:color w:val="auto"/>
                <w:w w:val="99"/>
                <w:sz w:val="20"/>
                <w:szCs w:val="20"/>
                <w:highlight w:val="none"/>
              </w:rPr>
              <w:t>实施。</w:t>
            </w:r>
          </w:p>
        </w:tc>
      </w:tr>
      <w:tr w14:paraId="14E0B3F9">
        <w:tblPrEx>
          <w:tblCellMar>
            <w:top w:w="0" w:type="dxa"/>
            <w:left w:w="0" w:type="dxa"/>
            <w:bottom w:w="0" w:type="dxa"/>
            <w:right w:w="0" w:type="dxa"/>
          </w:tblCellMar>
        </w:tblPrEx>
        <w:trPr>
          <w:trHeight w:val="958"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103F40B3">
            <w:pPr>
              <w:widowControl/>
              <w:jc w:val="left"/>
              <w:rPr>
                <w:rFonts w:ascii="宋体" w:hAnsi="宋体" w:eastAsia="Times New Roman" w:cs="宋体"/>
                <w:color w:val="auto"/>
                <w:kern w:val="0"/>
                <w:sz w:val="20"/>
                <w:szCs w:val="20"/>
                <w:highlight w:val="none"/>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24ADC8C1">
            <w:pPr>
              <w:widowControl/>
              <w:jc w:val="left"/>
              <w:rPr>
                <w:rFonts w:ascii="宋体" w:hAnsi="宋体" w:eastAsia="Times New Roman" w:cs="宋体"/>
                <w:color w:val="auto"/>
                <w:kern w:val="0"/>
                <w:sz w:val="20"/>
                <w:szCs w:val="20"/>
                <w:highlight w:val="none"/>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103420D6">
            <w:pPr>
              <w:widowControl/>
              <w:jc w:val="left"/>
              <w:rPr>
                <w:rFonts w:ascii="宋体" w:hAnsi="宋体" w:eastAsia="Times New Roman" w:cs="宋体"/>
                <w:color w:val="auto"/>
                <w:kern w:val="0"/>
                <w:sz w:val="20"/>
                <w:szCs w:val="20"/>
                <w:highlight w:val="none"/>
                <w:lang w:eastAsia="en-US"/>
              </w:rPr>
            </w:pPr>
          </w:p>
        </w:tc>
        <w:tc>
          <w:tcPr>
            <w:tcW w:w="1915" w:type="dxa"/>
            <w:tcBorders>
              <w:top w:val="single" w:color="000000" w:sz="4" w:space="0"/>
              <w:left w:val="single" w:color="000000" w:sz="4" w:space="0"/>
              <w:bottom w:val="single" w:color="000000" w:sz="4" w:space="0"/>
              <w:right w:val="single" w:color="000000" w:sz="4" w:space="0"/>
            </w:tcBorders>
            <w:vAlign w:val="top"/>
          </w:tcPr>
          <w:p w14:paraId="09DF1774">
            <w:pPr>
              <w:pStyle w:val="63"/>
              <w:spacing w:before="4" w:line="280" w:lineRule="auto"/>
              <w:ind w:left="7" w:right="7"/>
              <w:jc w:val="both"/>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多联式空</w:t>
            </w:r>
            <w:r>
              <w:rPr>
                <w:rFonts w:hint="eastAsia" w:ascii="宋体" w:hAnsi="宋体" w:cs="宋体"/>
                <w:color w:val="auto"/>
                <w:spacing w:val="11"/>
                <w:w w:val="99"/>
                <w:sz w:val="20"/>
                <w:szCs w:val="20"/>
                <w:highlight w:val="none"/>
                <w:lang w:eastAsia="zh-CN"/>
              </w:rPr>
              <w:t>调（</w:t>
            </w:r>
            <w:r>
              <w:rPr>
                <w:rFonts w:hint="eastAsia" w:ascii="宋体" w:hAnsi="宋体" w:cs="宋体"/>
                <w:color w:val="auto"/>
                <w:spacing w:val="12"/>
                <w:w w:val="99"/>
                <w:sz w:val="20"/>
                <w:szCs w:val="20"/>
                <w:highlight w:val="none"/>
                <w:lang w:eastAsia="zh-CN"/>
              </w:rPr>
              <w:t>热泵</w:t>
            </w:r>
            <w:r>
              <w:rPr>
                <w:rFonts w:hint="eastAsia" w:ascii="宋体" w:hAnsi="宋体" w:cs="宋体"/>
                <w:color w:val="auto"/>
                <w:w w:val="99"/>
                <w:sz w:val="20"/>
                <w:szCs w:val="20"/>
                <w:highlight w:val="none"/>
                <w:lang w:eastAsia="zh-CN"/>
              </w:rPr>
              <w:t xml:space="preserve">）机组（制冷量≤ </w:t>
            </w:r>
            <w:r>
              <w:rPr>
                <w:rFonts w:hint="eastAsia" w:ascii="宋体" w:hAnsi="宋体" w:cs="宋体"/>
                <w:color w:val="auto"/>
                <w:spacing w:val="1"/>
                <w:w w:val="99"/>
                <w:sz w:val="20"/>
                <w:szCs w:val="20"/>
                <w:highlight w:val="none"/>
                <w:lang w:eastAsia="zh-CN"/>
              </w:rPr>
              <w:t>140</w:t>
            </w:r>
            <w:r>
              <w:rPr>
                <w:rFonts w:hint="eastAsia" w:ascii="宋体" w:hAnsi="宋体" w:cs="宋体"/>
                <w:color w:val="auto"/>
                <w:w w:val="99"/>
                <w:sz w:val="20"/>
                <w:szCs w:val="20"/>
                <w:highlight w:val="none"/>
                <w:lang w:eastAsia="zh-CN"/>
              </w:rPr>
              <w:t>00</w:t>
            </w:r>
            <w:r>
              <w:rPr>
                <w:rFonts w:hint="eastAsia" w:ascii="宋体" w:hAnsi="宋体" w:cs="宋体"/>
                <w:color w:val="auto"/>
                <w:spacing w:val="1"/>
                <w:w w:val="99"/>
                <w:sz w:val="20"/>
                <w:szCs w:val="20"/>
                <w:highlight w:val="none"/>
                <w:lang w:eastAsia="zh-CN"/>
              </w:rPr>
              <w:t>W</w:t>
            </w:r>
            <w:r>
              <w:rPr>
                <w:rFonts w:hint="eastAsia" w:ascii="宋体" w:hAnsi="宋体" w:cs="宋体"/>
                <w:color w:val="auto"/>
                <w:w w:val="99"/>
                <w:sz w:val="20"/>
                <w:szCs w:val="20"/>
                <w:highlight w:val="none"/>
                <w:lang w:eastAsia="zh-CN"/>
              </w:rPr>
              <w:t>）</w:t>
            </w:r>
          </w:p>
        </w:tc>
        <w:tc>
          <w:tcPr>
            <w:tcW w:w="3971" w:type="dxa"/>
            <w:tcBorders>
              <w:top w:val="single" w:color="000000" w:sz="4" w:space="0"/>
              <w:left w:val="single" w:color="000000" w:sz="4" w:space="0"/>
              <w:bottom w:val="single" w:color="000000" w:sz="4" w:space="0"/>
              <w:right w:val="single" w:color="000000" w:sz="4" w:space="0"/>
            </w:tcBorders>
            <w:vAlign w:val="top"/>
          </w:tcPr>
          <w:p w14:paraId="6E29981F">
            <w:pPr>
              <w:pStyle w:val="63"/>
              <w:spacing w:before="160" w:line="280" w:lineRule="auto"/>
              <w:ind w:left="7"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《多联</w:t>
            </w:r>
            <w:r>
              <w:rPr>
                <w:rFonts w:hint="eastAsia" w:ascii="宋体" w:hAnsi="宋体" w:cs="宋体"/>
                <w:color w:val="auto"/>
                <w:spacing w:val="2"/>
                <w:w w:val="99"/>
                <w:sz w:val="20"/>
                <w:szCs w:val="20"/>
                <w:highlight w:val="none"/>
                <w:lang w:eastAsia="zh-CN"/>
              </w:rPr>
              <w:t>式</w:t>
            </w:r>
            <w:r>
              <w:rPr>
                <w:rFonts w:hint="eastAsia" w:ascii="宋体" w:hAnsi="宋体" w:cs="宋体"/>
                <w:color w:val="auto"/>
                <w:w w:val="99"/>
                <w:sz w:val="20"/>
                <w:szCs w:val="20"/>
                <w:highlight w:val="none"/>
                <w:lang w:eastAsia="zh-CN"/>
              </w:rPr>
              <w:t>空</w:t>
            </w:r>
            <w:r>
              <w:rPr>
                <w:rFonts w:hint="eastAsia" w:ascii="宋体" w:hAnsi="宋体" w:cs="宋体"/>
                <w:color w:val="auto"/>
                <w:spacing w:val="-27"/>
                <w:w w:val="99"/>
                <w:sz w:val="20"/>
                <w:szCs w:val="20"/>
                <w:highlight w:val="none"/>
                <w:lang w:eastAsia="zh-CN"/>
              </w:rPr>
              <w:t>调</w:t>
            </w:r>
            <w:r>
              <w:rPr>
                <w:rFonts w:hint="eastAsia" w:ascii="宋体" w:hAnsi="宋体" w:cs="宋体"/>
                <w:color w:val="auto"/>
                <w:w w:val="99"/>
                <w:sz w:val="20"/>
                <w:szCs w:val="20"/>
                <w:highlight w:val="none"/>
                <w:lang w:eastAsia="zh-CN"/>
              </w:rPr>
              <w:t>（热</w:t>
            </w:r>
            <w:r>
              <w:rPr>
                <w:rFonts w:hint="eastAsia" w:ascii="宋体" w:hAnsi="宋体" w:cs="宋体"/>
                <w:color w:val="auto"/>
                <w:spacing w:val="2"/>
                <w:w w:val="99"/>
                <w:sz w:val="20"/>
                <w:szCs w:val="20"/>
                <w:highlight w:val="none"/>
                <w:lang w:eastAsia="zh-CN"/>
              </w:rPr>
              <w:t>泵</w:t>
            </w:r>
            <w:r>
              <w:rPr>
                <w:rFonts w:hint="eastAsia" w:ascii="宋体" w:hAnsi="宋体" w:cs="宋体"/>
                <w:color w:val="auto"/>
                <w:spacing w:val="-29"/>
                <w:w w:val="99"/>
                <w:sz w:val="20"/>
                <w:szCs w:val="20"/>
                <w:highlight w:val="none"/>
                <w:lang w:eastAsia="zh-CN"/>
              </w:rPr>
              <w:t>）</w:t>
            </w:r>
            <w:r>
              <w:rPr>
                <w:rFonts w:hint="eastAsia" w:ascii="宋体" w:hAnsi="宋体" w:cs="宋体"/>
                <w:color w:val="auto"/>
                <w:w w:val="99"/>
                <w:sz w:val="20"/>
                <w:szCs w:val="20"/>
                <w:highlight w:val="none"/>
                <w:lang w:eastAsia="zh-CN"/>
              </w:rPr>
              <w:t>机</w:t>
            </w:r>
            <w:r>
              <w:rPr>
                <w:rFonts w:hint="eastAsia" w:ascii="宋体" w:hAnsi="宋体" w:cs="宋体"/>
                <w:color w:val="auto"/>
                <w:spacing w:val="2"/>
                <w:w w:val="99"/>
                <w:sz w:val="20"/>
                <w:szCs w:val="20"/>
                <w:highlight w:val="none"/>
                <w:lang w:eastAsia="zh-CN"/>
              </w:rPr>
              <w:t>组</w:t>
            </w:r>
            <w:r>
              <w:rPr>
                <w:rFonts w:hint="eastAsia" w:ascii="宋体" w:hAnsi="宋体" w:cs="宋体"/>
                <w:color w:val="auto"/>
                <w:w w:val="99"/>
                <w:sz w:val="20"/>
                <w:szCs w:val="20"/>
                <w:highlight w:val="none"/>
                <w:lang w:eastAsia="zh-CN"/>
              </w:rPr>
              <w:t>能效限定值及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源效</w:t>
            </w:r>
            <w:r>
              <w:rPr>
                <w:rFonts w:hint="eastAsia" w:ascii="宋体" w:hAnsi="宋体" w:cs="宋体"/>
                <w:color w:val="auto"/>
                <w:spacing w:val="2"/>
                <w:w w:val="99"/>
                <w:sz w:val="20"/>
                <w:szCs w:val="20"/>
                <w:highlight w:val="none"/>
                <w:lang w:eastAsia="zh-CN"/>
              </w:rPr>
              <w:t>率</w:t>
            </w:r>
            <w:r>
              <w:rPr>
                <w:rFonts w:hint="eastAsia" w:ascii="宋体" w:hAnsi="宋体" w:cs="宋体"/>
                <w:color w:val="auto"/>
                <w:w w:val="99"/>
                <w:sz w:val="20"/>
                <w:szCs w:val="20"/>
                <w:highlight w:val="none"/>
                <w:lang w:eastAsia="zh-CN"/>
              </w:rPr>
              <w:t>等级</w:t>
            </w:r>
            <w:r>
              <w:rPr>
                <w:rFonts w:hint="eastAsia" w:ascii="宋体" w:hAnsi="宋体" w:cs="宋体"/>
                <w:color w:val="auto"/>
                <w:spacing w:val="-106"/>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2145</w:t>
            </w:r>
            <w:r>
              <w:rPr>
                <w:rFonts w:hint="eastAsia" w:ascii="宋体" w:hAnsi="宋体" w:cs="宋体"/>
                <w:color w:val="auto"/>
                <w:w w:val="99"/>
                <w:sz w:val="20"/>
                <w:szCs w:val="20"/>
                <w:highlight w:val="none"/>
                <w:lang w:eastAsia="zh-CN"/>
              </w:rPr>
              <w:t>4</w:t>
            </w:r>
          </w:p>
        </w:tc>
      </w:tr>
      <w:tr w14:paraId="0045C36A">
        <w:tblPrEx>
          <w:tblCellMar>
            <w:top w:w="0" w:type="dxa"/>
            <w:left w:w="0" w:type="dxa"/>
            <w:bottom w:w="0" w:type="dxa"/>
            <w:right w:w="0" w:type="dxa"/>
          </w:tblCellMar>
        </w:tblPrEx>
        <w:trPr>
          <w:trHeight w:val="327"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086C29EF">
            <w:pPr>
              <w:widowControl/>
              <w:jc w:val="left"/>
              <w:rPr>
                <w:rFonts w:ascii="宋体" w:hAnsi="宋体" w:eastAsia="Times New Roman" w:cs="宋体"/>
                <w:color w:val="auto"/>
                <w:kern w:val="0"/>
                <w:sz w:val="20"/>
                <w:szCs w:val="20"/>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1A7F1B3D">
            <w:pPr>
              <w:widowControl/>
              <w:jc w:val="left"/>
              <w:rPr>
                <w:rFonts w:ascii="宋体" w:hAnsi="宋体" w:eastAsia="Times New Roman" w:cs="宋体"/>
                <w:color w:val="auto"/>
                <w:kern w:val="0"/>
                <w:sz w:val="20"/>
                <w:szCs w:val="20"/>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6C691311">
            <w:pPr>
              <w:widowControl/>
              <w:jc w:val="left"/>
              <w:rPr>
                <w:rFonts w:ascii="宋体" w:hAnsi="宋体" w:eastAsia="Times New Roman" w:cs="宋体"/>
                <w:color w:val="auto"/>
                <w:kern w:val="0"/>
                <w:sz w:val="20"/>
                <w:szCs w:val="20"/>
                <w:highlight w:val="none"/>
              </w:rPr>
            </w:pPr>
          </w:p>
        </w:tc>
        <w:tc>
          <w:tcPr>
            <w:tcW w:w="1915" w:type="dxa"/>
            <w:vMerge w:val="restart"/>
            <w:tcBorders>
              <w:top w:val="single" w:color="000000" w:sz="4" w:space="0"/>
              <w:left w:val="single" w:color="000000" w:sz="4" w:space="0"/>
              <w:bottom w:val="nil"/>
              <w:right w:val="single" w:color="000000" w:sz="4" w:space="0"/>
            </w:tcBorders>
            <w:vAlign w:val="top"/>
          </w:tcPr>
          <w:p w14:paraId="3A822ECB">
            <w:pPr>
              <w:pStyle w:val="63"/>
              <w:spacing w:before="2"/>
              <w:rPr>
                <w:rFonts w:ascii="宋体" w:hAnsi="宋体" w:cs="宋体"/>
                <w:color w:val="auto"/>
                <w:sz w:val="24"/>
                <w:szCs w:val="24"/>
                <w:highlight w:val="none"/>
                <w:lang w:eastAsia="zh-CN"/>
              </w:rPr>
            </w:pPr>
          </w:p>
          <w:p w14:paraId="3279A606">
            <w:pPr>
              <w:pStyle w:val="63"/>
              <w:ind w:left="7"/>
              <w:rPr>
                <w:rFonts w:ascii="宋体" w:hAnsi="宋体" w:cs="宋体"/>
                <w:color w:val="auto"/>
                <w:sz w:val="20"/>
                <w:szCs w:val="20"/>
                <w:highlight w:val="none"/>
              </w:rPr>
            </w:pPr>
            <w:r>
              <w:rPr>
                <w:rFonts w:hint="eastAsia" w:ascii="宋体" w:hAnsi="宋体" w:cs="宋体"/>
                <w:color w:val="auto"/>
                <w:w w:val="99"/>
                <w:sz w:val="20"/>
                <w:szCs w:val="20"/>
                <w:highlight w:val="none"/>
              </w:rPr>
              <w:t>单元式空气调节机</w:t>
            </w:r>
          </w:p>
        </w:tc>
        <w:tc>
          <w:tcPr>
            <w:tcW w:w="3971" w:type="dxa"/>
            <w:tcBorders>
              <w:top w:val="single" w:color="000000" w:sz="4" w:space="0"/>
              <w:left w:val="single" w:color="000000" w:sz="4" w:space="0"/>
              <w:bottom w:val="nil"/>
              <w:right w:val="single" w:color="000000" w:sz="4" w:space="0"/>
            </w:tcBorders>
            <w:vAlign w:val="top"/>
          </w:tcPr>
          <w:p w14:paraId="29C19274">
            <w:pPr>
              <w:pStyle w:val="63"/>
              <w:spacing w:before="4"/>
              <w:ind w:left="7"/>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《单元式空气调节机能</w:t>
            </w:r>
            <w:r>
              <w:rPr>
                <w:rFonts w:hint="eastAsia" w:ascii="宋体" w:hAnsi="宋体" w:cs="宋体"/>
                <w:color w:val="auto"/>
                <w:spacing w:val="9"/>
                <w:w w:val="99"/>
                <w:sz w:val="20"/>
                <w:szCs w:val="20"/>
                <w:highlight w:val="none"/>
                <w:lang w:eastAsia="zh-CN"/>
              </w:rPr>
              <w:t>效</w:t>
            </w:r>
            <w:r>
              <w:rPr>
                <w:rFonts w:hint="eastAsia" w:ascii="宋体" w:hAnsi="宋体" w:cs="宋体"/>
                <w:color w:val="auto"/>
                <w:spacing w:val="12"/>
                <w:w w:val="99"/>
                <w:sz w:val="20"/>
                <w:szCs w:val="20"/>
                <w:highlight w:val="none"/>
                <w:lang w:eastAsia="zh-CN"/>
              </w:rPr>
              <w:t>限定</w:t>
            </w:r>
            <w:r>
              <w:rPr>
                <w:rFonts w:hint="eastAsia" w:ascii="宋体" w:hAnsi="宋体" w:cs="宋体"/>
                <w:color w:val="auto"/>
                <w:w w:val="99"/>
                <w:sz w:val="20"/>
                <w:szCs w:val="20"/>
                <w:highlight w:val="none"/>
                <w:lang w:eastAsia="zh-CN"/>
              </w:rPr>
              <w:t>值</w:t>
            </w:r>
          </w:p>
        </w:tc>
      </w:tr>
      <w:tr w14:paraId="08D34276">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4D2B0B63">
            <w:pPr>
              <w:widowControl/>
              <w:jc w:val="left"/>
              <w:rPr>
                <w:rFonts w:ascii="宋体" w:hAnsi="宋体" w:eastAsia="Times New Roman" w:cs="宋体"/>
                <w:color w:val="auto"/>
                <w:kern w:val="0"/>
                <w:sz w:val="20"/>
                <w:szCs w:val="20"/>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432A89F7">
            <w:pPr>
              <w:widowControl/>
              <w:jc w:val="left"/>
              <w:rPr>
                <w:rFonts w:ascii="宋体" w:hAnsi="宋体" w:eastAsia="Times New Roman" w:cs="宋体"/>
                <w:color w:val="auto"/>
                <w:kern w:val="0"/>
                <w:sz w:val="20"/>
                <w:szCs w:val="20"/>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3D1A8597">
            <w:pPr>
              <w:widowControl/>
              <w:jc w:val="left"/>
              <w:rPr>
                <w:rFonts w:ascii="宋体" w:hAnsi="宋体" w:eastAsia="Times New Roman" w:cs="宋体"/>
                <w:color w:val="auto"/>
                <w:kern w:val="0"/>
                <w:sz w:val="20"/>
                <w:szCs w:val="20"/>
                <w:highlight w:val="none"/>
              </w:rPr>
            </w:pPr>
          </w:p>
        </w:tc>
        <w:tc>
          <w:tcPr>
            <w:tcW w:w="1915" w:type="dxa"/>
            <w:vMerge w:val="continue"/>
            <w:tcBorders>
              <w:top w:val="single" w:color="000000" w:sz="4" w:space="0"/>
              <w:left w:val="single" w:color="000000" w:sz="4" w:space="0"/>
              <w:bottom w:val="nil"/>
              <w:right w:val="single" w:color="000000" w:sz="4" w:space="0"/>
            </w:tcBorders>
            <w:vAlign w:val="center"/>
          </w:tcPr>
          <w:p w14:paraId="41879377">
            <w:pPr>
              <w:widowControl/>
              <w:jc w:val="left"/>
              <w:rPr>
                <w:rFonts w:ascii="宋体" w:hAnsi="宋体" w:eastAsia="Times New Roman" w:cs="宋体"/>
                <w:color w:val="auto"/>
                <w:kern w:val="0"/>
                <w:sz w:val="20"/>
                <w:szCs w:val="20"/>
                <w:highlight w:val="none"/>
              </w:rPr>
            </w:pPr>
          </w:p>
        </w:tc>
        <w:tc>
          <w:tcPr>
            <w:tcW w:w="3971" w:type="dxa"/>
            <w:tcBorders>
              <w:top w:val="nil"/>
              <w:left w:val="single" w:color="000000" w:sz="4" w:space="0"/>
              <w:bottom w:val="nil"/>
              <w:right w:val="single" w:color="000000" w:sz="4" w:space="0"/>
            </w:tcBorders>
            <w:vAlign w:val="top"/>
          </w:tcPr>
          <w:p w14:paraId="52E104DA">
            <w:pPr>
              <w:pStyle w:val="63"/>
              <w:spacing w:line="256" w:lineRule="exact"/>
              <w:ind w:lef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及能源</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率等</w:t>
            </w:r>
            <w:r>
              <w:rPr>
                <w:rFonts w:hint="eastAsia" w:ascii="宋体" w:hAnsi="宋体" w:cs="宋体"/>
                <w:color w:val="auto"/>
                <w:spacing w:val="2"/>
                <w:w w:val="99"/>
                <w:sz w:val="20"/>
                <w:szCs w:val="20"/>
                <w:highlight w:val="none"/>
                <w:lang w:eastAsia="zh-CN"/>
              </w:rPr>
              <w:t>级</w:t>
            </w:r>
            <w:r>
              <w:rPr>
                <w:rFonts w:hint="eastAsia" w:ascii="宋体" w:hAnsi="宋体" w:cs="宋体"/>
                <w:color w:val="auto"/>
                <w:spacing w:val="-104"/>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195</w:t>
            </w:r>
            <w:r>
              <w:rPr>
                <w:rFonts w:hint="eastAsia" w:ascii="宋体" w:hAnsi="宋体" w:cs="宋体"/>
                <w:color w:val="auto"/>
                <w:w w:val="99"/>
                <w:sz w:val="20"/>
                <w:szCs w:val="20"/>
                <w:highlight w:val="none"/>
                <w:lang w:eastAsia="zh-CN"/>
              </w:rPr>
              <w:t>7</w:t>
            </w:r>
            <w:r>
              <w:rPr>
                <w:rFonts w:hint="eastAsia" w:ascii="宋体" w:hAnsi="宋体" w:cs="宋体"/>
                <w:color w:val="auto"/>
                <w:spacing w:val="-3"/>
                <w:w w:val="99"/>
                <w:sz w:val="20"/>
                <w:szCs w:val="20"/>
                <w:highlight w:val="none"/>
                <w:lang w:eastAsia="zh-CN"/>
              </w:rPr>
              <w:t>6</w:t>
            </w:r>
            <w:r>
              <w:rPr>
                <w:rFonts w:hint="eastAsia" w:ascii="宋体" w:hAnsi="宋体" w:cs="宋体"/>
                <w:color w:val="auto"/>
                <w:spacing w:val="-104"/>
                <w:w w:val="99"/>
                <w:sz w:val="20"/>
                <w:szCs w:val="20"/>
                <w:highlight w:val="none"/>
                <w:lang w:eastAsia="zh-CN"/>
              </w:rPr>
              <w:t>）</w:t>
            </w:r>
            <w:r>
              <w:rPr>
                <w:rFonts w:hint="eastAsia" w:ascii="宋体" w:hAnsi="宋体" w:cs="宋体"/>
                <w:color w:val="auto"/>
                <w:w w:val="99"/>
                <w:sz w:val="20"/>
                <w:szCs w:val="20"/>
                <w:highlight w:val="none"/>
                <w:lang w:eastAsia="zh-CN"/>
              </w:rPr>
              <w:t>《风</w:t>
            </w:r>
          </w:p>
        </w:tc>
      </w:tr>
      <w:tr w14:paraId="69B05B44">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4D67FEF9">
            <w:pPr>
              <w:widowControl/>
              <w:jc w:val="left"/>
              <w:rPr>
                <w:rFonts w:ascii="宋体" w:hAnsi="宋体" w:eastAsia="Times New Roman" w:cs="宋体"/>
                <w:color w:val="auto"/>
                <w:kern w:val="0"/>
                <w:sz w:val="20"/>
                <w:szCs w:val="20"/>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1BC9E85C">
            <w:pPr>
              <w:widowControl/>
              <w:jc w:val="left"/>
              <w:rPr>
                <w:rFonts w:ascii="宋体" w:hAnsi="宋体" w:eastAsia="Times New Roman" w:cs="宋体"/>
                <w:color w:val="auto"/>
                <w:kern w:val="0"/>
                <w:sz w:val="20"/>
                <w:szCs w:val="20"/>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0A32205A">
            <w:pPr>
              <w:widowControl/>
              <w:jc w:val="left"/>
              <w:rPr>
                <w:rFonts w:ascii="宋体" w:hAnsi="宋体" w:eastAsia="Times New Roman" w:cs="宋体"/>
                <w:color w:val="auto"/>
                <w:kern w:val="0"/>
                <w:sz w:val="20"/>
                <w:szCs w:val="20"/>
                <w:highlight w:val="none"/>
              </w:rPr>
            </w:pPr>
          </w:p>
        </w:tc>
        <w:tc>
          <w:tcPr>
            <w:tcW w:w="1915" w:type="dxa"/>
            <w:vMerge w:val="restart"/>
            <w:tcBorders>
              <w:top w:val="nil"/>
              <w:left w:val="single" w:color="000000" w:sz="4" w:space="0"/>
              <w:bottom w:val="single" w:color="000000" w:sz="4" w:space="0"/>
              <w:right w:val="single" w:color="000000" w:sz="4" w:space="0"/>
            </w:tcBorders>
            <w:vAlign w:val="top"/>
          </w:tcPr>
          <w:p w14:paraId="41DBA26C">
            <w:pPr>
              <w:pStyle w:val="63"/>
              <w:spacing w:line="256" w:lineRule="exact"/>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w:t>
            </w:r>
            <w:r>
              <w:rPr>
                <w:rFonts w:hint="eastAsia" w:ascii="宋体" w:hAnsi="宋体" w:cs="宋体"/>
                <w:color w:val="auto"/>
                <w:w w:val="99"/>
                <w:sz w:val="20"/>
                <w:szCs w:val="20"/>
                <w:highlight w:val="none"/>
              </w:rPr>
              <w:t>制冷量≤</w:t>
            </w:r>
            <w:r>
              <w:rPr>
                <w:rFonts w:hint="eastAsia" w:ascii="宋体" w:hAnsi="宋体" w:cs="宋体"/>
                <w:color w:val="auto"/>
                <w:spacing w:val="1"/>
                <w:w w:val="99"/>
                <w:sz w:val="20"/>
                <w:szCs w:val="20"/>
                <w:highlight w:val="none"/>
              </w:rPr>
              <w:t>14000W</w:t>
            </w:r>
            <w:r>
              <w:rPr>
                <w:rFonts w:hint="eastAsia" w:ascii="宋体" w:hAnsi="宋体" w:cs="宋体"/>
                <w:color w:val="auto"/>
                <w:w w:val="99"/>
                <w:sz w:val="20"/>
                <w:szCs w:val="20"/>
                <w:highlight w:val="none"/>
              </w:rPr>
              <w:t>)</w:t>
            </w:r>
          </w:p>
        </w:tc>
        <w:tc>
          <w:tcPr>
            <w:tcW w:w="3971" w:type="dxa"/>
            <w:tcBorders>
              <w:top w:val="nil"/>
              <w:left w:val="single" w:color="000000" w:sz="4" w:space="0"/>
              <w:bottom w:val="nil"/>
              <w:right w:val="single" w:color="000000" w:sz="4" w:space="0"/>
            </w:tcBorders>
            <w:vAlign w:val="top"/>
          </w:tcPr>
          <w:p w14:paraId="4E2DCCE0">
            <w:pPr>
              <w:pStyle w:val="63"/>
              <w:spacing w:line="256" w:lineRule="exact"/>
              <w:ind w:left="7"/>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管送风式空调机组能效</w:t>
            </w:r>
            <w:r>
              <w:rPr>
                <w:rFonts w:hint="eastAsia" w:ascii="宋体" w:hAnsi="宋体" w:cs="宋体"/>
                <w:color w:val="auto"/>
                <w:spacing w:val="9"/>
                <w:w w:val="99"/>
                <w:sz w:val="20"/>
                <w:szCs w:val="20"/>
                <w:highlight w:val="none"/>
                <w:lang w:eastAsia="zh-CN"/>
              </w:rPr>
              <w:t>限</w:t>
            </w:r>
            <w:r>
              <w:rPr>
                <w:rFonts w:hint="eastAsia" w:ascii="宋体" w:hAnsi="宋体" w:cs="宋体"/>
                <w:color w:val="auto"/>
                <w:spacing w:val="12"/>
                <w:w w:val="99"/>
                <w:sz w:val="20"/>
                <w:szCs w:val="20"/>
                <w:highlight w:val="none"/>
                <w:lang w:eastAsia="zh-CN"/>
              </w:rPr>
              <w:t>定值</w:t>
            </w:r>
            <w:r>
              <w:rPr>
                <w:rFonts w:hint="eastAsia" w:ascii="宋体" w:hAnsi="宋体" w:cs="宋体"/>
                <w:color w:val="auto"/>
                <w:w w:val="99"/>
                <w:sz w:val="20"/>
                <w:szCs w:val="20"/>
                <w:highlight w:val="none"/>
                <w:lang w:eastAsia="zh-CN"/>
              </w:rPr>
              <w:t>及</w:t>
            </w:r>
          </w:p>
        </w:tc>
      </w:tr>
      <w:tr w14:paraId="0640E3D4">
        <w:tblPrEx>
          <w:tblCellMar>
            <w:top w:w="0" w:type="dxa"/>
            <w:left w:w="0" w:type="dxa"/>
            <w:bottom w:w="0" w:type="dxa"/>
            <w:right w:w="0" w:type="dxa"/>
          </w:tblCellMar>
        </w:tblPrEx>
        <w:trPr>
          <w:trHeight w:val="319"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04870BE7">
            <w:pPr>
              <w:widowControl/>
              <w:jc w:val="left"/>
              <w:rPr>
                <w:rFonts w:ascii="宋体" w:hAnsi="宋体" w:eastAsia="Times New Roman" w:cs="宋体"/>
                <w:color w:val="auto"/>
                <w:kern w:val="0"/>
                <w:sz w:val="20"/>
                <w:szCs w:val="20"/>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026002BB">
            <w:pPr>
              <w:widowControl/>
              <w:jc w:val="left"/>
              <w:rPr>
                <w:rFonts w:ascii="宋体" w:hAnsi="宋体" w:eastAsia="Times New Roman" w:cs="宋体"/>
                <w:color w:val="auto"/>
                <w:kern w:val="0"/>
                <w:sz w:val="20"/>
                <w:szCs w:val="20"/>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7B991D37">
            <w:pPr>
              <w:widowControl/>
              <w:jc w:val="left"/>
              <w:rPr>
                <w:rFonts w:ascii="宋体" w:hAnsi="宋体" w:eastAsia="Times New Roman" w:cs="宋体"/>
                <w:color w:val="auto"/>
                <w:kern w:val="0"/>
                <w:sz w:val="20"/>
                <w:szCs w:val="20"/>
                <w:highlight w:val="none"/>
              </w:rPr>
            </w:pPr>
          </w:p>
        </w:tc>
        <w:tc>
          <w:tcPr>
            <w:tcW w:w="1915" w:type="dxa"/>
            <w:vMerge w:val="continue"/>
            <w:tcBorders>
              <w:top w:val="nil"/>
              <w:left w:val="single" w:color="000000" w:sz="4" w:space="0"/>
              <w:bottom w:val="single" w:color="000000" w:sz="4" w:space="0"/>
              <w:right w:val="single" w:color="000000" w:sz="4" w:space="0"/>
            </w:tcBorders>
            <w:vAlign w:val="center"/>
          </w:tcPr>
          <w:p w14:paraId="22B88596">
            <w:pPr>
              <w:widowControl/>
              <w:jc w:val="left"/>
              <w:rPr>
                <w:rFonts w:ascii="宋体" w:hAnsi="宋体" w:eastAsia="Times New Roman" w:cs="宋体"/>
                <w:color w:val="auto"/>
                <w:kern w:val="0"/>
                <w:sz w:val="20"/>
                <w:szCs w:val="20"/>
                <w:highlight w:val="none"/>
              </w:rPr>
            </w:pPr>
          </w:p>
        </w:tc>
        <w:tc>
          <w:tcPr>
            <w:tcW w:w="3971" w:type="dxa"/>
            <w:tcBorders>
              <w:top w:val="nil"/>
              <w:left w:val="single" w:color="000000" w:sz="4" w:space="0"/>
              <w:bottom w:val="single" w:color="000000" w:sz="4" w:space="0"/>
              <w:right w:val="single" w:color="000000" w:sz="4" w:space="0"/>
            </w:tcBorders>
            <w:vAlign w:val="top"/>
          </w:tcPr>
          <w:p w14:paraId="6802CB48">
            <w:pPr>
              <w:pStyle w:val="63"/>
              <w:spacing w:line="256" w:lineRule="exact"/>
              <w:ind w:left="7"/>
              <w:rPr>
                <w:rFonts w:ascii="宋体" w:hAnsi="宋体" w:cs="宋体"/>
                <w:color w:val="auto"/>
                <w:sz w:val="20"/>
                <w:szCs w:val="20"/>
                <w:highlight w:val="none"/>
              </w:rPr>
            </w:pPr>
            <w:r>
              <w:rPr>
                <w:rFonts w:hint="eastAsia" w:ascii="宋体" w:hAnsi="宋体" w:cs="宋体"/>
                <w:color w:val="auto"/>
                <w:w w:val="99"/>
                <w:sz w:val="20"/>
                <w:szCs w:val="20"/>
                <w:highlight w:val="none"/>
              </w:rPr>
              <w:t>能效等</w:t>
            </w:r>
            <w:r>
              <w:rPr>
                <w:rFonts w:hint="eastAsia" w:ascii="宋体" w:hAnsi="宋体" w:cs="宋体"/>
                <w:color w:val="auto"/>
                <w:spacing w:val="2"/>
                <w:w w:val="99"/>
                <w:sz w:val="20"/>
                <w:szCs w:val="20"/>
                <w:highlight w:val="none"/>
              </w:rPr>
              <w:t>级</w:t>
            </w: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G</w:t>
            </w:r>
            <w:r>
              <w:rPr>
                <w:rFonts w:hint="eastAsia" w:ascii="宋体" w:hAnsi="宋体" w:cs="宋体"/>
                <w:color w:val="auto"/>
                <w:w w:val="99"/>
                <w:sz w:val="20"/>
                <w:szCs w:val="20"/>
                <w:highlight w:val="none"/>
              </w:rPr>
              <w:t>B</w:t>
            </w:r>
            <w:r>
              <w:rPr>
                <w:rFonts w:hint="eastAsia" w:ascii="宋体" w:hAnsi="宋体" w:cs="宋体"/>
                <w:color w:val="auto"/>
                <w:spacing w:val="1"/>
                <w:w w:val="99"/>
                <w:sz w:val="20"/>
                <w:szCs w:val="20"/>
                <w:highlight w:val="none"/>
              </w:rPr>
              <w:t>374</w:t>
            </w:r>
            <w:r>
              <w:rPr>
                <w:rFonts w:hint="eastAsia" w:ascii="宋体" w:hAnsi="宋体" w:cs="宋体"/>
                <w:color w:val="auto"/>
                <w:w w:val="99"/>
                <w:sz w:val="20"/>
                <w:szCs w:val="20"/>
                <w:highlight w:val="none"/>
              </w:rPr>
              <w:t>7</w:t>
            </w:r>
            <w:r>
              <w:rPr>
                <w:rFonts w:hint="eastAsia" w:ascii="宋体" w:hAnsi="宋体" w:cs="宋体"/>
                <w:color w:val="auto"/>
                <w:spacing w:val="-1"/>
                <w:w w:val="99"/>
                <w:sz w:val="20"/>
                <w:szCs w:val="20"/>
                <w:highlight w:val="none"/>
              </w:rPr>
              <w:t>9</w:t>
            </w:r>
            <w:r>
              <w:rPr>
                <w:rFonts w:hint="eastAsia" w:ascii="宋体" w:hAnsi="宋体" w:cs="宋体"/>
                <w:color w:val="auto"/>
                <w:w w:val="99"/>
                <w:sz w:val="20"/>
                <w:szCs w:val="20"/>
                <w:highlight w:val="none"/>
              </w:rPr>
              <w:t>）</w:t>
            </w:r>
          </w:p>
        </w:tc>
      </w:tr>
      <w:tr w14:paraId="5F1CB49A">
        <w:tblPrEx>
          <w:tblCellMar>
            <w:top w:w="0" w:type="dxa"/>
            <w:left w:w="0" w:type="dxa"/>
            <w:bottom w:w="0" w:type="dxa"/>
            <w:right w:w="0" w:type="dxa"/>
          </w:tblCellMar>
        </w:tblPrEx>
        <w:trPr>
          <w:trHeight w:val="653"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63028CC0">
            <w:pPr>
              <w:widowControl/>
              <w:jc w:val="left"/>
              <w:rPr>
                <w:rFonts w:ascii="宋体" w:hAnsi="宋体" w:eastAsia="Times New Roman" w:cs="宋体"/>
                <w:color w:val="auto"/>
                <w:kern w:val="0"/>
                <w:sz w:val="20"/>
                <w:szCs w:val="20"/>
                <w:highlight w:val="none"/>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2D1257BE">
            <w:pPr>
              <w:widowControl/>
              <w:jc w:val="left"/>
              <w:rPr>
                <w:rFonts w:ascii="宋体" w:hAnsi="宋体" w:eastAsia="Times New Roman" w:cs="宋体"/>
                <w:color w:val="auto"/>
                <w:kern w:val="0"/>
                <w:sz w:val="20"/>
                <w:szCs w:val="20"/>
                <w:highlight w:val="none"/>
                <w:lang w:eastAsia="en-US"/>
              </w:rPr>
            </w:pPr>
          </w:p>
        </w:tc>
        <w:tc>
          <w:tcPr>
            <w:tcW w:w="1800" w:type="dxa"/>
            <w:tcBorders>
              <w:top w:val="single" w:color="000000" w:sz="4" w:space="0"/>
              <w:left w:val="single" w:color="000000" w:sz="4" w:space="0"/>
              <w:bottom w:val="single" w:color="000000" w:sz="4" w:space="0"/>
              <w:right w:val="single" w:color="000000" w:sz="4" w:space="0"/>
            </w:tcBorders>
            <w:vAlign w:val="top"/>
          </w:tcPr>
          <w:p w14:paraId="6BE6F19D">
            <w:pPr>
              <w:pStyle w:val="63"/>
              <w:spacing w:before="162"/>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80</w:t>
            </w:r>
            <w:r>
              <w:rPr>
                <w:rFonts w:hint="eastAsia" w:ascii="宋体" w:hAnsi="宋体" w:cs="宋体"/>
                <w:color w:val="auto"/>
                <w:spacing w:val="1"/>
                <w:w w:val="99"/>
                <w:sz w:val="20"/>
                <w:szCs w:val="20"/>
                <w:highlight w:val="none"/>
              </w:rPr>
              <w:t>3</w:t>
            </w:r>
            <w:r>
              <w:rPr>
                <w:rFonts w:hint="eastAsia" w:ascii="宋体" w:hAnsi="宋体" w:cs="宋体"/>
                <w:color w:val="auto"/>
                <w:w w:val="99"/>
                <w:sz w:val="20"/>
                <w:szCs w:val="20"/>
                <w:highlight w:val="none"/>
              </w:rPr>
              <w:t>01洗衣机</w:t>
            </w:r>
          </w:p>
        </w:tc>
        <w:tc>
          <w:tcPr>
            <w:tcW w:w="1915" w:type="dxa"/>
            <w:tcBorders>
              <w:top w:val="single" w:color="000000" w:sz="4" w:space="0"/>
              <w:left w:val="single" w:color="000000" w:sz="4" w:space="0"/>
              <w:bottom w:val="single" w:color="000000" w:sz="4" w:space="0"/>
              <w:right w:val="single" w:color="000000" w:sz="4" w:space="0"/>
            </w:tcBorders>
            <w:vAlign w:val="top"/>
          </w:tcPr>
          <w:p w14:paraId="4E923375">
            <w:pPr>
              <w:rPr>
                <w:rFonts w:ascii="Calibri" w:hAnsi="Calibri"/>
                <w:color w:val="auto"/>
                <w:sz w:val="22"/>
                <w:szCs w:val="22"/>
                <w:highlight w:val="none"/>
              </w:rPr>
            </w:pPr>
          </w:p>
        </w:tc>
        <w:tc>
          <w:tcPr>
            <w:tcW w:w="3971" w:type="dxa"/>
            <w:tcBorders>
              <w:top w:val="single" w:color="000000" w:sz="4" w:space="0"/>
              <w:left w:val="single" w:color="000000" w:sz="4" w:space="0"/>
              <w:bottom w:val="single" w:color="000000" w:sz="4" w:space="0"/>
              <w:right w:val="single" w:color="000000" w:sz="4" w:space="0"/>
            </w:tcBorders>
            <w:vAlign w:val="top"/>
          </w:tcPr>
          <w:p w14:paraId="263F747F">
            <w:pPr>
              <w:pStyle w:val="63"/>
              <w:spacing w:before="6" w:line="280"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《电动洗衣机能效水效</w:t>
            </w:r>
            <w:r>
              <w:rPr>
                <w:rFonts w:hint="eastAsia" w:ascii="宋体" w:hAnsi="宋体" w:cs="宋体"/>
                <w:color w:val="auto"/>
                <w:spacing w:val="9"/>
                <w:w w:val="99"/>
                <w:sz w:val="20"/>
                <w:szCs w:val="20"/>
                <w:highlight w:val="none"/>
                <w:lang w:eastAsia="zh-CN"/>
              </w:rPr>
              <w:t>限</w:t>
            </w:r>
            <w:r>
              <w:rPr>
                <w:rFonts w:hint="eastAsia" w:ascii="宋体" w:hAnsi="宋体" w:cs="宋体"/>
                <w:color w:val="auto"/>
                <w:spacing w:val="12"/>
                <w:w w:val="99"/>
                <w:sz w:val="20"/>
                <w:szCs w:val="20"/>
                <w:highlight w:val="none"/>
                <w:lang w:eastAsia="zh-CN"/>
              </w:rPr>
              <w:t>定值</w:t>
            </w:r>
            <w:r>
              <w:rPr>
                <w:rFonts w:hint="eastAsia" w:ascii="宋体" w:hAnsi="宋体" w:cs="宋体"/>
                <w:color w:val="auto"/>
                <w:w w:val="99"/>
                <w:sz w:val="20"/>
                <w:szCs w:val="20"/>
                <w:highlight w:val="none"/>
                <w:lang w:eastAsia="zh-CN"/>
              </w:rPr>
              <w:t>及等级》（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1202</w:t>
            </w:r>
            <w:r>
              <w:rPr>
                <w:rFonts w:hint="eastAsia" w:ascii="宋体" w:hAnsi="宋体" w:cs="宋体"/>
                <w:color w:val="auto"/>
                <w:w w:val="99"/>
                <w:sz w:val="20"/>
                <w:szCs w:val="20"/>
                <w:highlight w:val="none"/>
                <w:lang w:eastAsia="zh-CN"/>
              </w:rPr>
              <w:t>1.</w:t>
            </w:r>
            <w:r>
              <w:rPr>
                <w:rFonts w:hint="eastAsia" w:ascii="宋体" w:hAnsi="宋体" w:cs="宋体"/>
                <w:color w:val="auto"/>
                <w:spacing w:val="1"/>
                <w:w w:val="99"/>
                <w:sz w:val="20"/>
                <w:szCs w:val="20"/>
                <w:highlight w:val="none"/>
                <w:lang w:eastAsia="zh-CN"/>
              </w:rPr>
              <w:t>4</w:t>
            </w:r>
            <w:r>
              <w:rPr>
                <w:rFonts w:hint="eastAsia" w:ascii="宋体" w:hAnsi="宋体" w:cs="宋体"/>
                <w:color w:val="auto"/>
                <w:w w:val="99"/>
                <w:sz w:val="20"/>
                <w:szCs w:val="20"/>
                <w:highlight w:val="none"/>
                <w:lang w:eastAsia="zh-CN"/>
              </w:rPr>
              <w:t>）</w:t>
            </w:r>
          </w:p>
        </w:tc>
      </w:tr>
    </w:tbl>
    <w:p w14:paraId="5B564390">
      <w:pPr>
        <w:spacing w:line="360" w:lineRule="auto"/>
        <w:rPr>
          <w:rFonts w:ascii="宋体" w:hAnsi="宋体" w:cs="宋体"/>
          <w:color w:val="auto"/>
          <w:sz w:val="20"/>
          <w:szCs w:val="20"/>
          <w:highlight w:val="none"/>
        </w:rPr>
      </w:pPr>
      <w:r>
        <w:rPr>
          <w:rFonts w:hint="eastAsia" w:ascii="宋体" w:hAnsi="宋体" w:cs="宋体"/>
          <w:color w:val="auto"/>
          <w:highlight w:val="none"/>
        </w:rPr>
        <mc:AlternateContent>
          <mc:Choice Requires="wps">
            <w:drawing>
              <wp:anchor distT="0" distB="0" distL="114300" distR="114300" simplePos="0" relativeHeight="251659264" behindDoc="0" locked="0" layoutInCell="1" allowOverlap="1">
                <wp:simplePos x="0" y="0"/>
                <wp:positionH relativeFrom="page">
                  <wp:posOffset>1161415</wp:posOffset>
                </wp:positionH>
                <wp:positionV relativeFrom="paragraph">
                  <wp:posOffset>1270</wp:posOffset>
                </wp:positionV>
                <wp:extent cx="5488305" cy="6871970"/>
                <wp:effectExtent l="0" t="0" r="0" b="0"/>
                <wp:wrapNone/>
                <wp:docPr id="1" name="000079"/>
                <wp:cNvGraphicFramePr/>
                <a:graphic xmlns:a="http://schemas.openxmlformats.org/drawingml/2006/main">
                  <a:graphicData uri="http://schemas.microsoft.com/office/word/2010/wordprocessingShape">
                    <wps:wsp>
                      <wps:cNvSpPr txBox="1"/>
                      <wps:spPr>
                        <a:xfrm>
                          <a:off x="0" y="0"/>
                          <a:ext cx="5488305" cy="6871970"/>
                        </a:xfrm>
                        <a:prstGeom prst="rect">
                          <a:avLst/>
                        </a:prstGeom>
                        <a:noFill/>
                        <a:ln>
                          <a:noFill/>
                        </a:ln>
                      </wps:spPr>
                      <wps:txbx>
                        <w:txbxContent>
                          <w:p w14:paraId="0B456401">
                            <w:pPr>
                              <w:rPr>
                                <w:rFonts w:ascii="Calibri" w:hAnsi="Calibri"/>
                                <w:sz w:val="22"/>
                                <w:szCs w:val="22"/>
                              </w:rPr>
                            </w:pPr>
                          </w:p>
                          <w:p w14:paraId="42930D5C"/>
                        </w:txbxContent>
                      </wps:txbx>
                      <wps:bodyPr lIns="0" tIns="0" rIns="0" bIns="0" upright="1"/>
                    </wps:wsp>
                  </a:graphicData>
                </a:graphic>
              </wp:anchor>
            </w:drawing>
          </mc:Choice>
          <mc:Fallback>
            <w:pict>
              <v:shape id="000079" o:spid="_x0000_s1026" o:spt="202" type="#_x0000_t202" style="position:absolute;left:0pt;margin-left:91.45pt;margin-top:0.1pt;height:541.1pt;width:432.15pt;mso-position-horizontal-relative:page;z-index:251659264;mso-width-relative:page;mso-height-relative:page;" filled="f" stroked="f" coordsize="21600,21600" o:gfxdata="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JITl7XAAAA&#10;CgEAAA8AAAAAAAAAAQAgAAAAIgAAAGRycy9kb3ducmV2LnhtbFBLAQIUABQAAAAIAIdO4kAfr8sS&#10;rAEAAG4DAAAOAAAAAAAAAAEAIAAAACYBAABkcnMvZTJvRG9jLnhtbFBLBQYAAAAABgAGAFkBAABE&#10;BQAAAAA=&#10;">
                <v:fill on="f" focussize="0,0"/>
                <v:stroke on="f"/>
                <v:imagedata o:title=""/>
                <o:lock v:ext="edit" aspectratio="f"/>
                <v:textbox inset="0mm,0mm,0mm,0mm">
                  <w:txbxContent>
                    <w:p w14:paraId="0B456401">
                      <w:pPr>
                        <w:rPr>
                          <w:rFonts w:ascii="Calibri" w:hAnsi="Calibri"/>
                          <w:sz w:val="22"/>
                          <w:szCs w:val="22"/>
                        </w:rPr>
                      </w:pPr>
                    </w:p>
                    <w:p w14:paraId="42930D5C"/>
                  </w:txbxContent>
                </v:textbox>
              </v:shape>
            </w:pict>
          </mc:Fallback>
        </mc:AlternateContent>
      </w:r>
    </w:p>
    <w:p w14:paraId="4C09240B">
      <w:pPr>
        <w:spacing w:line="360" w:lineRule="auto"/>
        <w:rPr>
          <w:rFonts w:ascii="宋体" w:hAnsi="宋体" w:cs="宋体"/>
          <w:color w:val="auto"/>
          <w:sz w:val="20"/>
          <w:szCs w:val="20"/>
          <w:highlight w:val="none"/>
        </w:rPr>
      </w:pPr>
    </w:p>
    <w:tbl>
      <w:tblPr>
        <w:tblStyle w:val="32"/>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1166"/>
        <w:gridCol w:w="1800"/>
        <w:gridCol w:w="1915"/>
        <w:gridCol w:w="3986"/>
      </w:tblGrid>
      <w:tr w14:paraId="099F1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exact"/>
        </w:trPr>
        <w:tc>
          <w:tcPr>
            <w:tcW w:w="574" w:type="dxa"/>
            <w:vMerge w:val="restart"/>
            <w:tcBorders>
              <w:top w:val="single" w:color="auto" w:sz="4" w:space="0"/>
              <w:left w:val="single" w:color="auto" w:sz="4" w:space="0"/>
              <w:bottom w:val="single" w:color="auto" w:sz="4" w:space="0"/>
              <w:right w:val="single" w:color="auto" w:sz="4" w:space="0"/>
            </w:tcBorders>
            <w:vAlign w:val="top"/>
          </w:tcPr>
          <w:p w14:paraId="05CDD23F">
            <w:pPr>
              <w:rPr>
                <w:rFonts w:ascii="Calibri" w:hAnsi="Calibri"/>
                <w:color w:val="auto"/>
                <w:sz w:val="22"/>
                <w:szCs w:val="22"/>
                <w:highlight w:val="none"/>
              </w:rPr>
            </w:pPr>
          </w:p>
        </w:tc>
        <w:tc>
          <w:tcPr>
            <w:tcW w:w="1166" w:type="dxa"/>
            <w:vMerge w:val="restart"/>
            <w:tcBorders>
              <w:top w:val="single" w:color="auto" w:sz="4" w:space="0"/>
              <w:left w:val="single" w:color="auto" w:sz="4" w:space="0"/>
              <w:bottom w:val="single" w:color="auto" w:sz="4" w:space="0"/>
              <w:right w:val="single" w:color="auto" w:sz="4" w:space="0"/>
            </w:tcBorders>
            <w:vAlign w:val="top"/>
          </w:tcPr>
          <w:p w14:paraId="4455961A">
            <w:pPr>
              <w:rPr>
                <w:rFonts w:ascii="Calibri" w:hAnsi="Calibri"/>
                <w:color w:val="auto"/>
                <w:sz w:val="22"/>
                <w:szCs w:val="22"/>
                <w:highlight w:val="none"/>
              </w:rPr>
            </w:pPr>
          </w:p>
        </w:tc>
        <w:tc>
          <w:tcPr>
            <w:tcW w:w="1800" w:type="dxa"/>
            <w:vMerge w:val="restart"/>
            <w:tcBorders>
              <w:top w:val="single" w:color="auto" w:sz="4" w:space="0"/>
              <w:left w:val="single" w:color="auto" w:sz="4" w:space="0"/>
              <w:bottom w:val="single" w:color="auto" w:sz="4" w:space="0"/>
              <w:right w:val="single" w:color="auto" w:sz="4" w:space="0"/>
            </w:tcBorders>
            <w:vAlign w:val="top"/>
          </w:tcPr>
          <w:p w14:paraId="4D389D62">
            <w:pPr>
              <w:pStyle w:val="63"/>
              <w:rPr>
                <w:rFonts w:ascii="宋体" w:hAnsi="宋体" w:cs="宋体"/>
                <w:color w:val="auto"/>
                <w:sz w:val="20"/>
                <w:szCs w:val="20"/>
                <w:highlight w:val="none"/>
                <w:lang w:eastAsia="zh-CN"/>
              </w:rPr>
            </w:pPr>
          </w:p>
          <w:p w14:paraId="0CF8C6F3">
            <w:pPr>
              <w:pStyle w:val="63"/>
              <w:rPr>
                <w:rFonts w:ascii="宋体" w:hAnsi="宋体" w:cs="宋体"/>
                <w:color w:val="auto"/>
                <w:sz w:val="20"/>
                <w:szCs w:val="20"/>
                <w:highlight w:val="none"/>
                <w:lang w:eastAsia="zh-CN"/>
              </w:rPr>
            </w:pPr>
          </w:p>
          <w:p w14:paraId="33938FF4">
            <w:pPr>
              <w:pStyle w:val="63"/>
              <w:rPr>
                <w:rFonts w:ascii="宋体" w:hAnsi="宋体" w:cs="宋体"/>
                <w:color w:val="auto"/>
                <w:sz w:val="20"/>
                <w:szCs w:val="20"/>
                <w:highlight w:val="none"/>
                <w:lang w:eastAsia="zh-CN"/>
              </w:rPr>
            </w:pPr>
          </w:p>
          <w:p w14:paraId="348F5B58">
            <w:pPr>
              <w:pStyle w:val="63"/>
              <w:rPr>
                <w:rFonts w:ascii="宋体" w:hAnsi="宋体" w:cs="宋体"/>
                <w:color w:val="auto"/>
                <w:sz w:val="20"/>
                <w:szCs w:val="20"/>
                <w:highlight w:val="none"/>
                <w:lang w:eastAsia="zh-CN"/>
              </w:rPr>
            </w:pPr>
          </w:p>
          <w:p w14:paraId="1024755F">
            <w:pPr>
              <w:pStyle w:val="63"/>
              <w:rPr>
                <w:rFonts w:ascii="宋体" w:hAnsi="宋体" w:cs="宋体"/>
                <w:color w:val="auto"/>
                <w:sz w:val="20"/>
                <w:szCs w:val="20"/>
                <w:highlight w:val="none"/>
                <w:lang w:eastAsia="zh-CN"/>
              </w:rPr>
            </w:pPr>
          </w:p>
          <w:p w14:paraId="08F646D0">
            <w:pPr>
              <w:pStyle w:val="63"/>
              <w:spacing w:before="161"/>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808热水器</w:t>
            </w:r>
          </w:p>
        </w:tc>
        <w:tc>
          <w:tcPr>
            <w:tcW w:w="1915" w:type="dxa"/>
            <w:tcBorders>
              <w:top w:val="single" w:color="auto" w:sz="4" w:space="0"/>
              <w:left w:val="single" w:color="auto" w:sz="4" w:space="0"/>
              <w:bottom w:val="single" w:color="auto" w:sz="4" w:space="0"/>
              <w:right w:val="single" w:color="auto" w:sz="4" w:space="0"/>
            </w:tcBorders>
            <w:vAlign w:val="top"/>
          </w:tcPr>
          <w:p w14:paraId="1A70D225">
            <w:pPr>
              <w:pStyle w:val="63"/>
              <w:spacing w:before="12"/>
              <w:rPr>
                <w:rFonts w:ascii="宋体" w:hAnsi="宋体" w:cs="宋体"/>
                <w:color w:val="auto"/>
                <w:sz w:val="15"/>
                <w:szCs w:val="15"/>
                <w:highlight w:val="none"/>
              </w:rPr>
            </w:pPr>
          </w:p>
          <w:p w14:paraId="0F96CB05">
            <w:pPr>
              <w:pStyle w:val="63"/>
              <w:ind w:left="7"/>
              <w:rPr>
                <w:rFonts w:ascii="宋体" w:hAnsi="宋体" w:cs="宋体"/>
                <w:color w:val="auto"/>
                <w:sz w:val="20"/>
                <w:szCs w:val="20"/>
                <w:highlight w:val="none"/>
              </w:rPr>
            </w:pPr>
            <w:r>
              <w:rPr>
                <w:rFonts w:hint="eastAsia" w:ascii="宋体" w:hAnsi="宋体" w:cs="宋体"/>
                <w:color w:val="auto"/>
                <w:w w:val="99"/>
                <w:sz w:val="20"/>
                <w:szCs w:val="20"/>
                <w:highlight w:val="none"/>
              </w:rPr>
              <w:t>★电热</w:t>
            </w:r>
            <w:r>
              <w:rPr>
                <w:rFonts w:hint="eastAsia" w:ascii="宋体" w:hAnsi="宋体" w:cs="宋体"/>
                <w:color w:val="auto"/>
                <w:spacing w:val="2"/>
                <w:w w:val="99"/>
                <w:sz w:val="20"/>
                <w:szCs w:val="20"/>
                <w:highlight w:val="none"/>
              </w:rPr>
              <w:t>水</w:t>
            </w:r>
            <w:r>
              <w:rPr>
                <w:rFonts w:hint="eastAsia" w:ascii="宋体" w:hAnsi="宋体" w:cs="宋体"/>
                <w:color w:val="auto"/>
                <w:w w:val="99"/>
                <w:sz w:val="20"/>
                <w:szCs w:val="20"/>
                <w:highlight w:val="none"/>
              </w:rPr>
              <w:t>器</w:t>
            </w:r>
          </w:p>
        </w:tc>
        <w:tc>
          <w:tcPr>
            <w:tcW w:w="3986" w:type="dxa"/>
            <w:tcBorders>
              <w:top w:val="single" w:color="auto" w:sz="4" w:space="0"/>
              <w:left w:val="single" w:color="auto" w:sz="4" w:space="0"/>
              <w:bottom w:val="single" w:color="auto" w:sz="4" w:space="0"/>
              <w:right w:val="single" w:color="auto" w:sz="4" w:space="0"/>
            </w:tcBorders>
            <w:vAlign w:val="top"/>
          </w:tcPr>
          <w:p w14:paraId="2F6DB4A0">
            <w:pPr>
              <w:pStyle w:val="63"/>
              <w:tabs>
                <w:tab w:val="left" w:pos="1608"/>
              </w:tabs>
              <w:spacing w:before="52" w:line="280"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《储水式电热水器能效</w:t>
            </w:r>
            <w:r>
              <w:rPr>
                <w:rFonts w:hint="eastAsia" w:ascii="宋体" w:hAnsi="宋体" w:cs="宋体"/>
                <w:color w:val="auto"/>
                <w:spacing w:val="9"/>
                <w:w w:val="99"/>
                <w:sz w:val="20"/>
                <w:szCs w:val="20"/>
                <w:highlight w:val="none"/>
                <w:lang w:eastAsia="zh-CN"/>
              </w:rPr>
              <w:t>限</w:t>
            </w:r>
            <w:r>
              <w:rPr>
                <w:rFonts w:hint="eastAsia" w:ascii="宋体" w:hAnsi="宋体" w:cs="宋体"/>
                <w:color w:val="auto"/>
                <w:spacing w:val="12"/>
                <w:w w:val="99"/>
                <w:sz w:val="20"/>
                <w:szCs w:val="20"/>
                <w:highlight w:val="none"/>
                <w:lang w:eastAsia="zh-CN"/>
              </w:rPr>
              <w:t>定值</w:t>
            </w:r>
            <w:r>
              <w:rPr>
                <w:rFonts w:hint="eastAsia" w:ascii="宋体" w:hAnsi="宋体" w:cs="宋体"/>
                <w:color w:val="auto"/>
                <w:w w:val="99"/>
                <w:sz w:val="20"/>
                <w:szCs w:val="20"/>
                <w:highlight w:val="none"/>
                <w:lang w:eastAsia="zh-CN"/>
              </w:rPr>
              <w:t>及能效等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z w:val="20"/>
                <w:szCs w:val="20"/>
                <w:highlight w:val="none"/>
                <w:lang w:eastAsia="zh-CN"/>
              </w:rPr>
              <w:tab/>
            </w:r>
            <w:r>
              <w:rPr>
                <w:rFonts w:hint="eastAsia" w:ascii="宋体" w:hAnsi="宋体" w:cs="宋体"/>
                <w:color w:val="auto"/>
                <w:spacing w:val="1"/>
                <w:w w:val="99"/>
                <w:sz w:val="20"/>
                <w:szCs w:val="20"/>
                <w:highlight w:val="none"/>
                <w:lang w:eastAsia="zh-CN"/>
              </w:rPr>
              <w:t>21</w:t>
            </w:r>
            <w:r>
              <w:rPr>
                <w:rFonts w:hint="eastAsia" w:ascii="宋体" w:hAnsi="宋体" w:cs="宋体"/>
                <w:color w:val="auto"/>
                <w:w w:val="99"/>
                <w:sz w:val="20"/>
                <w:szCs w:val="20"/>
                <w:highlight w:val="none"/>
                <w:lang w:eastAsia="zh-CN"/>
              </w:rPr>
              <w:t>51</w:t>
            </w:r>
            <w:r>
              <w:rPr>
                <w:rFonts w:hint="eastAsia" w:ascii="宋体" w:hAnsi="宋体" w:cs="宋体"/>
                <w:color w:val="auto"/>
                <w:spacing w:val="1"/>
                <w:w w:val="99"/>
                <w:sz w:val="20"/>
                <w:szCs w:val="20"/>
                <w:highlight w:val="none"/>
                <w:lang w:eastAsia="zh-CN"/>
              </w:rPr>
              <w:t>9</w:t>
            </w:r>
            <w:r>
              <w:rPr>
                <w:rFonts w:hint="eastAsia" w:ascii="宋体" w:hAnsi="宋体" w:cs="宋体"/>
                <w:color w:val="auto"/>
                <w:w w:val="99"/>
                <w:sz w:val="20"/>
                <w:szCs w:val="20"/>
                <w:highlight w:val="none"/>
                <w:lang w:eastAsia="zh-CN"/>
              </w:rPr>
              <w:t>）</w:t>
            </w:r>
          </w:p>
        </w:tc>
      </w:tr>
      <w:tr w14:paraId="50F92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2"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7A95E4F3">
            <w:pPr>
              <w:widowControl/>
              <w:jc w:val="left"/>
              <w:rPr>
                <w:rFonts w:ascii="Calibri" w:hAnsi="Calibri" w:eastAsia="Times New Roman"/>
                <w:color w:val="auto"/>
                <w:sz w:val="22"/>
                <w:szCs w:val="22"/>
                <w:highlight w:val="none"/>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090F8C74">
            <w:pPr>
              <w:widowControl/>
              <w:jc w:val="left"/>
              <w:rPr>
                <w:rFonts w:ascii="Calibri" w:hAnsi="Calibri" w:eastAsia="Times New Roman"/>
                <w:color w:val="auto"/>
                <w:sz w:val="22"/>
                <w:szCs w:val="22"/>
                <w:highlight w:val="none"/>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5EE3C77C">
            <w:pPr>
              <w:widowControl/>
              <w:jc w:val="left"/>
              <w:rPr>
                <w:rFonts w:ascii="宋体" w:hAnsi="宋体" w:eastAsia="Times New Roman" w:cs="宋体"/>
                <w:color w:val="auto"/>
                <w:kern w:val="0"/>
                <w:sz w:val="20"/>
                <w:szCs w:val="20"/>
                <w:highlight w:val="none"/>
              </w:rPr>
            </w:pPr>
          </w:p>
        </w:tc>
        <w:tc>
          <w:tcPr>
            <w:tcW w:w="1915" w:type="dxa"/>
            <w:tcBorders>
              <w:top w:val="single" w:color="auto" w:sz="4" w:space="0"/>
              <w:left w:val="single" w:color="auto" w:sz="4" w:space="0"/>
              <w:bottom w:val="single" w:color="auto" w:sz="4" w:space="0"/>
              <w:right w:val="single" w:color="auto" w:sz="4" w:space="0"/>
            </w:tcBorders>
            <w:vAlign w:val="top"/>
          </w:tcPr>
          <w:p w14:paraId="254A068D">
            <w:pPr>
              <w:pStyle w:val="63"/>
              <w:spacing w:before="2"/>
              <w:rPr>
                <w:rFonts w:ascii="宋体" w:hAnsi="宋体" w:cs="宋体"/>
                <w:color w:val="auto"/>
                <w:sz w:val="24"/>
                <w:szCs w:val="24"/>
                <w:highlight w:val="none"/>
                <w:lang w:eastAsia="zh-CN"/>
              </w:rPr>
            </w:pPr>
          </w:p>
          <w:p w14:paraId="2ED838B4">
            <w:pPr>
              <w:pStyle w:val="63"/>
              <w:ind w:left="7"/>
              <w:rPr>
                <w:rFonts w:ascii="宋体" w:hAnsi="宋体" w:cs="宋体"/>
                <w:color w:val="auto"/>
                <w:sz w:val="20"/>
                <w:szCs w:val="20"/>
                <w:highlight w:val="none"/>
              </w:rPr>
            </w:pPr>
            <w:r>
              <w:rPr>
                <w:rFonts w:hint="eastAsia" w:ascii="宋体" w:hAnsi="宋体" w:cs="宋体"/>
                <w:color w:val="auto"/>
                <w:w w:val="99"/>
                <w:sz w:val="20"/>
                <w:szCs w:val="20"/>
                <w:highlight w:val="none"/>
              </w:rPr>
              <w:t>燃气热</w:t>
            </w:r>
            <w:r>
              <w:rPr>
                <w:rFonts w:hint="eastAsia" w:ascii="宋体" w:hAnsi="宋体" w:cs="宋体"/>
                <w:color w:val="auto"/>
                <w:spacing w:val="2"/>
                <w:w w:val="99"/>
                <w:sz w:val="20"/>
                <w:szCs w:val="20"/>
                <w:highlight w:val="none"/>
              </w:rPr>
              <w:t>水</w:t>
            </w:r>
            <w:r>
              <w:rPr>
                <w:rFonts w:hint="eastAsia" w:ascii="宋体" w:hAnsi="宋体" w:cs="宋体"/>
                <w:color w:val="auto"/>
                <w:w w:val="99"/>
                <w:sz w:val="20"/>
                <w:szCs w:val="20"/>
                <w:highlight w:val="none"/>
              </w:rPr>
              <w:t>器</w:t>
            </w:r>
          </w:p>
        </w:tc>
        <w:tc>
          <w:tcPr>
            <w:tcW w:w="3986" w:type="dxa"/>
            <w:tcBorders>
              <w:top w:val="single" w:color="auto" w:sz="4" w:space="0"/>
              <w:left w:val="single" w:color="auto" w:sz="4" w:space="0"/>
              <w:bottom w:val="single" w:color="auto" w:sz="4" w:space="0"/>
              <w:right w:val="single" w:color="auto" w:sz="4" w:space="0"/>
            </w:tcBorders>
            <w:vAlign w:val="top"/>
          </w:tcPr>
          <w:p w14:paraId="4C446D38">
            <w:pPr>
              <w:pStyle w:val="63"/>
              <w:spacing w:before="4" w:line="280"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《家用燃气快速热水器</w:t>
            </w:r>
            <w:r>
              <w:rPr>
                <w:rFonts w:hint="eastAsia" w:ascii="宋体" w:hAnsi="宋体" w:cs="宋体"/>
                <w:color w:val="auto"/>
                <w:spacing w:val="9"/>
                <w:w w:val="99"/>
                <w:sz w:val="20"/>
                <w:szCs w:val="20"/>
                <w:highlight w:val="none"/>
                <w:lang w:eastAsia="zh-CN"/>
              </w:rPr>
              <w:t>和</w:t>
            </w:r>
            <w:r>
              <w:rPr>
                <w:rFonts w:hint="eastAsia" w:ascii="宋体" w:hAnsi="宋体" w:cs="宋体"/>
                <w:color w:val="auto"/>
                <w:spacing w:val="12"/>
                <w:w w:val="99"/>
                <w:sz w:val="20"/>
                <w:szCs w:val="20"/>
                <w:highlight w:val="none"/>
                <w:lang w:eastAsia="zh-CN"/>
              </w:rPr>
              <w:t>燃气</w:t>
            </w:r>
            <w:r>
              <w:rPr>
                <w:rFonts w:hint="eastAsia" w:ascii="宋体" w:hAnsi="宋体" w:cs="宋体"/>
                <w:color w:val="auto"/>
                <w:w w:val="99"/>
                <w:sz w:val="20"/>
                <w:szCs w:val="20"/>
                <w:highlight w:val="none"/>
                <w:lang w:eastAsia="zh-CN"/>
              </w:rPr>
              <w:t>采暖热水</w:t>
            </w:r>
            <w:r>
              <w:rPr>
                <w:rFonts w:hint="eastAsia" w:ascii="宋体" w:hAnsi="宋体" w:cs="宋体"/>
                <w:color w:val="auto"/>
                <w:spacing w:val="2"/>
                <w:w w:val="99"/>
                <w:sz w:val="20"/>
                <w:szCs w:val="20"/>
                <w:highlight w:val="none"/>
                <w:lang w:eastAsia="zh-CN"/>
              </w:rPr>
              <w:t>炉</w:t>
            </w:r>
            <w:r>
              <w:rPr>
                <w:rFonts w:hint="eastAsia" w:ascii="宋体" w:hAnsi="宋体" w:cs="宋体"/>
                <w:color w:val="auto"/>
                <w:w w:val="99"/>
                <w:sz w:val="20"/>
                <w:szCs w:val="20"/>
                <w:highlight w:val="none"/>
                <w:lang w:eastAsia="zh-CN"/>
              </w:rPr>
              <w:t>能效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w:t>
            </w:r>
            <w:r>
              <w:rPr>
                <w:rFonts w:hint="eastAsia" w:ascii="宋体" w:hAnsi="宋体" w:cs="宋体"/>
                <w:color w:val="auto"/>
                <w:spacing w:val="2"/>
                <w:w w:val="99"/>
                <w:sz w:val="20"/>
                <w:szCs w:val="20"/>
                <w:highlight w:val="none"/>
                <w:lang w:eastAsia="zh-CN"/>
              </w:rPr>
              <w:t>及</w:t>
            </w:r>
            <w:r>
              <w:rPr>
                <w:rFonts w:hint="eastAsia" w:ascii="宋体" w:hAnsi="宋体" w:cs="宋体"/>
                <w:color w:val="auto"/>
                <w:w w:val="99"/>
                <w:sz w:val="20"/>
                <w:szCs w:val="20"/>
                <w:highlight w:val="none"/>
                <w:lang w:eastAsia="zh-CN"/>
              </w:rPr>
              <w:t>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p>
          <w:p w14:paraId="414AE401">
            <w:pPr>
              <w:pStyle w:val="63"/>
              <w:spacing w:before="12"/>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G</w:t>
            </w:r>
            <w:r>
              <w:rPr>
                <w:rFonts w:hint="eastAsia" w:ascii="宋体" w:hAnsi="宋体" w:cs="宋体"/>
                <w:color w:val="auto"/>
                <w:w w:val="99"/>
                <w:sz w:val="20"/>
                <w:szCs w:val="20"/>
                <w:highlight w:val="none"/>
              </w:rPr>
              <w:t>B</w:t>
            </w:r>
            <w:r>
              <w:rPr>
                <w:rFonts w:hint="eastAsia" w:ascii="宋体" w:hAnsi="宋体" w:cs="宋体"/>
                <w:color w:val="auto"/>
                <w:spacing w:val="1"/>
                <w:w w:val="99"/>
                <w:sz w:val="20"/>
                <w:szCs w:val="20"/>
                <w:highlight w:val="none"/>
              </w:rPr>
              <w:t>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65</w:t>
            </w:r>
            <w:r>
              <w:rPr>
                <w:rFonts w:hint="eastAsia" w:ascii="宋体" w:hAnsi="宋体" w:cs="宋体"/>
                <w:color w:val="auto"/>
                <w:w w:val="99"/>
                <w:sz w:val="20"/>
                <w:szCs w:val="20"/>
                <w:highlight w:val="none"/>
              </w:rPr>
              <w:t>）</w:t>
            </w:r>
          </w:p>
        </w:tc>
      </w:tr>
      <w:tr w14:paraId="54ADB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393E2011">
            <w:pPr>
              <w:widowControl/>
              <w:jc w:val="left"/>
              <w:rPr>
                <w:rFonts w:ascii="Calibri" w:hAnsi="Calibri" w:eastAsia="Times New Roman"/>
                <w:color w:val="auto"/>
                <w:sz w:val="22"/>
                <w:szCs w:val="22"/>
                <w:highlight w:val="none"/>
                <w:lang w:eastAsia="en-US"/>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242A334C">
            <w:pPr>
              <w:widowControl/>
              <w:jc w:val="left"/>
              <w:rPr>
                <w:rFonts w:ascii="Calibri" w:hAnsi="Calibri" w:eastAsia="Times New Roman"/>
                <w:color w:val="auto"/>
                <w:sz w:val="22"/>
                <w:szCs w:val="22"/>
                <w:highlight w:val="none"/>
                <w:lang w:eastAsia="en-US"/>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1ACC7891">
            <w:pPr>
              <w:widowControl/>
              <w:jc w:val="left"/>
              <w:rPr>
                <w:rFonts w:ascii="宋体" w:hAnsi="宋体" w:eastAsia="Times New Roman" w:cs="宋体"/>
                <w:color w:val="auto"/>
                <w:kern w:val="0"/>
                <w:sz w:val="20"/>
                <w:szCs w:val="20"/>
                <w:highlight w:val="none"/>
                <w:lang w:eastAsia="en-US"/>
              </w:rPr>
            </w:pPr>
          </w:p>
        </w:tc>
        <w:tc>
          <w:tcPr>
            <w:tcW w:w="1915" w:type="dxa"/>
            <w:tcBorders>
              <w:top w:val="single" w:color="auto" w:sz="4" w:space="0"/>
              <w:left w:val="single" w:color="auto" w:sz="4" w:space="0"/>
              <w:bottom w:val="single" w:color="auto" w:sz="4" w:space="0"/>
              <w:right w:val="single" w:color="auto" w:sz="4" w:space="0"/>
            </w:tcBorders>
            <w:vAlign w:val="top"/>
          </w:tcPr>
          <w:p w14:paraId="1D14E770">
            <w:pPr>
              <w:pStyle w:val="63"/>
              <w:rPr>
                <w:rFonts w:ascii="宋体" w:hAnsi="宋体" w:cs="宋体"/>
                <w:color w:val="auto"/>
                <w:sz w:val="19"/>
                <w:szCs w:val="19"/>
                <w:highlight w:val="none"/>
              </w:rPr>
            </w:pPr>
          </w:p>
          <w:p w14:paraId="01409850">
            <w:pPr>
              <w:pStyle w:val="63"/>
              <w:ind w:left="7"/>
              <w:rPr>
                <w:rFonts w:ascii="宋体" w:hAnsi="宋体" w:cs="宋体"/>
                <w:color w:val="auto"/>
                <w:sz w:val="20"/>
                <w:szCs w:val="20"/>
                <w:highlight w:val="none"/>
              </w:rPr>
            </w:pPr>
            <w:r>
              <w:rPr>
                <w:rFonts w:hint="eastAsia" w:ascii="宋体" w:hAnsi="宋体" w:cs="宋体"/>
                <w:color w:val="auto"/>
                <w:w w:val="99"/>
                <w:sz w:val="20"/>
                <w:szCs w:val="20"/>
                <w:highlight w:val="none"/>
              </w:rPr>
              <w:t>热泵热</w:t>
            </w:r>
            <w:r>
              <w:rPr>
                <w:rFonts w:hint="eastAsia" w:ascii="宋体" w:hAnsi="宋体" w:cs="宋体"/>
                <w:color w:val="auto"/>
                <w:spacing w:val="2"/>
                <w:w w:val="99"/>
                <w:sz w:val="20"/>
                <w:szCs w:val="20"/>
                <w:highlight w:val="none"/>
              </w:rPr>
              <w:t>水</w:t>
            </w:r>
            <w:r>
              <w:rPr>
                <w:rFonts w:hint="eastAsia" w:ascii="宋体" w:hAnsi="宋体" w:cs="宋体"/>
                <w:color w:val="auto"/>
                <w:w w:val="99"/>
                <w:sz w:val="20"/>
                <w:szCs w:val="20"/>
                <w:highlight w:val="none"/>
              </w:rPr>
              <w:t>器</w:t>
            </w:r>
          </w:p>
        </w:tc>
        <w:tc>
          <w:tcPr>
            <w:tcW w:w="3986" w:type="dxa"/>
            <w:tcBorders>
              <w:top w:val="single" w:color="auto" w:sz="4" w:space="0"/>
              <w:left w:val="single" w:color="auto" w:sz="4" w:space="0"/>
              <w:bottom w:val="single" w:color="auto" w:sz="4" w:space="0"/>
              <w:right w:val="single" w:color="auto" w:sz="4" w:space="0"/>
            </w:tcBorders>
            <w:vAlign w:val="top"/>
          </w:tcPr>
          <w:p w14:paraId="5BF4B041">
            <w:pPr>
              <w:pStyle w:val="63"/>
              <w:spacing w:before="93" w:line="280" w:lineRule="auto"/>
              <w:ind w:left="7"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《热泵</w:t>
            </w:r>
            <w:r>
              <w:rPr>
                <w:rFonts w:hint="eastAsia" w:ascii="宋体" w:hAnsi="宋体" w:cs="宋体"/>
                <w:color w:val="auto"/>
                <w:spacing w:val="2"/>
                <w:w w:val="99"/>
                <w:sz w:val="20"/>
                <w:szCs w:val="20"/>
                <w:highlight w:val="none"/>
                <w:lang w:eastAsia="zh-CN"/>
              </w:rPr>
              <w:t>热</w:t>
            </w:r>
            <w:r>
              <w:rPr>
                <w:rFonts w:hint="eastAsia" w:ascii="宋体" w:hAnsi="宋体" w:cs="宋体"/>
                <w:color w:val="auto"/>
                <w:w w:val="99"/>
                <w:sz w:val="20"/>
                <w:szCs w:val="20"/>
                <w:highlight w:val="none"/>
                <w:lang w:eastAsia="zh-CN"/>
              </w:rPr>
              <w:t>水</w:t>
            </w:r>
            <w:r>
              <w:rPr>
                <w:rFonts w:hint="eastAsia" w:ascii="宋体" w:hAnsi="宋体" w:cs="宋体"/>
                <w:color w:val="auto"/>
                <w:spacing w:val="-27"/>
                <w:w w:val="99"/>
                <w:sz w:val="20"/>
                <w:szCs w:val="20"/>
                <w:highlight w:val="none"/>
                <w:lang w:eastAsia="zh-CN"/>
              </w:rPr>
              <w:t>机</w:t>
            </w:r>
            <w:r>
              <w:rPr>
                <w:rFonts w:hint="eastAsia" w:ascii="宋体" w:hAnsi="宋体" w:cs="宋体"/>
                <w:color w:val="auto"/>
                <w:w w:val="99"/>
                <w:sz w:val="20"/>
                <w:szCs w:val="20"/>
                <w:highlight w:val="none"/>
                <w:lang w:eastAsia="zh-CN"/>
              </w:rPr>
              <w:t>（器</w:t>
            </w:r>
            <w:r>
              <w:rPr>
                <w:rFonts w:hint="eastAsia" w:ascii="宋体" w:hAnsi="宋体" w:cs="宋体"/>
                <w:color w:val="auto"/>
                <w:spacing w:val="-27"/>
                <w:w w:val="99"/>
                <w:sz w:val="20"/>
                <w:szCs w:val="20"/>
                <w:highlight w:val="none"/>
                <w:lang w:eastAsia="zh-CN"/>
              </w:rPr>
              <w:t>）</w:t>
            </w:r>
            <w:r>
              <w:rPr>
                <w:rFonts w:hint="eastAsia" w:ascii="宋体" w:hAnsi="宋体" w:cs="宋体"/>
                <w:color w:val="auto"/>
                <w:w w:val="99"/>
                <w:sz w:val="20"/>
                <w:szCs w:val="20"/>
                <w:highlight w:val="none"/>
                <w:lang w:eastAsia="zh-CN"/>
              </w:rPr>
              <w:t>能效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定值及能效等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295</w:t>
            </w:r>
            <w:r>
              <w:rPr>
                <w:rFonts w:hint="eastAsia" w:ascii="宋体" w:hAnsi="宋体" w:cs="宋体"/>
                <w:color w:val="auto"/>
                <w:w w:val="99"/>
                <w:sz w:val="20"/>
                <w:szCs w:val="20"/>
                <w:highlight w:val="none"/>
                <w:lang w:eastAsia="zh-CN"/>
              </w:rPr>
              <w:t>4</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w:t>
            </w:r>
          </w:p>
        </w:tc>
      </w:tr>
      <w:tr w14:paraId="4776D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44F76F17">
            <w:pPr>
              <w:widowControl/>
              <w:jc w:val="left"/>
              <w:rPr>
                <w:rFonts w:ascii="Calibri" w:hAnsi="Calibri" w:eastAsia="Times New Roman"/>
                <w:color w:val="auto"/>
                <w:sz w:val="22"/>
                <w:szCs w:val="22"/>
                <w:highlight w:val="none"/>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465EBB15">
            <w:pPr>
              <w:widowControl/>
              <w:jc w:val="left"/>
              <w:rPr>
                <w:rFonts w:ascii="Calibri" w:hAnsi="Calibri" w:eastAsia="Times New Roman"/>
                <w:color w:val="auto"/>
                <w:sz w:val="22"/>
                <w:szCs w:val="22"/>
                <w:highlight w:val="none"/>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31603D1A">
            <w:pPr>
              <w:widowControl/>
              <w:jc w:val="left"/>
              <w:rPr>
                <w:rFonts w:ascii="宋体" w:hAnsi="宋体" w:eastAsia="Times New Roman" w:cs="宋体"/>
                <w:color w:val="auto"/>
                <w:kern w:val="0"/>
                <w:sz w:val="20"/>
                <w:szCs w:val="20"/>
                <w:highlight w:val="none"/>
              </w:rPr>
            </w:pPr>
          </w:p>
        </w:tc>
        <w:tc>
          <w:tcPr>
            <w:tcW w:w="1915" w:type="dxa"/>
            <w:tcBorders>
              <w:top w:val="single" w:color="auto" w:sz="4" w:space="0"/>
              <w:left w:val="single" w:color="auto" w:sz="4" w:space="0"/>
              <w:bottom w:val="single" w:color="auto" w:sz="4" w:space="0"/>
              <w:right w:val="single" w:color="auto" w:sz="4" w:space="0"/>
            </w:tcBorders>
            <w:vAlign w:val="top"/>
          </w:tcPr>
          <w:p w14:paraId="50F1ED74">
            <w:pPr>
              <w:pStyle w:val="63"/>
              <w:spacing w:before="12"/>
              <w:rPr>
                <w:rFonts w:ascii="宋体" w:hAnsi="宋体" w:cs="宋体"/>
                <w:color w:val="auto"/>
                <w:sz w:val="15"/>
                <w:szCs w:val="15"/>
                <w:highlight w:val="none"/>
                <w:lang w:eastAsia="zh-CN"/>
              </w:rPr>
            </w:pPr>
          </w:p>
          <w:p w14:paraId="2BD45739">
            <w:pPr>
              <w:pStyle w:val="63"/>
              <w:ind w:left="7"/>
              <w:rPr>
                <w:rFonts w:ascii="宋体" w:hAnsi="宋体" w:cs="宋体"/>
                <w:color w:val="auto"/>
                <w:sz w:val="20"/>
                <w:szCs w:val="20"/>
                <w:highlight w:val="none"/>
              </w:rPr>
            </w:pPr>
            <w:r>
              <w:rPr>
                <w:rFonts w:hint="eastAsia" w:ascii="宋体" w:hAnsi="宋体" w:cs="宋体"/>
                <w:color w:val="auto"/>
                <w:w w:val="99"/>
                <w:sz w:val="20"/>
                <w:szCs w:val="20"/>
                <w:highlight w:val="none"/>
              </w:rPr>
              <w:t>太阳能</w:t>
            </w:r>
            <w:r>
              <w:rPr>
                <w:rFonts w:hint="eastAsia" w:ascii="宋体" w:hAnsi="宋体" w:cs="宋体"/>
                <w:color w:val="auto"/>
                <w:spacing w:val="2"/>
                <w:w w:val="99"/>
                <w:sz w:val="20"/>
                <w:szCs w:val="20"/>
                <w:highlight w:val="none"/>
              </w:rPr>
              <w:t>热</w:t>
            </w:r>
            <w:r>
              <w:rPr>
                <w:rFonts w:hint="eastAsia" w:ascii="宋体" w:hAnsi="宋体" w:cs="宋体"/>
                <w:color w:val="auto"/>
                <w:w w:val="99"/>
                <w:sz w:val="20"/>
                <w:szCs w:val="20"/>
                <w:highlight w:val="none"/>
              </w:rPr>
              <w:t>水系统</w:t>
            </w:r>
          </w:p>
        </w:tc>
        <w:tc>
          <w:tcPr>
            <w:tcW w:w="3986" w:type="dxa"/>
            <w:tcBorders>
              <w:top w:val="single" w:color="auto" w:sz="4" w:space="0"/>
              <w:left w:val="single" w:color="auto" w:sz="4" w:space="0"/>
              <w:bottom w:val="single" w:color="auto" w:sz="4" w:space="0"/>
              <w:right w:val="single" w:color="auto" w:sz="4" w:space="0"/>
            </w:tcBorders>
            <w:vAlign w:val="top"/>
          </w:tcPr>
          <w:p w14:paraId="0ACF1F9C">
            <w:pPr>
              <w:pStyle w:val="63"/>
              <w:spacing w:before="52" w:line="280"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《家用太阳能热水系统</w:t>
            </w:r>
            <w:r>
              <w:rPr>
                <w:rFonts w:hint="eastAsia" w:ascii="宋体" w:hAnsi="宋体" w:cs="宋体"/>
                <w:color w:val="auto"/>
                <w:spacing w:val="9"/>
                <w:w w:val="99"/>
                <w:sz w:val="20"/>
                <w:szCs w:val="20"/>
                <w:highlight w:val="none"/>
                <w:lang w:eastAsia="zh-CN"/>
              </w:rPr>
              <w:t>能</w:t>
            </w:r>
            <w:r>
              <w:rPr>
                <w:rFonts w:hint="eastAsia" w:ascii="宋体" w:hAnsi="宋体" w:cs="宋体"/>
                <w:color w:val="auto"/>
                <w:spacing w:val="12"/>
                <w:w w:val="99"/>
                <w:sz w:val="20"/>
                <w:szCs w:val="20"/>
                <w:highlight w:val="none"/>
                <w:lang w:eastAsia="zh-CN"/>
              </w:rPr>
              <w:t>效限</w:t>
            </w:r>
            <w:r>
              <w:rPr>
                <w:rFonts w:hint="eastAsia" w:ascii="宋体" w:hAnsi="宋体" w:cs="宋体"/>
                <w:color w:val="auto"/>
                <w:w w:val="99"/>
                <w:sz w:val="20"/>
                <w:szCs w:val="20"/>
                <w:highlight w:val="none"/>
                <w:lang w:eastAsia="zh-CN"/>
              </w:rPr>
              <w:t>定值及能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26</w:t>
            </w:r>
            <w:r>
              <w:rPr>
                <w:rFonts w:hint="eastAsia" w:ascii="宋体" w:hAnsi="宋体" w:cs="宋体"/>
                <w:color w:val="auto"/>
                <w:w w:val="99"/>
                <w:sz w:val="20"/>
                <w:szCs w:val="20"/>
                <w:highlight w:val="none"/>
                <w:lang w:eastAsia="zh-CN"/>
              </w:rPr>
              <w:t>96</w:t>
            </w:r>
            <w:r>
              <w:rPr>
                <w:rFonts w:hint="eastAsia" w:ascii="宋体" w:hAnsi="宋体" w:cs="宋体"/>
                <w:color w:val="auto"/>
                <w:spacing w:val="-2"/>
                <w:w w:val="99"/>
                <w:sz w:val="20"/>
                <w:szCs w:val="20"/>
                <w:highlight w:val="none"/>
                <w:lang w:eastAsia="zh-CN"/>
              </w:rPr>
              <w:t>9</w:t>
            </w:r>
            <w:r>
              <w:rPr>
                <w:rFonts w:hint="eastAsia" w:ascii="宋体" w:hAnsi="宋体" w:cs="宋体"/>
                <w:color w:val="auto"/>
                <w:w w:val="99"/>
                <w:sz w:val="20"/>
                <w:szCs w:val="20"/>
                <w:highlight w:val="none"/>
                <w:lang w:eastAsia="zh-CN"/>
              </w:rPr>
              <w:t>）</w:t>
            </w:r>
          </w:p>
        </w:tc>
      </w:tr>
      <w:tr w14:paraId="50DFD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2" w:hRule="exact"/>
        </w:trPr>
        <w:tc>
          <w:tcPr>
            <w:tcW w:w="574" w:type="dxa"/>
            <w:vMerge w:val="restart"/>
            <w:tcBorders>
              <w:top w:val="single" w:color="auto" w:sz="4" w:space="0"/>
              <w:left w:val="single" w:color="auto" w:sz="4" w:space="0"/>
              <w:bottom w:val="single" w:color="auto" w:sz="4" w:space="0"/>
              <w:right w:val="single" w:color="auto" w:sz="4" w:space="0"/>
            </w:tcBorders>
            <w:vAlign w:val="top"/>
          </w:tcPr>
          <w:p w14:paraId="613FD3AF">
            <w:pPr>
              <w:pStyle w:val="63"/>
              <w:rPr>
                <w:rFonts w:ascii="宋体" w:hAnsi="宋体" w:cs="宋体"/>
                <w:color w:val="auto"/>
                <w:sz w:val="20"/>
                <w:szCs w:val="20"/>
                <w:highlight w:val="none"/>
                <w:lang w:eastAsia="zh-CN"/>
              </w:rPr>
            </w:pPr>
          </w:p>
          <w:p w14:paraId="2129C8A1">
            <w:pPr>
              <w:pStyle w:val="63"/>
              <w:rPr>
                <w:rFonts w:ascii="宋体" w:hAnsi="宋体" w:cs="宋体"/>
                <w:color w:val="auto"/>
                <w:sz w:val="20"/>
                <w:szCs w:val="20"/>
                <w:highlight w:val="none"/>
                <w:lang w:eastAsia="zh-CN"/>
              </w:rPr>
            </w:pPr>
          </w:p>
          <w:p w14:paraId="6F3B7D7C">
            <w:pPr>
              <w:pStyle w:val="63"/>
              <w:rPr>
                <w:rFonts w:ascii="宋体" w:hAnsi="宋体" w:cs="宋体"/>
                <w:color w:val="auto"/>
                <w:sz w:val="20"/>
                <w:szCs w:val="20"/>
                <w:highlight w:val="none"/>
                <w:lang w:eastAsia="zh-CN"/>
              </w:rPr>
            </w:pPr>
          </w:p>
          <w:p w14:paraId="5E4F4FAA">
            <w:pPr>
              <w:pStyle w:val="63"/>
              <w:rPr>
                <w:rFonts w:ascii="宋体" w:hAnsi="宋体" w:cs="宋体"/>
                <w:color w:val="auto"/>
                <w:sz w:val="20"/>
                <w:szCs w:val="20"/>
                <w:highlight w:val="none"/>
                <w:lang w:eastAsia="zh-CN"/>
              </w:rPr>
            </w:pPr>
          </w:p>
          <w:p w14:paraId="235C5776">
            <w:pPr>
              <w:pStyle w:val="63"/>
              <w:rPr>
                <w:rFonts w:ascii="宋体" w:hAnsi="宋体" w:cs="宋体"/>
                <w:color w:val="auto"/>
                <w:sz w:val="20"/>
                <w:szCs w:val="20"/>
                <w:highlight w:val="none"/>
                <w:lang w:eastAsia="zh-CN"/>
              </w:rPr>
            </w:pPr>
          </w:p>
          <w:p w14:paraId="5469797E">
            <w:pPr>
              <w:pStyle w:val="63"/>
              <w:spacing w:before="12"/>
              <w:rPr>
                <w:rFonts w:ascii="宋体" w:hAnsi="宋体" w:cs="宋体"/>
                <w:color w:val="auto"/>
                <w:sz w:val="23"/>
                <w:szCs w:val="23"/>
                <w:highlight w:val="none"/>
                <w:lang w:eastAsia="zh-CN"/>
              </w:rPr>
            </w:pPr>
          </w:p>
          <w:p w14:paraId="3C8D112C">
            <w:pPr>
              <w:pStyle w:val="63"/>
              <w:ind w:left="182"/>
              <w:rPr>
                <w:rFonts w:ascii="宋体" w:hAnsi="宋体" w:cs="宋体"/>
                <w:color w:val="auto"/>
                <w:sz w:val="20"/>
                <w:szCs w:val="20"/>
                <w:highlight w:val="none"/>
              </w:rPr>
            </w:pPr>
            <w:r>
              <w:rPr>
                <w:rFonts w:hint="eastAsia" w:ascii="宋体"/>
                <w:color w:val="auto"/>
                <w:spacing w:val="1"/>
                <w:w w:val="99"/>
                <w:sz w:val="20"/>
                <w:highlight w:val="none"/>
              </w:rPr>
              <w:t>1</w:t>
            </w:r>
            <w:r>
              <w:rPr>
                <w:rFonts w:hint="eastAsia" w:ascii="宋体"/>
                <w:color w:val="auto"/>
                <w:w w:val="99"/>
                <w:sz w:val="20"/>
                <w:highlight w:val="none"/>
              </w:rPr>
              <w:t>1</w:t>
            </w:r>
          </w:p>
        </w:tc>
        <w:tc>
          <w:tcPr>
            <w:tcW w:w="1166" w:type="dxa"/>
            <w:vMerge w:val="restart"/>
            <w:tcBorders>
              <w:top w:val="single" w:color="auto" w:sz="4" w:space="0"/>
              <w:left w:val="single" w:color="auto" w:sz="4" w:space="0"/>
              <w:bottom w:val="single" w:color="auto" w:sz="4" w:space="0"/>
              <w:right w:val="single" w:color="auto" w:sz="4" w:space="0"/>
            </w:tcBorders>
            <w:vAlign w:val="top"/>
          </w:tcPr>
          <w:p w14:paraId="248313AB">
            <w:pPr>
              <w:pStyle w:val="63"/>
              <w:rPr>
                <w:rFonts w:ascii="宋体" w:hAnsi="宋体" w:cs="宋体"/>
                <w:color w:val="auto"/>
                <w:sz w:val="20"/>
                <w:szCs w:val="20"/>
                <w:highlight w:val="none"/>
              </w:rPr>
            </w:pPr>
          </w:p>
          <w:p w14:paraId="0C855D7C">
            <w:pPr>
              <w:pStyle w:val="63"/>
              <w:rPr>
                <w:rFonts w:ascii="宋体" w:hAnsi="宋体" w:cs="宋体"/>
                <w:color w:val="auto"/>
                <w:sz w:val="20"/>
                <w:szCs w:val="20"/>
                <w:highlight w:val="none"/>
              </w:rPr>
            </w:pPr>
          </w:p>
          <w:p w14:paraId="7001F31F">
            <w:pPr>
              <w:pStyle w:val="63"/>
              <w:rPr>
                <w:rFonts w:ascii="宋体" w:hAnsi="宋体" w:cs="宋体"/>
                <w:color w:val="auto"/>
                <w:sz w:val="20"/>
                <w:szCs w:val="20"/>
                <w:highlight w:val="none"/>
              </w:rPr>
            </w:pPr>
          </w:p>
          <w:p w14:paraId="3B5DC2EB">
            <w:pPr>
              <w:pStyle w:val="63"/>
              <w:rPr>
                <w:rFonts w:ascii="宋体" w:hAnsi="宋体" w:cs="宋体"/>
                <w:color w:val="auto"/>
                <w:sz w:val="20"/>
                <w:szCs w:val="20"/>
                <w:highlight w:val="none"/>
              </w:rPr>
            </w:pPr>
          </w:p>
          <w:p w14:paraId="76C5E9BE">
            <w:pPr>
              <w:pStyle w:val="63"/>
              <w:rPr>
                <w:rFonts w:ascii="宋体" w:hAnsi="宋体" w:cs="宋体"/>
                <w:color w:val="auto"/>
                <w:sz w:val="20"/>
                <w:szCs w:val="20"/>
                <w:highlight w:val="none"/>
              </w:rPr>
            </w:pPr>
          </w:p>
          <w:p w14:paraId="2D6FAE4D">
            <w:pPr>
              <w:pStyle w:val="63"/>
              <w:spacing w:before="157"/>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9照明</w:t>
            </w:r>
          </w:p>
          <w:p w14:paraId="6F40AE4A">
            <w:pPr>
              <w:pStyle w:val="63"/>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设备</w:t>
            </w:r>
          </w:p>
        </w:tc>
        <w:tc>
          <w:tcPr>
            <w:tcW w:w="1800" w:type="dxa"/>
            <w:tcBorders>
              <w:top w:val="single" w:color="auto" w:sz="4" w:space="0"/>
              <w:left w:val="single" w:color="auto" w:sz="4" w:space="0"/>
              <w:bottom w:val="single" w:color="auto" w:sz="4" w:space="0"/>
              <w:right w:val="single" w:color="auto" w:sz="4" w:space="0"/>
            </w:tcBorders>
            <w:vAlign w:val="top"/>
          </w:tcPr>
          <w:p w14:paraId="5F32BCDD">
            <w:pPr>
              <w:pStyle w:val="63"/>
              <w:spacing w:before="133" w:line="280" w:lineRule="auto"/>
              <w:ind w:left="7"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w:t>
            </w:r>
            <w:r>
              <w:rPr>
                <w:rFonts w:hint="eastAsia" w:ascii="宋体" w:hAnsi="宋体" w:cs="宋体"/>
                <w:color w:val="auto"/>
                <w:spacing w:val="24"/>
                <w:w w:val="99"/>
                <w:sz w:val="20"/>
                <w:szCs w:val="20"/>
                <w:highlight w:val="none"/>
                <w:lang w:eastAsia="zh-CN"/>
              </w:rPr>
              <w:t>普</w:t>
            </w:r>
            <w:r>
              <w:rPr>
                <w:rFonts w:hint="eastAsia" w:ascii="宋体" w:hAnsi="宋体" w:cs="宋体"/>
                <w:color w:val="auto"/>
                <w:w w:val="99"/>
                <w:sz w:val="20"/>
                <w:szCs w:val="20"/>
                <w:highlight w:val="none"/>
                <w:lang w:eastAsia="zh-CN"/>
              </w:rPr>
              <w:t>通照明用</w:t>
            </w:r>
            <w:r>
              <w:rPr>
                <w:rFonts w:hint="eastAsia" w:ascii="宋体" w:hAnsi="宋体" w:cs="宋体"/>
                <w:color w:val="auto"/>
                <w:spacing w:val="24"/>
                <w:w w:val="99"/>
                <w:sz w:val="20"/>
                <w:szCs w:val="20"/>
                <w:highlight w:val="none"/>
                <w:lang w:eastAsia="zh-CN"/>
              </w:rPr>
              <w:t>双</w:t>
            </w:r>
            <w:r>
              <w:rPr>
                <w:rFonts w:hint="eastAsia" w:ascii="宋体" w:hAnsi="宋体" w:cs="宋体"/>
                <w:color w:val="auto"/>
                <w:w w:val="99"/>
                <w:sz w:val="20"/>
                <w:szCs w:val="20"/>
                <w:highlight w:val="none"/>
                <w:lang w:eastAsia="zh-CN"/>
              </w:rPr>
              <w:t>端荧光灯</w:t>
            </w:r>
          </w:p>
        </w:tc>
        <w:tc>
          <w:tcPr>
            <w:tcW w:w="1915" w:type="dxa"/>
            <w:tcBorders>
              <w:top w:val="single" w:color="auto" w:sz="4" w:space="0"/>
              <w:left w:val="single" w:color="auto" w:sz="4" w:space="0"/>
              <w:bottom w:val="single" w:color="auto" w:sz="4" w:space="0"/>
              <w:right w:val="single" w:color="auto" w:sz="4" w:space="0"/>
            </w:tcBorders>
            <w:vAlign w:val="top"/>
          </w:tcPr>
          <w:p w14:paraId="3938B25E">
            <w:pPr>
              <w:rPr>
                <w:rFonts w:ascii="Calibri" w:hAnsi="Calibri"/>
                <w:color w:val="auto"/>
                <w:sz w:val="22"/>
                <w:szCs w:val="22"/>
                <w:highlight w:val="none"/>
              </w:rPr>
            </w:pPr>
          </w:p>
        </w:tc>
        <w:tc>
          <w:tcPr>
            <w:tcW w:w="3986" w:type="dxa"/>
            <w:tcBorders>
              <w:top w:val="single" w:color="auto" w:sz="4" w:space="0"/>
              <w:left w:val="single" w:color="auto" w:sz="4" w:space="0"/>
              <w:bottom w:val="single" w:color="auto" w:sz="4" w:space="0"/>
              <w:right w:val="single" w:color="auto" w:sz="4" w:space="0"/>
            </w:tcBorders>
            <w:vAlign w:val="top"/>
          </w:tcPr>
          <w:p w14:paraId="7AA4449E">
            <w:pPr>
              <w:pStyle w:val="63"/>
              <w:spacing w:before="133" w:line="280"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《普通照明用双端荧光</w:t>
            </w:r>
            <w:r>
              <w:rPr>
                <w:rFonts w:hint="eastAsia" w:ascii="宋体" w:hAnsi="宋体" w:cs="宋体"/>
                <w:color w:val="auto"/>
                <w:spacing w:val="9"/>
                <w:w w:val="99"/>
                <w:sz w:val="20"/>
                <w:szCs w:val="20"/>
                <w:highlight w:val="none"/>
                <w:lang w:eastAsia="zh-CN"/>
              </w:rPr>
              <w:t>灯</w:t>
            </w:r>
            <w:r>
              <w:rPr>
                <w:rFonts w:hint="eastAsia" w:ascii="宋体" w:hAnsi="宋体" w:cs="宋体"/>
                <w:color w:val="auto"/>
                <w:spacing w:val="12"/>
                <w:w w:val="99"/>
                <w:sz w:val="20"/>
                <w:szCs w:val="20"/>
                <w:highlight w:val="none"/>
                <w:lang w:eastAsia="zh-CN"/>
              </w:rPr>
              <w:t>能效</w:t>
            </w:r>
            <w:r>
              <w:rPr>
                <w:rFonts w:hint="eastAsia" w:ascii="宋体" w:hAnsi="宋体" w:cs="宋体"/>
                <w:color w:val="auto"/>
                <w:w w:val="99"/>
                <w:sz w:val="20"/>
                <w:szCs w:val="20"/>
                <w:highlight w:val="none"/>
                <w:lang w:eastAsia="zh-CN"/>
              </w:rPr>
              <w:t>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19</w:t>
            </w:r>
            <w:r>
              <w:rPr>
                <w:rFonts w:hint="eastAsia" w:ascii="宋体" w:hAnsi="宋体" w:cs="宋体"/>
                <w:color w:val="auto"/>
                <w:w w:val="99"/>
                <w:sz w:val="20"/>
                <w:szCs w:val="20"/>
                <w:highlight w:val="none"/>
                <w:lang w:eastAsia="zh-CN"/>
              </w:rPr>
              <w:t>04</w:t>
            </w:r>
            <w:r>
              <w:rPr>
                <w:rFonts w:hint="eastAsia" w:ascii="宋体" w:hAnsi="宋体" w:cs="宋体"/>
                <w:color w:val="auto"/>
                <w:spacing w:val="1"/>
                <w:w w:val="99"/>
                <w:sz w:val="20"/>
                <w:szCs w:val="20"/>
                <w:highlight w:val="none"/>
                <w:lang w:eastAsia="zh-CN"/>
              </w:rPr>
              <w:t>3</w:t>
            </w:r>
            <w:r>
              <w:rPr>
                <w:rFonts w:hint="eastAsia" w:ascii="宋体" w:hAnsi="宋体" w:cs="宋体"/>
                <w:color w:val="auto"/>
                <w:w w:val="99"/>
                <w:sz w:val="20"/>
                <w:szCs w:val="20"/>
                <w:highlight w:val="none"/>
                <w:lang w:eastAsia="zh-CN"/>
              </w:rPr>
              <w:t>）</w:t>
            </w:r>
          </w:p>
        </w:tc>
      </w:tr>
      <w:tr w14:paraId="7D4C7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4934E27F">
            <w:pPr>
              <w:widowControl/>
              <w:jc w:val="left"/>
              <w:rPr>
                <w:rFonts w:ascii="宋体" w:hAnsi="宋体" w:eastAsia="Times New Roman" w:cs="宋体"/>
                <w:color w:val="auto"/>
                <w:kern w:val="0"/>
                <w:sz w:val="20"/>
                <w:szCs w:val="20"/>
                <w:highlight w:val="none"/>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621FAD48">
            <w:pPr>
              <w:widowControl/>
              <w:jc w:val="left"/>
              <w:rPr>
                <w:rFonts w:ascii="宋体" w:hAnsi="宋体" w:eastAsia="Times New Roman" w:cs="宋体"/>
                <w:color w:val="auto"/>
                <w:kern w:val="0"/>
                <w:sz w:val="20"/>
                <w:szCs w:val="20"/>
                <w:highlight w:val="none"/>
              </w:rPr>
            </w:pPr>
          </w:p>
        </w:tc>
        <w:tc>
          <w:tcPr>
            <w:tcW w:w="1800" w:type="dxa"/>
            <w:tcBorders>
              <w:top w:val="single" w:color="auto" w:sz="4" w:space="0"/>
              <w:left w:val="single" w:color="auto" w:sz="4" w:space="0"/>
              <w:bottom w:val="single" w:color="auto" w:sz="4" w:space="0"/>
              <w:right w:val="single" w:color="auto" w:sz="4" w:space="0"/>
            </w:tcBorders>
            <w:vAlign w:val="top"/>
          </w:tcPr>
          <w:p w14:paraId="0A1FA055">
            <w:pPr>
              <w:pStyle w:val="63"/>
              <w:spacing w:before="92" w:line="280" w:lineRule="auto"/>
              <w:ind w:left="7" w:right="2"/>
              <w:rPr>
                <w:rFonts w:ascii="宋体" w:hAnsi="宋体" w:cs="宋体"/>
                <w:color w:val="auto"/>
                <w:sz w:val="20"/>
                <w:szCs w:val="20"/>
                <w:highlight w:val="none"/>
              </w:rPr>
            </w:pPr>
            <w:r>
              <w:rPr>
                <w:rFonts w:hint="eastAsia" w:ascii="宋体" w:hAnsi="宋体" w:cs="宋体"/>
                <w:color w:val="auto"/>
                <w:spacing w:val="1"/>
                <w:w w:val="99"/>
                <w:sz w:val="20"/>
                <w:szCs w:val="20"/>
                <w:highlight w:val="none"/>
              </w:rPr>
              <w:t>LE</w:t>
            </w:r>
            <w:r>
              <w:rPr>
                <w:rFonts w:hint="eastAsia" w:ascii="宋体" w:hAnsi="宋体" w:cs="宋体"/>
                <w:color w:val="auto"/>
                <w:w w:val="99"/>
                <w:sz w:val="20"/>
                <w:szCs w:val="20"/>
                <w:highlight w:val="none"/>
              </w:rPr>
              <w:t>D</w:t>
            </w:r>
            <w:r>
              <w:rPr>
                <w:rFonts w:hint="eastAsia" w:ascii="宋体" w:hAnsi="宋体" w:cs="宋体"/>
                <w:color w:val="auto"/>
                <w:spacing w:val="12"/>
                <w:w w:val="99"/>
                <w:sz w:val="20"/>
                <w:szCs w:val="20"/>
                <w:highlight w:val="none"/>
              </w:rPr>
              <w:t>道</w:t>
            </w:r>
            <w:r>
              <w:rPr>
                <w:rFonts w:hint="eastAsia" w:ascii="宋体" w:hAnsi="宋体" w:cs="宋体"/>
                <w:color w:val="auto"/>
                <w:spacing w:val="9"/>
                <w:w w:val="99"/>
                <w:sz w:val="20"/>
                <w:szCs w:val="20"/>
                <w:highlight w:val="none"/>
              </w:rPr>
              <w:t>路</w:t>
            </w:r>
            <w:r>
              <w:rPr>
                <w:rFonts w:hint="eastAsia" w:ascii="宋体" w:hAnsi="宋体" w:cs="宋体"/>
                <w:color w:val="auto"/>
                <w:spacing w:val="13"/>
                <w:w w:val="99"/>
                <w:sz w:val="20"/>
                <w:szCs w:val="20"/>
                <w:highlight w:val="none"/>
              </w:rPr>
              <w:t>/</w:t>
            </w:r>
            <w:r>
              <w:rPr>
                <w:rFonts w:hint="eastAsia" w:ascii="宋体" w:hAnsi="宋体" w:cs="宋体"/>
                <w:color w:val="auto"/>
                <w:spacing w:val="12"/>
                <w:w w:val="99"/>
                <w:sz w:val="20"/>
                <w:szCs w:val="20"/>
                <w:highlight w:val="none"/>
              </w:rPr>
              <w:t>隧道照</w:t>
            </w:r>
            <w:r>
              <w:rPr>
                <w:rFonts w:hint="eastAsia" w:ascii="宋体" w:hAnsi="宋体" w:cs="宋体"/>
                <w:color w:val="auto"/>
                <w:w w:val="99"/>
                <w:sz w:val="20"/>
                <w:szCs w:val="20"/>
                <w:highlight w:val="none"/>
              </w:rPr>
              <w:t>明产品</w:t>
            </w:r>
          </w:p>
        </w:tc>
        <w:tc>
          <w:tcPr>
            <w:tcW w:w="1915" w:type="dxa"/>
            <w:tcBorders>
              <w:top w:val="single" w:color="auto" w:sz="4" w:space="0"/>
              <w:left w:val="single" w:color="auto" w:sz="4" w:space="0"/>
              <w:bottom w:val="single" w:color="auto" w:sz="4" w:space="0"/>
              <w:right w:val="single" w:color="auto" w:sz="4" w:space="0"/>
            </w:tcBorders>
            <w:vAlign w:val="top"/>
          </w:tcPr>
          <w:p w14:paraId="5EE1A437">
            <w:pPr>
              <w:rPr>
                <w:rFonts w:ascii="Calibri" w:hAnsi="Calibri"/>
                <w:color w:val="auto"/>
                <w:sz w:val="22"/>
                <w:szCs w:val="22"/>
                <w:highlight w:val="none"/>
              </w:rPr>
            </w:pPr>
          </w:p>
        </w:tc>
        <w:tc>
          <w:tcPr>
            <w:tcW w:w="3986" w:type="dxa"/>
            <w:tcBorders>
              <w:top w:val="single" w:color="auto" w:sz="4" w:space="0"/>
              <w:left w:val="single" w:color="auto" w:sz="4" w:space="0"/>
              <w:bottom w:val="single" w:color="auto" w:sz="4" w:space="0"/>
              <w:right w:val="single" w:color="auto" w:sz="4" w:space="0"/>
            </w:tcBorders>
            <w:vAlign w:val="top"/>
          </w:tcPr>
          <w:p w14:paraId="5DB23662">
            <w:pPr>
              <w:pStyle w:val="63"/>
              <w:spacing w:before="92" w:line="280" w:lineRule="auto"/>
              <w:ind w:left="7" w:right="7"/>
              <w:rPr>
                <w:rFonts w:ascii="宋体" w:hAnsi="宋体" w:cs="宋体"/>
                <w:color w:val="auto"/>
                <w:sz w:val="20"/>
                <w:szCs w:val="20"/>
                <w:highlight w:val="none"/>
                <w:lang w:eastAsia="zh-CN"/>
              </w:rPr>
            </w:pPr>
            <w:r>
              <w:rPr>
                <w:rFonts w:hint="eastAsia" w:ascii="宋体" w:hAnsi="宋体" w:cs="宋体"/>
                <w:color w:val="auto"/>
                <w:spacing w:val="4"/>
                <w:w w:val="99"/>
                <w:sz w:val="20"/>
                <w:szCs w:val="20"/>
                <w:highlight w:val="none"/>
                <w:lang w:eastAsia="zh-CN"/>
              </w:rPr>
              <w:t>《</w:t>
            </w:r>
            <w:r>
              <w:rPr>
                <w:rFonts w:hint="eastAsia" w:ascii="宋体" w:hAnsi="宋体" w:cs="宋体"/>
                <w:color w:val="auto"/>
                <w:spacing w:val="2"/>
                <w:w w:val="99"/>
                <w:sz w:val="20"/>
                <w:szCs w:val="20"/>
                <w:highlight w:val="none"/>
                <w:lang w:eastAsia="zh-CN"/>
              </w:rPr>
              <w:t>道</w:t>
            </w:r>
            <w:r>
              <w:rPr>
                <w:rFonts w:hint="eastAsia" w:ascii="宋体" w:hAnsi="宋体" w:cs="宋体"/>
                <w:color w:val="auto"/>
                <w:spacing w:val="4"/>
                <w:w w:val="99"/>
                <w:sz w:val="20"/>
                <w:szCs w:val="20"/>
                <w:highlight w:val="none"/>
                <w:lang w:eastAsia="zh-CN"/>
              </w:rPr>
              <w:t>路和隧道照</w:t>
            </w:r>
            <w:r>
              <w:rPr>
                <w:rFonts w:hint="eastAsia" w:ascii="宋体" w:hAnsi="宋体" w:cs="宋体"/>
                <w:color w:val="auto"/>
                <w:spacing w:val="2"/>
                <w:w w:val="99"/>
                <w:sz w:val="20"/>
                <w:szCs w:val="20"/>
                <w:highlight w:val="none"/>
                <w:lang w:eastAsia="zh-CN"/>
              </w:rPr>
              <w:t>明</w:t>
            </w:r>
            <w:r>
              <w:rPr>
                <w:rFonts w:hint="eastAsia" w:ascii="宋体" w:hAnsi="宋体" w:cs="宋体"/>
                <w:color w:val="auto"/>
                <w:w w:val="99"/>
                <w:sz w:val="20"/>
                <w:szCs w:val="20"/>
                <w:highlight w:val="none"/>
                <w:lang w:eastAsia="zh-CN"/>
              </w:rPr>
              <w:t>用</w:t>
            </w:r>
            <w:r>
              <w:rPr>
                <w:rFonts w:hint="eastAsia" w:ascii="宋体" w:hAnsi="宋体" w:cs="宋体"/>
                <w:color w:val="auto"/>
                <w:spacing w:val="1"/>
                <w:w w:val="99"/>
                <w:sz w:val="20"/>
                <w:szCs w:val="20"/>
                <w:highlight w:val="none"/>
                <w:lang w:eastAsia="zh-CN"/>
              </w:rPr>
              <w:t>LE</w:t>
            </w:r>
            <w:r>
              <w:rPr>
                <w:rFonts w:hint="eastAsia" w:ascii="宋体" w:hAnsi="宋体" w:cs="宋体"/>
                <w:color w:val="auto"/>
                <w:w w:val="99"/>
                <w:sz w:val="20"/>
                <w:szCs w:val="20"/>
                <w:highlight w:val="none"/>
                <w:lang w:eastAsia="zh-CN"/>
              </w:rPr>
              <w:t>D</w:t>
            </w:r>
            <w:r>
              <w:rPr>
                <w:rFonts w:hint="eastAsia" w:ascii="宋体" w:hAnsi="宋体" w:cs="宋体"/>
                <w:color w:val="auto"/>
                <w:spacing w:val="4"/>
                <w:w w:val="99"/>
                <w:sz w:val="20"/>
                <w:szCs w:val="20"/>
                <w:highlight w:val="none"/>
                <w:lang w:eastAsia="zh-CN"/>
              </w:rPr>
              <w:t>灯</w:t>
            </w:r>
            <w:r>
              <w:rPr>
                <w:rFonts w:hint="eastAsia" w:ascii="宋体" w:hAnsi="宋体" w:cs="宋体"/>
                <w:color w:val="auto"/>
                <w:spacing w:val="2"/>
                <w:w w:val="99"/>
                <w:sz w:val="20"/>
                <w:szCs w:val="20"/>
                <w:highlight w:val="none"/>
                <w:lang w:eastAsia="zh-CN"/>
              </w:rPr>
              <w:t>具</w:t>
            </w:r>
            <w:r>
              <w:rPr>
                <w:rFonts w:hint="eastAsia" w:ascii="宋体" w:hAnsi="宋体" w:cs="宋体"/>
                <w:color w:val="auto"/>
                <w:w w:val="99"/>
                <w:sz w:val="20"/>
                <w:szCs w:val="20"/>
                <w:highlight w:val="none"/>
                <w:lang w:eastAsia="zh-CN"/>
              </w:rPr>
              <w:t>能效限定</w:t>
            </w:r>
            <w:r>
              <w:rPr>
                <w:rFonts w:hint="eastAsia" w:ascii="宋体" w:hAnsi="宋体" w:cs="宋体"/>
                <w:color w:val="auto"/>
                <w:spacing w:val="2"/>
                <w:w w:val="99"/>
                <w:sz w:val="20"/>
                <w:szCs w:val="20"/>
                <w:highlight w:val="none"/>
                <w:lang w:eastAsia="zh-CN"/>
              </w:rPr>
              <w:t>值</w:t>
            </w:r>
            <w:r>
              <w:rPr>
                <w:rFonts w:hint="eastAsia" w:ascii="宋体" w:hAnsi="宋体" w:cs="宋体"/>
                <w:color w:val="auto"/>
                <w:w w:val="99"/>
                <w:sz w:val="20"/>
                <w:szCs w:val="20"/>
                <w:highlight w:val="none"/>
                <w:lang w:eastAsia="zh-CN"/>
              </w:rPr>
              <w:t>及能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106"/>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3747</w:t>
            </w:r>
            <w:r>
              <w:rPr>
                <w:rFonts w:hint="eastAsia" w:ascii="宋体" w:hAnsi="宋体" w:cs="宋体"/>
                <w:color w:val="auto"/>
                <w:w w:val="99"/>
                <w:sz w:val="20"/>
                <w:szCs w:val="20"/>
                <w:highlight w:val="none"/>
                <w:lang w:eastAsia="zh-CN"/>
              </w:rPr>
              <w:t>8</w:t>
            </w:r>
          </w:p>
        </w:tc>
      </w:tr>
      <w:tr w14:paraId="7AAA8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6F87A509">
            <w:pPr>
              <w:widowControl/>
              <w:jc w:val="left"/>
              <w:rPr>
                <w:rFonts w:ascii="宋体" w:hAnsi="宋体" w:eastAsia="Times New Roman" w:cs="宋体"/>
                <w:color w:val="auto"/>
                <w:kern w:val="0"/>
                <w:sz w:val="20"/>
                <w:szCs w:val="20"/>
                <w:highlight w:val="none"/>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282BE20A">
            <w:pPr>
              <w:widowControl/>
              <w:jc w:val="left"/>
              <w:rPr>
                <w:rFonts w:ascii="宋体" w:hAnsi="宋体" w:eastAsia="Times New Roman" w:cs="宋体"/>
                <w:color w:val="auto"/>
                <w:kern w:val="0"/>
                <w:sz w:val="20"/>
                <w:szCs w:val="20"/>
                <w:highlight w:val="none"/>
              </w:rPr>
            </w:pPr>
          </w:p>
        </w:tc>
        <w:tc>
          <w:tcPr>
            <w:tcW w:w="1800" w:type="dxa"/>
            <w:tcBorders>
              <w:top w:val="single" w:color="auto" w:sz="4" w:space="0"/>
              <w:left w:val="single" w:color="auto" w:sz="4" w:space="0"/>
              <w:bottom w:val="single" w:color="auto" w:sz="4" w:space="0"/>
              <w:right w:val="single" w:color="auto" w:sz="4" w:space="0"/>
            </w:tcBorders>
            <w:vAlign w:val="top"/>
          </w:tcPr>
          <w:p w14:paraId="12070254">
            <w:pPr>
              <w:pStyle w:val="63"/>
              <w:spacing w:before="4"/>
              <w:rPr>
                <w:rFonts w:ascii="宋体" w:hAnsi="宋体" w:cs="宋体"/>
                <w:color w:val="auto"/>
                <w:sz w:val="18"/>
                <w:szCs w:val="18"/>
                <w:highlight w:val="none"/>
                <w:lang w:eastAsia="zh-CN"/>
              </w:rPr>
            </w:pPr>
          </w:p>
          <w:p w14:paraId="564F8CEB">
            <w:pPr>
              <w:pStyle w:val="63"/>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LE</w:t>
            </w:r>
            <w:r>
              <w:rPr>
                <w:rFonts w:hint="eastAsia" w:ascii="宋体" w:hAnsi="宋体" w:cs="宋体"/>
                <w:color w:val="auto"/>
                <w:w w:val="99"/>
                <w:sz w:val="20"/>
                <w:szCs w:val="20"/>
                <w:highlight w:val="none"/>
              </w:rPr>
              <w:t>D筒灯</w:t>
            </w:r>
          </w:p>
        </w:tc>
        <w:tc>
          <w:tcPr>
            <w:tcW w:w="1915" w:type="dxa"/>
            <w:tcBorders>
              <w:top w:val="single" w:color="auto" w:sz="4" w:space="0"/>
              <w:left w:val="single" w:color="auto" w:sz="4" w:space="0"/>
              <w:bottom w:val="single" w:color="auto" w:sz="4" w:space="0"/>
              <w:right w:val="single" w:color="auto" w:sz="4" w:space="0"/>
            </w:tcBorders>
            <w:vAlign w:val="top"/>
          </w:tcPr>
          <w:p w14:paraId="7AEE9C12">
            <w:pPr>
              <w:rPr>
                <w:rFonts w:ascii="Calibri" w:hAnsi="Calibri"/>
                <w:color w:val="auto"/>
                <w:sz w:val="22"/>
                <w:szCs w:val="22"/>
                <w:highlight w:val="none"/>
              </w:rPr>
            </w:pPr>
          </w:p>
        </w:tc>
        <w:tc>
          <w:tcPr>
            <w:tcW w:w="3986" w:type="dxa"/>
            <w:tcBorders>
              <w:top w:val="single" w:color="auto" w:sz="4" w:space="0"/>
              <w:left w:val="single" w:color="auto" w:sz="4" w:space="0"/>
              <w:bottom w:val="single" w:color="auto" w:sz="4" w:space="0"/>
              <w:right w:val="single" w:color="auto" w:sz="4" w:space="0"/>
            </w:tcBorders>
            <w:vAlign w:val="top"/>
          </w:tcPr>
          <w:p w14:paraId="61118F7B">
            <w:pPr>
              <w:pStyle w:val="63"/>
              <w:spacing w:before="83" w:line="280" w:lineRule="auto"/>
              <w:ind w:left="7" w:right="7"/>
              <w:rPr>
                <w:rFonts w:ascii="宋体" w:hAnsi="宋体" w:cs="宋体"/>
                <w:color w:val="auto"/>
                <w:sz w:val="20"/>
                <w:szCs w:val="20"/>
                <w:highlight w:val="none"/>
                <w:lang w:eastAsia="zh-CN"/>
              </w:rPr>
            </w:pPr>
            <w:r>
              <w:rPr>
                <w:rFonts w:hint="eastAsia" w:ascii="宋体" w:hAnsi="宋体" w:cs="宋体"/>
                <w:color w:val="auto"/>
                <w:spacing w:val="4"/>
                <w:w w:val="99"/>
                <w:sz w:val="20"/>
                <w:szCs w:val="20"/>
                <w:highlight w:val="none"/>
                <w:lang w:eastAsia="zh-CN"/>
              </w:rPr>
              <w:t>《</w:t>
            </w:r>
            <w:r>
              <w:rPr>
                <w:rFonts w:hint="eastAsia" w:ascii="宋体" w:hAnsi="宋体" w:cs="宋体"/>
                <w:color w:val="auto"/>
                <w:spacing w:val="2"/>
                <w:w w:val="99"/>
                <w:sz w:val="20"/>
                <w:szCs w:val="20"/>
                <w:highlight w:val="none"/>
                <w:lang w:eastAsia="zh-CN"/>
              </w:rPr>
              <w:t>室</w:t>
            </w:r>
            <w:r>
              <w:rPr>
                <w:rFonts w:hint="eastAsia" w:ascii="宋体" w:hAnsi="宋体" w:cs="宋体"/>
                <w:color w:val="auto"/>
                <w:spacing w:val="4"/>
                <w:w w:val="99"/>
                <w:sz w:val="20"/>
                <w:szCs w:val="20"/>
                <w:highlight w:val="none"/>
                <w:lang w:eastAsia="zh-CN"/>
              </w:rPr>
              <w:t>内照明</w:t>
            </w:r>
            <w:r>
              <w:rPr>
                <w:rFonts w:hint="eastAsia" w:ascii="宋体" w:hAnsi="宋体" w:cs="宋体"/>
                <w:color w:val="auto"/>
                <w:w w:val="99"/>
                <w:sz w:val="20"/>
                <w:szCs w:val="20"/>
                <w:highlight w:val="none"/>
                <w:lang w:eastAsia="zh-CN"/>
              </w:rPr>
              <w:t>用</w:t>
            </w:r>
            <w:r>
              <w:rPr>
                <w:rFonts w:hint="eastAsia" w:ascii="宋体" w:hAnsi="宋体" w:cs="宋体"/>
                <w:color w:val="auto"/>
                <w:spacing w:val="1"/>
                <w:w w:val="99"/>
                <w:sz w:val="20"/>
                <w:szCs w:val="20"/>
                <w:highlight w:val="none"/>
                <w:lang w:eastAsia="zh-CN"/>
              </w:rPr>
              <w:t>LE</w:t>
            </w:r>
            <w:r>
              <w:rPr>
                <w:rFonts w:hint="eastAsia" w:ascii="宋体" w:hAnsi="宋体" w:cs="宋体"/>
                <w:color w:val="auto"/>
                <w:w w:val="99"/>
                <w:sz w:val="20"/>
                <w:szCs w:val="20"/>
                <w:highlight w:val="none"/>
                <w:lang w:eastAsia="zh-CN"/>
              </w:rPr>
              <w:t>D</w:t>
            </w:r>
            <w:r>
              <w:rPr>
                <w:rFonts w:hint="eastAsia" w:ascii="宋体" w:hAnsi="宋体" w:cs="宋体"/>
                <w:color w:val="auto"/>
                <w:spacing w:val="4"/>
                <w:w w:val="99"/>
                <w:sz w:val="20"/>
                <w:szCs w:val="20"/>
                <w:highlight w:val="none"/>
                <w:lang w:eastAsia="zh-CN"/>
              </w:rPr>
              <w:t>产</w:t>
            </w:r>
            <w:r>
              <w:rPr>
                <w:rFonts w:hint="eastAsia" w:ascii="宋体" w:hAnsi="宋体" w:cs="宋体"/>
                <w:color w:val="auto"/>
                <w:spacing w:val="2"/>
                <w:w w:val="99"/>
                <w:sz w:val="20"/>
                <w:szCs w:val="20"/>
                <w:highlight w:val="none"/>
                <w:lang w:eastAsia="zh-CN"/>
              </w:rPr>
              <w:t>品</w:t>
            </w:r>
            <w:r>
              <w:rPr>
                <w:rFonts w:hint="eastAsia" w:ascii="宋体" w:hAnsi="宋体" w:cs="宋体"/>
                <w:color w:val="auto"/>
                <w:spacing w:val="4"/>
                <w:w w:val="99"/>
                <w:sz w:val="20"/>
                <w:szCs w:val="20"/>
                <w:highlight w:val="none"/>
                <w:lang w:eastAsia="zh-CN"/>
              </w:rPr>
              <w:t>能效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定值及能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30</w:t>
            </w:r>
            <w:r>
              <w:rPr>
                <w:rFonts w:hint="eastAsia" w:ascii="宋体" w:hAnsi="宋体" w:cs="宋体"/>
                <w:color w:val="auto"/>
                <w:w w:val="99"/>
                <w:sz w:val="20"/>
                <w:szCs w:val="20"/>
                <w:highlight w:val="none"/>
                <w:lang w:eastAsia="zh-CN"/>
              </w:rPr>
              <w:t>25</w:t>
            </w:r>
            <w:r>
              <w:rPr>
                <w:rFonts w:hint="eastAsia" w:ascii="宋体" w:hAnsi="宋体" w:cs="宋体"/>
                <w:color w:val="auto"/>
                <w:spacing w:val="-2"/>
                <w:w w:val="99"/>
                <w:sz w:val="20"/>
                <w:szCs w:val="20"/>
                <w:highlight w:val="none"/>
                <w:lang w:eastAsia="zh-CN"/>
              </w:rPr>
              <w:t>5</w:t>
            </w:r>
            <w:r>
              <w:rPr>
                <w:rFonts w:hint="eastAsia" w:ascii="宋体" w:hAnsi="宋体" w:cs="宋体"/>
                <w:color w:val="auto"/>
                <w:w w:val="99"/>
                <w:sz w:val="20"/>
                <w:szCs w:val="20"/>
                <w:highlight w:val="none"/>
                <w:lang w:eastAsia="zh-CN"/>
              </w:rPr>
              <w:t>）</w:t>
            </w:r>
          </w:p>
        </w:tc>
      </w:tr>
      <w:tr w14:paraId="10F86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438697B2">
            <w:pPr>
              <w:widowControl/>
              <w:jc w:val="left"/>
              <w:rPr>
                <w:rFonts w:ascii="宋体" w:hAnsi="宋体" w:eastAsia="Times New Roman" w:cs="宋体"/>
                <w:color w:val="auto"/>
                <w:kern w:val="0"/>
                <w:sz w:val="20"/>
                <w:szCs w:val="20"/>
                <w:highlight w:val="none"/>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42676938">
            <w:pPr>
              <w:widowControl/>
              <w:jc w:val="left"/>
              <w:rPr>
                <w:rFonts w:ascii="宋体" w:hAnsi="宋体" w:eastAsia="Times New Roman" w:cs="宋体"/>
                <w:color w:val="auto"/>
                <w:kern w:val="0"/>
                <w:sz w:val="20"/>
                <w:szCs w:val="20"/>
                <w:highlight w:val="none"/>
              </w:rPr>
            </w:pPr>
          </w:p>
        </w:tc>
        <w:tc>
          <w:tcPr>
            <w:tcW w:w="1800" w:type="dxa"/>
            <w:tcBorders>
              <w:top w:val="single" w:color="auto" w:sz="4" w:space="0"/>
              <w:left w:val="single" w:color="auto" w:sz="4" w:space="0"/>
              <w:bottom w:val="single" w:color="auto" w:sz="4" w:space="0"/>
              <w:right w:val="single" w:color="auto" w:sz="4" w:space="0"/>
            </w:tcBorders>
            <w:vAlign w:val="top"/>
          </w:tcPr>
          <w:p w14:paraId="004F1533">
            <w:pPr>
              <w:pStyle w:val="63"/>
              <w:spacing w:before="5"/>
              <w:rPr>
                <w:rFonts w:ascii="宋体" w:hAnsi="宋体" w:cs="宋体"/>
                <w:color w:val="auto"/>
                <w:sz w:val="15"/>
                <w:szCs w:val="15"/>
                <w:highlight w:val="none"/>
                <w:lang w:eastAsia="zh-CN"/>
              </w:rPr>
            </w:pPr>
          </w:p>
          <w:p w14:paraId="399A286F">
            <w:pPr>
              <w:pStyle w:val="63"/>
              <w:spacing w:line="280" w:lineRule="auto"/>
              <w:ind w:left="7"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普</w:t>
            </w:r>
            <w:r>
              <w:rPr>
                <w:rFonts w:hint="eastAsia" w:ascii="宋体" w:hAnsi="宋体" w:cs="宋体"/>
                <w:color w:val="auto"/>
                <w:spacing w:val="24"/>
                <w:w w:val="99"/>
                <w:sz w:val="20"/>
                <w:szCs w:val="20"/>
                <w:highlight w:val="none"/>
                <w:lang w:eastAsia="zh-CN"/>
              </w:rPr>
              <w:t>通</w:t>
            </w:r>
            <w:r>
              <w:rPr>
                <w:rFonts w:hint="eastAsia" w:ascii="宋体" w:hAnsi="宋体" w:cs="宋体"/>
                <w:color w:val="auto"/>
                <w:w w:val="99"/>
                <w:sz w:val="20"/>
                <w:szCs w:val="20"/>
                <w:highlight w:val="none"/>
                <w:lang w:eastAsia="zh-CN"/>
              </w:rPr>
              <w:t>照明用非</w:t>
            </w:r>
            <w:r>
              <w:rPr>
                <w:rFonts w:hint="eastAsia" w:ascii="宋体" w:hAnsi="宋体" w:cs="宋体"/>
                <w:color w:val="auto"/>
                <w:spacing w:val="24"/>
                <w:w w:val="99"/>
                <w:sz w:val="20"/>
                <w:szCs w:val="20"/>
                <w:highlight w:val="none"/>
                <w:lang w:eastAsia="zh-CN"/>
              </w:rPr>
              <w:t>定</w:t>
            </w:r>
            <w:r>
              <w:rPr>
                <w:rFonts w:hint="eastAsia" w:ascii="宋体" w:hAnsi="宋体" w:cs="宋体"/>
                <w:color w:val="auto"/>
                <w:w w:val="99"/>
                <w:sz w:val="20"/>
                <w:szCs w:val="20"/>
                <w:highlight w:val="none"/>
                <w:lang w:eastAsia="zh-CN"/>
              </w:rPr>
              <w:t>向自镇流</w:t>
            </w:r>
            <w:r>
              <w:rPr>
                <w:rFonts w:hint="eastAsia" w:ascii="宋体" w:hAnsi="宋体" w:cs="宋体"/>
                <w:color w:val="auto"/>
                <w:spacing w:val="1"/>
                <w:w w:val="99"/>
                <w:sz w:val="20"/>
                <w:szCs w:val="20"/>
                <w:highlight w:val="none"/>
                <w:lang w:eastAsia="zh-CN"/>
              </w:rPr>
              <w:t>LE</w:t>
            </w:r>
            <w:r>
              <w:rPr>
                <w:rFonts w:hint="eastAsia" w:ascii="宋体" w:hAnsi="宋体" w:cs="宋体"/>
                <w:color w:val="auto"/>
                <w:w w:val="99"/>
                <w:sz w:val="20"/>
                <w:szCs w:val="20"/>
                <w:highlight w:val="none"/>
                <w:lang w:eastAsia="zh-CN"/>
              </w:rPr>
              <w:t>D灯</w:t>
            </w:r>
          </w:p>
        </w:tc>
        <w:tc>
          <w:tcPr>
            <w:tcW w:w="1915" w:type="dxa"/>
            <w:tcBorders>
              <w:top w:val="single" w:color="auto" w:sz="4" w:space="0"/>
              <w:left w:val="single" w:color="auto" w:sz="4" w:space="0"/>
              <w:bottom w:val="single" w:color="auto" w:sz="4" w:space="0"/>
              <w:right w:val="single" w:color="auto" w:sz="4" w:space="0"/>
            </w:tcBorders>
            <w:vAlign w:val="top"/>
          </w:tcPr>
          <w:p w14:paraId="6B8F667A">
            <w:pPr>
              <w:rPr>
                <w:rFonts w:ascii="Calibri" w:hAnsi="Calibri"/>
                <w:color w:val="auto"/>
                <w:sz w:val="22"/>
                <w:szCs w:val="22"/>
                <w:highlight w:val="none"/>
              </w:rPr>
            </w:pPr>
          </w:p>
        </w:tc>
        <w:tc>
          <w:tcPr>
            <w:tcW w:w="3986" w:type="dxa"/>
            <w:tcBorders>
              <w:top w:val="single" w:color="auto" w:sz="4" w:space="0"/>
              <w:left w:val="single" w:color="auto" w:sz="4" w:space="0"/>
              <w:bottom w:val="single" w:color="auto" w:sz="4" w:space="0"/>
              <w:right w:val="single" w:color="auto" w:sz="4" w:space="0"/>
            </w:tcBorders>
            <w:vAlign w:val="top"/>
          </w:tcPr>
          <w:p w14:paraId="149049F0">
            <w:pPr>
              <w:pStyle w:val="63"/>
              <w:spacing w:before="5"/>
              <w:rPr>
                <w:rFonts w:ascii="宋体" w:hAnsi="宋体" w:cs="宋体"/>
                <w:color w:val="auto"/>
                <w:sz w:val="15"/>
                <w:szCs w:val="15"/>
                <w:highlight w:val="none"/>
                <w:lang w:eastAsia="zh-CN"/>
              </w:rPr>
            </w:pPr>
          </w:p>
          <w:p w14:paraId="656C05E0">
            <w:pPr>
              <w:pStyle w:val="63"/>
              <w:spacing w:line="280" w:lineRule="auto"/>
              <w:ind w:left="7" w:right="7"/>
              <w:rPr>
                <w:rFonts w:ascii="宋体" w:hAnsi="宋体" w:cs="宋体"/>
                <w:color w:val="auto"/>
                <w:sz w:val="20"/>
                <w:szCs w:val="20"/>
                <w:highlight w:val="none"/>
                <w:lang w:eastAsia="zh-CN"/>
              </w:rPr>
            </w:pPr>
            <w:r>
              <w:rPr>
                <w:rFonts w:hint="eastAsia" w:ascii="宋体" w:hAnsi="宋体" w:cs="宋体"/>
                <w:color w:val="auto"/>
                <w:spacing w:val="4"/>
                <w:w w:val="99"/>
                <w:sz w:val="20"/>
                <w:szCs w:val="20"/>
                <w:highlight w:val="none"/>
                <w:lang w:eastAsia="zh-CN"/>
              </w:rPr>
              <w:t>《</w:t>
            </w:r>
            <w:r>
              <w:rPr>
                <w:rFonts w:hint="eastAsia" w:ascii="宋体" w:hAnsi="宋体" w:cs="宋体"/>
                <w:color w:val="auto"/>
                <w:spacing w:val="2"/>
                <w:w w:val="99"/>
                <w:sz w:val="20"/>
                <w:szCs w:val="20"/>
                <w:highlight w:val="none"/>
                <w:lang w:eastAsia="zh-CN"/>
              </w:rPr>
              <w:t>室</w:t>
            </w:r>
            <w:r>
              <w:rPr>
                <w:rFonts w:hint="eastAsia" w:ascii="宋体" w:hAnsi="宋体" w:cs="宋体"/>
                <w:color w:val="auto"/>
                <w:spacing w:val="4"/>
                <w:w w:val="99"/>
                <w:sz w:val="20"/>
                <w:szCs w:val="20"/>
                <w:highlight w:val="none"/>
                <w:lang w:eastAsia="zh-CN"/>
              </w:rPr>
              <w:t>内照明</w:t>
            </w:r>
            <w:r>
              <w:rPr>
                <w:rFonts w:hint="eastAsia" w:ascii="宋体" w:hAnsi="宋体" w:cs="宋体"/>
                <w:color w:val="auto"/>
                <w:w w:val="99"/>
                <w:sz w:val="20"/>
                <w:szCs w:val="20"/>
                <w:highlight w:val="none"/>
                <w:lang w:eastAsia="zh-CN"/>
              </w:rPr>
              <w:t>用</w:t>
            </w:r>
            <w:r>
              <w:rPr>
                <w:rFonts w:hint="eastAsia" w:ascii="宋体" w:hAnsi="宋体" w:cs="宋体"/>
                <w:color w:val="auto"/>
                <w:spacing w:val="1"/>
                <w:w w:val="99"/>
                <w:sz w:val="20"/>
                <w:szCs w:val="20"/>
                <w:highlight w:val="none"/>
                <w:lang w:eastAsia="zh-CN"/>
              </w:rPr>
              <w:t>LE</w:t>
            </w:r>
            <w:r>
              <w:rPr>
                <w:rFonts w:hint="eastAsia" w:ascii="宋体" w:hAnsi="宋体" w:cs="宋体"/>
                <w:color w:val="auto"/>
                <w:w w:val="99"/>
                <w:sz w:val="20"/>
                <w:szCs w:val="20"/>
                <w:highlight w:val="none"/>
                <w:lang w:eastAsia="zh-CN"/>
              </w:rPr>
              <w:t>D</w:t>
            </w:r>
            <w:r>
              <w:rPr>
                <w:rFonts w:hint="eastAsia" w:ascii="宋体" w:hAnsi="宋体" w:cs="宋体"/>
                <w:color w:val="auto"/>
                <w:spacing w:val="4"/>
                <w:w w:val="99"/>
                <w:sz w:val="20"/>
                <w:szCs w:val="20"/>
                <w:highlight w:val="none"/>
                <w:lang w:eastAsia="zh-CN"/>
              </w:rPr>
              <w:t>产</w:t>
            </w:r>
            <w:r>
              <w:rPr>
                <w:rFonts w:hint="eastAsia" w:ascii="宋体" w:hAnsi="宋体" w:cs="宋体"/>
                <w:color w:val="auto"/>
                <w:spacing w:val="2"/>
                <w:w w:val="99"/>
                <w:sz w:val="20"/>
                <w:szCs w:val="20"/>
                <w:highlight w:val="none"/>
                <w:lang w:eastAsia="zh-CN"/>
              </w:rPr>
              <w:t>品</w:t>
            </w:r>
            <w:r>
              <w:rPr>
                <w:rFonts w:hint="eastAsia" w:ascii="宋体" w:hAnsi="宋体" w:cs="宋体"/>
                <w:color w:val="auto"/>
                <w:spacing w:val="4"/>
                <w:w w:val="99"/>
                <w:sz w:val="20"/>
                <w:szCs w:val="20"/>
                <w:highlight w:val="none"/>
                <w:lang w:eastAsia="zh-CN"/>
              </w:rPr>
              <w:t>能效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定值及能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30</w:t>
            </w:r>
            <w:r>
              <w:rPr>
                <w:rFonts w:hint="eastAsia" w:ascii="宋体" w:hAnsi="宋体" w:cs="宋体"/>
                <w:color w:val="auto"/>
                <w:w w:val="99"/>
                <w:sz w:val="20"/>
                <w:szCs w:val="20"/>
                <w:highlight w:val="none"/>
                <w:lang w:eastAsia="zh-CN"/>
              </w:rPr>
              <w:t>25</w:t>
            </w:r>
            <w:r>
              <w:rPr>
                <w:rFonts w:hint="eastAsia" w:ascii="宋体" w:hAnsi="宋体" w:cs="宋体"/>
                <w:color w:val="auto"/>
                <w:spacing w:val="-2"/>
                <w:w w:val="99"/>
                <w:sz w:val="20"/>
                <w:szCs w:val="20"/>
                <w:highlight w:val="none"/>
                <w:lang w:eastAsia="zh-CN"/>
              </w:rPr>
              <w:t>5</w:t>
            </w:r>
            <w:r>
              <w:rPr>
                <w:rFonts w:hint="eastAsia" w:ascii="宋体" w:hAnsi="宋体" w:cs="宋体"/>
                <w:color w:val="auto"/>
                <w:w w:val="99"/>
                <w:sz w:val="20"/>
                <w:szCs w:val="20"/>
                <w:highlight w:val="none"/>
                <w:lang w:eastAsia="zh-CN"/>
              </w:rPr>
              <w:t>）</w:t>
            </w:r>
          </w:p>
        </w:tc>
      </w:tr>
      <w:tr w14:paraId="14896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exact"/>
        </w:trPr>
        <w:tc>
          <w:tcPr>
            <w:tcW w:w="574" w:type="dxa"/>
            <w:tcBorders>
              <w:top w:val="single" w:color="auto" w:sz="4" w:space="0"/>
              <w:left w:val="single" w:color="auto" w:sz="4" w:space="0"/>
              <w:bottom w:val="single" w:color="auto" w:sz="4" w:space="0"/>
              <w:right w:val="single" w:color="auto" w:sz="4" w:space="0"/>
            </w:tcBorders>
            <w:vAlign w:val="top"/>
          </w:tcPr>
          <w:p w14:paraId="1FB21F49">
            <w:pPr>
              <w:pStyle w:val="63"/>
              <w:spacing w:before="1"/>
              <w:rPr>
                <w:rFonts w:ascii="宋体" w:hAnsi="宋体" w:cs="宋体"/>
                <w:color w:val="auto"/>
                <w:sz w:val="18"/>
                <w:szCs w:val="18"/>
                <w:highlight w:val="none"/>
                <w:lang w:eastAsia="zh-CN"/>
              </w:rPr>
            </w:pPr>
          </w:p>
          <w:p w14:paraId="51EAB957">
            <w:pPr>
              <w:pStyle w:val="63"/>
              <w:ind w:left="182"/>
              <w:rPr>
                <w:rFonts w:ascii="宋体" w:hAnsi="宋体" w:cs="宋体"/>
                <w:color w:val="auto"/>
                <w:sz w:val="20"/>
                <w:szCs w:val="20"/>
                <w:highlight w:val="none"/>
              </w:rPr>
            </w:pPr>
            <w:r>
              <w:rPr>
                <w:rFonts w:hint="eastAsia" w:ascii="宋体"/>
                <w:color w:val="auto"/>
                <w:spacing w:val="1"/>
                <w:w w:val="99"/>
                <w:sz w:val="20"/>
                <w:highlight w:val="none"/>
              </w:rPr>
              <w:t>1</w:t>
            </w:r>
            <w:r>
              <w:rPr>
                <w:rFonts w:hint="eastAsia" w:ascii="宋体"/>
                <w:color w:val="auto"/>
                <w:w w:val="99"/>
                <w:sz w:val="20"/>
                <w:highlight w:val="none"/>
              </w:rPr>
              <w:t>2</w:t>
            </w:r>
          </w:p>
        </w:tc>
        <w:tc>
          <w:tcPr>
            <w:tcW w:w="1166" w:type="dxa"/>
            <w:tcBorders>
              <w:top w:val="single" w:color="auto" w:sz="4" w:space="0"/>
              <w:left w:val="single" w:color="auto" w:sz="4" w:space="0"/>
              <w:bottom w:val="single" w:color="auto" w:sz="4" w:space="0"/>
              <w:right w:val="single" w:color="auto" w:sz="4" w:space="0"/>
            </w:tcBorders>
            <w:vAlign w:val="top"/>
          </w:tcPr>
          <w:p w14:paraId="15729CE1">
            <w:pPr>
              <w:pStyle w:val="63"/>
              <w:spacing w:before="81"/>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910电</w:t>
            </w:r>
          </w:p>
          <w:p w14:paraId="5DD948E4">
            <w:pPr>
              <w:pStyle w:val="63"/>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视设备</w:t>
            </w:r>
          </w:p>
        </w:tc>
        <w:tc>
          <w:tcPr>
            <w:tcW w:w="1800" w:type="dxa"/>
            <w:tcBorders>
              <w:top w:val="single" w:color="auto" w:sz="4" w:space="0"/>
              <w:left w:val="single" w:color="auto" w:sz="4" w:space="0"/>
              <w:bottom w:val="single" w:color="auto" w:sz="4" w:space="0"/>
              <w:right w:val="single" w:color="auto" w:sz="4" w:space="0"/>
            </w:tcBorders>
            <w:vAlign w:val="top"/>
          </w:tcPr>
          <w:p w14:paraId="418E5467">
            <w:pPr>
              <w:pStyle w:val="63"/>
              <w:spacing w:before="81" w:line="280" w:lineRule="auto"/>
              <w:ind w:left="7" w:right="5"/>
              <w:rPr>
                <w:rFonts w:ascii="宋体" w:hAnsi="宋体" w:cs="宋体"/>
                <w:color w:val="auto"/>
                <w:sz w:val="20"/>
                <w:szCs w:val="20"/>
                <w:highlight w:val="none"/>
                <w:lang w:eastAsia="zh-CN"/>
              </w:rPr>
            </w:pPr>
            <w:r>
              <w:rPr>
                <w:rFonts w:hint="eastAsia" w:ascii="宋体" w:hAnsi="宋体" w:cs="宋体"/>
                <w:color w:val="auto"/>
                <w:spacing w:val="1"/>
                <w:w w:val="99"/>
                <w:sz w:val="20"/>
                <w:szCs w:val="20"/>
                <w:highlight w:val="none"/>
                <w:lang w:eastAsia="zh-CN"/>
              </w:rPr>
              <w:t>A02</w:t>
            </w:r>
            <w:r>
              <w:rPr>
                <w:rFonts w:hint="eastAsia" w:ascii="宋体" w:hAnsi="宋体" w:cs="宋体"/>
                <w:color w:val="auto"/>
                <w:w w:val="99"/>
                <w:sz w:val="20"/>
                <w:szCs w:val="20"/>
                <w:highlight w:val="none"/>
                <w:lang w:eastAsia="zh-CN"/>
              </w:rPr>
              <w:t>09</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001普通电视设备（</w:t>
            </w:r>
            <w:r>
              <w:rPr>
                <w:rFonts w:hint="eastAsia" w:ascii="宋体" w:hAnsi="宋体" w:cs="宋体"/>
                <w:color w:val="auto"/>
                <w:spacing w:val="2"/>
                <w:w w:val="99"/>
                <w:sz w:val="20"/>
                <w:szCs w:val="20"/>
                <w:highlight w:val="none"/>
                <w:lang w:eastAsia="zh-CN"/>
              </w:rPr>
              <w:t>电</w:t>
            </w:r>
            <w:r>
              <w:rPr>
                <w:rFonts w:hint="eastAsia" w:ascii="宋体" w:hAnsi="宋体" w:cs="宋体"/>
                <w:color w:val="auto"/>
                <w:w w:val="99"/>
                <w:sz w:val="20"/>
                <w:szCs w:val="20"/>
                <w:highlight w:val="none"/>
                <w:lang w:eastAsia="zh-CN"/>
              </w:rPr>
              <w:t>视机）</w:t>
            </w:r>
          </w:p>
        </w:tc>
        <w:tc>
          <w:tcPr>
            <w:tcW w:w="1915" w:type="dxa"/>
            <w:tcBorders>
              <w:top w:val="single" w:color="auto" w:sz="4" w:space="0"/>
              <w:left w:val="single" w:color="auto" w:sz="4" w:space="0"/>
              <w:bottom w:val="single" w:color="auto" w:sz="4" w:space="0"/>
              <w:right w:val="single" w:color="auto" w:sz="4" w:space="0"/>
            </w:tcBorders>
            <w:vAlign w:val="top"/>
          </w:tcPr>
          <w:p w14:paraId="0D3171AE">
            <w:pPr>
              <w:rPr>
                <w:rFonts w:ascii="Calibri" w:hAnsi="Calibri"/>
                <w:color w:val="auto"/>
                <w:sz w:val="22"/>
                <w:szCs w:val="22"/>
                <w:highlight w:val="none"/>
              </w:rPr>
            </w:pPr>
          </w:p>
        </w:tc>
        <w:tc>
          <w:tcPr>
            <w:tcW w:w="3986" w:type="dxa"/>
            <w:tcBorders>
              <w:top w:val="single" w:color="auto" w:sz="4" w:space="0"/>
              <w:left w:val="single" w:color="auto" w:sz="4" w:space="0"/>
              <w:bottom w:val="single" w:color="auto" w:sz="4" w:space="0"/>
              <w:right w:val="single" w:color="auto" w:sz="4" w:space="0"/>
            </w:tcBorders>
            <w:vAlign w:val="top"/>
          </w:tcPr>
          <w:p w14:paraId="3714B160">
            <w:pPr>
              <w:pStyle w:val="63"/>
              <w:spacing w:before="81" w:line="280"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《平板电视能效限定值</w:t>
            </w:r>
            <w:r>
              <w:rPr>
                <w:rFonts w:hint="eastAsia" w:ascii="宋体" w:hAnsi="宋体" w:cs="宋体"/>
                <w:color w:val="auto"/>
                <w:spacing w:val="9"/>
                <w:w w:val="99"/>
                <w:sz w:val="20"/>
                <w:szCs w:val="20"/>
                <w:highlight w:val="none"/>
                <w:lang w:eastAsia="zh-CN"/>
              </w:rPr>
              <w:t>及</w:t>
            </w:r>
            <w:r>
              <w:rPr>
                <w:rFonts w:hint="eastAsia" w:ascii="宋体" w:hAnsi="宋体" w:cs="宋体"/>
                <w:color w:val="auto"/>
                <w:spacing w:val="12"/>
                <w:w w:val="99"/>
                <w:sz w:val="20"/>
                <w:szCs w:val="20"/>
                <w:highlight w:val="none"/>
                <w:lang w:eastAsia="zh-CN"/>
              </w:rPr>
              <w:t>能效</w:t>
            </w:r>
            <w:r>
              <w:rPr>
                <w:rFonts w:hint="eastAsia" w:ascii="宋体" w:hAnsi="宋体" w:cs="宋体"/>
                <w:color w:val="auto"/>
                <w:w w:val="99"/>
                <w:sz w:val="20"/>
                <w:szCs w:val="20"/>
                <w:highlight w:val="none"/>
                <w:lang w:eastAsia="zh-CN"/>
              </w:rPr>
              <w:t>等级》（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248</w:t>
            </w:r>
            <w:r>
              <w:rPr>
                <w:rFonts w:hint="eastAsia" w:ascii="宋体" w:hAnsi="宋体" w:cs="宋体"/>
                <w:color w:val="auto"/>
                <w:w w:val="99"/>
                <w:sz w:val="20"/>
                <w:szCs w:val="20"/>
                <w:highlight w:val="none"/>
                <w:lang w:eastAsia="zh-CN"/>
              </w:rPr>
              <w:t>50）</w:t>
            </w:r>
          </w:p>
        </w:tc>
      </w:tr>
      <w:tr w14:paraId="50FB0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2" w:hRule="exact"/>
        </w:trPr>
        <w:tc>
          <w:tcPr>
            <w:tcW w:w="574" w:type="dxa"/>
            <w:tcBorders>
              <w:top w:val="single" w:color="auto" w:sz="4" w:space="0"/>
              <w:left w:val="single" w:color="auto" w:sz="4" w:space="0"/>
              <w:bottom w:val="single" w:color="auto" w:sz="4" w:space="0"/>
              <w:right w:val="single" w:color="auto" w:sz="4" w:space="0"/>
            </w:tcBorders>
            <w:vAlign w:val="top"/>
          </w:tcPr>
          <w:p w14:paraId="78562D43">
            <w:pPr>
              <w:pStyle w:val="63"/>
              <w:rPr>
                <w:rFonts w:ascii="宋体" w:hAnsi="宋体" w:cs="宋体"/>
                <w:color w:val="auto"/>
                <w:sz w:val="20"/>
                <w:szCs w:val="20"/>
                <w:highlight w:val="none"/>
                <w:lang w:eastAsia="zh-CN"/>
              </w:rPr>
            </w:pPr>
          </w:p>
          <w:p w14:paraId="0DEADFEA">
            <w:pPr>
              <w:pStyle w:val="63"/>
              <w:rPr>
                <w:rFonts w:ascii="宋体" w:hAnsi="宋体" w:cs="宋体"/>
                <w:color w:val="auto"/>
                <w:sz w:val="20"/>
                <w:szCs w:val="20"/>
                <w:highlight w:val="none"/>
                <w:lang w:eastAsia="zh-CN"/>
              </w:rPr>
            </w:pPr>
          </w:p>
          <w:p w14:paraId="18E476A8">
            <w:pPr>
              <w:pStyle w:val="63"/>
              <w:spacing w:before="10"/>
              <w:rPr>
                <w:rFonts w:ascii="宋体" w:hAnsi="宋体" w:cs="宋体"/>
                <w:color w:val="auto"/>
                <w:sz w:val="21"/>
                <w:szCs w:val="21"/>
                <w:highlight w:val="none"/>
                <w:lang w:eastAsia="zh-CN"/>
              </w:rPr>
            </w:pPr>
          </w:p>
          <w:p w14:paraId="08E1454F">
            <w:pPr>
              <w:pStyle w:val="63"/>
              <w:ind w:left="182"/>
              <w:rPr>
                <w:rFonts w:ascii="宋体" w:hAnsi="宋体" w:cs="宋体"/>
                <w:color w:val="auto"/>
                <w:sz w:val="20"/>
                <w:szCs w:val="20"/>
                <w:highlight w:val="none"/>
              </w:rPr>
            </w:pPr>
            <w:r>
              <w:rPr>
                <w:rFonts w:hint="eastAsia" w:ascii="宋体"/>
                <w:color w:val="auto"/>
                <w:spacing w:val="1"/>
                <w:w w:val="99"/>
                <w:sz w:val="20"/>
                <w:highlight w:val="none"/>
              </w:rPr>
              <w:t>1</w:t>
            </w:r>
            <w:r>
              <w:rPr>
                <w:rFonts w:hint="eastAsia" w:ascii="宋体"/>
                <w:color w:val="auto"/>
                <w:w w:val="99"/>
                <w:sz w:val="20"/>
                <w:highlight w:val="none"/>
              </w:rPr>
              <w:t>3</w:t>
            </w:r>
          </w:p>
        </w:tc>
        <w:tc>
          <w:tcPr>
            <w:tcW w:w="1166" w:type="dxa"/>
            <w:tcBorders>
              <w:top w:val="single" w:color="auto" w:sz="4" w:space="0"/>
              <w:left w:val="single" w:color="auto" w:sz="4" w:space="0"/>
              <w:bottom w:val="single" w:color="auto" w:sz="4" w:space="0"/>
              <w:right w:val="single" w:color="auto" w:sz="4" w:space="0"/>
            </w:tcBorders>
            <w:vAlign w:val="top"/>
          </w:tcPr>
          <w:p w14:paraId="565D7F03">
            <w:pPr>
              <w:pStyle w:val="63"/>
              <w:rPr>
                <w:rFonts w:ascii="宋体" w:hAnsi="宋体" w:cs="宋体"/>
                <w:color w:val="auto"/>
                <w:sz w:val="20"/>
                <w:szCs w:val="20"/>
                <w:highlight w:val="none"/>
              </w:rPr>
            </w:pPr>
          </w:p>
          <w:p w14:paraId="4925BBF5">
            <w:pPr>
              <w:pStyle w:val="63"/>
              <w:spacing w:before="11"/>
              <w:rPr>
                <w:rFonts w:ascii="宋体" w:hAnsi="宋体" w:cs="宋体"/>
                <w:color w:val="auto"/>
                <w:sz w:val="29"/>
                <w:szCs w:val="29"/>
                <w:highlight w:val="none"/>
              </w:rPr>
            </w:pPr>
          </w:p>
          <w:p w14:paraId="153DAFF2">
            <w:pPr>
              <w:pStyle w:val="63"/>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911视</w:t>
            </w:r>
          </w:p>
          <w:p w14:paraId="26AB49E5">
            <w:pPr>
              <w:pStyle w:val="63"/>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频设备</w:t>
            </w:r>
          </w:p>
        </w:tc>
        <w:tc>
          <w:tcPr>
            <w:tcW w:w="1800" w:type="dxa"/>
            <w:tcBorders>
              <w:top w:val="single" w:color="auto" w:sz="4" w:space="0"/>
              <w:left w:val="single" w:color="auto" w:sz="4" w:space="0"/>
              <w:bottom w:val="single" w:color="auto" w:sz="4" w:space="0"/>
              <w:right w:val="single" w:color="auto" w:sz="4" w:space="0"/>
            </w:tcBorders>
            <w:vAlign w:val="top"/>
          </w:tcPr>
          <w:p w14:paraId="47727E2E">
            <w:pPr>
              <w:pStyle w:val="63"/>
              <w:rPr>
                <w:rFonts w:ascii="宋体" w:hAnsi="宋体" w:cs="宋体"/>
                <w:color w:val="auto"/>
                <w:sz w:val="20"/>
                <w:szCs w:val="20"/>
                <w:highlight w:val="none"/>
              </w:rPr>
            </w:pPr>
          </w:p>
          <w:p w14:paraId="65F392B2">
            <w:pPr>
              <w:pStyle w:val="63"/>
              <w:spacing w:before="11"/>
              <w:rPr>
                <w:rFonts w:ascii="宋体" w:hAnsi="宋体" w:cs="宋体"/>
                <w:color w:val="auto"/>
                <w:sz w:val="29"/>
                <w:szCs w:val="29"/>
                <w:highlight w:val="none"/>
              </w:rPr>
            </w:pPr>
          </w:p>
          <w:p w14:paraId="5879CF2C">
            <w:pPr>
              <w:pStyle w:val="63"/>
              <w:spacing w:line="280" w:lineRule="auto"/>
              <w:ind w:left="7" w:right="5"/>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09</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107视频监控设备</w:t>
            </w:r>
          </w:p>
        </w:tc>
        <w:tc>
          <w:tcPr>
            <w:tcW w:w="1915" w:type="dxa"/>
            <w:tcBorders>
              <w:top w:val="single" w:color="auto" w:sz="4" w:space="0"/>
              <w:left w:val="single" w:color="auto" w:sz="4" w:space="0"/>
              <w:bottom w:val="single" w:color="auto" w:sz="4" w:space="0"/>
              <w:right w:val="single" w:color="auto" w:sz="4" w:space="0"/>
            </w:tcBorders>
            <w:vAlign w:val="top"/>
          </w:tcPr>
          <w:p w14:paraId="5D85B615">
            <w:pPr>
              <w:pStyle w:val="63"/>
              <w:rPr>
                <w:rFonts w:ascii="宋体" w:hAnsi="宋体" w:cs="宋体"/>
                <w:color w:val="auto"/>
                <w:sz w:val="20"/>
                <w:szCs w:val="20"/>
                <w:highlight w:val="none"/>
              </w:rPr>
            </w:pPr>
          </w:p>
          <w:p w14:paraId="2DB5059D">
            <w:pPr>
              <w:pStyle w:val="63"/>
              <w:rPr>
                <w:rFonts w:ascii="宋体" w:hAnsi="宋体" w:cs="宋体"/>
                <w:color w:val="auto"/>
                <w:sz w:val="20"/>
                <w:szCs w:val="20"/>
                <w:highlight w:val="none"/>
              </w:rPr>
            </w:pPr>
          </w:p>
          <w:p w14:paraId="126696FD">
            <w:pPr>
              <w:pStyle w:val="63"/>
              <w:spacing w:before="10"/>
              <w:rPr>
                <w:rFonts w:ascii="宋体" w:hAnsi="宋体" w:cs="宋体"/>
                <w:color w:val="auto"/>
                <w:sz w:val="21"/>
                <w:szCs w:val="21"/>
                <w:highlight w:val="none"/>
              </w:rPr>
            </w:pPr>
          </w:p>
          <w:p w14:paraId="68B788A5">
            <w:pPr>
              <w:pStyle w:val="63"/>
              <w:ind w:left="7"/>
              <w:rPr>
                <w:rFonts w:ascii="宋体" w:hAnsi="宋体" w:cs="宋体"/>
                <w:color w:val="auto"/>
                <w:sz w:val="20"/>
                <w:szCs w:val="20"/>
                <w:highlight w:val="none"/>
              </w:rPr>
            </w:pPr>
            <w:r>
              <w:rPr>
                <w:rFonts w:hint="eastAsia" w:ascii="宋体" w:hAnsi="宋体" w:cs="宋体"/>
                <w:color w:val="auto"/>
                <w:w w:val="99"/>
                <w:sz w:val="20"/>
                <w:szCs w:val="20"/>
                <w:highlight w:val="none"/>
              </w:rPr>
              <w:t>监视器</w:t>
            </w:r>
          </w:p>
        </w:tc>
        <w:tc>
          <w:tcPr>
            <w:tcW w:w="3986" w:type="dxa"/>
            <w:tcBorders>
              <w:top w:val="single" w:color="auto" w:sz="4" w:space="0"/>
              <w:left w:val="single" w:color="auto" w:sz="4" w:space="0"/>
              <w:bottom w:val="single" w:color="auto" w:sz="4" w:space="0"/>
              <w:right w:val="single" w:color="auto" w:sz="4" w:space="0"/>
            </w:tcBorders>
            <w:vAlign w:val="top"/>
          </w:tcPr>
          <w:p w14:paraId="2572D8C2">
            <w:pPr>
              <w:pStyle w:val="63"/>
              <w:spacing w:before="28" w:line="280" w:lineRule="auto"/>
              <w:ind w:left="7" w:right="5"/>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以射频信号为主要信号</w:t>
            </w:r>
            <w:r>
              <w:rPr>
                <w:rFonts w:hint="eastAsia" w:ascii="宋体" w:hAnsi="宋体" w:cs="宋体"/>
                <w:color w:val="auto"/>
                <w:spacing w:val="9"/>
                <w:w w:val="99"/>
                <w:sz w:val="20"/>
                <w:szCs w:val="20"/>
                <w:highlight w:val="none"/>
                <w:lang w:eastAsia="zh-CN"/>
              </w:rPr>
              <w:t>输</w:t>
            </w:r>
            <w:r>
              <w:rPr>
                <w:rFonts w:hint="eastAsia" w:ascii="宋体" w:hAnsi="宋体" w:cs="宋体"/>
                <w:color w:val="auto"/>
                <w:spacing w:val="12"/>
                <w:w w:val="99"/>
                <w:sz w:val="20"/>
                <w:szCs w:val="20"/>
                <w:highlight w:val="none"/>
                <w:lang w:eastAsia="zh-CN"/>
              </w:rPr>
              <w:t>入的</w:t>
            </w:r>
            <w:r>
              <w:rPr>
                <w:rFonts w:hint="eastAsia" w:ascii="宋体" w:hAnsi="宋体" w:cs="宋体"/>
                <w:color w:val="auto"/>
                <w:w w:val="99"/>
                <w:sz w:val="20"/>
                <w:szCs w:val="20"/>
                <w:highlight w:val="none"/>
                <w:lang w:eastAsia="zh-CN"/>
              </w:rPr>
              <w:t>监视器应</w:t>
            </w:r>
            <w:r>
              <w:rPr>
                <w:rFonts w:hint="eastAsia" w:ascii="宋体" w:hAnsi="宋体" w:cs="宋体"/>
                <w:color w:val="auto"/>
                <w:spacing w:val="2"/>
                <w:w w:val="99"/>
                <w:sz w:val="20"/>
                <w:szCs w:val="20"/>
                <w:highlight w:val="none"/>
                <w:lang w:eastAsia="zh-CN"/>
              </w:rPr>
              <w:t>符</w:t>
            </w:r>
            <w:r>
              <w:rPr>
                <w:rFonts w:hint="eastAsia" w:ascii="宋体" w:hAnsi="宋体" w:cs="宋体"/>
                <w:color w:val="auto"/>
                <w:spacing w:val="-58"/>
                <w:w w:val="99"/>
                <w:sz w:val="20"/>
                <w:szCs w:val="20"/>
                <w:highlight w:val="none"/>
                <w:lang w:eastAsia="zh-CN"/>
              </w:rPr>
              <w:t>合</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平板</w:t>
            </w:r>
            <w:r>
              <w:rPr>
                <w:rFonts w:hint="eastAsia" w:ascii="宋体" w:hAnsi="宋体" w:cs="宋体"/>
                <w:color w:val="auto"/>
                <w:spacing w:val="2"/>
                <w:w w:val="99"/>
                <w:sz w:val="20"/>
                <w:szCs w:val="20"/>
                <w:highlight w:val="none"/>
                <w:lang w:eastAsia="zh-CN"/>
              </w:rPr>
              <w:t>电</w:t>
            </w:r>
            <w:r>
              <w:rPr>
                <w:rFonts w:hint="eastAsia" w:ascii="宋体" w:hAnsi="宋体" w:cs="宋体"/>
                <w:color w:val="auto"/>
                <w:w w:val="99"/>
                <w:sz w:val="20"/>
                <w:szCs w:val="20"/>
                <w:highlight w:val="none"/>
                <w:lang w:eastAsia="zh-CN"/>
              </w:rPr>
              <w:t>视能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限定值及能效</w:t>
            </w:r>
            <w:r>
              <w:rPr>
                <w:rFonts w:hint="eastAsia" w:ascii="宋体" w:hAnsi="宋体" w:cs="宋体"/>
                <w:color w:val="auto"/>
                <w:spacing w:val="2"/>
                <w:w w:val="99"/>
                <w:sz w:val="20"/>
                <w:szCs w:val="20"/>
                <w:highlight w:val="none"/>
                <w:lang w:eastAsia="zh-CN"/>
              </w:rPr>
              <w:t>等</w:t>
            </w:r>
            <w:r>
              <w:rPr>
                <w:rFonts w:hint="eastAsia" w:ascii="宋体" w:hAnsi="宋体" w:cs="宋体"/>
                <w:color w:val="auto"/>
                <w:w w:val="99"/>
                <w:sz w:val="20"/>
                <w:szCs w:val="20"/>
                <w:highlight w:val="none"/>
                <w:lang w:eastAsia="zh-CN"/>
              </w:rPr>
              <w:t>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24850</w:t>
            </w:r>
            <w:r>
              <w:rPr>
                <w:rFonts w:hint="eastAsia" w:ascii="宋体" w:hAnsi="宋体" w:cs="宋体"/>
                <w:color w:val="auto"/>
                <w:spacing w:val="-3"/>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2"/>
                <w:w w:val="99"/>
                <w:sz w:val="20"/>
                <w:szCs w:val="20"/>
                <w:highlight w:val="none"/>
                <w:lang w:eastAsia="zh-CN"/>
              </w:rPr>
              <w:t>以数字信号为主要信号</w:t>
            </w:r>
            <w:r>
              <w:rPr>
                <w:rFonts w:hint="eastAsia" w:ascii="宋体" w:hAnsi="宋体" w:cs="宋体"/>
                <w:color w:val="auto"/>
                <w:spacing w:val="9"/>
                <w:w w:val="99"/>
                <w:sz w:val="20"/>
                <w:szCs w:val="20"/>
                <w:highlight w:val="none"/>
                <w:lang w:eastAsia="zh-CN"/>
              </w:rPr>
              <w:t>输</w:t>
            </w:r>
            <w:r>
              <w:rPr>
                <w:rFonts w:hint="eastAsia" w:ascii="宋体" w:hAnsi="宋体" w:cs="宋体"/>
                <w:color w:val="auto"/>
                <w:spacing w:val="12"/>
                <w:w w:val="99"/>
                <w:sz w:val="20"/>
                <w:szCs w:val="20"/>
                <w:highlight w:val="none"/>
                <w:lang w:eastAsia="zh-CN"/>
              </w:rPr>
              <w:t>入的</w:t>
            </w:r>
            <w:r>
              <w:rPr>
                <w:rFonts w:hint="eastAsia" w:ascii="宋体" w:hAnsi="宋体" w:cs="宋体"/>
                <w:color w:val="auto"/>
                <w:w w:val="99"/>
                <w:sz w:val="20"/>
                <w:szCs w:val="20"/>
                <w:highlight w:val="none"/>
                <w:lang w:eastAsia="zh-CN"/>
              </w:rPr>
              <w:t>监视器应</w:t>
            </w:r>
            <w:r>
              <w:rPr>
                <w:rFonts w:hint="eastAsia" w:ascii="宋体" w:hAnsi="宋体" w:cs="宋体"/>
                <w:color w:val="auto"/>
                <w:spacing w:val="2"/>
                <w:w w:val="99"/>
                <w:sz w:val="20"/>
                <w:szCs w:val="20"/>
                <w:highlight w:val="none"/>
                <w:lang w:eastAsia="zh-CN"/>
              </w:rPr>
              <w:t>符</w:t>
            </w:r>
            <w:r>
              <w:rPr>
                <w:rFonts w:hint="eastAsia" w:ascii="宋体" w:hAnsi="宋体" w:cs="宋体"/>
                <w:color w:val="auto"/>
                <w:spacing w:val="-58"/>
                <w:w w:val="99"/>
                <w:sz w:val="20"/>
                <w:szCs w:val="20"/>
                <w:highlight w:val="none"/>
                <w:lang w:eastAsia="zh-CN"/>
              </w:rPr>
              <w:t>合</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计算</w:t>
            </w:r>
            <w:r>
              <w:rPr>
                <w:rFonts w:hint="eastAsia" w:ascii="宋体" w:hAnsi="宋体" w:cs="宋体"/>
                <w:color w:val="auto"/>
                <w:spacing w:val="2"/>
                <w:w w:val="99"/>
                <w:sz w:val="20"/>
                <w:szCs w:val="20"/>
                <w:highlight w:val="none"/>
                <w:lang w:eastAsia="zh-CN"/>
              </w:rPr>
              <w:t>机</w:t>
            </w:r>
            <w:r>
              <w:rPr>
                <w:rFonts w:hint="eastAsia" w:ascii="宋体" w:hAnsi="宋体" w:cs="宋体"/>
                <w:color w:val="auto"/>
                <w:w w:val="99"/>
                <w:sz w:val="20"/>
                <w:szCs w:val="20"/>
                <w:highlight w:val="none"/>
                <w:lang w:eastAsia="zh-CN"/>
              </w:rPr>
              <w:t>显示</w:t>
            </w:r>
            <w:r>
              <w:rPr>
                <w:rFonts w:hint="eastAsia" w:ascii="宋体" w:hAnsi="宋体" w:cs="宋体"/>
                <w:color w:val="auto"/>
                <w:spacing w:val="2"/>
                <w:w w:val="99"/>
                <w:sz w:val="20"/>
                <w:szCs w:val="20"/>
                <w:highlight w:val="none"/>
                <w:lang w:eastAsia="zh-CN"/>
              </w:rPr>
              <w:t>器</w:t>
            </w:r>
            <w:r>
              <w:rPr>
                <w:rFonts w:hint="eastAsia" w:ascii="宋体" w:hAnsi="宋体" w:cs="宋体"/>
                <w:color w:val="auto"/>
                <w:w w:val="99"/>
                <w:sz w:val="20"/>
                <w:szCs w:val="20"/>
                <w:highlight w:val="none"/>
                <w:lang w:eastAsia="zh-CN"/>
              </w:rPr>
              <w:t>能效限定值及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21</w:t>
            </w:r>
            <w:r>
              <w:rPr>
                <w:rFonts w:hint="eastAsia" w:ascii="宋体" w:hAnsi="宋体" w:cs="宋体"/>
                <w:color w:val="auto"/>
                <w:w w:val="99"/>
                <w:sz w:val="20"/>
                <w:szCs w:val="20"/>
                <w:highlight w:val="none"/>
                <w:lang w:eastAsia="zh-CN"/>
              </w:rPr>
              <w:t>52</w:t>
            </w:r>
            <w:r>
              <w:rPr>
                <w:rFonts w:hint="eastAsia" w:ascii="宋体" w:hAnsi="宋体" w:cs="宋体"/>
                <w:color w:val="auto"/>
                <w:spacing w:val="1"/>
                <w:w w:val="99"/>
                <w:sz w:val="20"/>
                <w:szCs w:val="20"/>
                <w:highlight w:val="none"/>
                <w:lang w:eastAsia="zh-CN"/>
              </w:rPr>
              <w:t>0</w:t>
            </w:r>
            <w:r>
              <w:rPr>
                <w:rFonts w:hint="eastAsia" w:ascii="宋体" w:hAnsi="宋体" w:cs="宋体"/>
                <w:color w:val="auto"/>
                <w:w w:val="99"/>
                <w:sz w:val="20"/>
                <w:szCs w:val="20"/>
                <w:highlight w:val="none"/>
                <w:lang w:eastAsia="zh-CN"/>
              </w:rPr>
              <w:t>）</w:t>
            </w:r>
          </w:p>
        </w:tc>
      </w:tr>
      <w:tr w14:paraId="394E3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exact"/>
        </w:trPr>
        <w:tc>
          <w:tcPr>
            <w:tcW w:w="574" w:type="dxa"/>
            <w:tcBorders>
              <w:top w:val="single" w:color="auto" w:sz="4" w:space="0"/>
              <w:left w:val="single" w:color="auto" w:sz="4" w:space="0"/>
              <w:bottom w:val="single" w:color="auto" w:sz="4" w:space="0"/>
              <w:right w:val="single" w:color="auto" w:sz="4" w:space="0"/>
            </w:tcBorders>
            <w:vAlign w:val="top"/>
          </w:tcPr>
          <w:p w14:paraId="6B593206">
            <w:pPr>
              <w:pStyle w:val="63"/>
              <w:spacing w:before="10"/>
              <w:rPr>
                <w:rFonts w:ascii="宋体" w:hAnsi="宋体" w:cs="宋体"/>
                <w:color w:val="auto"/>
                <w:sz w:val="17"/>
                <w:szCs w:val="17"/>
                <w:highlight w:val="none"/>
                <w:lang w:eastAsia="zh-CN"/>
              </w:rPr>
            </w:pPr>
          </w:p>
          <w:p w14:paraId="63CB6315">
            <w:pPr>
              <w:pStyle w:val="63"/>
              <w:ind w:left="182"/>
              <w:rPr>
                <w:rFonts w:ascii="宋体" w:hAnsi="宋体" w:cs="宋体"/>
                <w:color w:val="auto"/>
                <w:sz w:val="20"/>
                <w:szCs w:val="20"/>
                <w:highlight w:val="none"/>
              </w:rPr>
            </w:pPr>
            <w:r>
              <w:rPr>
                <w:rFonts w:hint="eastAsia" w:ascii="宋体"/>
                <w:color w:val="auto"/>
                <w:spacing w:val="1"/>
                <w:w w:val="99"/>
                <w:sz w:val="20"/>
                <w:highlight w:val="none"/>
              </w:rPr>
              <w:t>1</w:t>
            </w:r>
            <w:r>
              <w:rPr>
                <w:rFonts w:hint="eastAsia" w:ascii="宋体"/>
                <w:color w:val="auto"/>
                <w:w w:val="99"/>
                <w:sz w:val="20"/>
                <w:highlight w:val="none"/>
              </w:rPr>
              <w:t>4</w:t>
            </w:r>
          </w:p>
        </w:tc>
        <w:tc>
          <w:tcPr>
            <w:tcW w:w="1166" w:type="dxa"/>
            <w:tcBorders>
              <w:top w:val="single" w:color="auto" w:sz="4" w:space="0"/>
              <w:left w:val="single" w:color="auto" w:sz="4" w:space="0"/>
              <w:bottom w:val="single" w:color="auto" w:sz="4" w:space="0"/>
              <w:right w:val="single" w:color="auto" w:sz="4" w:space="0"/>
            </w:tcBorders>
            <w:vAlign w:val="top"/>
          </w:tcPr>
          <w:p w14:paraId="55E35F78">
            <w:pPr>
              <w:pStyle w:val="63"/>
              <w:spacing w:before="76"/>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A03</w:t>
            </w:r>
            <w:r>
              <w:rPr>
                <w:rFonts w:hint="eastAsia" w:ascii="宋体" w:hAnsi="宋体" w:cs="宋体"/>
                <w:color w:val="auto"/>
                <w:w w:val="99"/>
                <w:sz w:val="20"/>
                <w:szCs w:val="20"/>
                <w:highlight w:val="none"/>
              </w:rPr>
              <w:t>12</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0饮食</w:t>
            </w:r>
          </w:p>
          <w:p w14:paraId="53BE9D67">
            <w:pPr>
              <w:pStyle w:val="63"/>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炊事机械</w:t>
            </w:r>
          </w:p>
        </w:tc>
        <w:tc>
          <w:tcPr>
            <w:tcW w:w="1800" w:type="dxa"/>
            <w:tcBorders>
              <w:top w:val="single" w:color="auto" w:sz="4" w:space="0"/>
              <w:left w:val="single" w:color="auto" w:sz="4" w:space="0"/>
              <w:bottom w:val="single" w:color="auto" w:sz="4" w:space="0"/>
              <w:right w:val="single" w:color="auto" w:sz="4" w:space="0"/>
            </w:tcBorders>
            <w:vAlign w:val="top"/>
          </w:tcPr>
          <w:p w14:paraId="6047A1B2">
            <w:pPr>
              <w:pStyle w:val="63"/>
              <w:spacing w:before="10"/>
              <w:rPr>
                <w:rFonts w:ascii="宋体" w:hAnsi="宋体" w:cs="宋体"/>
                <w:color w:val="auto"/>
                <w:sz w:val="17"/>
                <w:szCs w:val="17"/>
                <w:highlight w:val="none"/>
              </w:rPr>
            </w:pPr>
          </w:p>
          <w:p w14:paraId="042B3862">
            <w:pPr>
              <w:pStyle w:val="63"/>
              <w:ind w:left="7"/>
              <w:rPr>
                <w:rFonts w:ascii="宋体" w:hAnsi="宋体" w:cs="宋体"/>
                <w:color w:val="auto"/>
                <w:sz w:val="20"/>
                <w:szCs w:val="20"/>
                <w:highlight w:val="none"/>
              </w:rPr>
            </w:pPr>
            <w:r>
              <w:rPr>
                <w:rFonts w:hint="eastAsia" w:ascii="宋体" w:hAnsi="宋体" w:cs="宋体"/>
                <w:color w:val="auto"/>
                <w:w w:val="99"/>
                <w:sz w:val="20"/>
                <w:szCs w:val="20"/>
                <w:highlight w:val="none"/>
              </w:rPr>
              <w:t>商用燃</w:t>
            </w:r>
            <w:r>
              <w:rPr>
                <w:rFonts w:hint="eastAsia" w:ascii="宋体" w:hAnsi="宋体" w:cs="宋体"/>
                <w:color w:val="auto"/>
                <w:spacing w:val="2"/>
                <w:w w:val="99"/>
                <w:sz w:val="20"/>
                <w:szCs w:val="20"/>
                <w:highlight w:val="none"/>
              </w:rPr>
              <w:t>气</w:t>
            </w:r>
            <w:r>
              <w:rPr>
                <w:rFonts w:hint="eastAsia" w:ascii="宋体" w:hAnsi="宋体" w:cs="宋体"/>
                <w:color w:val="auto"/>
                <w:w w:val="99"/>
                <w:sz w:val="20"/>
                <w:szCs w:val="20"/>
                <w:highlight w:val="none"/>
              </w:rPr>
              <w:t>灶具</w:t>
            </w:r>
          </w:p>
        </w:tc>
        <w:tc>
          <w:tcPr>
            <w:tcW w:w="1915" w:type="dxa"/>
            <w:tcBorders>
              <w:top w:val="single" w:color="auto" w:sz="4" w:space="0"/>
              <w:left w:val="single" w:color="auto" w:sz="4" w:space="0"/>
              <w:bottom w:val="single" w:color="auto" w:sz="4" w:space="0"/>
              <w:right w:val="single" w:color="auto" w:sz="4" w:space="0"/>
            </w:tcBorders>
            <w:vAlign w:val="top"/>
          </w:tcPr>
          <w:p w14:paraId="4AA956D2">
            <w:pPr>
              <w:rPr>
                <w:rFonts w:ascii="Calibri" w:hAnsi="Calibri"/>
                <w:color w:val="auto"/>
                <w:sz w:val="22"/>
                <w:szCs w:val="22"/>
                <w:highlight w:val="none"/>
              </w:rPr>
            </w:pPr>
          </w:p>
        </w:tc>
        <w:tc>
          <w:tcPr>
            <w:tcW w:w="3986" w:type="dxa"/>
            <w:tcBorders>
              <w:top w:val="single" w:color="auto" w:sz="4" w:space="0"/>
              <w:left w:val="single" w:color="auto" w:sz="4" w:space="0"/>
              <w:bottom w:val="single" w:color="auto" w:sz="4" w:space="0"/>
              <w:right w:val="single" w:color="auto" w:sz="4" w:space="0"/>
            </w:tcBorders>
            <w:vAlign w:val="top"/>
          </w:tcPr>
          <w:p w14:paraId="13FCE7E0">
            <w:pPr>
              <w:pStyle w:val="63"/>
              <w:spacing w:before="76" w:line="280"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《商用燃气灶具能效限</w:t>
            </w:r>
            <w:r>
              <w:rPr>
                <w:rFonts w:hint="eastAsia" w:ascii="宋体" w:hAnsi="宋体" w:cs="宋体"/>
                <w:color w:val="auto"/>
                <w:spacing w:val="9"/>
                <w:w w:val="99"/>
                <w:sz w:val="20"/>
                <w:szCs w:val="20"/>
                <w:highlight w:val="none"/>
                <w:lang w:eastAsia="zh-CN"/>
              </w:rPr>
              <w:t>定</w:t>
            </w:r>
            <w:r>
              <w:rPr>
                <w:rFonts w:hint="eastAsia" w:ascii="宋体" w:hAnsi="宋体" w:cs="宋体"/>
                <w:color w:val="auto"/>
                <w:spacing w:val="12"/>
                <w:w w:val="99"/>
                <w:sz w:val="20"/>
                <w:szCs w:val="20"/>
                <w:highlight w:val="none"/>
                <w:lang w:eastAsia="zh-CN"/>
              </w:rPr>
              <w:t>值及</w:t>
            </w:r>
            <w:r>
              <w:rPr>
                <w:rFonts w:hint="eastAsia" w:ascii="宋体" w:hAnsi="宋体" w:cs="宋体"/>
                <w:color w:val="auto"/>
                <w:w w:val="99"/>
                <w:sz w:val="20"/>
                <w:szCs w:val="20"/>
                <w:highlight w:val="none"/>
                <w:lang w:eastAsia="zh-CN"/>
              </w:rPr>
              <w:t>能效等级</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30</w:t>
            </w:r>
            <w:r>
              <w:rPr>
                <w:rFonts w:hint="eastAsia" w:ascii="宋体" w:hAnsi="宋体" w:cs="宋体"/>
                <w:color w:val="auto"/>
                <w:w w:val="99"/>
                <w:sz w:val="20"/>
                <w:szCs w:val="20"/>
                <w:highlight w:val="none"/>
                <w:lang w:eastAsia="zh-CN"/>
              </w:rPr>
              <w:t>53</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w:t>
            </w:r>
          </w:p>
        </w:tc>
      </w:tr>
      <w:tr w14:paraId="3B9C4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6" w:hRule="exact"/>
        </w:trPr>
        <w:tc>
          <w:tcPr>
            <w:tcW w:w="574" w:type="dxa"/>
            <w:vMerge w:val="restart"/>
            <w:tcBorders>
              <w:top w:val="single" w:color="auto" w:sz="4" w:space="0"/>
              <w:left w:val="single" w:color="auto" w:sz="4" w:space="0"/>
              <w:bottom w:val="single" w:color="auto" w:sz="4" w:space="0"/>
              <w:right w:val="single" w:color="auto" w:sz="4" w:space="0"/>
            </w:tcBorders>
            <w:vAlign w:val="top"/>
          </w:tcPr>
          <w:p w14:paraId="37179A2A">
            <w:pPr>
              <w:pStyle w:val="63"/>
              <w:rPr>
                <w:rFonts w:ascii="宋体" w:hAnsi="宋体" w:cs="宋体"/>
                <w:color w:val="auto"/>
                <w:sz w:val="20"/>
                <w:szCs w:val="20"/>
                <w:highlight w:val="none"/>
                <w:lang w:eastAsia="zh-CN"/>
              </w:rPr>
            </w:pPr>
          </w:p>
          <w:p w14:paraId="0990821D">
            <w:pPr>
              <w:pStyle w:val="63"/>
              <w:rPr>
                <w:rFonts w:ascii="宋体" w:hAnsi="宋体" w:cs="宋体"/>
                <w:color w:val="auto"/>
                <w:sz w:val="20"/>
                <w:szCs w:val="20"/>
                <w:highlight w:val="none"/>
                <w:lang w:eastAsia="zh-CN"/>
              </w:rPr>
            </w:pPr>
          </w:p>
          <w:p w14:paraId="53C66F09">
            <w:pPr>
              <w:pStyle w:val="63"/>
              <w:rPr>
                <w:rFonts w:ascii="宋体" w:hAnsi="宋体" w:cs="宋体"/>
                <w:color w:val="auto"/>
                <w:sz w:val="20"/>
                <w:szCs w:val="20"/>
                <w:highlight w:val="none"/>
                <w:lang w:eastAsia="zh-CN"/>
              </w:rPr>
            </w:pPr>
          </w:p>
          <w:p w14:paraId="6676607D">
            <w:pPr>
              <w:pStyle w:val="63"/>
              <w:spacing w:before="1"/>
              <w:rPr>
                <w:rFonts w:ascii="宋体" w:hAnsi="宋体" w:cs="宋体"/>
                <w:color w:val="auto"/>
                <w:sz w:val="29"/>
                <w:szCs w:val="29"/>
                <w:highlight w:val="none"/>
                <w:lang w:eastAsia="zh-CN"/>
              </w:rPr>
            </w:pPr>
          </w:p>
          <w:p w14:paraId="2898AC40">
            <w:pPr>
              <w:pStyle w:val="63"/>
              <w:ind w:left="182"/>
              <w:rPr>
                <w:rFonts w:ascii="宋体" w:hAnsi="宋体" w:cs="宋体"/>
                <w:color w:val="auto"/>
                <w:sz w:val="20"/>
                <w:szCs w:val="20"/>
                <w:highlight w:val="none"/>
              </w:rPr>
            </w:pPr>
            <w:r>
              <w:rPr>
                <w:rFonts w:hint="eastAsia" w:ascii="宋体"/>
                <w:color w:val="auto"/>
                <w:spacing w:val="1"/>
                <w:w w:val="99"/>
                <w:sz w:val="20"/>
                <w:highlight w:val="none"/>
              </w:rPr>
              <w:t>1</w:t>
            </w:r>
            <w:r>
              <w:rPr>
                <w:rFonts w:hint="eastAsia" w:ascii="宋体"/>
                <w:color w:val="auto"/>
                <w:w w:val="99"/>
                <w:sz w:val="20"/>
                <w:highlight w:val="none"/>
              </w:rPr>
              <w:t>5</w:t>
            </w:r>
          </w:p>
        </w:tc>
        <w:tc>
          <w:tcPr>
            <w:tcW w:w="1166" w:type="dxa"/>
            <w:vMerge w:val="restart"/>
            <w:tcBorders>
              <w:top w:val="single" w:color="auto" w:sz="4" w:space="0"/>
              <w:left w:val="single" w:color="auto" w:sz="4" w:space="0"/>
              <w:bottom w:val="single" w:color="auto" w:sz="4" w:space="0"/>
              <w:right w:val="single" w:color="auto" w:sz="4" w:space="0"/>
            </w:tcBorders>
            <w:vAlign w:val="top"/>
          </w:tcPr>
          <w:p w14:paraId="27FF08A9">
            <w:pPr>
              <w:pStyle w:val="63"/>
              <w:rPr>
                <w:rFonts w:ascii="宋体" w:hAnsi="宋体" w:cs="宋体"/>
                <w:color w:val="auto"/>
                <w:sz w:val="20"/>
                <w:szCs w:val="20"/>
                <w:highlight w:val="none"/>
              </w:rPr>
            </w:pPr>
          </w:p>
          <w:p w14:paraId="5A24A802">
            <w:pPr>
              <w:pStyle w:val="63"/>
              <w:rPr>
                <w:rFonts w:ascii="宋体" w:hAnsi="宋体" w:cs="宋体"/>
                <w:color w:val="auto"/>
                <w:sz w:val="20"/>
                <w:szCs w:val="20"/>
                <w:highlight w:val="none"/>
              </w:rPr>
            </w:pPr>
          </w:p>
          <w:p w14:paraId="17FE32B6">
            <w:pPr>
              <w:pStyle w:val="63"/>
              <w:spacing w:before="9"/>
              <w:rPr>
                <w:rFonts w:ascii="宋体" w:hAnsi="宋体" w:cs="宋体"/>
                <w:color w:val="auto"/>
                <w:sz w:val="17"/>
                <w:szCs w:val="17"/>
                <w:highlight w:val="none"/>
              </w:rPr>
            </w:pPr>
          </w:p>
          <w:p w14:paraId="4ADC8A73">
            <w:pPr>
              <w:pStyle w:val="63"/>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A060</w:t>
            </w:r>
            <w:r>
              <w:rPr>
                <w:rFonts w:hint="eastAsia" w:ascii="宋体" w:hAnsi="宋体" w:cs="宋体"/>
                <w:color w:val="auto"/>
                <w:w w:val="99"/>
                <w:sz w:val="20"/>
                <w:szCs w:val="20"/>
                <w:highlight w:val="none"/>
              </w:rPr>
              <w:t>805便</w:t>
            </w:r>
          </w:p>
          <w:p w14:paraId="44202EFD">
            <w:pPr>
              <w:pStyle w:val="63"/>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器</w:t>
            </w:r>
          </w:p>
        </w:tc>
        <w:tc>
          <w:tcPr>
            <w:tcW w:w="1800" w:type="dxa"/>
            <w:tcBorders>
              <w:top w:val="single" w:color="auto" w:sz="4" w:space="0"/>
              <w:left w:val="single" w:color="auto" w:sz="4" w:space="0"/>
              <w:bottom w:val="single" w:color="auto" w:sz="4" w:space="0"/>
              <w:right w:val="single" w:color="auto" w:sz="4" w:space="0"/>
            </w:tcBorders>
            <w:vAlign w:val="top"/>
          </w:tcPr>
          <w:p w14:paraId="69FC5AA1">
            <w:pPr>
              <w:pStyle w:val="63"/>
              <w:spacing w:before="5"/>
              <w:rPr>
                <w:rFonts w:ascii="宋体" w:hAnsi="宋体" w:cs="宋体"/>
                <w:color w:val="auto"/>
                <w:sz w:val="21"/>
                <w:szCs w:val="21"/>
                <w:highlight w:val="none"/>
              </w:rPr>
            </w:pPr>
          </w:p>
          <w:p w14:paraId="540637CA">
            <w:pPr>
              <w:pStyle w:val="63"/>
              <w:ind w:left="7"/>
              <w:rPr>
                <w:rFonts w:ascii="宋体" w:hAnsi="宋体" w:cs="宋体"/>
                <w:color w:val="auto"/>
                <w:sz w:val="20"/>
                <w:szCs w:val="20"/>
                <w:highlight w:val="none"/>
              </w:rPr>
            </w:pPr>
            <w:r>
              <w:rPr>
                <w:rFonts w:hint="eastAsia" w:ascii="宋体" w:hAnsi="宋体" w:cs="宋体"/>
                <w:color w:val="auto"/>
                <w:w w:val="99"/>
                <w:sz w:val="20"/>
                <w:szCs w:val="20"/>
                <w:highlight w:val="none"/>
              </w:rPr>
              <w:t>坐便器</w:t>
            </w:r>
          </w:p>
        </w:tc>
        <w:tc>
          <w:tcPr>
            <w:tcW w:w="1915" w:type="dxa"/>
            <w:tcBorders>
              <w:top w:val="single" w:color="auto" w:sz="4" w:space="0"/>
              <w:left w:val="single" w:color="auto" w:sz="4" w:space="0"/>
              <w:bottom w:val="single" w:color="auto" w:sz="4" w:space="0"/>
              <w:right w:val="single" w:color="auto" w:sz="4" w:space="0"/>
            </w:tcBorders>
            <w:vAlign w:val="top"/>
          </w:tcPr>
          <w:p w14:paraId="5F8B45BA">
            <w:pPr>
              <w:rPr>
                <w:rFonts w:ascii="Calibri" w:hAnsi="Calibri"/>
                <w:color w:val="auto"/>
                <w:sz w:val="22"/>
                <w:szCs w:val="22"/>
                <w:highlight w:val="none"/>
              </w:rPr>
            </w:pPr>
          </w:p>
        </w:tc>
        <w:tc>
          <w:tcPr>
            <w:tcW w:w="3986" w:type="dxa"/>
            <w:tcBorders>
              <w:top w:val="single" w:color="auto" w:sz="4" w:space="0"/>
              <w:left w:val="single" w:color="auto" w:sz="4" w:space="0"/>
              <w:bottom w:val="single" w:color="auto" w:sz="4" w:space="0"/>
              <w:right w:val="single" w:color="auto" w:sz="4" w:space="0"/>
            </w:tcBorders>
            <w:vAlign w:val="top"/>
          </w:tcPr>
          <w:p w14:paraId="5C2D8E5A">
            <w:pPr>
              <w:pStyle w:val="63"/>
              <w:spacing w:before="124"/>
              <w:ind w:lef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《坐便</w:t>
            </w:r>
            <w:r>
              <w:rPr>
                <w:rFonts w:hint="eastAsia" w:ascii="宋体" w:hAnsi="宋体" w:cs="宋体"/>
                <w:color w:val="auto"/>
                <w:spacing w:val="2"/>
                <w:w w:val="99"/>
                <w:sz w:val="20"/>
                <w:szCs w:val="20"/>
                <w:highlight w:val="none"/>
                <w:lang w:eastAsia="zh-CN"/>
              </w:rPr>
              <w:t>器</w:t>
            </w:r>
            <w:r>
              <w:rPr>
                <w:rFonts w:hint="eastAsia" w:ascii="宋体" w:hAnsi="宋体" w:cs="宋体"/>
                <w:color w:val="auto"/>
                <w:w w:val="99"/>
                <w:sz w:val="20"/>
                <w:szCs w:val="20"/>
                <w:highlight w:val="none"/>
                <w:lang w:eastAsia="zh-CN"/>
              </w:rPr>
              <w:t>水效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w:t>
            </w:r>
            <w:r>
              <w:rPr>
                <w:rFonts w:hint="eastAsia" w:ascii="宋体" w:hAnsi="宋体" w:cs="宋体"/>
                <w:color w:val="auto"/>
                <w:spacing w:val="2"/>
                <w:w w:val="99"/>
                <w:sz w:val="20"/>
                <w:szCs w:val="20"/>
                <w:highlight w:val="none"/>
                <w:lang w:eastAsia="zh-CN"/>
              </w:rPr>
              <w:t>及</w:t>
            </w:r>
            <w:r>
              <w:rPr>
                <w:rFonts w:hint="eastAsia" w:ascii="宋体" w:hAnsi="宋体" w:cs="宋体"/>
                <w:color w:val="auto"/>
                <w:w w:val="99"/>
                <w:sz w:val="20"/>
                <w:szCs w:val="20"/>
                <w:highlight w:val="none"/>
                <w:lang w:eastAsia="zh-CN"/>
              </w:rPr>
              <w:t>水</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p>
          <w:p w14:paraId="62DAA6C8">
            <w:pPr>
              <w:pStyle w:val="63"/>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G</w:t>
            </w:r>
            <w:r>
              <w:rPr>
                <w:rFonts w:hint="eastAsia" w:ascii="宋体" w:hAnsi="宋体" w:cs="宋体"/>
                <w:color w:val="auto"/>
                <w:w w:val="99"/>
                <w:sz w:val="20"/>
                <w:szCs w:val="20"/>
                <w:highlight w:val="none"/>
              </w:rPr>
              <w:t>B</w:t>
            </w:r>
            <w:r>
              <w:rPr>
                <w:rFonts w:hint="eastAsia" w:ascii="宋体" w:hAnsi="宋体" w:cs="宋体"/>
                <w:color w:val="auto"/>
                <w:spacing w:val="1"/>
                <w:w w:val="99"/>
                <w:sz w:val="20"/>
                <w:szCs w:val="20"/>
                <w:highlight w:val="none"/>
              </w:rPr>
              <w:t>2</w:t>
            </w:r>
            <w:r>
              <w:rPr>
                <w:rFonts w:hint="eastAsia" w:ascii="宋体" w:hAnsi="宋体" w:cs="宋体"/>
                <w:color w:val="auto"/>
                <w:w w:val="99"/>
                <w:sz w:val="20"/>
                <w:szCs w:val="20"/>
                <w:highlight w:val="none"/>
              </w:rPr>
              <w:t>55</w:t>
            </w:r>
            <w:r>
              <w:rPr>
                <w:rFonts w:hint="eastAsia" w:ascii="宋体" w:hAnsi="宋体" w:cs="宋体"/>
                <w:color w:val="auto"/>
                <w:spacing w:val="1"/>
                <w:w w:val="99"/>
                <w:sz w:val="20"/>
                <w:szCs w:val="20"/>
                <w:highlight w:val="none"/>
              </w:rPr>
              <w:t>02</w:t>
            </w:r>
            <w:r>
              <w:rPr>
                <w:rFonts w:hint="eastAsia" w:ascii="宋体" w:hAnsi="宋体" w:cs="宋体"/>
                <w:color w:val="auto"/>
                <w:w w:val="99"/>
                <w:sz w:val="20"/>
                <w:szCs w:val="20"/>
                <w:highlight w:val="none"/>
              </w:rPr>
              <w:t>）</w:t>
            </w:r>
          </w:p>
        </w:tc>
      </w:tr>
      <w:tr w14:paraId="02BA2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6"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7A86C5CE">
            <w:pPr>
              <w:widowControl/>
              <w:jc w:val="left"/>
              <w:rPr>
                <w:rFonts w:ascii="宋体" w:hAnsi="宋体" w:eastAsia="Times New Roman" w:cs="宋体"/>
                <w:color w:val="auto"/>
                <w:kern w:val="0"/>
                <w:sz w:val="20"/>
                <w:szCs w:val="20"/>
                <w:highlight w:val="none"/>
                <w:lang w:eastAsia="en-US"/>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6ACC0634">
            <w:pPr>
              <w:widowControl/>
              <w:jc w:val="left"/>
              <w:rPr>
                <w:rFonts w:ascii="宋体" w:hAnsi="宋体" w:eastAsia="Times New Roman" w:cs="宋体"/>
                <w:color w:val="auto"/>
                <w:kern w:val="0"/>
                <w:sz w:val="20"/>
                <w:szCs w:val="20"/>
                <w:highlight w:val="none"/>
                <w:lang w:eastAsia="en-US"/>
              </w:rPr>
            </w:pPr>
          </w:p>
        </w:tc>
        <w:tc>
          <w:tcPr>
            <w:tcW w:w="1800" w:type="dxa"/>
            <w:tcBorders>
              <w:top w:val="single" w:color="auto" w:sz="4" w:space="0"/>
              <w:left w:val="single" w:color="auto" w:sz="4" w:space="0"/>
              <w:bottom w:val="single" w:color="auto" w:sz="4" w:space="0"/>
              <w:right w:val="single" w:color="auto" w:sz="4" w:space="0"/>
            </w:tcBorders>
            <w:vAlign w:val="top"/>
          </w:tcPr>
          <w:p w14:paraId="161DADAD">
            <w:pPr>
              <w:pStyle w:val="63"/>
              <w:spacing w:before="5"/>
              <w:rPr>
                <w:rFonts w:ascii="宋体" w:hAnsi="宋体" w:cs="宋体"/>
                <w:color w:val="auto"/>
                <w:sz w:val="21"/>
                <w:szCs w:val="21"/>
                <w:highlight w:val="none"/>
              </w:rPr>
            </w:pPr>
          </w:p>
          <w:p w14:paraId="225958DE">
            <w:pPr>
              <w:pStyle w:val="63"/>
              <w:ind w:left="7"/>
              <w:rPr>
                <w:rFonts w:ascii="宋体" w:hAnsi="宋体" w:cs="宋体"/>
                <w:color w:val="auto"/>
                <w:sz w:val="20"/>
                <w:szCs w:val="20"/>
                <w:highlight w:val="none"/>
              </w:rPr>
            </w:pPr>
            <w:r>
              <w:rPr>
                <w:rFonts w:hint="eastAsia" w:ascii="宋体" w:hAnsi="宋体" w:cs="宋体"/>
                <w:color w:val="auto"/>
                <w:w w:val="99"/>
                <w:sz w:val="20"/>
                <w:szCs w:val="20"/>
                <w:highlight w:val="none"/>
              </w:rPr>
              <w:t>蹲便器</w:t>
            </w:r>
          </w:p>
        </w:tc>
        <w:tc>
          <w:tcPr>
            <w:tcW w:w="1915" w:type="dxa"/>
            <w:tcBorders>
              <w:top w:val="single" w:color="auto" w:sz="4" w:space="0"/>
              <w:left w:val="single" w:color="auto" w:sz="4" w:space="0"/>
              <w:bottom w:val="single" w:color="auto" w:sz="4" w:space="0"/>
              <w:right w:val="single" w:color="auto" w:sz="4" w:space="0"/>
            </w:tcBorders>
            <w:vAlign w:val="top"/>
          </w:tcPr>
          <w:p w14:paraId="1417E845">
            <w:pPr>
              <w:rPr>
                <w:rFonts w:ascii="Calibri" w:hAnsi="Calibri"/>
                <w:color w:val="auto"/>
                <w:sz w:val="22"/>
                <w:szCs w:val="22"/>
                <w:highlight w:val="none"/>
              </w:rPr>
            </w:pPr>
          </w:p>
        </w:tc>
        <w:tc>
          <w:tcPr>
            <w:tcW w:w="3986" w:type="dxa"/>
            <w:tcBorders>
              <w:top w:val="single" w:color="auto" w:sz="4" w:space="0"/>
              <w:left w:val="single" w:color="auto" w:sz="4" w:space="0"/>
              <w:bottom w:val="single" w:color="auto" w:sz="4" w:space="0"/>
              <w:right w:val="single" w:color="auto" w:sz="4" w:space="0"/>
            </w:tcBorders>
            <w:vAlign w:val="top"/>
          </w:tcPr>
          <w:p w14:paraId="140BC46E">
            <w:pPr>
              <w:pStyle w:val="63"/>
              <w:spacing w:before="124" w:line="280"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《蹲便器用水效率限定</w:t>
            </w:r>
            <w:r>
              <w:rPr>
                <w:rFonts w:hint="eastAsia" w:ascii="宋体" w:hAnsi="宋体" w:cs="宋体"/>
                <w:color w:val="auto"/>
                <w:spacing w:val="9"/>
                <w:w w:val="99"/>
                <w:sz w:val="20"/>
                <w:szCs w:val="20"/>
                <w:highlight w:val="none"/>
                <w:lang w:eastAsia="zh-CN"/>
              </w:rPr>
              <w:t>值</w:t>
            </w:r>
            <w:r>
              <w:rPr>
                <w:rFonts w:hint="eastAsia" w:ascii="宋体" w:hAnsi="宋体" w:cs="宋体"/>
                <w:color w:val="auto"/>
                <w:spacing w:val="12"/>
                <w:w w:val="99"/>
                <w:sz w:val="20"/>
                <w:szCs w:val="20"/>
                <w:highlight w:val="none"/>
                <w:lang w:eastAsia="zh-CN"/>
              </w:rPr>
              <w:t>及用</w:t>
            </w:r>
            <w:r>
              <w:rPr>
                <w:rFonts w:hint="eastAsia" w:ascii="宋体" w:hAnsi="宋体" w:cs="宋体"/>
                <w:color w:val="auto"/>
                <w:w w:val="99"/>
                <w:sz w:val="20"/>
                <w:szCs w:val="20"/>
                <w:highlight w:val="none"/>
                <w:lang w:eastAsia="zh-CN"/>
              </w:rPr>
              <w:t>水效率等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307</w:t>
            </w:r>
            <w:r>
              <w:rPr>
                <w:rFonts w:hint="eastAsia" w:ascii="宋体" w:hAnsi="宋体" w:cs="宋体"/>
                <w:color w:val="auto"/>
                <w:w w:val="99"/>
                <w:sz w:val="20"/>
                <w:szCs w:val="20"/>
                <w:highlight w:val="none"/>
                <w:lang w:eastAsia="zh-CN"/>
              </w:rPr>
              <w:t>1</w:t>
            </w:r>
            <w:r>
              <w:rPr>
                <w:rFonts w:hint="eastAsia" w:ascii="宋体" w:hAnsi="宋体" w:cs="宋体"/>
                <w:color w:val="auto"/>
                <w:spacing w:val="-1"/>
                <w:w w:val="99"/>
                <w:sz w:val="20"/>
                <w:szCs w:val="20"/>
                <w:highlight w:val="none"/>
                <w:lang w:eastAsia="zh-CN"/>
              </w:rPr>
              <w:t>7</w:t>
            </w:r>
            <w:r>
              <w:rPr>
                <w:rFonts w:hint="eastAsia" w:ascii="宋体" w:hAnsi="宋体" w:cs="宋体"/>
                <w:color w:val="auto"/>
                <w:w w:val="99"/>
                <w:sz w:val="20"/>
                <w:szCs w:val="20"/>
                <w:highlight w:val="none"/>
                <w:lang w:eastAsia="zh-CN"/>
              </w:rPr>
              <w:t>）</w:t>
            </w:r>
          </w:p>
        </w:tc>
      </w:tr>
      <w:tr w14:paraId="0FD81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61E23E21">
            <w:pPr>
              <w:widowControl/>
              <w:jc w:val="left"/>
              <w:rPr>
                <w:rFonts w:ascii="宋体" w:hAnsi="宋体" w:eastAsia="Times New Roman" w:cs="宋体"/>
                <w:color w:val="auto"/>
                <w:kern w:val="0"/>
                <w:sz w:val="20"/>
                <w:szCs w:val="20"/>
                <w:highlight w:val="none"/>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546BEE99">
            <w:pPr>
              <w:widowControl/>
              <w:jc w:val="left"/>
              <w:rPr>
                <w:rFonts w:ascii="宋体" w:hAnsi="宋体" w:eastAsia="Times New Roman" w:cs="宋体"/>
                <w:color w:val="auto"/>
                <w:kern w:val="0"/>
                <w:sz w:val="20"/>
                <w:szCs w:val="20"/>
                <w:highlight w:val="none"/>
              </w:rPr>
            </w:pPr>
          </w:p>
        </w:tc>
        <w:tc>
          <w:tcPr>
            <w:tcW w:w="1800" w:type="dxa"/>
            <w:tcBorders>
              <w:top w:val="single" w:color="auto" w:sz="4" w:space="0"/>
              <w:left w:val="single" w:color="auto" w:sz="4" w:space="0"/>
              <w:bottom w:val="single" w:color="auto" w:sz="4" w:space="0"/>
              <w:right w:val="single" w:color="auto" w:sz="4" w:space="0"/>
            </w:tcBorders>
            <w:vAlign w:val="top"/>
          </w:tcPr>
          <w:p w14:paraId="1AF5304C">
            <w:pPr>
              <w:pStyle w:val="63"/>
              <w:spacing w:before="5"/>
              <w:rPr>
                <w:rFonts w:ascii="宋体" w:hAnsi="宋体" w:cs="宋体"/>
                <w:color w:val="auto"/>
                <w:sz w:val="21"/>
                <w:szCs w:val="21"/>
                <w:highlight w:val="none"/>
                <w:lang w:eastAsia="zh-CN"/>
              </w:rPr>
            </w:pPr>
          </w:p>
          <w:p w14:paraId="3F401E94">
            <w:pPr>
              <w:pStyle w:val="63"/>
              <w:ind w:left="7"/>
              <w:rPr>
                <w:rFonts w:ascii="宋体" w:hAnsi="宋体" w:cs="宋体"/>
                <w:color w:val="auto"/>
                <w:sz w:val="20"/>
                <w:szCs w:val="20"/>
                <w:highlight w:val="none"/>
              </w:rPr>
            </w:pPr>
            <w:r>
              <w:rPr>
                <w:rFonts w:hint="eastAsia" w:ascii="宋体" w:hAnsi="宋体" w:cs="宋体"/>
                <w:color w:val="auto"/>
                <w:w w:val="99"/>
                <w:sz w:val="20"/>
                <w:szCs w:val="20"/>
                <w:highlight w:val="none"/>
              </w:rPr>
              <w:t>小便器</w:t>
            </w:r>
          </w:p>
        </w:tc>
        <w:tc>
          <w:tcPr>
            <w:tcW w:w="1915" w:type="dxa"/>
            <w:tcBorders>
              <w:top w:val="single" w:color="auto" w:sz="4" w:space="0"/>
              <w:left w:val="single" w:color="auto" w:sz="4" w:space="0"/>
              <w:bottom w:val="single" w:color="auto" w:sz="4" w:space="0"/>
              <w:right w:val="single" w:color="auto" w:sz="4" w:space="0"/>
            </w:tcBorders>
            <w:vAlign w:val="top"/>
          </w:tcPr>
          <w:p w14:paraId="3D69F53E">
            <w:pPr>
              <w:rPr>
                <w:rFonts w:ascii="Calibri" w:hAnsi="Calibri"/>
                <w:color w:val="auto"/>
                <w:sz w:val="22"/>
                <w:szCs w:val="22"/>
                <w:highlight w:val="none"/>
              </w:rPr>
            </w:pPr>
          </w:p>
        </w:tc>
        <w:tc>
          <w:tcPr>
            <w:tcW w:w="3986" w:type="dxa"/>
            <w:tcBorders>
              <w:top w:val="single" w:color="auto" w:sz="4" w:space="0"/>
              <w:left w:val="single" w:color="auto" w:sz="4" w:space="0"/>
              <w:bottom w:val="single" w:color="auto" w:sz="4" w:space="0"/>
              <w:right w:val="single" w:color="auto" w:sz="4" w:space="0"/>
            </w:tcBorders>
            <w:vAlign w:val="top"/>
          </w:tcPr>
          <w:p w14:paraId="273890E6">
            <w:pPr>
              <w:pStyle w:val="63"/>
              <w:spacing w:before="124" w:line="280"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《小便器用水效率限定</w:t>
            </w:r>
            <w:r>
              <w:rPr>
                <w:rFonts w:hint="eastAsia" w:ascii="宋体" w:hAnsi="宋体" w:cs="宋体"/>
                <w:color w:val="auto"/>
                <w:spacing w:val="9"/>
                <w:w w:val="99"/>
                <w:sz w:val="20"/>
                <w:szCs w:val="20"/>
                <w:highlight w:val="none"/>
                <w:lang w:eastAsia="zh-CN"/>
              </w:rPr>
              <w:t>值</w:t>
            </w:r>
            <w:r>
              <w:rPr>
                <w:rFonts w:hint="eastAsia" w:ascii="宋体" w:hAnsi="宋体" w:cs="宋体"/>
                <w:color w:val="auto"/>
                <w:spacing w:val="12"/>
                <w:w w:val="99"/>
                <w:sz w:val="20"/>
                <w:szCs w:val="20"/>
                <w:highlight w:val="none"/>
                <w:lang w:eastAsia="zh-CN"/>
              </w:rPr>
              <w:t>及用</w:t>
            </w:r>
            <w:r>
              <w:rPr>
                <w:rFonts w:hint="eastAsia" w:ascii="宋体" w:hAnsi="宋体" w:cs="宋体"/>
                <w:color w:val="auto"/>
                <w:w w:val="99"/>
                <w:sz w:val="20"/>
                <w:szCs w:val="20"/>
                <w:highlight w:val="none"/>
                <w:lang w:eastAsia="zh-CN"/>
              </w:rPr>
              <w:t>水效率等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283</w:t>
            </w:r>
            <w:r>
              <w:rPr>
                <w:rFonts w:hint="eastAsia" w:ascii="宋体" w:hAnsi="宋体" w:cs="宋体"/>
                <w:color w:val="auto"/>
                <w:w w:val="99"/>
                <w:sz w:val="20"/>
                <w:szCs w:val="20"/>
                <w:highlight w:val="none"/>
                <w:lang w:eastAsia="zh-CN"/>
              </w:rPr>
              <w:t>7</w:t>
            </w:r>
            <w:r>
              <w:rPr>
                <w:rFonts w:hint="eastAsia" w:ascii="宋体" w:hAnsi="宋体" w:cs="宋体"/>
                <w:color w:val="auto"/>
                <w:spacing w:val="-1"/>
                <w:w w:val="99"/>
                <w:sz w:val="20"/>
                <w:szCs w:val="20"/>
                <w:highlight w:val="none"/>
                <w:lang w:eastAsia="zh-CN"/>
              </w:rPr>
              <w:t>7</w:t>
            </w:r>
            <w:r>
              <w:rPr>
                <w:rFonts w:hint="eastAsia" w:ascii="宋体" w:hAnsi="宋体" w:cs="宋体"/>
                <w:color w:val="auto"/>
                <w:w w:val="99"/>
                <w:sz w:val="20"/>
                <w:szCs w:val="20"/>
                <w:highlight w:val="none"/>
                <w:lang w:eastAsia="zh-CN"/>
              </w:rPr>
              <w:t>）</w:t>
            </w:r>
          </w:p>
        </w:tc>
      </w:tr>
      <w:tr w14:paraId="4AC4D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exact"/>
        </w:trPr>
        <w:tc>
          <w:tcPr>
            <w:tcW w:w="1719" w:type="dxa"/>
            <w:tcBorders>
              <w:top w:val="single" w:color="000000" w:sz="4" w:space="0"/>
              <w:left w:val="single" w:color="000000" w:sz="4" w:space="0"/>
              <w:bottom w:val="single" w:color="000000" w:sz="4" w:space="0"/>
              <w:right w:val="single" w:color="000000" w:sz="4" w:space="0"/>
            </w:tcBorders>
            <w:vAlign w:val="top"/>
          </w:tcPr>
          <w:p w14:paraId="353D5737">
            <w:pPr>
              <w:pStyle w:val="63"/>
              <w:spacing w:line="360" w:lineRule="auto"/>
              <w:rPr>
                <w:rFonts w:ascii="宋体" w:hAnsi="宋体" w:cs="宋体"/>
                <w:color w:val="auto"/>
                <w:sz w:val="20"/>
                <w:szCs w:val="20"/>
                <w:highlight w:val="none"/>
              </w:rPr>
            </w:pPr>
            <w:r>
              <w:rPr>
                <w:rFonts w:hint="eastAsia" w:ascii="宋体" w:hAnsi="宋体" w:cs="宋体"/>
                <w:color w:val="auto"/>
                <w:sz w:val="20"/>
                <w:highlight w:val="none"/>
              </w:rPr>
              <w:t>16</w:t>
            </w:r>
          </w:p>
        </w:tc>
        <w:tc>
          <w:tcPr>
            <w:tcW w:w="1800" w:type="dxa"/>
            <w:tcBorders>
              <w:top w:val="single" w:color="000000" w:sz="4" w:space="0"/>
              <w:left w:val="single" w:color="000000" w:sz="4" w:space="0"/>
              <w:bottom w:val="single" w:color="000000" w:sz="4" w:space="0"/>
              <w:right w:val="single" w:color="000000" w:sz="4" w:space="0"/>
            </w:tcBorders>
            <w:vAlign w:val="top"/>
          </w:tcPr>
          <w:p w14:paraId="065D9FEC">
            <w:pPr>
              <w:pStyle w:val="63"/>
              <w:spacing w:line="360" w:lineRule="auto"/>
              <w:ind w:left="7"/>
              <w:rPr>
                <w:rFonts w:ascii="宋体" w:hAnsi="宋体" w:cs="宋体"/>
                <w:color w:val="auto"/>
                <w:sz w:val="20"/>
                <w:szCs w:val="20"/>
                <w:highlight w:val="none"/>
              </w:rPr>
            </w:pPr>
            <w:r>
              <w:rPr>
                <w:rFonts w:hint="eastAsia" w:ascii="宋体" w:hAnsi="宋体" w:cs="宋体"/>
                <w:color w:val="auto"/>
                <w:sz w:val="20"/>
                <w:szCs w:val="20"/>
                <w:highlight w:val="none"/>
              </w:rPr>
              <w:t>★A060806水</w:t>
            </w:r>
          </w:p>
          <w:p w14:paraId="3BB5998F">
            <w:pPr>
              <w:pStyle w:val="63"/>
              <w:spacing w:line="360" w:lineRule="auto"/>
              <w:ind w:left="7"/>
              <w:rPr>
                <w:rFonts w:ascii="宋体" w:hAnsi="宋体" w:cs="宋体"/>
                <w:color w:val="auto"/>
                <w:sz w:val="20"/>
                <w:szCs w:val="20"/>
                <w:highlight w:val="none"/>
              </w:rPr>
            </w:pPr>
            <w:r>
              <w:rPr>
                <w:rFonts w:hint="eastAsia" w:ascii="宋体" w:hAnsi="宋体" w:cs="宋体"/>
                <w:color w:val="auto"/>
                <w:w w:val="99"/>
                <w:sz w:val="20"/>
                <w:szCs w:val="20"/>
                <w:highlight w:val="none"/>
              </w:rPr>
              <w:t>嘴</w:t>
            </w:r>
          </w:p>
        </w:tc>
        <w:tc>
          <w:tcPr>
            <w:tcW w:w="1915" w:type="dxa"/>
            <w:tcBorders>
              <w:top w:val="single" w:color="000000" w:sz="4" w:space="0"/>
              <w:left w:val="single" w:color="000000" w:sz="4" w:space="0"/>
              <w:bottom w:val="single" w:color="000000" w:sz="4" w:space="0"/>
              <w:right w:val="single" w:color="000000" w:sz="4" w:space="0"/>
            </w:tcBorders>
            <w:vAlign w:val="top"/>
          </w:tcPr>
          <w:p w14:paraId="5C95532C">
            <w:pPr>
              <w:spacing w:line="360" w:lineRule="auto"/>
              <w:rPr>
                <w:rFonts w:ascii="宋体" w:hAnsi="宋体" w:cs="宋体"/>
                <w:color w:val="auto"/>
                <w:sz w:val="22"/>
                <w:szCs w:val="22"/>
                <w:highlight w:val="none"/>
                <w:lang w:eastAsia="en-US"/>
              </w:rPr>
            </w:pPr>
          </w:p>
        </w:tc>
        <w:tc>
          <w:tcPr>
            <w:tcW w:w="3986" w:type="dxa"/>
            <w:tcBorders>
              <w:top w:val="single" w:color="000000" w:sz="4" w:space="0"/>
              <w:left w:val="single" w:color="000000" w:sz="4" w:space="0"/>
              <w:bottom w:val="single" w:color="000000" w:sz="4" w:space="0"/>
              <w:right w:val="single" w:color="000000" w:sz="4" w:space="0"/>
            </w:tcBorders>
            <w:vAlign w:val="top"/>
          </w:tcPr>
          <w:p w14:paraId="3B46CC25">
            <w:pPr>
              <w:spacing w:line="360" w:lineRule="auto"/>
              <w:rPr>
                <w:rFonts w:ascii="宋体" w:hAnsi="宋体" w:cs="宋体"/>
                <w:color w:val="auto"/>
                <w:sz w:val="22"/>
                <w:szCs w:val="22"/>
                <w:highlight w:val="none"/>
                <w:lang w:eastAsia="en-US"/>
              </w:rPr>
            </w:pPr>
          </w:p>
        </w:tc>
        <w:tc>
          <w:tcPr>
            <w:tcW w:w="0" w:type="dxa"/>
            <w:tcBorders>
              <w:top w:val="single" w:color="000000" w:sz="4" w:space="0"/>
              <w:left w:val="single" w:color="000000" w:sz="4" w:space="0"/>
              <w:bottom w:val="single" w:color="000000" w:sz="4" w:space="0"/>
              <w:right w:val="single" w:color="000000" w:sz="4" w:space="0"/>
            </w:tcBorders>
            <w:vAlign w:val="top"/>
          </w:tcPr>
          <w:p w14:paraId="598316D4">
            <w:pPr>
              <w:pStyle w:val="63"/>
              <w:spacing w:line="360" w:lineRule="auto"/>
              <w:ind w:left="7" w:right="4"/>
              <w:rPr>
                <w:rFonts w:ascii="宋体" w:hAnsi="宋体" w:cs="宋体"/>
                <w:color w:val="auto"/>
                <w:sz w:val="20"/>
                <w:szCs w:val="20"/>
                <w:highlight w:val="none"/>
                <w:lang w:eastAsia="zh-CN"/>
              </w:rPr>
            </w:pPr>
            <w:r>
              <w:rPr>
                <w:rFonts w:hint="eastAsia" w:ascii="宋体" w:hAnsi="宋体" w:cs="宋体"/>
                <w:color w:val="auto"/>
                <w:spacing w:val="10"/>
                <w:sz w:val="20"/>
                <w:szCs w:val="20"/>
                <w:highlight w:val="none"/>
                <w:lang w:eastAsia="zh-CN"/>
              </w:rPr>
              <w:t>《水嘴用水效率限定值及用水效</w:t>
            </w:r>
            <w:r>
              <w:rPr>
                <w:rFonts w:hint="eastAsia" w:ascii="宋体" w:hAnsi="宋体" w:cs="宋体"/>
                <w:color w:val="auto"/>
                <w:sz w:val="20"/>
                <w:szCs w:val="20"/>
                <w:highlight w:val="none"/>
                <w:lang w:eastAsia="zh-CN"/>
              </w:rPr>
              <w:t>率等级》（GB 25501）</w:t>
            </w:r>
          </w:p>
        </w:tc>
      </w:tr>
      <w:tr w14:paraId="494FD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2" w:hRule="exact"/>
        </w:trPr>
        <w:tc>
          <w:tcPr>
            <w:tcW w:w="1719" w:type="dxa"/>
            <w:tcBorders>
              <w:top w:val="single" w:color="000000" w:sz="4" w:space="0"/>
              <w:left w:val="single" w:color="000000" w:sz="4" w:space="0"/>
              <w:bottom w:val="single" w:color="000000" w:sz="4" w:space="0"/>
              <w:right w:val="single" w:color="000000" w:sz="4" w:space="0"/>
            </w:tcBorders>
            <w:vAlign w:val="top"/>
          </w:tcPr>
          <w:p w14:paraId="0ECABB2B">
            <w:pPr>
              <w:pStyle w:val="63"/>
              <w:spacing w:line="360" w:lineRule="auto"/>
              <w:rPr>
                <w:rFonts w:ascii="宋体" w:hAnsi="宋体" w:cs="宋体"/>
                <w:color w:val="auto"/>
                <w:sz w:val="20"/>
                <w:szCs w:val="20"/>
                <w:highlight w:val="none"/>
                <w:lang w:eastAsia="zh-CN"/>
              </w:rPr>
            </w:pPr>
          </w:p>
          <w:p w14:paraId="60289DC6">
            <w:pPr>
              <w:pStyle w:val="63"/>
              <w:spacing w:line="360" w:lineRule="auto"/>
              <w:ind w:left="182"/>
              <w:rPr>
                <w:rFonts w:ascii="宋体" w:hAnsi="宋体" w:cs="宋体"/>
                <w:color w:val="auto"/>
                <w:sz w:val="20"/>
                <w:szCs w:val="20"/>
                <w:highlight w:val="none"/>
              </w:rPr>
            </w:pPr>
            <w:r>
              <w:rPr>
                <w:rFonts w:hint="eastAsia" w:ascii="宋体" w:hAnsi="宋体" w:cs="宋体"/>
                <w:color w:val="auto"/>
                <w:sz w:val="20"/>
                <w:highlight w:val="none"/>
              </w:rPr>
              <w:t>17</w:t>
            </w:r>
          </w:p>
        </w:tc>
        <w:tc>
          <w:tcPr>
            <w:tcW w:w="1800" w:type="dxa"/>
            <w:tcBorders>
              <w:top w:val="single" w:color="000000" w:sz="4" w:space="0"/>
              <w:left w:val="single" w:color="000000" w:sz="4" w:space="0"/>
              <w:bottom w:val="single" w:color="000000" w:sz="4" w:space="0"/>
              <w:right w:val="single" w:color="000000" w:sz="4" w:space="0"/>
            </w:tcBorders>
            <w:vAlign w:val="top"/>
          </w:tcPr>
          <w:p w14:paraId="066D2D46">
            <w:pPr>
              <w:pStyle w:val="63"/>
              <w:spacing w:line="360" w:lineRule="auto"/>
              <w:ind w:left="7"/>
              <w:rPr>
                <w:rFonts w:ascii="宋体" w:hAnsi="宋体" w:cs="宋体"/>
                <w:color w:val="auto"/>
                <w:sz w:val="20"/>
                <w:szCs w:val="20"/>
                <w:highlight w:val="none"/>
              </w:rPr>
            </w:pPr>
            <w:r>
              <w:rPr>
                <w:rFonts w:hint="eastAsia" w:ascii="宋体" w:hAnsi="宋体" w:cs="宋体"/>
                <w:color w:val="auto"/>
                <w:sz w:val="20"/>
                <w:szCs w:val="20"/>
                <w:highlight w:val="none"/>
              </w:rPr>
              <w:t>A060807便器</w:t>
            </w:r>
          </w:p>
          <w:p w14:paraId="586290FC">
            <w:pPr>
              <w:pStyle w:val="63"/>
              <w:spacing w:line="360" w:lineRule="auto"/>
              <w:ind w:left="7"/>
              <w:rPr>
                <w:rFonts w:ascii="宋体" w:hAnsi="宋体" w:cs="宋体"/>
                <w:color w:val="auto"/>
                <w:sz w:val="20"/>
                <w:szCs w:val="20"/>
                <w:highlight w:val="none"/>
              </w:rPr>
            </w:pPr>
            <w:r>
              <w:rPr>
                <w:rFonts w:hint="eastAsia" w:ascii="宋体" w:hAnsi="宋体" w:cs="宋体"/>
                <w:color w:val="auto"/>
                <w:sz w:val="20"/>
                <w:szCs w:val="20"/>
                <w:highlight w:val="none"/>
              </w:rPr>
              <w:t>冲洗阀</w:t>
            </w:r>
          </w:p>
        </w:tc>
        <w:tc>
          <w:tcPr>
            <w:tcW w:w="1915" w:type="dxa"/>
            <w:tcBorders>
              <w:top w:val="single" w:color="000000" w:sz="4" w:space="0"/>
              <w:left w:val="single" w:color="000000" w:sz="4" w:space="0"/>
              <w:bottom w:val="single" w:color="000000" w:sz="4" w:space="0"/>
              <w:right w:val="single" w:color="000000" w:sz="4" w:space="0"/>
            </w:tcBorders>
            <w:vAlign w:val="top"/>
          </w:tcPr>
          <w:p w14:paraId="218302BA">
            <w:pPr>
              <w:spacing w:line="360" w:lineRule="auto"/>
              <w:rPr>
                <w:rFonts w:ascii="宋体" w:hAnsi="宋体" w:cs="宋体"/>
                <w:color w:val="auto"/>
                <w:sz w:val="22"/>
                <w:szCs w:val="22"/>
                <w:highlight w:val="none"/>
                <w:lang w:eastAsia="en-US"/>
              </w:rPr>
            </w:pPr>
          </w:p>
        </w:tc>
        <w:tc>
          <w:tcPr>
            <w:tcW w:w="3986" w:type="dxa"/>
            <w:tcBorders>
              <w:top w:val="single" w:color="000000" w:sz="4" w:space="0"/>
              <w:left w:val="single" w:color="000000" w:sz="4" w:space="0"/>
              <w:bottom w:val="single" w:color="000000" w:sz="4" w:space="0"/>
              <w:right w:val="single" w:color="000000" w:sz="4" w:space="0"/>
            </w:tcBorders>
            <w:vAlign w:val="top"/>
          </w:tcPr>
          <w:p w14:paraId="08AF1D3A">
            <w:pPr>
              <w:spacing w:line="360" w:lineRule="auto"/>
              <w:rPr>
                <w:rFonts w:ascii="宋体" w:hAnsi="宋体" w:cs="宋体"/>
                <w:color w:val="auto"/>
                <w:sz w:val="22"/>
                <w:szCs w:val="22"/>
                <w:highlight w:val="none"/>
                <w:lang w:eastAsia="en-US"/>
              </w:rPr>
            </w:pPr>
          </w:p>
        </w:tc>
        <w:tc>
          <w:tcPr>
            <w:tcW w:w="0" w:type="dxa"/>
            <w:tcBorders>
              <w:top w:val="single" w:color="000000" w:sz="4" w:space="0"/>
              <w:left w:val="single" w:color="000000" w:sz="4" w:space="0"/>
              <w:bottom w:val="single" w:color="000000" w:sz="4" w:space="0"/>
              <w:right w:val="single" w:color="000000" w:sz="4" w:space="0"/>
            </w:tcBorders>
            <w:vAlign w:val="top"/>
          </w:tcPr>
          <w:p w14:paraId="4B565A99">
            <w:pPr>
              <w:pStyle w:val="63"/>
              <w:spacing w:line="360" w:lineRule="auto"/>
              <w:ind w:left="7" w:right="4"/>
              <w:rPr>
                <w:rFonts w:ascii="宋体" w:hAnsi="宋体" w:cs="宋体"/>
                <w:color w:val="auto"/>
                <w:sz w:val="20"/>
                <w:szCs w:val="20"/>
                <w:highlight w:val="none"/>
                <w:lang w:eastAsia="zh-CN"/>
              </w:rPr>
            </w:pPr>
            <w:r>
              <w:rPr>
                <w:rFonts w:hint="eastAsia" w:ascii="宋体" w:hAnsi="宋体" w:cs="宋体"/>
                <w:color w:val="auto"/>
                <w:spacing w:val="10"/>
                <w:sz w:val="20"/>
                <w:szCs w:val="20"/>
                <w:highlight w:val="none"/>
                <w:lang w:eastAsia="zh-CN"/>
              </w:rPr>
              <w:t>《便器冲洗阀用水效率限定值及</w:t>
            </w:r>
            <w:r>
              <w:rPr>
                <w:rFonts w:hint="eastAsia" w:ascii="宋体" w:hAnsi="宋体" w:cs="宋体"/>
                <w:color w:val="auto"/>
                <w:sz w:val="20"/>
                <w:szCs w:val="20"/>
                <w:highlight w:val="none"/>
                <w:lang w:eastAsia="zh-CN"/>
              </w:rPr>
              <w:t>用水效率等级》（GB28379）</w:t>
            </w:r>
          </w:p>
        </w:tc>
      </w:tr>
      <w:tr w14:paraId="12AFC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2" w:hRule="exact"/>
        </w:trPr>
        <w:tc>
          <w:tcPr>
            <w:tcW w:w="1719" w:type="dxa"/>
            <w:tcBorders>
              <w:top w:val="single" w:color="000000" w:sz="4" w:space="0"/>
              <w:left w:val="single" w:color="000000" w:sz="4" w:space="0"/>
              <w:bottom w:val="single" w:color="000000" w:sz="4" w:space="0"/>
              <w:right w:val="single" w:color="000000" w:sz="4" w:space="0"/>
            </w:tcBorders>
            <w:vAlign w:val="top"/>
          </w:tcPr>
          <w:p w14:paraId="2912BF9B">
            <w:pPr>
              <w:pStyle w:val="63"/>
              <w:spacing w:line="360" w:lineRule="auto"/>
              <w:rPr>
                <w:rFonts w:ascii="宋体" w:hAnsi="宋体" w:cs="宋体"/>
                <w:color w:val="auto"/>
                <w:sz w:val="21"/>
                <w:szCs w:val="21"/>
                <w:highlight w:val="none"/>
                <w:lang w:eastAsia="zh-CN"/>
              </w:rPr>
            </w:pPr>
          </w:p>
          <w:p w14:paraId="1269E229">
            <w:pPr>
              <w:pStyle w:val="63"/>
              <w:spacing w:line="360" w:lineRule="auto"/>
              <w:ind w:left="182"/>
              <w:rPr>
                <w:rFonts w:ascii="宋体" w:hAnsi="宋体" w:cs="宋体"/>
                <w:color w:val="auto"/>
                <w:sz w:val="20"/>
                <w:szCs w:val="20"/>
                <w:highlight w:val="none"/>
              </w:rPr>
            </w:pPr>
            <w:r>
              <w:rPr>
                <w:rFonts w:hint="eastAsia" w:ascii="宋体" w:hAnsi="宋体" w:cs="宋体"/>
                <w:color w:val="auto"/>
                <w:sz w:val="20"/>
                <w:highlight w:val="none"/>
              </w:rPr>
              <w:t>18</w:t>
            </w:r>
          </w:p>
        </w:tc>
        <w:tc>
          <w:tcPr>
            <w:tcW w:w="1800" w:type="dxa"/>
            <w:tcBorders>
              <w:top w:val="single" w:color="000000" w:sz="4" w:space="0"/>
              <w:left w:val="single" w:color="000000" w:sz="4" w:space="0"/>
              <w:bottom w:val="single" w:color="000000" w:sz="4" w:space="0"/>
              <w:right w:val="single" w:color="000000" w:sz="4" w:space="0"/>
            </w:tcBorders>
            <w:vAlign w:val="top"/>
          </w:tcPr>
          <w:p w14:paraId="005F7C39">
            <w:pPr>
              <w:pStyle w:val="63"/>
              <w:spacing w:line="360" w:lineRule="auto"/>
              <w:ind w:left="7"/>
              <w:rPr>
                <w:rFonts w:ascii="宋体" w:hAnsi="宋体" w:cs="宋体"/>
                <w:color w:val="auto"/>
                <w:sz w:val="20"/>
                <w:szCs w:val="20"/>
                <w:highlight w:val="none"/>
              </w:rPr>
            </w:pPr>
            <w:r>
              <w:rPr>
                <w:rFonts w:hint="eastAsia" w:ascii="宋体" w:hAnsi="宋体" w:cs="宋体"/>
                <w:color w:val="auto"/>
                <w:sz w:val="20"/>
                <w:szCs w:val="20"/>
                <w:highlight w:val="none"/>
              </w:rPr>
              <w:t>A060810淋浴</w:t>
            </w:r>
          </w:p>
          <w:p w14:paraId="775E61F4">
            <w:pPr>
              <w:pStyle w:val="63"/>
              <w:spacing w:line="360" w:lineRule="auto"/>
              <w:ind w:left="7"/>
              <w:rPr>
                <w:rFonts w:ascii="宋体" w:hAnsi="宋体" w:cs="宋体"/>
                <w:color w:val="auto"/>
                <w:sz w:val="20"/>
                <w:szCs w:val="20"/>
                <w:highlight w:val="none"/>
              </w:rPr>
            </w:pPr>
            <w:r>
              <w:rPr>
                <w:rFonts w:hint="eastAsia" w:ascii="宋体" w:hAnsi="宋体" w:cs="宋体"/>
                <w:color w:val="auto"/>
                <w:w w:val="99"/>
                <w:sz w:val="20"/>
                <w:szCs w:val="20"/>
                <w:highlight w:val="none"/>
              </w:rPr>
              <w:t>器</w:t>
            </w:r>
          </w:p>
        </w:tc>
        <w:tc>
          <w:tcPr>
            <w:tcW w:w="1915" w:type="dxa"/>
            <w:tcBorders>
              <w:top w:val="single" w:color="000000" w:sz="4" w:space="0"/>
              <w:left w:val="single" w:color="000000" w:sz="4" w:space="0"/>
              <w:bottom w:val="single" w:color="000000" w:sz="4" w:space="0"/>
              <w:right w:val="single" w:color="000000" w:sz="4" w:space="0"/>
            </w:tcBorders>
            <w:vAlign w:val="top"/>
          </w:tcPr>
          <w:p w14:paraId="306253C3">
            <w:pPr>
              <w:spacing w:line="360" w:lineRule="auto"/>
              <w:rPr>
                <w:rFonts w:ascii="宋体" w:hAnsi="宋体" w:cs="宋体"/>
                <w:color w:val="auto"/>
                <w:sz w:val="22"/>
                <w:szCs w:val="22"/>
                <w:highlight w:val="none"/>
                <w:lang w:eastAsia="en-US"/>
              </w:rPr>
            </w:pPr>
          </w:p>
        </w:tc>
        <w:tc>
          <w:tcPr>
            <w:tcW w:w="3986" w:type="dxa"/>
            <w:tcBorders>
              <w:top w:val="single" w:color="000000" w:sz="4" w:space="0"/>
              <w:left w:val="single" w:color="000000" w:sz="4" w:space="0"/>
              <w:bottom w:val="single" w:color="000000" w:sz="4" w:space="0"/>
              <w:right w:val="single" w:color="000000" w:sz="4" w:space="0"/>
            </w:tcBorders>
            <w:vAlign w:val="top"/>
          </w:tcPr>
          <w:p w14:paraId="36076334">
            <w:pPr>
              <w:spacing w:line="360" w:lineRule="auto"/>
              <w:rPr>
                <w:rFonts w:ascii="宋体" w:hAnsi="宋体" w:cs="宋体"/>
                <w:color w:val="auto"/>
                <w:sz w:val="22"/>
                <w:szCs w:val="22"/>
                <w:highlight w:val="none"/>
                <w:lang w:eastAsia="en-US"/>
              </w:rPr>
            </w:pPr>
          </w:p>
        </w:tc>
        <w:tc>
          <w:tcPr>
            <w:tcW w:w="0" w:type="dxa"/>
            <w:tcBorders>
              <w:top w:val="single" w:color="000000" w:sz="4" w:space="0"/>
              <w:left w:val="single" w:color="000000" w:sz="4" w:space="0"/>
              <w:bottom w:val="single" w:color="000000" w:sz="4" w:space="0"/>
              <w:right w:val="single" w:color="000000" w:sz="4" w:space="0"/>
            </w:tcBorders>
            <w:vAlign w:val="top"/>
          </w:tcPr>
          <w:p w14:paraId="24154ED7">
            <w:pPr>
              <w:pStyle w:val="63"/>
              <w:spacing w:line="360" w:lineRule="auto"/>
              <w:ind w:left="7" w:right="4"/>
              <w:rPr>
                <w:rFonts w:ascii="宋体" w:hAnsi="宋体" w:cs="宋体"/>
                <w:color w:val="auto"/>
                <w:sz w:val="20"/>
                <w:szCs w:val="20"/>
                <w:highlight w:val="none"/>
                <w:lang w:eastAsia="zh-CN"/>
              </w:rPr>
            </w:pPr>
            <w:r>
              <w:rPr>
                <w:rFonts w:hint="eastAsia" w:ascii="宋体" w:hAnsi="宋体" w:cs="宋体"/>
                <w:color w:val="auto"/>
                <w:spacing w:val="10"/>
                <w:sz w:val="20"/>
                <w:szCs w:val="20"/>
                <w:highlight w:val="none"/>
                <w:lang w:eastAsia="zh-CN"/>
              </w:rPr>
              <w:t>《淋浴器用水效率限定值及用水</w:t>
            </w:r>
            <w:r>
              <w:rPr>
                <w:rFonts w:hint="eastAsia" w:ascii="宋体" w:hAnsi="宋体" w:cs="宋体"/>
                <w:color w:val="auto"/>
                <w:sz w:val="20"/>
                <w:szCs w:val="20"/>
                <w:highlight w:val="none"/>
                <w:lang w:eastAsia="zh-CN"/>
              </w:rPr>
              <w:t>效率等级》（GB28378）</w:t>
            </w:r>
          </w:p>
        </w:tc>
      </w:tr>
    </w:tbl>
    <w:p w14:paraId="6A72E518">
      <w:pPr>
        <w:spacing w:line="360" w:lineRule="auto"/>
        <w:rPr>
          <w:rFonts w:ascii="宋体" w:hAnsi="宋体" w:cs="宋体"/>
          <w:color w:val="auto"/>
          <w:sz w:val="24"/>
          <w:szCs w:val="24"/>
          <w:highlight w:val="none"/>
        </w:rPr>
      </w:pPr>
    </w:p>
    <w:p w14:paraId="25D9FFE2">
      <w:pPr>
        <w:pStyle w:val="13"/>
        <w:spacing w:after="0" w:line="360" w:lineRule="auto"/>
        <w:rPr>
          <w:rFonts w:ascii="宋体" w:hAnsi="宋体" w:cs="宋体"/>
          <w:color w:val="auto"/>
          <w:sz w:val="24"/>
          <w:szCs w:val="24"/>
          <w:highlight w:val="none"/>
        </w:rPr>
      </w:pPr>
      <w:r>
        <w:rPr>
          <w:rFonts w:hint="eastAsia" w:ascii="宋体" w:hAnsi="宋体" w:cs="宋体"/>
          <w:color w:val="auto"/>
          <w:spacing w:val="-3"/>
          <w:sz w:val="24"/>
          <w:szCs w:val="24"/>
          <w:highlight w:val="none"/>
        </w:rPr>
        <w:t>注：1.节能产品认证应依据相关国家标准的最新版本，依据国家标准中二级能效（水效）</w:t>
      </w:r>
      <w:r>
        <w:rPr>
          <w:rFonts w:hint="eastAsia" w:ascii="宋体" w:hAnsi="宋体" w:cs="宋体"/>
          <w:color w:val="auto"/>
          <w:sz w:val="24"/>
          <w:szCs w:val="24"/>
          <w:highlight w:val="none"/>
        </w:rPr>
        <w:t>指标。</w:t>
      </w:r>
    </w:p>
    <w:p w14:paraId="1D4BB4C7">
      <w:pPr>
        <w:spacing w:line="360" w:lineRule="auto"/>
        <w:rPr>
          <w:rFonts w:ascii="宋体" w:hAnsi="宋体" w:cs="宋体"/>
          <w:color w:val="auto"/>
          <w:sz w:val="24"/>
          <w:szCs w:val="24"/>
          <w:highlight w:val="none"/>
        </w:rPr>
        <w:sectPr>
          <w:pgSz w:w="11910" w:h="16840"/>
          <w:pgMar w:top="1440" w:right="1080" w:bottom="1440" w:left="1080" w:header="720" w:footer="720" w:gutter="0"/>
          <w:cols w:space="720" w:num="1"/>
        </w:sectPr>
      </w:pPr>
      <w:r>
        <w:rPr>
          <w:rFonts w:hint="eastAsia" w:hAnsi="宋体" w:cs="宋体"/>
          <w:color w:val="auto"/>
          <w:sz w:val="24"/>
          <w:szCs w:val="24"/>
          <w:highlight w:val="none"/>
        </w:rPr>
        <w:t xml:space="preserve">   2.以“★”标注的为政府强制采购产品。</w:t>
      </w:r>
    </w:p>
    <w:p w14:paraId="1E9CDA0D">
      <w:pPr>
        <w:pStyle w:val="18"/>
        <w:spacing w:line="360" w:lineRule="auto"/>
        <w:jc w:val="left"/>
        <w:rPr>
          <w:rFonts w:hAnsi="宋体" w:cs="宋体"/>
          <w:color w:val="auto"/>
          <w:sz w:val="32"/>
          <w:szCs w:val="32"/>
          <w:highlight w:val="none"/>
        </w:rPr>
      </w:pPr>
      <w:r>
        <w:rPr>
          <w:rFonts w:hint="eastAsia" w:hAnsi="宋体" w:cs="宋体"/>
          <w:color w:val="auto"/>
          <w:sz w:val="32"/>
          <w:szCs w:val="32"/>
          <w:highlight w:val="none"/>
        </w:rPr>
        <w:t>附件2：</w:t>
      </w:r>
    </w:p>
    <w:p w14:paraId="0D602081">
      <w:pPr>
        <w:spacing w:line="360" w:lineRule="auto"/>
        <w:ind w:left="1871" w:firstLine="1200" w:firstLineChars="300"/>
        <w:jc w:val="both"/>
        <w:rPr>
          <w:rFonts w:ascii="宋体" w:hAnsi="宋体" w:cs="宋体"/>
          <w:color w:val="auto"/>
          <w:sz w:val="40"/>
          <w:szCs w:val="40"/>
          <w:highlight w:val="none"/>
        </w:rPr>
      </w:pPr>
      <w:r>
        <w:rPr>
          <w:rFonts w:hint="eastAsia" w:ascii="宋体" w:hAnsi="宋体" w:cs="宋体"/>
          <w:color w:val="auto"/>
          <w:sz w:val="40"/>
          <w:szCs w:val="40"/>
          <w:highlight w:val="none"/>
        </w:rPr>
        <w:t>中小微企业划型标准</w:t>
      </w:r>
    </w:p>
    <w:tbl>
      <w:tblPr>
        <w:tblStyle w:val="32"/>
        <w:tblW w:w="0" w:type="auto"/>
        <w:tblInd w:w="142" w:type="dxa"/>
        <w:tblLayout w:type="fixed"/>
        <w:tblCellMar>
          <w:top w:w="0" w:type="dxa"/>
          <w:left w:w="108" w:type="dxa"/>
          <w:bottom w:w="0" w:type="dxa"/>
          <w:right w:w="108" w:type="dxa"/>
        </w:tblCellMar>
      </w:tblPr>
      <w:tblGrid>
        <w:gridCol w:w="1985"/>
        <w:gridCol w:w="1984"/>
        <w:gridCol w:w="851"/>
        <w:gridCol w:w="1842"/>
        <w:gridCol w:w="1701"/>
        <w:gridCol w:w="1134"/>
      </w:tblGrid>
      <w:tr w14:paraId="6F016F89">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vAlign w:val="center"/>
          </w:tcPr>
          <w:p w14:paraId="7A1D90F8">
            <w:pPr>
              <w:widowControl/>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984" w:type="dxa"/>
            <w:tcBorders>
              <w:top w:val="single" w:color="auto" w:sz="4" w:space="0"/>
              <w:left w:val="nil"/>
              <w:bottom w:val="single" w:color="auto" w:sz="4" w:space="0"/>
              <w:right w:val="single" w:color="auto" w:sz="4" w:space="0"/>
            </w:tcBorders>
            <w:vAlign w:val="center"/>
          </w:tcPr>
          <w:p w14:paraId="7C23E92D">
            <w:pPr>
              <w:widowControl/>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vAlign w:val="center"/>
          </w:tcPr>
          <w:p w14:paraId="3EA35C7C">
            <w:pPr>
              <w:widowControl/>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842" w:type="dxa"/>
            <w:tcBorders>
              <w:top w:val="single" w:color="auto" w:sz="4" w:space="0"/>
              <w:left w:val="nil"/>
              <w:bottom w:val="single" w:color="auto" w:sz="4" w:space="0"/>
              <w:right w:val="single" w:color="auto" w:sz="4" w:space="0"/>
            </w:tcBorders>
            <w:vAlign w:val="center"/>
          </w:tcPr>
          <w:p w14:paraId="22253BD6">
            <w:pPr>
              <w:widowControl/>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701" w:type="dxa"/>
            <w:tcBorders>
              <w:top w:val="single" w:color="auto" w:sz="4" w:space="0"/>
              <w:left w:val="nil"/>
              <w:bottom w:val="single" w:color="auto" w:sz="4" w:space="0"/>
              <w:right w:val="single" w:color="auto" w:sz="4" w:space="0"/>
            </w:tcBorders>
            <w:vAlign w:val="center"/>
          </w:tcPr>
          <w:p w14:paraId="0C6917FE">
            <w:pPr>
              <w:widowControl/>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vAlign w:val="center"/>
          </w:tcPr>
          <w:p w14:paraId="0E15F9DA">
            <w:pPr>
              <w:widowControl/>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6FBB0473">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14:paraId="60A3B8D5">
            <w:pPr>
              <w:widowControl/>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984" w:type="dxa"/>
            <w:tcBorders>
              <w:top w:val="nil"/>
              <w:left w:val="nil"/>
              <w:bottom w:val="single" w:color="auto" w:sz="4" w:space="0"/>
              <w:right w:val="single" w:color="auto" w:sz="4" w:space="0"/>
            </w:tcBorders>
            <w:vAlign w:val="center"/>
          </w:tcPr>
          <w:p w14:paraId="5EAE81C1">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7BCDCBCA">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3DBDBD7D">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01" w:type="dxa"/>
            <w:tcBorders>
              <w:top w:val="nil"/>
              <w:left w:val="nil"/>
              <w:bottom w:val="single" w:color="auto" w:sz="4" w:space="0"/>
              <w:right w:val="single" w:color="auto" w:sz="4" w:space="0"/>
            </w:tcBorders>
            <w:vAlign w:val="center"/>
          </w:tcPr>
          <w:p w14:paraId="75E593E3">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134" w:type="dxa"/>
            <w:tcBorders>
              <w:top w:val="nil"/>
              <w:left w:val="nil"/>
              <w:bottom w:val="single" w:color="auto" w:sz="4" w:space="0"/>
              <w:right w:val="single" w:color="auto" w:sz="4" w:space="0"/>
            </w:tcBorders>
            <w:vAlign w:val="center"/>
          </w:tcPr>
          <w:p w14:paraId="739E925C">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6976629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562FBBB2">
            <w:pPr>
              <w:widowControl/>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984" w:type="dxa"/>
            <w:tcBorders>
              <w:top w:val="nil"/>
              <w:left w:val="nil"/>
              <w:bottom w:val="single" w:color="auto" w:sz="4" w:space="0"/>
              <w:right w:val="single" w:color="auto" w:sz="4" w:space="0"/>
            </w:tcBorders>
            <w:vAlign w:val="center"/>
          </w:tcPr>
          <w:p w14:paraId="1003CED7">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18200F75">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25C819F2">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vAlign w:val="center"/>
          </w:tcPr>
          <w:p w14:paraId="4C23057A">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2449AE11">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5EFC8D8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3D15E994">
            <w:pPr>
              <w:widowControl/>
              <w:spacing w:line="360" w:lineRule="auto"/>
              <w:jc w:val="left"/>
              <w:rPr>
                <w:rFonts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446D12CA">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1F15374D">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16B9FF2F">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701" w:type="dxa"/>
            <w:tcBorders>
              <w:top w:val="nil"/>
              <w:left w:val="nil"/>
              <w:bottom w:val="single" w:color="auto" w:sz="4" w:space="0"/>
              <w:right w:val="single" w:color="auto" w:sz="4" w:space="0"/>
            </w:tcBorders>
            <w:vAlign w:val="center"/>
          </w:tcPr>
          <w:p w14:paraId="783063E5">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134" w:type="dxa"/>
            <w:tcBorders>
              <w:top w:val="nil"/>
              <w:left w:val="nil"/>
              <w:bottom w:val="single" w:color="auto" w:sz="4" w:space="0"/>
              <w:right w:val="single" w:color="auto" w:sz="4" w:space="0"/>
            </w:tcBorders>
            <w:vAlign w:val="center"/>
          </w:tcPr>
          <w:p w14:paraId="4E7995E7">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526B7AE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55858F5C">
            <w:pPr>
              <w:widowControl/>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984" w:type="dxa"/>
            <w:tcBorders>
              <w:top w:val="nil"/>
              <w:left w:val="nil"/>
              <w:bottom w:val="single" w:color="auto" w:sz="4" w:space="0"/>
              <w:right w:val="single" w:color="auto" w:sz="4" w:space="0"/>
            </w:tcBorders>
            <w:vAlign w:val="center"/>
          </w:tcPr>
          <w:p w14:paraId="2FD81F3B">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07B981F4">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425FE18C">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701" w:type="dxa"/>
            <w:tcBorders>
              <w:top w:val="nil"/>
              <w:left w:val="nil"/>
              <w:bottom w:val="single" w:color="auto" w:sz="4" w:space="0"/>
              <w:right w:val="single" w:color="auto" w:sz="4" w:space="0"/>
            </w:tcBorders>
            <w:vAlign w:val="center"/>
          </w:tcPr>
          <w:p w14:paraId="6B6562BE">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134" w:type="dxa"/>
            <w:tcBorders>
              <w:top w:val="nil"/>
              <w:left w:val="nil"/>
              <w:bottom w:val="single" w:color="auto" w:sz="4" w:space="0"/>
              <w:right w:val="single" w:color="auto" w:sz="4" w:space="0"/>
            </w:tcBorders>
            <w:vAlign w:val="center"/>
          </w:tcPr>
          <w:p w14:paraId="00532095">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4A88052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3E05A749">
            <w:pPr>
              <w:widowControl/>
              <w:spacing w:line="360" w:lineRule="auto"/>
              <w:jc w:val="left"/>
              <w:rPr>
                <w:rFonts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46E6BC12">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17477EC3">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5388CFA3">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701" w:type="dxa"/>
            <w:tcBorders>
              <w:top w:val="nil"/>
              <w:left w:val="nil"/>
              <w:bottom w:val="single" w:color="auto" w:sz="4" w:space="0"/>
              <w:right w:val="single" w:color="auto" w:sz="4" w:space="0"/>
            </w:tcBorders>
            <w:vAlign w:val="center"/>
          </w:tcPr>
          <w:p w14:paraId="0B48B23D">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134" w:type="dxa"/>
            <w:tcBorders>
              <w:top w:val="nil"/>
              <w:left w:val="nil"/>
              <w:bottom w:val="single" w:color="auto" w:sz="4" w:space="0"/>
              <w:right w:val="single" w:color="auto" w:sz="4" w:space="0"/>
            </w:tcBorders>
            <w:vAlign w:val="center"/>
          </w:tcPr>
          <w:p w14:paraId="06A4434C">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2DF608D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3150EE9C">
            <w:pPr>
              <w:widowControl/>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984" w:type="dxa"/>
            <w:tcBorders>
              <w:top w:val="nil"/>
              <w:left w:val="nil"/>
              <w:bottom w:val="single" w:color="auto" w:sz="4" w:space="0"/>
              <w:right w:val="single" w:color="auto" w:sz="4" w:space="0"/>
            </w:tcBorders>
            <w:vAlign w:val="center"/>
          </w:tcPr>
          <w:p w14:paraId="7152086D">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66B771E7">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1EF84D55">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701" w:type="dxa"/>
            <w:tcBorders>
              <w:top w:val="nil"/>
              <w:left w:val="nil"/>
              <w:bottom w:val="single" w:color="auto" w:sz="4" w:space="0"/>
              <w:right w:val="single" w:color="auto" w:sz="4" w:space="0"/>
            </w:tcBorders>
            <w:vAlign w:val="center"/>
          </w:tcPr>
          <w:p w14:paraId="6A85BEE3">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134" w:type="dxa"/>
            <w:tcBorders>
              <w:top w:val="nil"/>
              <w:left w:val="nil"/>
              <w:bottom w:val="single" w:color="auto" w:sz="4" w:space="0"/>
              <w:right w:val="single" w:color="auto" w:sz="4" w:space="0"/>
            </w:tcBorders>
            <w:vAlign w:val="center"/>
          </w:tcPr>
          <w:p w14:paraId="580C388E">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68BD499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120D3287">
            <w:pPr>
              <w:widowControl/>
              <w:spacing w:line="360" w:lineRule="auto"/>
              <w:jc w:val="left"/>
              <w:rPr>
                <w:rFonts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08D854D8">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171FF6C9">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713E95B3">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701" w:type="dxa"/>
            <w:tcBorders>
              <w:top w:val="nil"/>
              <w:left w:val="nil"/>
              <w:bottom w:val="single" w:color="auto" w:sz="4" w:space="0"/>
              <w:right w:val="single" w:color="auto" w:sz="4" w:space="0"/>
            </w:tcBorders>
            <w:vAlign w:val="center"/>
          </w:tcPr>
          <w:p w14:paraId="6DA0C76F">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134" w:type="dxa"/>
            <w:tcBorders>
              <w:top w:val="nil"/>
              <w:left w:val="nil"/>
              <w:bottom w:val="single" w:color="auto" w:sz="4" w:space="0"/>
              <w:right w:val="single" w:color="auto" w:sz="4" w:space="0"/>
            </w:tcBorders>
            <w:vAlign w:val="center"/>
          </w:tcPr>
          <w:p w14:paraId="611EC894">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1DD7502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3F488C74">
            <w:pPr>
              <w:widowControl/>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984" w:type="dxa"/>
            <w:tcBorders>
              <w:top w:val="nil"/>
              <w:left w:val="nil"/>
              <w:bottom w:val="single" w:color="auto" w:sz="4" w:space="0"/>
              <w:right w:val="single" w:color="auto" w:sz="4" w:space="0"/>
            </w:tcBorders>
            <w:vAlign w:val="center"/>
          </w:tcPr>
          <w:p w14:paraId="729F9CC6">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2C50310F">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2D6E6AF8">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701" w:type="dxa"/>
            <w:tcBorders>
              <w:top w:val="nil"/>
              <w:left w:val="nil"/>
              <w:bottom w:val="single" w:color="auto" w:sz="4" w:space="0"/>
              <w:right w:val="single" w:color="auto" w:sz="4" w:space="0"/>
            </w:tcBorders>
            <w:vAlign w:val="center"/>
          </w:tcPr>
          <w:p w14:paraId="0CCDF04C">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134" w:type="dxa"/>
            <w:tcBorders>
              <w:top w:val="nil"/>
              <w:left w:val="nil"/>
              <w:bottom w:val="single" w:color="auto" w:sz="4" w:space="0"/>
              <w:right w:val="single" w:color="auto" w:sz="4" w:space="0"/>
            </w:tcBorders>
            <w:vAlign w:val="center"/>
          </w:tcPr>
          <w:p w14:paraId="0348B435">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57707A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14EDBF7D">
            <w:pPr>
              <w:widowControl/>
              <w:spacing w:line="360" w:lineRule="auto"/>
              <w:jc w:val="left"/>
              <w:rPr>
                <w:rFonts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3430B9F9">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062F05F3">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7B3490E9">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01" w:type="dxa"/>
            <w:tcBorders>
              <w:top w:val="nil"/>
              <w:left w:val="nil"/>
              <w:bottom w:val="single" w:color="auto" w:sz="4" w:space="0"/>
              <w:right w:val="single" w:color="auto" w:sz="4" w:space="0"/>
            </w:tcBorders>
            <w:vAlign w:val="center"/>
          </w:tcPr>
          <w:p w14:paraId="2C4DED2D">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134" w:type="dxa"/>
            <w:tcBorders>
              <w:top w:val="nil"/>
              <w:left w:val="nil"/>
              <w:bottom w:val="single" w:color="auto" w:sz="4" w:space="0"/>
              <w:right w:val="single" w:color="auto" w:sz="4" w:space="0"/>
            </w:tcBorders>
            <w:vAlign w:val="center"/>
          </w:tcPr>
          <w:p w14:paraId="3E110B8F">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284094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2FF56796">
            <w:pPr>
              <w:widowControl/>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984" w:type="dxa"/>
            <w:tcBorders>
              <w:top w:val="nil"/>
              <w:left w:val="nil"/>
              <w:bottom w:val="single" w:color="auto" w:sz="4" w:space="0"/>
              <w:right w:val="single" w:color="auto" w:sz="4" w:space="0"/>
            </w:tcBorders>
            <w:vAlign w:val="center"/>
          </w:tcPr>
          <w:p w14:paraId="60BA25B8">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1B6D6FFE">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79137196">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vAlign w:val="center"/>
          </w:tcPr>
          <w:p w14:paraId="7712A69A">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6291AD26">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7BB46B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23FE19CE">
            <w:pPr>
              <w:widowControl/>
              <w:spacing w:line="360" w:lineRule="auto"/>
              <w:jc w:val="left"/>
              <w:rPr>
                <w:rFonts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771025E3">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295D0C25">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6315801E">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701" w:type="dxa"/>
            <w:tcBorders>
              <w:top w:val="nil"/>
              <w:left w:val="nil"/>
              <w:bottom w:val="single" w:color="auto" w:sz="4" w:space="0"/>
              <w:right w:val="single" w:color="auto" w:sz="4" w:space="0"/>
            </w:tcBorders>
            <w:vAlign w:val="center"/>
          </w:tcPr>
          <w:p w14:paraId="30291190">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134" w:type="dxa"/>
            <w:tcBorders>
              <w:top w:val="nil"/>
              <w:left w:val="nil"/>
              <w:bottom w:val="single" w:color="auto" w:sz="4" w:space="0"/>
              <w:right w:val="single" w:color="auto" w:sz="4" w:space="0"/>
            </w:tcBorders>
            <w:vAlign w:val="center"/>
          </w:tcPr>
          <w:p w14:paraId="741B0694">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7B00C6D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3903E318">
            <w:pPr>
              <w:widowControl/>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984" w:type="dxa"/>
            <w:tcBorders>
              <w:top w:val="nil"/>
              <w:left w:val="nil"/>
              <w:bottom w:val="single" w:color="auto" w:sz="4" w:space="0"/>
              <w:right w:val="single" w:color="auto" w:sz="4" w:space="0"/>
            </w:tcBorders>
            <w:vAlign w:val="center"/>
          </w:tcPr>
          <w:p w14:paraId="4035D50D">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71014BBD">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4710354A">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701" w:type="dxa"/>
            <w:tcBorders>
              <w:top w:val="nil"/>
              <w:left w:val="nil"/>
              <w:bottom w:val="single" w:color="auto" w:sz="4" w:space="0"/>
              <w:right w:val="single" w:color="auto" w:sz="4" w:space="0"/>
            </w:tcBorders>
            <w:vAlign w:val="center"/>
          </w:tcPr>
          <w:p w14:paraId="09D42235">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134" w:type="dxa"/>
            <w:tcBorders>
              <w:top w:val="nil"/>
              <w:left w:val="nil"/>
              <w:bottom w:val="single" w:color="auto" w:sz="4" w:space="0"/>
              <w:right w:val="single" w:color="auto" w:sz="4" w:space="0"/>
            </w:tcBorders>
            <w:vAlign w:val="center"/>
          </w:tcPr>
          <w:p w14:paraId="3299EEAC">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EB34BE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582F0F4B">
            <w:pPr>
              <w:widowControl/>
              <w:spacing w:line="360" w:lineRule="auto"/>
              <w:jc w:val="left"/>
              <w:rPr>
                <w:rFonts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65A0E5EA">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15165AFD">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74D230DE">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701" w:type="dxa"/>
            <w:tcBorders>
              <w:top w:val="nil"/>
              <w:left w:val="nil"/>
              <w:bottom w:val="single" w:color="auto" w:sz="4" w:space="0"/>
              <w:right w:val="single" w:color="auto" w:sz="4" w:space="0"/>
            </w:tcBorders>
            <w:vAlign w:val="center"/>
          </w:tcPr>
          <w:p w14:paraId="467E5628">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vAlign w:val="center"/>
          </w:tcPr>
          <w:p w14:paraId="7632F66C">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1A2E34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3E95C230">
            <w:pPr>
              <w:widowControl/>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984" w:type="dxa"/>
            <w:tcBorders>
              <w:top w:val="nil"/>
              <w:left w:val="nil"/>
              <w:bottom w:val="single" w:color="auto" w:sz="4" w:space="0"/>
              <w:right w:val="single" w:color="auto" w:sz="4" w:space="0"/>
            </w:tcBorders>
            <w:vAlign w:val="center"/>
          </w:tcPr>
          <w:p w14:paraId="3D445DAE">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29926595">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79CEF959">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vAlign w:val="center"/>
          </w:tcPr>
          <w:p w14:paraId="290BB42E">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3FFB8480">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8EFD71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74FBA50F">
            <w:pPr>
              <w:widowControl/>
              <w:spacing w:line="360" w:lineRule="auto"/>
              <w:jc w:val="left"/>
              <w:rPr>
                <w:rFonts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56C60164">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223F5F03">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1D9F550E">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701" w:type="dxa"/>
            <w:tcBorders>
              <w:top w:val="nil"/>
              <w:left w:val="nil"/>
              <w:bottom w:val="single" w:color="auto" w:sz="4" w:space="0"/>
              <w:right w:val="single" w:color="auto" w:sz="4" w:space="0"/>
            </w:tcBorders>
            <w:vAlign w:val="center"/>
          </w:tcPr>
          <w:p w14:paraId="4020E8CD">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58BB386A">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4F09A6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0B953C46">
            <w:pPr>
              <w:widowControl/>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984" w:type="dxa"/>
            <w:tcBorders>
              <w:top w:val="nil"/>
              <w:left w:val="nil"/>
              <w:bottom w:val="single" w:color="auto" w:sz="4" w:space="0"/>
              <w:right w:val="single" w:color="auto" w:sz="4" w:space="0"/>
            </w:tcBorders>
            <w:vAlign w:val="center"/>
          </w:tcPr>
          <w:p w14:paraId="7A0B3A1F">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23E3D911">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26489672">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vAlign w:val="center"/>
          </w:tcPr>
          <w:p w14:paraId="6246C494">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3161E4C3">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D0F26F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55728713">
            <w:pPr>
              <w:widowControl/>
              <w:spacing w:line="360" w:lineRule="auto"/>
              <w:jc w:val="left"/>
              <w:rPr>
                <w:rFonts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31872E5A">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4AF1F892">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417A663F">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01" w:type="dxa"/>
            <w:tcBorders>
              <w:top w:val="nil"/>
              <w:left w:val="nil"/>
              <w:bottom w:val="single" w:color="auto" w:sz="4" w:space="0"/>
              <w:right w:val="single" w:color="auto" w:sz="4" w:space="0"/>
            </w:tcBorders>
            <w:vAlign w:val="center"/>
          </w:tcPr>
          <w:p w14:paraId="782A9679">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1991BCFD">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474109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1D9254A7">
            <w:pPr>
              <w:widowControl/>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984" w:type="dxa"/>
            <w:tcBorders>
              <w:top w:val="nil"/>
              <w:left w:val="nil"/>
              <w:bottom w:val="single" w:color="auto" w:sz="4" w:space="0"/>
              <w:right w:val="single" w:color="auto" w:sz="4" w:space="0"/>
            </w:tcBorders>
            <w:vAlign w:val="center"/>
          </w:tcPr>
          <w:p w14:paraId="2A835CF0">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6D169872">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0217FC0A">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vAlign w:val="center"/>
          </w:tcPr>
          <w:p w14:paraId="42EE080C">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767E6B9A">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CE1C63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1CC758BA">
            <w:pPr>
              <w:widowControl/>
              <w:spacing w:line="360" w:lineRule="auto"/>
              <w:jc w:val="left"/>
              <w:rPr>
                <w:rFonts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71E91CEE">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6294FF11">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7AED7911">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01" w:type="dxa"/>
            <w:tcBorders>
              <w:top w:val="nil"/>
              <w:left w:val="nil"/>
              <w:bottom w:val="single" w:color="auto" w:sz="4" w:space="0"/>
              <w:right w:val="single" w:color="auto" w:sz="4" w:space="0"/>
            </w:tcBorders>
            <w:vAlign w:val="center"/>
          </w:tcPr>
          <w:p w14:paraId="01E8C8A0">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3FA770D8">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55BA27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58DD9021">
            <w:pPr>
              <w:widowControl/>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984" w:type="dxa"/>
            <w:tcBorders>
              <w:top w:val="nil"/>
              <w:left w:val="nil"/>
              <w:bottom w:val="single" w:color="auto" w:sz="4" w:space="0"/>
              <w:right w:val="single" w:color="auto" w:sz="4" w:space="0"/>
            </w:tcBorders>
            <w:vAlign w:val="center"/>
          </w:tcPr>
          <w:p w14:paraId="3B749FF6">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3BC22C3C">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4043BFA8">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701" w:type="dxa"/>
            <w:tcBorders>
              <w:top w:val="nil"/>
              <w:left w:val="nil"/>
              <w:bottom w:val="single" w:color="auto" w:sz="4" w:space="0"/>
              <w:right w:val="single" w:color="auto" w:sz="4" w:space="0"/>
            </w:tcBorders>
            <w:vAlign w:val="center"/>
          </w:tcPr>
          <w:p w14:paraId="4465B5E3">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1A024FF1">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27BF18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18CE90C3">
            <w:pPr>
              <w:widowControl/>
              <w:spacing w:line="360" w:lineRule="auto"/>
              <w:jc w:val="left"/>
              <w:rPr>
                <w:rFonts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3E25407D">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169D4837">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5234FADA">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701" w:type="dxa"/>
            <w:tcBorders>
              <w:top w:val="nil"/>
              <w:left w:val="nil"/>
              <w:bottom w:val="single" w:color="auto" w:sz="4" w:space="0"/>
              <w:right w:val="single" w:color="auto" w:sz="4" w:space="0"/>
            </w:tcBorders>
            <w:vAlign w:val="center"/>
          </w:tcPr>
          <w:p w14:paraId="6F9EFD88">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vAlign w:val="center"/>
          </w:tcPr>
          <w:p w14:paraId="6F22CAC7">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104744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35E0E04E">
            <w:pPr>
              <w:widowControl/>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984" w:type="dxa"/>
            <w:tcBorders>
              <w:top w:val="nil"/>
              <w:left w:val="nil"/>
              <w:bottom w:val="single" w:color="auto" w:sz="4" w:space="0"/>
              <w:right w:val="single" w:color="auto" w:sz="4" w:space="0"/>
            </w:tcBorders>
            <w:vAlign w:val="center"/>
          </w:tcPr>
          <w:p w14:paraId="5E98BF8B">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04A4C5D1">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6D3A9E7A">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vAlign w:val="center"/>
          </w:tcPr>
          <w:p w14:paraId="1EF73399">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71C228FC">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80BC82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0979F925">
            <w:pPr>
              <w:widowControl/>
              <w:spacing w:line="360" w:lineRule="auto"/>
              <w:jc w:val="left"/>
              <w:rPr>
                <w:rFonts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365071CE">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52682219">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1733D74E">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701" w:type="dxa"/>
            <w:tcBorders>
              <w:top w:val="nil"/>
              <w:left w:val="nil"/>
              <w:bottom w:val="single" w:color="auto" w:sz="4" w:space="0"/>
              <w:right w:val="single" w:color="auto" w:sz="4" w:space="0"/>
            </w:tcBorders>
            <w:vAlign w:val="center"/>
          </w:tcPr>
          <w:p w14:paraId="3DB6C840">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134" w:type="dxa"/>
            <w:tcBorders>
              <w:top w:val="nil"/>
              <w:left w:val="nil"/>
              <w:bottom w:val="single" w:color="auto" w:sz="4" w:space="0"/>
              <w:right w:val="single" w:color="auto" w:sz="4" w:space="0"/>
            </w:tcBorders>
            <w:vAlign w:val="center"/>
          </w:tcPr>
          <w:p w14:paraId="00A50E3C">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681A2C0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2EF8236E">
            <w:pPr>
              <w:widowControl/>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984" w:type="dxa"/>
            <w:tcBorders>
              <w:top w:val="nil"/>
              <w:left w:val="nil"/>
              <w:bottom w:val="single" w:color="auto" w:sz="4" w:space="0"/>
              <w:right w:val="single" w:color="auto" w:sz="4" w:space="0"/>
            </w:tcBorders>
            <w:vAlign w:val="center"/>
          </w:tcPr>
          <w:p w14:paraId="7924FC61">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59DCF946">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61294A13">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701" w:type="dxa"/>
            <w:tcBorders>
              <w:top w:val="nil"/>
              <w:left w:val="nil"/>
              <w:bottom w:val="single" w:color="auto" w:sz="4" w:space="0"/>
              <w:right w:val="single" w:color="auto" w:sz="4" w:space="0"/>
            </w:tcBorders>
            <w:vAlign w:val="center"/>
          </w:tcPr>
          <w:p w14:paraId="48F06F34">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1134" w:type="dxa"/>
            <w:tcBorders>
              <w:top w:val="nil"/>
              <w:left w:val="nil"/>
              <w:bottom w:val="single" w:color="auto" w:sz="4" w:space="0"/>
              <w:right w:val="single" w:color="auto" w:sz="4" w:space="0"/>
            </w:tcBorders>
            <w:vAlign w:val="center"/>
          </w:tcPr>
          <w:p w14:paraId="2116BA29">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0632C9D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247CA496">
            <w:pPr>
              <w:widowControl/>
              <w:spacing w:line="360" w:lineRule="auto"/>
              <w:jc w:val="left"/>
              <w:rPr>
                <w:rFonts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626B8F49">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69370F22">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66C40364">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701" w:type="dxa"/>
            <w:tcBorders>
              <w:top w:val="nil"/>
              <w:left w:val="nil"/>
              <w:bottom w:val="single" w:color="auto" w:sz="4" w:space="0"/>
              <w:right w:val="single" w:color="auto" w:sz="4" w:space="0"/>
            </w:tcBorders>
            <w:vAlign w:val="center"/>
          </w:tcPr>
          <w:p w14:paraId="57B8570B">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1134" w:type="dxa"/>
            <w:tcBorders>
              <w:top w:val="nil"/>
              <w:left w:val="nil"/>
              <w:bottom w:val="single" w:color="auto" w:sz="4" w:space="0"/>
              <w:right w:val="single" w:color="auto" w:sz="4" w:space="0"/>
            </w:tcBorders>
            <w:vAlign w:val="center"/>
          </w:tcPr>
          <w:p w14:paraId="3F1DAC15">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14:paraId="0FC263B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FEA78CF">
            <w:pPr>
              <w:widowControl/>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984" w:type="dxa"/>
            <w:tcBorders>
              <w:top w:val="nil"/>
              <w:left w:val="nil"/>
              <w:bottom w:val="single" w:color="auto" w:sz="4" w:space="0"/>
              <w:right w:val="single" w:color="auto" w:sz="4" w:space="0"/>
            </w:tcBorders>
            <w:vAlign w:val="center"/>
          </w:tcPr>
          <w:p w14:paraId="42C54840">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4E6FEAC5">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467DB92B">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vAlign w:val="center"/>
          </w:tcPr>
          <w:p w14:paraId="266C20D5">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134" w:type="dxa"/>
            <w:tcBorders>
              <w:top w:val="nil"/>
              <w:left w:val="nil"/>
              <w:bottom w:val="single" w:color="auto" w:sz="4" w:space="0"/>
              <w:right w:val="single" w:color="auto" w:sz="4" w:space="0"/>
            </w:tcBorders>
            <w:vAlign w:val="center"/>
          </w:tcPr>
          <w:p w14:paraId="53475BC8">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17FEB9B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25550248">
            <w:pPr>
              <w:widowControl/>
              <w:spacing w:line="360" w:lineRule="auto"/>
              <w:jc w:val="left"/>
              <w:rPr>
                <w:rFonts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1A6475C1">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2AA2D7DA">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0892A6AA">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701" w:type="dxa"/>
            <w:tcBorders>
              <w:top w:val="nil"/>
              <w:left w:val="nil"/>
              <w:bottom w:val="single" w:color="auto" w:sz="4" w:space="0"/>
              <w:right w:val="single" w:color="auto" w:sz="4" w:space="0"/>
            </w:tcBorders>
            <w:vAlign w:val="center"/>
          </w:tcPr>
          <w:p w14:paraId="758567EE">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134" w:type="dxa"/>
            <w:tcBorders>
              <w:top w:val="nil"/>
              <w:left w:val="nil"/>
              <w:bottom w:val="single" w:color="auto" w:sz="4" w:space="0"/>
              <w:right w:val="single" w:color="auto" w:sz="4" w:space="0"/>
            </w:tcBorders>
            <w:vAlign w:val="center"/>
          </w:tcPr>
          <w:p w14:paraId="24F9C1B1">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1DDC741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13BD1353">
            <w:pPr>
              <w:widowControl/>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984" w:type="dxa"/>
            <w:tcBorders>
              <w:top w:val="nil"/>
              <w:left w:val="nil"/>
              <w:bottom w:val="single" w:color="auto" w:sz="4" w:space="0"/>
              <w:right w:val="single" w:color="auto" w:sz="4" w:space="0"/>
            </w:tcBorders>
            <w:vAlign w:val="center"/>
          </w:tcPr>
          <w:p w14:paraId="0CB01935">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5ACC38A9">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115C7A16">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vAlign w:val="center"/>
          </w:tcPr>
          <w:p w14:paraId="27300D38">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14AF48D7">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06D85D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16FFC8CD">
            <w:pPr>
              <w:widowControl/>
              <w:spacing w:line="360" w:lineRule="auto"/>
              <w:jc w:val="left"/>
              <w:rPr>
                <w:rFonts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65F6BE4A">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48DB0C6B">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02AC453E">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701" w:type="dxa"/>
            <w:tcBorders>
              <w:top w:val="nil"/>
              <w:left w:val="nil"/>
              <w:bottom w:val="single" w:color="auto" w:sz="4" w:space="0"/>
              <w:right w:val="single" w:color="auto" w:sz="4" w:space="0"/>
            </w:tcBorders>
            <w:vAlign w:val="center"/>
          </w:tcPr>
          <w:p w14:paraId="68679E5D">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134" w:type="dxa"/>
            <w:tcBorders>
              <w:top w:val="nil"/>
              <w:left w:val="nil"/>
              <w:bottom w:val="single" w:color="auto" w:sz="4" w:space="0"/>
              <w:right w:val="single" w:color="auto" w:sz="4" w:space="0"/>
            </w:tcBorders>
            <w:vAlign w:val="center"/>
          </w:tcPr>
          <w:p w14:paraId="66D2920F">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FF52DDE">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14:paraId="601C751E">
            <w:pPr>
              <w:widowControl/>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984" w:type="dxa"/>
            <w:tcBorders>
              <w:top w:val="nil"/>
              <w:left w:val="nil"/>
              <w:bottom w:val="single" w:color="auto" w:sz="4" w:space="0"/>
              <w:right w:val="single" w:color="auto" w:sz="4" w:space="0"/>
            </w:tcBorders>
            <w:vAlign w:val="center"/>
          </w:tcPr>
          <w:p w14:paraId="6998F74C">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5C868916">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01D8ECAC">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vAlign w:val="center"/>
          </w:tcPr>
          <w:p w14:paraId="42D0F000">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19D07014">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61E2DF1A">
      <w:pPr>
        <w:spacing w:line="360" w:lineRule="auto"/>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6818D499">
      <w:pPr>
        <w:pStyle w:val="18"/>
        <w:spacing w:line="360" w:lineRule="auto"/>
        <w:jc w:val="center"/>
        <w:outlineLvl w:val="0"/>
        <w:rPr>
          <w:rFonts w:hAnsi="宋体" w:cs="宋体"/>
          <w:color w:val="auto"/>
          <w:highlight w:val="none"/>
        </w:rPr>
        <w:sectPr>
          <w:pgSz w:w="11906" w:h="16838"/>
          <w:pgMar w:top="1440" w:right="1080" w:bottom="1440" w:left="1080" w:header="720" w:footer="720" w:gutter="0"/>
          <w:cols w:space="720" w:num="1"/>
          <w:docGrid w:type="lines" w:linePitch="331" w:charSpace="0"/>
        </w:sectPr>
      </w:pPr>
    </w:p>
    <w:p w14:paraId="1AFDE5EF">
      <w:pPr>
        <w:pStyle w:val="2"/>
        <w:spacing w:before="0" w:after="0" w:line="360" w:lineRule="auto"/>
        <w:jc w:val="center"/>
        <w:rPr>
          <w:rFonts w:ascii="宋体" w:hAnsi="宋体" w:cs="宋体"/>
          <w:color w:val="auto"/>
          <w:sz w:val="24"/>
          <w:szCs w:val="24"/>
          <w:highlight w:val="none"/>
        </w:rPr>
      </w:pPr>
      <w:bookmarkStart w:id="39" w:name="_Toc26383"/>
      <w:r>
        <w:rPr>
          <w:rFonts w:hint="eastAsia" w:ascii="宋体" w:hAnsi="宋体" w:cs="宋体"/>
          <w:bCs w:val="0"/>
          <w:color w:val="auto"/>
          <w:sz w:val="24"/>
          <w:szCs w:val="24"/>
          <w:highlight w:val="none"/>
        </w:rPr>
        <w:t>第三章 供应商须知</w:t>
      </w:r>
      <w:bookmarkEnd w:id="39"/>
    </w:p>
    <w:p w14:paraId="6AD71A83">
      <w:pPr>
        <w:pStyle w:val="3"/>
        <w:spacing w:before="0" w:after="0" w:line="360" w:lineRule="auto"/>
        <w:jc w:val="center"/>
        <w:rPr>
          <w:rFonts w:ascii="宋体" w:hAnsi="宋体" w:cs="宋体"/>
          <w:color w:val="auto"/>
          <w:sz w:val="24"/>
          <w:szCs w:val="24"/>
          <w:highlight w:val="none"/>
        </w:rPr>
      </w:pPr>
      <w:bookmarkStart w:id="40" w:name="_Toc565"/>
      <w:r>
        <w:rPr>
          <w:rFonts w:hint="eastAsia" w:ascii="宋体" w:hAnsi="宋体" w:cs="宋体"/>
          <w:b w:val="0"/>
          <w:color w:val="auto"/>
          <w:sz w:val="24"/>
          <w:szCs w:val="24"/>
          <w:highlight w:val="none"/>
        </w:rPr>
        <w:t>第一节 供应商须知前附表</w:t>
      </w:r>
      <w:bookmarkEnd w:id="40"/>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2186"/>
        <w:gridCol w:w="6454"/>
      </w:tblGrid>
      <w:tr w14:paraId="71D22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195" w:type="dxa"/>
            <w:vAlign w:val="top"/>
          </w:tcPr>
          <w:p w14:paraId="6A030757">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条款号</w:t>
            </w:r>
          </w:p>
        </w:tc>
        <w:tc>
          <w:tcPr>
            <w:tcW w:w="2186" w:type="dxa"/>
            <w:vAlign w:val="center"/>
          </w:tcPr>
          <w:p w14:paraId="3C642994">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条款内容</w:t>
            </w:r>
          </w:p>
        </w:tc>
        <w:tc>
          <w:tcPr>
            <w:tcW w:w="6454" w:type="dxa"/>
            <w:vAlign w:val="center"/>
          </w:tcPr>
          <w:p w14:paraId="0A2A7AAE">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具体要求</w:t>
            </w:r>
          </w:p>
        </w:tc>
      </w:tr>
      <w:tr w14:paraId="5DD89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195" w:type="dxa"/>
            <w:vAlign w:val="top"/>
          </w:tcPr>
          <w:p w14:paraId="07C7D0B1">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3.1</w:t>
            </w:r>
          </w:p>
        </w:tc>
        <w:tc>
          <w:tcPr>
            <w:tcW w:w="2186" w:type="dxa"/>
            <w:vAlign w:val="center"/>
          </w:tcPr>
          <w:p w14:paraId="2A3DF2D6">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供应商资格条件</w:t>
            </w:r>
          </w:p>
        </w:tc>
        <w:tc>
          <w:tcPr>
            <w:tcW w:w="6454" w:type="dxa"/>
            <w:vAlign w:val="top"/>
          </w:tcPr>
          <w:p w14:paraId="7B781736">
            <w:pPr>
              <w:spacing w:line="360" w:lineRule="auto"/>
              <w:rPr>
                <w:rFonts w:ascii="宋体" w:hAnsi="宋体" w:cs="宋体"/>
                <w:b/>
                <w:color w:val="auto"/>
                <w:sz w:val="24"/>
                <w:szCs w:val="24"/>
                <w:highlight w:val="none"/>
              </w:rPr>
            </w:pPr>
            <w:r>
              <w:rPr>
                <w:rFonts w:hint="eastAsia" w:ascii="宋体" w:hAnsi="宋体" w:cs="宋体"/>
                <w:color w:val="auto"/>
                <w:sz w:val="24"/>
                <w:szCs w:val="24"/>
                <w:highlight w:val="none"/>
              </w:rPr>
              <w:t>供应商资格条件要求详见公告。</w:t>
            </w:r>
          </w:p>
        </w:tc>
      </w:tr>
      <w:tr w14:paraId="13A8C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5" w:type="dxa"/>
            <w:vAlign w:val="center"/>
          </w:tcPr>
          <w:p w14:paraId="7D1FA95C">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5.1</w:t>
            </w:r>
          </w:p>
        </w:tc>
        <w:tc>
          <w:tcPr>
            <w:tcW w:w="2186" w:type="dxa"/>
            <w:vAlign w:val="center"/>
          </w:tcPr>
          <w:p w14:paraId="345FBE91">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是否接受联合体竞标</w:t>
            </w:r>
          </w:p>
        </w:tc>
        <w:tc>
          <w:tcPr>
            <w:tcW w:w="6454" w:type="dxa"/>
            <w:vAlign w:val="center"/>
          </w:tcPr>
          <w:p w14:paraId="18B3671D">
            <w:pPr>
              <w:spacing w:line="360" w:lineRule="auto"/>
              <w:rPr>
                <w:rFonts w:ascii="宋体" w:hAnsi="宋体" w:cs="宋体"/>
                <w:color w:val="auto"/>
                <w:sz w:val="24"/>
                <w:szCs w:val="24"/>
                <w:highlight w:val="none"/>
              </w:rPr>
            </w:pPr>
            <w:bookmarkStart w:id="41" w:name="PO_3000001871_PM007_1"/>
            <w:r>
              <w:rPr>
                <w:rFonts w:hint="eastAsia" w:ascii="宋体" w:hAnsi="宋体" w:cs="宋体"/>
                <w:color w:val="auto"/>
                <w:sz w:val="24"/>
                <w:szCs w:val="24"/>
                <w:highlight w:val="none"/>
              </w:rPr>
              <w:t>不允许联合体</w:t>
            </w:r>
            <w:bookmarkEnd w:id="41"/>
            <w:r>
              <w:rPr>
                <w:rFonts w:hint="eastAsia" w:ascii="宋体" w:hAnsi="宋体" w:cs="宋体"/>
                <w:color w:val="auto"/>
                <w:sz w:val="24"/>
                <w:szCs w:val="24"/>
                <w:highlight w:val="none"/>
              </w:rPr>
              <w:t>竞标。</w:t>
            </w:r>
          </w:p>
        </w:tc>
      </w:tr>
      <w:tr w14:paraId="5C3F4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5" w:type="dxa"/>
            <w:vAlign w:val="center"/>
          </w:tcPr>
          <w:p w14:paraId="37D35985">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5.2</w:t>
            </w:r>
          </w:p>
        </w:tc>
        <w:tc>
          <w:tcPr>
            <w:tcW w:w="2186" w:type="dxa"/>
            <w:vAlign w:val="center"/>
          </w:tcPr>
          <w:p w14:paraId="0F235226">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联合体竞标要求</w:t>
            </w:r>
          </w:p>
        </w:tc>
        <w:tc>
          <w:tcPr>
            <w:tcW w:w="6454" w:type="dxa"/>
            <w:vAlign w:val="center"/>
          </w:tcPr>
          <w:p w14:paraId="0D0E8EC0">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无</w:t>
            </w:r>
          </w:p>
        </w:tc>
      </w:tr>
      <w:tr w14:paraId="0B447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5" w:type="dxa"/>
            <w:vAlign w:val="center"/>
          </w:tcPr>
          <w:p w14:paraId="398BE4D2">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6.1</w:t>
            </w:r>
          </w:p>
        </w:tc>
        <w:tc>
          <w:tcPr>
            <w:tcW w:w="2186" w:type="dxa"/>
            <w:vAlign w:val="center"/>
          </w:tcPr>
          <w:p w14:paraId="2F2FD1D5">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是否允许分包</w:t>
            </w:r>
          </w:p>
        </w:tc>
        <w:tc>
          <w:tcPr>
            <w:tcW w:w="6454" w:type="dxa"/>
            <w:vAlign w:val="center"/>
          </w:tcPr>
          <w:p w14:paraId="6277C9BA">
            <w:pPr>
              <w:pStyle w:val="11"/>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☑不允许分包</w:t>
            </w:r>
          </w:p>
          <w:p w14:paraId="129572BA">
            <w:pPr>
              <w:pStyle w:val="11"/>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□允许分包</w:t>
            </w:r>
          </w:p>
          <w:p w14:paraId="25F758B4">
            <w:pPr>
              <w:pStyle w:val="11"/>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rPr>
              <w:t>分包内容：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p>
          <w:p w14:paraId="74D80F09">
            <w:pPr>
              <w:pStyle w:val="11"/>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分包金额或者比例：</w:t>
            </w:r>
            <w:r>
              <w:rPr>
                <w:rFonts w:hint="eastAsia" w:ascii="宋体" w:hAnsi="宋体" w:cs="宋体"/>
                <w:color w:val="auto"/>
                <w:sz w:val="24"/>
                <w:szCs w:val="24"/>
                <w:highlight w:val="none"/>
                <w:u w:val="single"/>
              </w:rPr>
              <w:t xml:space="preserve">                            。</w:t>
            </w:r>
          </w:p>
        </w:tc>
      </w:tr>
      <w:tr w14:paraId="14B59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5" w:type="dxa"/>
            <w:vAlign w:val="center"/>
          </w:tcPr>
          <w:p w14:paraId="007ADE69">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12.1.1</w:t>
            </w:r>
          </w:p>
        </w:tc>
        <w:tc>
          <w:tcPr>
            <w:tcW w:w="2186" w:type="dxa"/>
            <w:vAlign w:val="center"/>
          </w:tcPr>
          <w:p w14:paraId="79AFDFF0">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资格证明文件组成</w:t>
            </w:r>
          </w:p>
          <w:p w14:paraId="068499D5">
            <w:pPr>
              <w:spacing w:line="360" w:lineRule="auto"/>
              <w:jc w:val="center"/>
              <w:rPr>
                <w:rFonts w:ascii="宋体" w:hAnsi="宋体" w:cs="宋体"/>
                <w:color w:val="auto"/>
                <w:sz w:val="24"/>
                <w:szCs w:val="24"/>
                <w:highlight w:val="none"/>
              </w:rPr>
            </w:pPr>
          </w:p>
        </w:tc>
        <w:tc>
          <w:tcPr>
            <w:tcW w:w="6454" w:type="dxa"/>
            <w:vAlign w:val="center"/>
          </w:tcPr>
          <w:p w14:paraId="6AEEB84F">
            <w:pPr>
              <w:pStyle w:val="11"/>
              <w:numPr>
                <w:ilvl w:val="0"/>
                <w:numId w:val="0"/>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供应商为法人或者其他组织的提供其营业执照等证明文件（如营业执照或者事业单位法人证书或者执业许可证等），供应商为自然人的提供其身份证复印件；（</w:t>
            </w:r>
            <w:r>
              <w:rPr>
                <w:rFonts w:hint="eastAsia" w:ascii="宋体" w:hAnsi="宋体" w:cs="宋体"/>
                <w:b/>
                <w:color w:val="auto"/>
                <w:sz w:val="24"/>
                <w:szCs w:val="24"/>
                <w:highlight w:val="none"/>
              </w:rPr>
              <w:t>必须提供，否则作无效响应处理</w:t>
            </w:r>
            <w:r>
              <w:rPr>
                <w:rFonts w:hint="eastAsia" w:ascii="宋体" w:hAnsi="宋体" w:cs="宋体"/>
                <w:color w:val="auto"/>
                <w:sz w:val="24"/>
                <w:szCs w:val="24"/>
                <w:highlight w:val="none"/>
              </w:rPr>
              <w:t>）</w:t>
            </w:r>
          </w:p>
          <w:p w14:paraId="4AEEE1E6">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供应商依法缴纳税收的相关材料[</w:t>
            </w:r>
            <w:r>
              <w:rPr>
                <w:rFonts w:hint="eastAsia" w:ascii="宋体" w:hAnsi="宋体" w:cs="宋体"/>
                <w:color w:val="auto"/>
                <w:sz w:val="24"/>
                <w:szCs w:val="24"/>
                <w:highlight w:val="none"/>
                <w:u w:val="single"/>
              </w:rPr>
              <w:t xml:space="preserve"> 202</w:t>
            </w:r>
            <w:r>
              <w:rPr>
                <w:rFonts w:hint="eastAsia" w:ascii="宋体" w:hAnsi="宋体" w:cs="宋体"/>
                <w:color w:val="auto"/>
                <w:sz w:val="24"/>
                <w:szCs w:val="24"/>
                <w:highlight w:val="none"/>
                <w:u w:val="single"/>
                <w:lang w:val="en-US" w:eastAsia="zh-CN"/>
              </w:rPr>
              <w:t>4</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11</w:t>
            </w:r>
            <w:r>
              <w:rPr>
                <w:rFonts w:hint="eastAsia" w:ascii="宋体" w:hAnsi="宋体" w:cs="宋体"/>
                <w:color w:val="auto"/>
                <w:sz w:val="24"/>
                <w:szCs w:val="24"/>
                <w:highlight w:val="none"/>
              </w:rPr>
              <w:t>月至</w:t>
            </w:r>
            <w:r>
              <w:rPr>
                <w:rFonts w:hint="eastAsia" w:ascii="宋体" w:hAnsi="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任意</w:t>
            </w:r>
            <w:r>
              <w:rPr>
                <w:rFonts w:hint="eastAsia" w:ascii="宋体" w:hAnsi="宋体" w:cs="宋体"/>
                <w:color w:val="auto"/>
                <w:sz w:val="24"/>
                <w:szCs w:val="24"/>
                <w:highlight w:val="none"/>
              </w:rPr>
              <w:t>连续</w:t>
            </w:r>
            <w:r>
              <w:rPr>
                <w:rFonts w:hint="eastAsia" w:ascii="宋体" w:hAnsi="宋体" w:cs="宋体"/>
                <w:color w:val="auto"/>
                <w:sz w:val="24"/>
                <w:szCs w:val="24"/>
                <w:highlight w:val="none"/>
                <w:u w:val="single"/>
              </w:rPr>
              <w:t xml:space="preserve"> 三 </w:t>
            </w:r>
            <w:r>
              <w:rPr>
                <w:rFonts w:hint="eastAsia" w:ascii="宋体" w:hAnsi="宋体" w:cs="宋体"/>
                <w:color w:val="auto"/>
                <w:sz w:val="24"/>
                <w:szCs w:val="24"/>
                <w:highlight w:val="none"/>
              </w:rPr>
              <w:t>个月（一般为三个月）的依法缴纳税收的凭据复印件；依法免税的供应商，必须提供相应文件证明其依法免税。从取得营业执照时间起到响应文件提交截止时间为止不足要求月数的，只需提供从取得营业执照起的依法缴纳税收相应证明文件）；（</w:t>
            </w:r>
            <w:r>
              <w:rPr>
                <w:rFonts w:hint="eastAsia" w:ascii="宋体" w:hAnsi="宋体" w:cs="宋体"/>
                <w:b/>
                <w:color w:val="auto"/>
                <w:sz w:val="24"/>
                <w:szCs w:val="24"/>
                <w:highlight w:val="none"/>
              </w:rPr>
              <w:t>必须提供，否则作无效响应处理</w:t>
            </w:r>
            <w:r>
              <w:rPr>
                <w:rFonts w:hint="eastAsia" w:ascii="宋体" w:hAnsi="宋体" w:cs="宋体"/>
                <w:color w:val="auto"/>
                <w:sz w:val="24"/>
                <w:szCs w:val="24"/>
                <w:highlight w:val="none"/>
              </w:rPr>
              <w:t>）</w:t>
            </w:r>
          </w:p>
          <w:p w14:paraId="29CE4E1B">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.供应商依法缴纳社会保障资金的相关材料[</w:t>
            </w:r>
            <w:r>
              <w:rPr>
                <w:rFonts w:hint="eastAsia" w:ascii="宋体" w:hAnsi="宋体" w:cs="宋体"/>
                <w:color w:val="auto"/>
                <w:sz w:val="24"/>
                <w:szCs w:val="24"/>
                <w:highlight w:val="none"/>
                <w:u w:val="single"/>
              </w:rPr>
              <w:t xml:space="preserve"> 202</w:t>
            </w:r>
            <w:r>
              <w:rPr>
                <w:rFonts w:hint="eastAsia" w:ascii="宋体" w:hAnsi="宋体" w:cs="宋体"/>
                <w:color w:val="auto"/>
                <w:sz w:val="24"/>
                <w:szCs w:val="24"/>
                <w:highlight w:val="none"/>
                <w:u w:val="single"/>
                <w:lang w:val="en-US" w:eastAsia="zh-CN"/>
              </w:rPr>
              <w:t>4</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11 </w:t>
            </w:r>
            <w:r>
              <w:rPr>
                <w:rFonts w:hint="eastAsia" w:ascii="宋体" w:hAnsi="宋体" w:cs="宋体"/>
                <w:color w:val="auto"/>
                <w:sz w:val="24"/>
                <w:szCs w:val="24"/>
                <w:highlight w:val="none"/>
              </w:rPr>
              <w:t>月至</w:t>
            </w:r>
            <w:r>
              <w:rPr>
                <w:rFonts w:hint="eastAsia" w:ascii="宋体" w:hAnsi="宋体" w:cs="宋体"/>
                <w:color w:val="auto"/>
                <w:sz w:val="24"/>
                <w:szCs w:val="24"/>
                <w:highlight w:val="none"/>
                <w:u w:val="single"/>
              </w:rPr>
              <w:t xml:space="preserve"> 202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任意</w:t>
            </w:r>
            <w:r>
              <w:rPr>
                <w:rFonts w:hint="eastAsia" w:ascii="宋体" w:hAnsi="宋体" w:cs="宋体"/>
                <w:color w:val="auto"/>
                <w:sz w:val="24"/>
                <w:szCs w:val="24"/>
                <w:highlight w:val="none"/>
              </w:rPr>
              <w:t>连续</w:t>
            </w:r>
            <w:r>
              <w:rPr>
                <w:rFonts w:hint="eastAsia" w:ascii="宋体" w:hAnsi="宋体" w:cs="宋体"/>
                <w:color w:val="auto"/>
                <w:sz w:val="24"/>
                <w:szCs w:val="24"/>
                <w:highlight w:val="none"/>
                <w:u w:val="single"/>
              </w:rPr>
              <w:t xml:space="preserve"> 三 </w:t>
            </w:r>
            <w:r>
              <w:rPr>
                <w:rFonts w:hint="eastAsia" w:ascii="宋体" w:hAnsi="宋体" w:cs="宋体"/>
                <w:color w:val="auto"/>
                <w:sz w:val="24"/>
                <w:szCs w:val="24"/>
                <w:highlight w:val="none"/>
              </w:rPr>
              <w:t>个月（一般为三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cs="宋体"/>
                <w:b/>
                <w:color w:val="auto"/>
                <w:sz w:val="24"/>
                <w:szCs w:val="24"/>
                <w:highlight w:val="none"/>
              </w:rPr>
              <w:t>必须提供，否则作无效响应处理</w:t>
            </w:r>
            <w:r>
              <w:rPr>
                <w:rFonts w:hint="eastAsia" w:ascii="宋体" w:hAnsi="宋体" w:cs="宋体"/>
                <w:color w:val="auto"/>
                <w:sz w:val="24"/>
                <w:szCs w:val="24"/>
                <w:highlight w:val="none"/>
              </w:rPr>
              <w:t>）</w:t>
            </w:r>
          </w:p>
          <w:p w14:paraId="1371EF4F">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202</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年财务报表或财务状况报告或供应商开户行出具的银行资信证明文件（格式自拟，若为新成立的企业，请根据实际情况提供。财务报表或财务状况报告可以是投标人自行编制或经第三方审计的，无财务状况报告可提供“资产负债表、利润表、现金流量表”）；</w:t>
            </w:r>
            <w:r>
              <w:rPr>
                <w:rFonts w:hint="eastAsia" w:ascii="宋体" w:hAnsi="宋体" w:cs="宋体"/>
                <w:b/>
                <w:bCs/>
                <w:color w:val="auto"/>
                <w:sz w:val="24"/>
                <w:szCs w:val="24"/>
                <w:highlight w:val="none"/>
              </w:rPr>
              <w:t>（必须提供，否则作无效响应处理）</w:t>
            </w:r>
          </w:p>
          <w:p w14:paraId="443AE7CB">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.供应商直接控股、管理关系信息表；</w:t>
            </w:r>
            <w:r>
              <w:rPr>
                <w:rFonts w:hint="eastAsia" w:ascii="宋体" w:hAnsi="宋体" w:cs="宋体"/>
                <w:b/>
                <w:bCs/>
                <w:color w:val="auto"/>
                <w:sz w:val="24"/>
                <w:szCs w:val="24"/>
                <w:highlight w:val="none"/>
              </w:rPr>
              <w:t>（必须提供，否则响应文件按无效响应处理）</w:t>
            </w:r>
          </w:p>
          <w:p w14:paraId="0FC880C9">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.资格声明函；（</w:t>
            </w:r>
            <w:r>
              <w:rPr>
                <w:rFonts w:hint="eastAsia" w:ascii="宋体" w:hAnsi="宋体" w:cs="宋体"/>
                <w:b/>
                <w:color w:val="auto"/>
                <w:sz w:val="24"/>
                <w:szCs w:val="24"/>
                <w:highlight w:val="none"/>
              </w:rPr>
              <w:t>必须提供，否则响应文件按无效响应处理</w:t>
            </w:r>
            <w:r>
              <w:rPr>
                <w:rFonts w:hint="eastAsia" w:ascii="宋体" w:hAnsi="宋体" w:cs="宋体"/>
                <w:color w:val="auto"/>
                <w:sz w:val="24"/>
                <w:szCs w:val="24"/>
                <w:highlight w:val="none"/>
              </w:rPr>
              <w:t>）</w:t>
            </w:r>
          </w:p>
          <w:p w14:paraId="48459E46">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联合体竞标协议书（格式后附）；（</w:t>
            </w:r>
            <w:r>
              <w:rPr>
                <w:rFonts w:hint="eastAsia" w:ascii="宋体" w:hAnsi="宋体"/>
                <w:b/>
                <w:color w:val="auto"/>
                <w:sz w:val="24"/>
                <w:szCs w:val="24"/>
                <w:highlight w:val="none"/>
              </w:rPr>
              <w:t>本项目不接受联合体投标，此项不适用</w:t>
            </w:r>
            <w:r>
              <w:rPr>
                <w:rFonts w:hint="eastAsia" w:ascii="宋体" w:hAnsi="宋体" w:cs="宋体"/>
                <w:color w:val="auto"/>
                <w:sz w:val="24"/>
                <w:szCs w:val="24"/>
                <w:highlight w:val="none"/>
              </w:rPr>
              <w:t>）</w:t>
            </w:r>
          </w:p>
          <w:p w14:paraId="694475D6">
            <w:pPr>
              <w:spacing w:line="360" w:lineRule="auto"/>
              <w:jc w:val="left"/>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8.</w:t>
            </w:r>
            <w:r>
              <w:rPr>
                <w:rFonts w:hint="eastAsia" w:ascii="宋体" w:hAnsi="宋体" w:cs="宋体"/>
                <w:b/>
                <w:bCs/>
                <w:color w:val="auto"/>
                <w:sz w:val="24"/>
                <w:szCs w:val="24"/>
                <w:highlight w:val="none"/>
                <w:lang w:eastAsia="zh-CN"/>
              </w:rPr>
              <w:t>特定资格要求</w:t>
            </w:r>
            <w:r>
              <w:rPr>
                <w:rFonts w:hint="eastAsia" w:ascii="宋体" w:hAnsi="宋体" w:cs="宋体"/>
                <w:b/>
                <w:bCs/>
                <w:color w:val="auto"/>
                <w:sz w:val="24"/>
                <w:szCs w:val="24"/>
                <w:highlight w:val="none"/>
                <w:lang w:val="en-US" w:eastAsia="zh-CN"/>
              </w:rPr>
              <w:t>：</w:t>
            </w:r>
          </w:p>
          <w:p w14:paraId="5214337D">
            <w:pPr>
              <w:spacing w:line="360" w:lineRule="auto"/>
              <w:jc w:val="left"/>
              <w:rPr>
                <w:rFonts w:ascii="宋体" w:hAnsi="宋体" w:cs="宋体"/>
                <w:color w:val="auto"/>
                <w:sz w:val="24"/>
                <w:szCs w:val="24"/>
                <w:highlight w:val="none"/>
              </w:rPr>
            </w:pPr>
            <w:r>
              <w:rPr>
                <w:rFonts w:hint="eastAsia" w:ascii="宋体" w:hAnsi="宋体"/>
                <w:color w:val="auto"/>
                <w:sz w:val="24"/>
                <w:szCs w:val="24"/>
                <w:highlight w:val="none"/>
              </w:rPr>
              <w:t xml:space="preserve"> </w:t>
            </w:r>
            <w:r>
              <w:rPr>
                <w:rFonts w:hint="eastAsia" w:ascii="宋体" w:hAnsi="宋体"/>
                <w:color w:val="auto"/>
                <w:sz w:val="24"/>
                <w:szCs w:val="24"/>
                <w:highlight w:val="none"/>
                <w:lang w:val="en-US" w:eastAsia="zh-CN"/>
              </w:rPr>
              <w:t>1、提供</w:t>
            </w:r>
            <w:r>
              <w:rPr>
                <w:rFonts w:hint="eastAsia" w:ascii="宋体" w:hAnsi="宋体" w:eastAsia="宋体" w:cs="宋体"/>
                <w:color w:val="auto"/>
                <w:sz w:val="24"/>
                <w:szCs w:val="24"/>
                <w:highlight w:val="none"/>
              </w:rPr>
              <w:t>有效的《中华人民共和国出版物发行许可证》</w:t>
            </w:r>
            <w:r>
              <w:rPr>
                <w:rFonts w:hint="eastAsia" w:ascii="宋体" w:hAnsi="宋体" w:eastAsia="宋体" w:cs="宋体"/>
                <w:b/>
                <w:bCs/>
                <w:color w:val="auto"/>
                <w:sz w:val="24"/>
                <w:szCs w:val="24"/>
                <w:highlight w:val="none"/>
              </w:rPr>
              <w:t>或</w:t>
            </w:r>
            <w:r>
              <w:rPr>
                <w:rFonts w:hint="eastAsia" w:ascii="宋体" w:hAnsi="宋体" w:eastAsia="宋体" w:cs="宋体"/>
                <w:color w:val="auto"/>
                <w:sz w:val="24"/>
                <w:szCs w:val="24"/>
                <w:highlight w:val="none"/>
              </w:rPr>
              <w:t>《中华人民共和国出版物经营许可证》（经营许可包含图书类经营许可）复印件；</w:t>
            </w:r>
            <w:r>
              <w:rPr>
                <w:rFonts w:hint="eastAsia" w:ascii="宋体" w:hAnsi="宋体" w:eastAsia="宋体" w:cs="宋体"/>
                <w:color w:val="auto"/>
                <w:sz w:val="24"/>
                <w:szCs w:val="24"/>
                <w:highlight w:val="none"/>
                <w:lang w:val="en-US" w:eastAsia="zh-CN"/>
              </w:rPr>
              <w:t>2、</w:t>
            </w:r>
            <w:r>
              <w:rPr>
                <w:rFonts w:hint="eastAsia" w:ascii="宋体" w:hAnsi="宋体" w:cs="宋体"/>
                <w:b w:val="0"/>
                <w:bCs w:val="0"/>
                <w:color w:val="auto"/>
                <w:sz w:val="24"/>
                <w:szCs w:val="24"/>
                <w:highlight w:val="none"/>
                <w:lang w:val="en-US" w:eastAsia="zh-CN"/>
              </w:rPr>
              <w:t>自</w:t>
            </w:r>
            <w:r>
              <w:rPr>
                <w:rFonts w:hint="eastAsia" w:ascii="宋体" w:hAnsi="宋体" w:cs="宋体"/>
                <w:b w:val="0"/>
                <w:bCs w:val="0"/>
                <w:color w:val="auto"/>
                <w:sz w:val="24"/>
                <w:szCs w:val="24"/>
                <w:highlight w:val="none"/>
                <w:shd w:val="clear" w:color="auto" w:fill="FFFFFF"/>
                <w:lang w:val="en-US"/>
              </w:rPr>
              <w:t>2022年</w:t>
            </w:r>
            <w:r>
              <w:rPr>
                <w:rFonts w:hint="eastAsia" w:ascii="宋体" w:hAnsi="宋体" w:cs="宋体"/>
                <w:b w:val="0"/>
                <w:bCs w:val="0"/>
                <w:color w:val="auto"/>
                <w:sz w:val="24"/>
                <w:szCs w:val="24"/>
                <w:highlight w:val="none"/>
                <w:shd w:val="clear" w:color="auto" w:fill="FFFFFF"/>
                <w:lang w:val="en-US" w:eastAsia="zh-CN"/>
              </w:rPr>
              <w:t>1月1日</w:t>
            </w:r>
            <w:r>
              <w:rPr>
                <w:rFonts w:hint="eastAsia" w:ascii="宋体" w:hAnsi="宋体" w:cs="宋体"/>
                <w:b w:val="0"/>
                <w:bCs w:val="0"/>
                <w:color w:val="auto"/>
                <w:sz w:val="24"/>
                <w:szCs w:val="24"/>
                <w:highlight w:val="none"/>
                <w:shd w:val="clear" w:color="auto" w:fill="FFFFFF"/>
                <w:lang w:val="en-US"/>
              </w:rPr>
              <w:t>以来</w:t>
            </w:r>
            <w:r>
              <w:rPr>
                <w:rFonts w:hint="eastAsia" w:ascii="宋体" w:hAnsi="宋体" w:cs="宋体"/>
                <w:b w:val="0"/>
                <w:bCs w:val="0"/>
                <w:color w:val="auto"/>
                <w:sz w:val="24"/>
                <w:szCs w:val="24"/>
                <w:highlight w:val="none"/>
                <w:shd w:val="clear" w:color="auto" w:fill="FFFFFF"/>
                <w:lang w:val="en-US" w:eastAsia="zh-CN"/>
              </w:rPr>
              <w:t>至少完成过一个为</w:t>
            </w:r>
            <w:r>
              <w:rPr>
                <w:rFonts w:hint="eastAsia" w:ascii="宋体" w:hAnsi="宋体" w:cs="宋体"/>
                <w:b w:val="0"/>
                <w:bCs w:val="0"/>
                <w:color w:val="auto"/>
                <w:sz w:val="24"/>
                <w:szCs w:val="24"/>
                <w:highlight w:val="none"/>
                <w:lang w:val="en-US" w:eastAsia="zh-CN"/>
              </w:rPr>
              <w:t>学校图书供货的类似业绩（提供类似业绩合同复印件）；</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必须提供，否则响应文件按无效响应处理）；</w:t>
            </w:r>
          </w:p>
          <w:p w14:paraId="7C5E85F1">
            <w:pPr>
              <w:spacing w:line="360" w:lineRule="auto"/>
              <w:jc w:val="left"/>
              <w:rPr>
                <w:rFonts w:ascii="宋体" w:hAnsi="宋体" w:cs="宋体"/>
                <w:b/>
                <w:color w:val="auto"/>
                <w:sz w:val="24"/>
                <w:szCs w:val="24"/>
                <w:highlight w:val="none"/>
              </w:rPr>
            </w:pPr>
            <w:r>
              <w:rPr>
                <w:rFonts w:hint="eastAsia" w:ascii="宋体" w:hAnsi="宋体" w:cs="宋体"/>
                <w:b/>
                <w:color w:val="auto"/>
                <w:sz w:val="24"/>
                <w:szCs w:val="24"/>
                <w:highlight w:val="none"/>
              </w:rPr>
              <w:t>注：</w:t>
            </w:r>
          </w:p>
          <w:p w14:paraId="7CC1DB1C">
            <w:pPr>
              <w:spacing w:line="360" w:lineRule="auto"/>
              <w:ind w:firstLine="472" w:firstLineChars="196"/>
              <w:jc w:val="left"/>
              <w:rPr>
                <w:rFonts w:ascii="宋体" w:hAnsi="宋体" w:cs="宋体"/>
                <w:b/>
                <w:color w:val="auto"/>
                <w:sz w:val="24"/>
                <w:szCs w:val="24"/>
                <w:highlight w:val="none"/>
              </w:rPr>
            </w:pPr>
            <w:r>
              <w:rPr>
                <w:rFonts w:hint="eastAsia" w:ascii="宋体" w:hAnsi="宋体" w:cs="宋体"/>
                <w:b/>
                <w:color w:val="auto"/>
                <w:sz w:val="24"/>
                <w:szCs w:val="24"/>
                <w:highlight w:val="none"/>
              </w:rPr>
              <w:t>以上标明“必须提供”的材料属于复印件的扫描件的，必须加盖供应商电子公章，否则响应文件按无效响应处理。</w:t>
            </w:r>
          </w:p>
        </w:tc>
      </w:tr>
      <w:tr w14:paraId="288B1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195" w:type="dxa"/>
            <w:vMerge w:val="restart"/>
            <w:vAlign w:val="center"/>
          </w:tcPr>
          <w:p w14:paraId="5F1F7C7F">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12.1.2</w:t>
            </w:r>
          </w:p>
        </w:tc>
        <w:tc>
          <w:tcPr>
            <w:tcW w:w="2186" w:type="dxa"/>
            <w:vAlign w:val="center"/>
          </w:tcPr>
          <w:p w14:paraId="31A98829">
            <w:pPr>
              <w:spacing w:line="360" w:lineRule="auto"/>
              <w:jc w:val="center"/>
              <w:rPr>
                <w:rFonts w:ascii="宋体" w:hAnsi="宋体" w:cs="宋体"/>
                <w:b/>
                <w:bCs/>
                <w:color w:val="auto"/>
                <w:sz w:val="24"/>
                <w:szCs w:val="24"/>
                <w:highlight w:val="none"/>
              </w:rPr>
            </w:pPr>
          </w:p>
        </w:tc>
        <w:tc>
          <w:tcPr>
            <w:tcW w:w="6454" w:type="dxa"/>
            <w:vMerge w:val="restart"/>
            <w:vAlign w:val="center"/>
          </w:tcPr>
          <w:p w14:paraId="305A1062">
            <w:pPr>
              <w:keepNext w:val="0"/>
              <w:keepLines w:val="0"/>
              <w:pageBreakBefore w:val="0"/>
              <w:widowControl w:val="0"/>
              <w:kinsoku/>
              <w:wordWrap/>
              <w:overflowPunct/>
              <w:topLinePunct w:val="0"/>
              <w:autoSpaceDE/>
              <w:autoSpaceDN/>
              <w:bidi w:val="0"/>
              <w:spacing w:line="460" w:lineRule="exact"/>
              <w:rPr>
                <w:rFonts w:ascii="宋体" w:hAnsi="宋体" w:cs="宋体"/>
                <w:color w:val="auto"/>
                <w:sz w:val="24"/>
                <w:szCs w:val="24"/>
                <w:highlight w:val="none"/>
              </w:rPr>
            </w:pPr>
            <w:r>
              <w:rPr>
                <w:rFonts w:hint="eastAsia" w:ascii="宋体" w:hAnsi="宋体" w:cs="宋体"/>
                <w:color w:val="auto"/>
                <w:sz w:val="24"/>
                <w:szCs w:val="24"/>
                <w:highlight w:val="none"/>
              </w:rPr>
              <w:t>1.无串通响应行为的承诺函；（</w:t>
            </w:r>
            <w:r>
              <w:rPr>
                <w:rFonts w:hint="eastAsia" w:ascii="宋体" w:hAnsi="宋体" w:cs="宋体"/>
                <w:b/>
                <w:color w:val="auto"/>
                <w:sz w:val="24"/>
                <w:szCs w:val="24"/>
                <w:highlight w:val="none"/>
              </w:rPr>
              <w:t>必须提供，否则响应文件按无效响应处理</w:t>
            </w:r>
            <w:r>
              <w:rPr>
                <w:rFonts w:hint="eastAsia" w:ascii="宋体" w:hAnsi="宋体" w:cs="宋体"/>
                <w:color w:val="auto"/>
                <w:sz w:val="24"/>
                <w:szCs w:val="24"/>
                <w:highlight w:val="none"/>
              </w:rPr>
              <w:t>）</w:t>
            </w:r>
          </w:p>
          <w:p w14:paraId="30E0CA5C">
            <w:pPr>
              <w:keepNext w:val="0"/>
              <w:keepLines w:val="0"/>
              <w:pageBreakBefore w:val="0"/>
              <w:widowControl w:val="0"/>
              <w:kinsoku/>
              <w:wordWrap/>
              <w:overflowPunct/>
              <w:topLinePunct w:val="0"/>
              <w:autoSpaceDE/>
              <w:autoSpaceDN/>
              <w:bidi w:val="0"/>
              <w:spacing w:line="46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2.法定代表人身份证明书及法定代表人有效身份证正反面复印件；（</w:t>
            </w:r>
            <w:r>
              <w:rPr>
                <w:rFonts w:hint="eastAsia" w:ascii="宋体" w:hAnsi="宋体" w:cs="宋体"/>
                <w:b/>
                <w:bCs/>
                <w:color w:val="auto"/>
                <w:sz w:val="24"/>
                <w:szCs w:val="24"/>
                <w:highlight w:val="none"/>
              </w:rPr>
              <w:t>除自然人响应外</w:t>
            </w:r>
            <w:r>
              <w:rPr>
                <w:rFonts w:hint="eastAsia" w:ascii="宋体" w:hAnsi="宋体" w:cs="宋体"/>
                <w:b/>
                <w:color w:val="auto"/>
                <w:sz w:val="24"/>
                <w:szCs w:val="24"/>
                <w:highlight w:val="none"/>
              </w:rPr>
              <w:t>必须提供，否则响应文件按无效响应处理</w:t>
            </w:r>
            <w:r>
              <w:rPr>
                <w:rFonts w:hint="eastAsia" w:ascii="宋体" w:hAnsi="宋体" w:cs="宋体"/>
                <w:color w:val="auto"/>
                <w:sz w:val="24"/>
                <w:szCs w:val="24"/>
                <w:highlight w:val="none"/>
              </w:rPr>
              <w:t>）</w:t>
            </w:r>
          </w:p>
          <w:p w14:paraId="39EE7B84">
            <w:pPr>
              <w:keepNext w:val="0"/>
              <w:keepLines w:val="0"/>
              <w:pageBreakBefore w:val="0"/>
              <w:widowControl w:val="0"/>
              <w:kinsoku/>
              <w:wordWrap/>
              <w:overflowPunct/>
              <w:topLinePunct w:val="0"/>
              <w:autoSpaceDE/>
              <w:autoSpaceDN/>
              <w:bidi w:val="0"/>
              <w:spacing w:line="460" w:lineRule="exact"/>
              <w:rPr>
                <w:rFonts w:ascii="宋体" w:hAnsi="宋体" w:cs="宋体"/>
                <w:b/>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法定代表人授权委托书</w:t>
            </w:r>
            <w:r>
              <w:rPr>
                <w:rFonts w:hint="eastAsia" w:ascii="宋体" w:hAnsi="宋体" w:cs="宋体"/>
                <w:color w:val="auto"/>
                <w:sz w:val="24"/>
                <w:szCs w:val="24"/>
                <w:highlight w:val="none"/>
              </w:rPr>
              <w:t>；（</w:t>
            </w:r>
            <w:r>
              <w:rPr>
                <w:rFonts w:hint="eastAsia" w:ascii="宋体" w:hAnsi="宋体" w:cs="宋体"/>
                <w:b/>
                <w:color w:val="auto"/>
                <w:sz w:val="24"/>
                <w:szCs w:val="24"/>
                <w:highlight w:val="none"/>
              </w:rPr>
              <w:t>委托时必须提供，否则响应文件按无效响应处理</w:t>
            </w:r>
            <w:r>
              <w:rPr>
                <w:rFonts w:hint="eastAsia" w:ascii="宋体" w:hAnsi="宋体" w:cs="宋体"/>
                <w:color w:val="auto"/>
                <w:sz w:val="24"/>
                <w:szCs w:val="24"/>
                <w:highlight w:val="none"/>
              </w:rPr>
              <w:t>）</w:t>
            </w:r>
          </w:p>
          <w:p w14:paraId="438729F9">
            <w:pPr>
              <w:keepNext w:val="0"/>
              <w:keepLines w:val="0"/>
              <w:pageBreakBefore w:val="0"/>
              <w:widowControl w:val="0"/>
              <w:kinsoku/>
              <w:wordWrap/>
              <w:overflowPunct/>
              <w:topLinePunct w:val="0"/>
              <w:autoSpaceDE/>
              <w:autoSpaceDN/>
              <w:bidi w:val="0"/>
              <w:spacing w:line="460" w:lineRule="exact"/>
              <w:rPr>
                <w:rFonts w:hint="eastAsia"/>
                <w:color w:val="auto"/>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保证金提交凭证复印件；</w:t>
            </w:r>
            <w:r>
              <w:rPr>
                <w:rFonts w:hint="eastAsia" w:ascii="宋体" w:hAnsi="宋体" w:cs="宋体"/>
                <w:color w:val="auto"/>
                <w:sz w:val="24"/>
                <w:szCs w:val="24"/>
                <w:highlight w:val="none"/>
              </w:rPr>
              <w:t>（</w:t>
            </w:r>
            <w:r>
              <w:rPr>
                <w:rFonts w:hint="eastAsia" w:ascii="宋体" w:hAnsi="宋体" w:cs="宋体"/>
                <w:b/>
                <w:color w:val="auto"/>
                <w:sz w:val="24"/>
                <w:szCs w:val="24"/>
                <w:highlight w:val="none"/>
              </w:rPr>
              <w:t>必须提供，否则</w:t>
            </w:r>
            <w:r>
              <w:rPr>
                <w:rFonts w:hint="eastAsia" w:ascii="宋体" w:hAnsi="宋体" w:eastAsia="宋体" w:cs="宋体"/>
                <w:b/>
                <w:bCs/>
                <w:color w:val="auto"/>
                <w:sz w:val="24"/>
                <w:szCs w:val="24"/>
                <w:highlight w:val="none"/>
              </w:rPr>
              <w:t>响应文件按无效响应处理）</w:t>
            </w:r>
          </w:p>
          <w:p w14:paraId="58277F14">
            <w:pPr>
              <w:keepNext w:val="0"/>
              <w:keepLines w:val="0"/>
              <w:pageBreakBefore w:val="0"/>
              <w:widowControl w:val="0"/>
              <w:kinsoku/>
              <w:wordWrap/>
              <w:overflowPunct/>
              <w:topLinePunct w:val="0"/>
              <w:autoSpaceDE/>
              <w:autoSpaceDN/>
              <w:bidi w:val="0"/>
              <w:spacing w:line="46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w:t>
            </w:r>
            <w:r>
              <w:rPr>
                <w:rFonts w:hint="eastAsia" w:ascii="宋体" w:hAnsi="宋体" w:eastAsia="宋体" w:cs="宋体"/>
                <w:color w:val="auto"/>
                <w:sz w:val="24"/>
                <w:szCs w:val="24"/>
                <w:highlight w:val="none"/>
              </w:rPr>
              <w:t>商务条款偏离表；</w:t>
            </w:r>
            <w:r>
              <w:rPr>
                <w:rFonts w:hint="eastAsia" w:ascii="宋体" w:hAnsi="宋体" w:eastAsia="宋体" w:cs="宋体"/>
                <w:b/>
                <w:bCs/>
                <w:color w:val="auto"/>
                <w:sz w:val="24"/>
                <w:szCs w:val="24"/>
                <w:highlight w:val="none"/>
              </w:rPr>
              <w:t>（必须提供，否则响应文件按无效响应处理）</w:t>
            </w:r>
          </w:p>
          <w:p w14:paraId="5F0DA4C8">
            <w:pPr>
              <w:keepNext w:val="0"/>
              <w:keepLines w:val="0"/>
              <w:pageBreakBefore w:val="0"/>
              <w:widowControl w:val="0"/>
              <w:kinsoku/>
              <w:wordWrap/>
              <w:overflowPunct/>
              <w:topLinePunct w:val="0"/>
              <w:autoSpaceDE/>
              <w:autoSpaceDN/>
              <w:bidi w:val="0"/>
              <w:spacing w:line="460" w:lineRule="exac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.货物</w:t>
            </w:r>
            <w:r>
              <w:rPr>
                <w:rFonts w:hint="eastAsia" w:ascii="宋体" w:hAnsi="宋体" w:cs="宋体"/>
                <w:color w:val="auto"/>
                <w:sz w:val="24"/>
                <w:szCs w:val="24"/>
                <w:highlight w:val="none"/>
                <w:lang w:val="en-US" w:eastAsia="zh-CN"/>
              </w:rPr>
              <w:t>技术</w:t>
            </w:r>
            <w:r>
              <w:rPr>
                <w:rFonts w:hint="eastAsia" w:ascii="宋体" w:hAnsi="宋体" w:cs="宋体"/>
                <w:color w:val="auto"/>
                <w:sz w:val="24"/>
                <w:szCs w:val="24"/>
                <w:highlight w:val="none"/>
              </w:rPr>
              <w:t>需求偏离表；（</w:t>
            </w:r>
            <w:r>
              <w:rPr>
                <w:rFonts w:hint="eastAsia" w:ascii="宋体" w:hAnsi="宋体" w:cs="宋体"/>
                <w:b/>
                <w:color w:val="auto"/>
                <w:sz w:val="24"/>
                <w:szCs w:val="24"/>
                <w:highlight w:val="none"/>
              </w:rPr>
              <w:t>必须提供，否则响应文件按无效响应处理</w:t>
            </w:r>
            <w:r>
              <w:rPr>
                <w:rFonts w:hint="eastAsia" w:ascii="宋体" w:hAnsi="宋体" w:cs="宋体"/>
                <w:color w:val="auto"/>
                <w:sz w:val="24"/>
                <w:szCs w:val="24"/>
                <w:highlight w:val="none"/>
              </w:rPr>
              <w:t>）</w:t>
            </w:r>
          </w:p>
          <w:p w14:paraId="4CECDE3B">
            <w:pPr>
              <w:keepNext w:val="0"/>
              <w:keepLines w:val="0"/>
              <w:pageBreakBefore w:val="0"/>
              <w:widowControl w:val="0"/>
              <w:kinsoku/>
              <w:wordWrap/>
              <w:overflowPunct/>
              <w:topLinePunct w:val="0"/>
              <w:autoSpaceDE/>
              <w:autoSpaceDN/>
              <w:bidi w:val="0"/>
              <w:spacing w:line="460" w:lineRule="exac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.售后服务承诺；（</w:t>
            </w:r>
            <w:r>
              <w:rPr>
                <w:rFonts w:hint="eastAsia" w:ascii="宋体" w:hAnsi="宋体" w:cs="宋体"/>
                <w:b/>
                <w:color w:val="auto"/>
                <w:sz w:val="24"/>
                <w:szCs w:val="24"/>
                <w:highlight w:val="none"/>
              </w:rPr>
              <w:t>必须提供，否则响应文件按无效响应处理</w:t>
            </w:r>
            <w:r>
              <w:rPr>
                <w:rFonts w:hint="eastAsia" w:ascii="宋体" w:hAnsi="宋体" w:cs="宋体"/>
                <w:color w:val="auto"/>
                <w:sz w:val="24"/>
                <w:szCs w:val="24"/>
                <w:highlight w:val="none"/>
              </w:rPr>
              <w:t>）</w:t>
            </w:r>
          </w:p>
          <w:p w14:paraId="5C6E9738">
            <w:pPr>
              <w:keepNext w:val="0"/>
              <w:keepLines w:val="0"/>
              <w:pageBreakBefore w:val="0"/>
              <w:widowControl w:val="0"/>
              <w:tabs>
                <w:tab w:val="left" w:pos="459"/>
              </w:tabs>
              <w:kinsoku/>
              <w:wordWrap/>
              <w:overflowPunct/>
              <w:topLinePunct w:val="0"/>
              <w:autoSpaceDE/>
              <w:autoSpaceDN/>
              <w:bidi w:val="0"/>
              <w:spacing w:line="460" w:lineRule="exact"/>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投标人根据“第二章采购需求”提供有关证明材料</w:t>
            </w:r>
            <w:r>
              <w:rPr>
                <w:rFonts w:hint="eastAsia" w:ascii="宋体" w:hAnsi="宋体" w:cs="宋体"/>
                <w:color w:val="auto"/>
                <w:sz w:val="24"/>
                <w:szCs w:val="24"/>
                <w:highlight w:val="none"/>
              </w:rPr>
              <w:t>；（</w:t>
            </w:r>
            <w:r>
              <w:rPr>
                <w:rFonts w:hint="eastAsia" w:ascii="宋体" w:hAnsi="宋体" w:cs="宋体"/>
                <w:b/>
                <w:color w:val="auto"/>
                <w:sz w:val="24"/>
                <w:szCs w:val="24"/>
                <w:highlight w:val="none"/>
              </w:rPr>
              <w:t>如有</w:t>
            </w:r>
            <w:r>
              <w:rPr>
                <w:rFonts w:hint="eastAsia" w:ascii="宋体" w:hAnsi="宋体" w:cs="宋体"/>
                <w:b/>
                <w:color w:val="auto"/>
                <w:sz w:val="24"/>
                <w:szCs w:val="24"/>
                <w:highlight w:val="none"/>
                <w:lang w:val="en-US" w:eastAsia="zh-CN"/>
              </w:rPr>
              <w:t>要求提交资料的，必须</w:t>
            </w:r>
            <w:r>
              <w:rPr>
                <w:rFonts w:hint="eastAsia" w:ascii="宋体" w:hAnsi="宋体" w:cs="宋体"/>
                <w:b/>
                <w:color w:val="auto"/>
                <w:sz w:val="24"/>
                <w:szCs w:val="24"/>
                <w:highlight w:val="none"/>
              </w:rPr>
              <w:t>提供</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rPr>
              <w:t>否则响应文件按无效响应处理</w:t>
            </w:r>
            <w:r>
              <w:rPr>
                <w:rFonts w:hint="eastAsia" w:ascii="宋体" w:hAnsi="宋体" w:cs="宋体"/>
                <w:color w:val="auto"/>
                <w:sz w:val="24"/>
                <w:szCs w:val="24"/>
                <w:highlight w:val="none"/>
              </w:rPr>
              <w:t>）</w:t>
            </w:r>
          </w:p>
          <w:p w14:paraId="6905EDD3">
            <w:pPr>
              <w:keepNext w:val="0"/>
              <w:keepLines w:val="0"/>
              <w:pageBreakBefore w:val="0"/>
              <w:widowControl w:val="0"/>
              <w:kinsoku/>
              <w:wordWrap/>
              <w:overflowPunct/>
              <w:topLinePunct w:val="0"/>
              <w:autoSpaceDE/>
              <w:autoSpaceDN/>
              <w:bidi w:val="0"/>
              <w:spacing w:line="460" w:lineRule="exact"/>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lang w:val="en-US" w:eastAsia="zh-CN"/>
              </w:rPr>
              <w:t>9</w:t>
            </w:r>
            <w:r>
              <w:rPr>
                <w:rFonts w:hint="eastAsia" w:ascii="宋体" w:hAnsi="宋体" w:eastAsia="宋体" w:cs="宋体"/>
                <w:strike w:val="0"/>
                <w:color w:val="auto"/>
                <w:sz w:val="24"/>
                <w:szCs w:val="24"/>
                <w:highlight w:val="none"/>
              </w:rPr>
              <w:t>.供应商认为需要提供的其他有关资料</w:t>
            </w:r>
            <w:r>
              <w:rPr>
                <w:rFonts w:hint="eastAsia" w:ascii="宋体" w:hAnsi="宋体" w:eastAsia="宋体" w:cs="宋体"/>
                <w:strike w:val="0"/>
                <w:color w:val="auto"/>
                <w:sz w:val="24"/>
                <w:szCs w:val="24"/>
                <w:highlight w:val="none"/>
                <w:lang w:eastAsia="zh-CN"/>
              </w:rPr>
              <w:t>（</w:t>
            </w:r>
            <w:r>
              <w:rPr>
                <w:rFonts w:hint="eastAsia" w:ascii="宋体" w:hAnsi="宋体" w:eastAsia="宋体" w:cs="宋体"/>
                <w:strike w:val="0"/>
                <w:color w:val="auto"/>
                <w:sz w:val="24"/>
                <w:szCs w:val="24"/>
                <w:highlight w:val="none"/>
                <w:lang w:val="en-US" w:eastAsia="zh-CN"/>
              </w:rPr>
              <w:t>如</w:t>
            </w:r>
            <w:r>
              <w:rPr>
                <w:rFonts w:hint="eastAsia" w:ascii="宋体" w:hAnsi="宋体" w:eastAsia="宋体" w:cs="宋体"/>
                <w:strike w:val="0"/>
                <w:color w:val="auto"/>
                <w:sz w:val="24"/>
                <w:szCs w:val="24"/>
                <w:highlight w:val="none"/>
              </w:rPr>
              <w:t>竞标人情况介绍</w:t>
            </w:r>
            <w:r>
              <w:rPr>
                <w:rFonts w:hint="eastAsia" w:ascii="宋体" w:hAnsi="宋体" w:eastAsia="宋体" w:cs="宋体"/>
                <w:strike w:val="0"/>
                <w:color w:val="auto"/>
                <w:sz w:val="24"/>
                <w:szCs w:val="24"/>
                <w:highlight w:val="none"/>
                <w:lang w:val="en-US" w:eastAsia="zh-CN"/>
              </w:rPr>
              <w:t>等）</w:t>
            </w:r>
            <w:r>
              <w:rPr>
                <w:rFonts w:hint="eastAsia" w:ascii="宋体" w:hAnsi="宋体" w:eastAsia="宋体" w:cs="宋体"/>
                <w:strike w:val="0"/>
                <w:color w:val="auto"/>
                <w:sz w:val="24"/>
                <w:szCs w:val="24"/>
                <w:highlight w:val="none"/>
              </w:rPr>
              <w:t>；</w:t>
            </w:r>
          </w:p>
          <w:p w14:paraId="4CD01A57">
            <w:pPr>
              <w:keepNext w:val="0"/>
              <w:keepLines w:val="0"/>
              <w:pageBreakBefore w:val="0"/>
              <w:widowControl w:val="0"/>
              <w:kinsoku/>
              <w:wordWrap/>
              <w:overflowPunct/>
              <w:topLinePunct w:val="0"/>
              <w:autoSpaceDE/>
              <w:autoSpaceDN/>
              <w:bidi w:val="0"/>
              <w:spacing w:line="460" w:lineRule="exact"/>
              <w:jc w:val="left"/>
              <w:rPr>
                <w:rFonts w:ascii="宋体" w:hAnsi="宋体" w:cs="宋体"/>
                <w:b/>
                <w:color w:val="auto"/>
                <w:sz w:val="24"/>
                <w:szCs w:val="24"/>
                <w:highlight w:val="none"/>
              </w:rPr>
            </w:pPr>
            <w:r>
              <w:rPr>
                <w:rFonts w:hint="eastAsia" w:ascii="宋体" w:hAnsi="宋体" w:cs="宋体"/>
                <w:b/>
                <w:color w:val="auto"/>
                <w:sz w:val="24"/>
                <w:szCs w:val="24"/>
                <w:highlight w:val="none"/>
              </w:rPr>
              <w:t xml:space="preserve">注： </w:t>
            </w:r>
          </w:p>
          <w:p w14:paraId="0496A377">
            <w:pPr>
              <w:keepNext w:val="0"/>
              <w:keepLines w:val="0"/>
              <w:pageBreakBefore w:val="0"/>
              <w:widowControl w:val="0"/>
              <w:kinsoku/>
              <w:wordWrap/>
              <w:overflowPunct/>
              <w:topLinePunct w:val="0"/>
              <w:autoSpaceDE/>
              <w:autoSpaceDN/>
              <w:bidi w:val="0"/>
              <w:spacing w:line="460" w:lineRule="exact"/>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t>1.法定代表人授权委托书必须由法定代表人及委托代理人签字，并加盖供应商公章，否则响应文件按无效响应处理。</w:t>
            </w:r>
          </w:p>
          <w:p w14:paraId="2F293197">
            <w:pPr>
              <w:keepNext w:val="0"/>
              <w:keepLines w:val="0"/>
              <w:pageBreakBefore w:val="0"/>
              <w:widowControl w:val="0"/>
              <w:kinsoku/>
              <w:wordWrap/>
              <w:overflowPunct/>
              <w:topLinePunct w:val="0"/>
              <w:autoSpaceDE/>
              <w:autoSpaceDN/>
              <w:bidi w:val="0"/>
              <w:spacing w:line="460" w:lineRule="exact"/>
              <w:ind w:firstLine="472" w:firstLineChars="196"/>
              <w:rPr>
                <w:rFonts w:hint="eastAsia" w:ascii="宋体" w:hAnsi="宋体" w:cs="宋体"/>
                <w:b/>
                <w:color w:val="auto"/>
                <w:sz w:val="24"/>
                <w:szCs w:val="24"/>
                <w:highlight w:val="none"/>
              </w:rPr>
            </w:pPr>
            <w:r>
              <w:rPr>
                <w:rFonts w:hint="eastAsia" w:ascii="宋体" w:hAnsi="宋体" w:cs="宋体"/>
                <w:b/>
                <w:color w:val="auto"/>
                <w:sz w:val="24"/>
                <w:szCs w:val="24"/>
                <w:highlight w:val="none"/>
              </w:rPr>
              <w:t>2.以上标明“必须提供”的材料属于复印件的扫描件的，必须加盖供应商电子公章，否则响应文件按无效响应处理。</w:t>
            </w:r>
          </w:p>
          <w:p w14:paraId="553A474B">
            <w:pPr>
              <w:pStyle w:val="13"/>
              <w:keepNext w:val="0"/>
              <w:keepLines w:val="0"/>
              <w:pageBreakBefore w:val="0"/>
              <w:widowControl w:val="0"/>
              <w:kinsoku/>
              <w:wordWrap/>
              <w:overflowPunct/>
              <w:topLinePunct w:val="0"/>
              <w:autoSpaceDE/>
              <w:autoSpaceDN/>
              <w:bidi w:val="0"/>
              <w:spacing w:after="0" w:line="460" w:lineRule="exact"/>
              <w:rPr>
                <w:color w:val="auto"/>
                <w:highlight w:val="none"/>
              </w:rPr>
            </w:pPr>
            <w:r>
              <w:rPr>
                <w:rFonts w:hint="eastAsia" w:ascii="方正粗黑宋简体" w:hAnsi="方正粗黑宋简体" w:eastAsia="方正粗黑宋简体" w:cs="方正粗黑宋简体"/>
                <w:b/>
                <w:bCs/>
                <w:color w:val="auto"/>
                <w:szCs w:val="21"/>
                <w:highlight w:val="none"/>
              </w:rPr>
              <w:t>如</w:t>
            </w:r>
            <w:r>
              <w:rPr>
                <w:rFonts w:hint="eastAsia" w:ascii="方正粗黑宋简体" w:hAnsi="方正粗黑宋简体" w:eastAsia="方正粗黑宋简体" w:cs="方正粗黑宋简体"/>
                <w:b/>
                <w:bCs/>
                <w:color w:val="auto"/>
                <w:szCs w:val="21"/>
                <w:highlight w:val="none"/>
                <w:lang w:val="en-US" w:eastAsia="zh-CN"/>
              </w:rPr>
              <w:t>同时投二个标段的</w:t>
            </w:r>
            <w:r>
              <w:rPr>
                <w:rFonts w:hint="eastAsia" w:ascii="方正粗黑宋简体" w:hAnsi="方正粗黑宋简体" w:eastAsia="方正粗黑宋简体" w:cs="方正粗黑宋简体"/>
                <w:b/>
                <w:bCs/>
                <w:color w:val="auto"/>
                <w:szCs w:val="21"/>
                <w:highlight w:val="none"/>
              </w:rPr>
              <w:t>，</w:t>
            </w:r>
            <w:r>
              <w:rPr>
                <w:rFonts w:hint="eastAsia" w:ascii="方正粗黑宋简体" w:hAnsi="方正粗黑宋简体" w:eastAsia="方正粗黑宋简体" w:cs="方正粗黑宋简体"/>
                <w:b/>
                <w:bCs/>
                <w:color w:val="auto"/>
                <w:szCs w:val="21"/>
                <w:highlight w:val="none"/>
                <w:lang w:val="en-US" w:eastAsia="zh-CN"/>
              </w:rPr>
              <w:t>必须分别上传商务响应</w:t>
            </w:r>
            <w:r>
              <w:rPr>
                <w:rFonts w:hint="eastAsia" w:ascii="方正粗黑宋简体" w:hAnsi="方正粗黑宋简体" w:eastAsia="方正粗黑宋简体" w:cs="方正粗黑宋简体"/>
                <w:b/>
                <w:bCs/>
                <w:color w:val="auto"/>
                <w:szCs w:val="21"/>
                <w:highlight w:val="none"/>
              </w:rPr>
              <w:t>文件</w:t>
            </w:r>
            <w:r>
              <w:rPr>
                <w:rFonts w:hint="eastAsia" w:ascii="方正粗黑宋简体" w:hAnsi="方正粗黑宋简体" w:eastAsia="方正粗黑宋简体" w:cs="方正粗黑宋简体"/>
                <w:b/>
                <w:bCs/>
                <w:color w:val="auto"/>
                <w:szCs w:val="21"/>
                <w:highlight w:val="none"/>
                <w:lang w:eastAsia="zh-CN"/>
              </w:rPr>
              <w:t>（</w:t>
            </w:r>
            <w:r>
              <w:rPr>
                <w:rFonts w:hint="eastAsia" w:ascii="方正粗黑宋简体" w:hAnsi="方正粗黑宋简体" w:eastAsia="方正粗黑宋简体" w:cs="方正粗黑宋简体"/>
                <w:b/>
                <w:bCs/>
                <w:color w:val="auto"/>
                <w:szCs w:val="21"/>
                <w:highlight w:val="none"/>
                <w:lang w:val="en-US" w:eastAsia="zh-CN"/>
              </w:rPr>
              <w:t>即一个标段一套响应文件）；同时投二个标的，项目实施人同可为同一套人员。</w:t>
            </w:r>
          </w:p>
        </w:tc>
      </w:tr>
      <w:tr w14:paraId="3B139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5" w:type="dxa"/>
            <w:vMerge w:val="continue"/>
            <w:vAlign w:val="center"/>
          </w:tcPr>
          <w:p w14:paraId="60F4C5B0">
            <w:pPr>
              <w:spacing w:line="360" w:lineRule="auto"/>
              <w:jc w:val="center"/>
              <w:rPr>
                <w:rFonts w:ascii="宋体" w:hAnsi="宋体" w:cs="宋体"/>
                <w:color w:val="auto"/>
                <w:sz w:val="24"/>
                <w:szCs w:val="24"/>
                <w:highlight w:val="none"/>
              </w:rPr>
            </w:pPr>
          </w:p>
        </w:tc>
        <w:tc>
          <w:tcPr>
            <w:tcW w:w="2186" w:type="dxa"/>
            <w:vAlign w:val="center"/>
          </w:tcPr>
          <w:p w14:paraId="34BD40A3">
            <w:pP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商务</w:t>
            </w:r>
            <w:r>
              <w:rPr>
                <w:rFonts w:hint="eastAsia" w:ascii="宋体" w:hAnsi="宋体" w:cs="宋体"/>
                <w:b/>
                <w:bCs/>
                <w:color w:val="auto"/>
                <w:sz w:val="24"/>
                <w:szCs w:val="24"/>
                <w:highlight w:val="none"/>
                <w:lang w:val="en-US" w:eastAsia="zh-CN"/>
              </w:rPr>
              <w:t>技术</w:t>
            </w:r>
            <w:r>
              <w:rPr>
                <w:rFonts w:hint="eastAsia" w:ascii="宋体" w:hAnsi="宋体" w:cs="宋体"/>
                <w:b/>
                <w:bCs/>
                <w:color w:val="auto"/>
                <w:sz w:val="24"/>
                <w:szCs w:val="24"/>
                <w:highlight w:val="none"/>
              </w:rPr>
              <w:t>文件组成</w:t>
            </w:r>
          </w:p>
        </w:tc>
        <w:tc>
          <w:tcPr>
            <w:tcW w:w="6454" w:type="dxa"/>
            <w:vMerge w:val="continue"/>
            <w:vAlign w:val="center"/>
          </w:tcPr>
          <w:p w14:paraId="07A49B68">
            <w:pPr>
              <w:pStyle w:val="13"/>
              <w:rPr>
                <w:color w:val="auto"/>
                <w:highlight w:val="none"/>
              </w:rPr>
            </w:pPr>
          </w:p>
        </w:tc>
      </w:tr>
      <w:tr w14:paraId="120E1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5" w:type="dxa"/>
            <w:vAlign w:val="center"/>
          </w:tcPr>
          <w:p w14:paraId="4B047FA7">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12.1.</w:t>
            </w:r>
            <w:r>
              <w:rPr>
                <w:rFonts w:hint="eastAsia" w:ascii="宋体" w:hAnsi="宋体" w:cs="宋体"/>
                <w:color w:val="auto"/>
                <w:sz w:val="24"/>
                <w:szCs w:val="24"/>
                <w:highlight w:val="none"/>
                <w:lang w:val="en-US" w:eastAsia="zh-CN"/>
              </w:rPr>
              <w:t>3</w:t>
            </w:r>
          </w:p>
        </w:tc>
        <w:tc>
          <w:tcPr>
            <w:tcW w:w="2186" w:type="dxa"/>
            <w:vAlign w:val="center"/>
          </w:tcPr>
          <w:p w14:paraId="1A937C9B">
            <w:pPr>
              <w:spacing w:line="360" w:lineRule="auto"/>
              <w:jc w:val="center"/>
              <w:rPr>
                <w:rFonts w:ascii="宋体" w:hAnsi="宋体" w:cs="宋体"/>
                <w:color w:val="auto"/>
                <w:sz w:val="24"/>
                <w:szCs w:val="24"/>
                <w:highlight w:val="none"/>
              </w:rPr>
            </w:pPr>
            <w:r>
              <w:rPr>
                <w:rFonts w:hint="eastAsia" w:ascii="宋体" w:hAnsi="宋体" w:cs="宋体"/>
                <w:b/>
                <w:bCs/>
                <w:color w:val="auto"/>
                <w:sz w:val="24"/>
                <w:szCs w:val="24"/>
                <w:highlight w:val="none"/>
              </w:rPr>
              <w:t>报价文件组成</w:t>
            </w:r>
          </w:p>
        </w:tc>
        <w:tc>
          <w:tcPr>
            <w:tcW w:w="6454" w:type="dxa"/>
            <w:vAlign w:val="center"/>
          </w:tcPr>
          <w:p w14:paraId="35C30FCB">
            <w:pPr>
              <w:tabs>
                <w:tab w:val="left" w:pos="459"/>
              </w:tabs>
              <w:spacing w:line="360" w:lineRule="auto"/>
              <w:jc w:val="left"/>
              <w:rPr>
                <w:rFonts w:hint="eastAsia"/>
                <w:color w:val="auto"/>
                <w:sz w:val="24"/>
                <w:szCs w:val="24"/>
                <w:highlight w:val="none"/>
              </w:rPr>
            </w:pPr>
            <w:r>
              <w:rPr>
                <w:rFonts w:hint="eastAsia"/>
                <w:color w:val="auto"/>
                <w:sz w:val="24"/>
                <w:szCs w:val="24"/>
                <w:highlight w:val="none"/>
              </w:rPr>
              <w:t>1.响应函；</w:t>
            </w:r>
            <w:r>
              <w:rPr>
                <w:rFonts w:hint="eastAsia"/>
                <w:b/>
                <w:bCs/>
                <w:color w:val="auto"/>
                <w:sz w:val="24"/>
                <w:szCs w:val="24"/>
                <w:highlight w:val="none"/>
              </w:rPr>
              <w:t>（必须提供，否则作无效响应处理）</w:t>
            </w:r>
          </w:p>
          <w:p w14:paraId="0F027BAC">
            <w:pPr>
              <w:tabs>
                <w:tab w:val="left" w:pos="459"/>
              </w:tabs>
              <w:spacing w:line="360" w:lineRule="auto"/>
              <w:jc w:val="left"/>
              <w:rPr>
                <w:rFonts w:hint="eastAsia"/>
                <w:color w:val="auto"/>
                <w:sz w:val="24"/>
                <w:szCs w:val="24"/>
                <w:highlight w:val="none"/>
              </w:rPr>
            </w:pPr>
            <w:r>
              <w:rPr>
                <w:rFonts w:hint="eastAsia"/>
                <w:color w:val="auto"/>
                <w:sz w:val="24"/>
                <w:szCs w:val="24"/>
                <w:highlight w:val="none"/>
              </w:rPr>
              <w:t>2.响应报价表；</w:t>
            </w:r>
            <w:r>
              <w:rPr>
                <w:rFonts w:hint="eastAsia"/>
                <w:b/>
                <w:bCs/>
                <w:color w:val="auto"/>
                <w:sz w:val="24"/>
                <w:szCs w:val="24"/>
                <w:highlight w:val="none"/>
              </w:rPr>
              <w:t>（必须提供，否则响应文件按无效响应处理）</w:t>
            </w:r>
          </w:p>
          <w:p w14:paraId="10724A6B">
            <w:pPr>
              <w:spacing w:line="360" w:lineRule="auto"/>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供应商为中小微企业或者监狱企业或者残疾人福利性单位的资格证明材料[供应商为中小微企业的应当提供《中小企业声明函》；供应商为残疾人福利性单位的应当提供《残疾人福利性单位声明函》；供应商为监狱企业的应当提供由省级以上监狱管理局、戒毒管理局(含新疆生产建设兵团)出具的属于监狱企业的证明文件] (声明函格式后附)；</w:t>
            </w:r>
          </w:p>
          <w:p w14:paraId="403EBCA9">
            <w:pPr>
              <w:tabs>
                <w:tab w:val="left" w:pos="459"/>
              </w:tabs>
              <w:spacing w:line="360" w:lineRule="auto"/>
              <w:jc w:val="left"/>
              <w:rPr>
                <w:rFonts w:hint="eastAsia"/>
                <w:b w:val="0"/>
                <w:bCs w:val="0"/>
                <w:strike w:val="0"/>
                <w:color w:val="auto"/>
                <w:sz w:val="24"/>
                <w:szCs w:val="24"/>
                <w:highlight w:val="none"/>
              </w:rPr>
            </w:pPr>
            <w:r>
              <w:rPr>
                <w:rFonts w:hint="eastAsia"/>
                <w:b w:val="0"/>
                <w:bCs w:val="0"/>
                <w:strike w:val="0"/>
                <w:color w:val="auto"/>
                <w:sz w:val="24"/>
                <w:szCs w:val="24"/>
                <w:highlight w:val="none"/>
                <w:lang w:val="en-US" w:eastAsia="zh-CN"/>
              </w:rPr>
              <w:t>4</w:t>
            </w:r>
            <w:r>
              <w:rPr>
                <w:rFonts w:hint="eastAsia"/>
                <w:b w:val="0"/>
                <w:bCs w:val="0"/>
                <w:strike w:val="0"/>
                <w:color w:val="auto"/>
                <w:sz w:val="24"/>
                <w:szCs w:val="24"/>
                <w:highlight w:val="none"/>
              </w:rPr>
              <w:t>.供应商认为需要提供的其他有关资料。</w:t>
            </w:r>
          </w:p>
          <w:p w14:paraId="47C2726A">
            <w:pPr>
              <w:tabs>
                <w:tab w:val="left" w:pos="459"/>
              </w:tabs>
              <w:spacing w:line="360" w:lineRule="auto"/>
              <w:jc w:val="left"/>
              <w:rPr>
                <w:rFonts w:hint="eastAsia"/>
                <w:b/>
                <w:bCs/>
                <w:color w:val="auto"/>
                <w:sz w:val="24"/>
                <w:szCs w:val="24"/>
                <w:highlight w:val="none"/>
              </w:rPr>
            </w:pPr>
            <w:r>
              <w:rPr>
                <w:rFonts w:hint="eastAsia"/>
                <w:b/>
                <w:bCs/>
                <w:color w:val="auto"/>
                <w:sz w:val="24"/>
                <w:szCs w:val="24"/>
                <w:highlight w:val="none"/>
              </w:rPr>
              <w:t>注：以上标明“必须提供”的材料属于复印件的扫描件的，必须加盖供应商电子公章，否则响应文件按无效响应处理。</w:t>
            </w:r>
          </w:p>
          <w:p w14:paraId="7B024CA4">
            <w:pPr>
              <w:pStyle w:val="13"/>
              <w:rPr>
                <w:color w:val="auto"/>
                <w:highlight w:val="none"/>
              </w:rPr>
            </w:pPr>
            <w:r>
              <w:rPr>
                <w:rFonts w:hint="eastAsia" w:ascii="方正粗黑宋简体" w:hAnsi="方正粗黑宋简体" w:eastAsia="方正粗黑宋简体" w:cs="方正粗黑宋简体"/>
                <w:b/>
                <w:bCs/>
                <w:color w:val="auto"/>
                <w:szCs w:val="21"/>
                <w:highlight w:val="none"/>
              </w:rPr>
              <w:t>如</w:t>
            </w:r>
            <w:r>
              <w:rPr>
                <w:rFonts w:hint="eastAsia" w:ascii="方正粗黑宋简体" w:hAnsi="方正粗黑宋简体" w:eastAsia="方正粗黑宋简体" w:cs="方正粗黑宋简体"/>
                <w:b/>
                <w:bCs/>
                <w:color w:val="auto"/>
                <w:szCs w:val="21"/>
                <w:highlight w:val="none"/>
                <w:lang w:val="en-US" w:eastAsia="zh-CN"/>
              </w:rPr>
              <w:t>同时投二个标段的</w:t>
            </w:r>
            <w:r>
              <w:rPr>
                <w:rFonts w:hint="eastAsia" w:ascii="方正粗黑宋简体" w:hAnsi="方正粗黑宋简体" w:eastAsia="方正粗黑宋简体" w:cs="方正粗黑宋简体"/>
                <w:b/>
                <w:bCs/>
                <w:color w:val="auto"/>
                <w:szCs w:val="21"/>
                <w:highlight w:val="none"/>
              </w:rPr>
              <w:t>，</w:t>
            </w:r>
            <w:r>
              <w:rPr>
                <w:rFonts w:hint="eastAsia" w:ascii="方正粗黑宋简体" w:hAnsi="方正粗黑宋简体" w:eastAsia="方正粗黑宋简体" w:cs="方正粗黑宋简体"/>
                <w:b/>
                <w:bCs/>
                <w:color w:val="auto"/>
                <w:szCs w:val="21"/>
                <w:highlight w:val="none"/>
                <w:lang w:val="en-US" w:eastAsia="zh-CN"/>
              </w:rPr>
              <w:t>必须分别上传报价响应</w:t>
            </w:r>
            <w:r>
              <w:rPr>
                <w:rFonts w:hint="eastAsia" w:ascii="方正粗黑宋简体" w:hAnsi="方正粗黑宋简体" w:eastAsia="方正粗黑宋简体" w:cs="方正粗黑宋简体"/>
                <w:b/>
                <w:bCs/>
                <w:color w:val="auto"/>
                <w:szCs w:val="21"/>
                <w:highlight w:val="none"/>
              </w:rPr>
              <w:t>文件</w:t>
            </w:r>
            <w:r>
              <w:rPr>
                <w:rFonts w:hint="eastAsia" w:ascii="方正粗黑宋简体" w:hAnsi="方正粗黑宋简体" w:eastAsia="方正粗黑宋简体" w:cs="方正粗黑宋简体"/>
                <w:b/>
                <w:bCs/>
                <w:color w:val="auto"/>
                <w:szCs w:val="21"/>
                <w:highlight w:val="none"/>
                <w:lang w:eastAsia="zh-CN"/>
              </w:rPr>
              <w:t>（</w:t>
            </w:r>
            <w:r>
              <w:rPr>
                <w:rFonts w:hint="eastAsia" w:ascii="方正粗黑宋简体" w:hAnsi="方正粗黑宋简体" w:eastAsia="方正粗黑宋简体" w:cs="方正粗黑宋简体"/>
                <w:b/>
                <w:bCs/>
                <w:color w:val="auto"/>
                <w:szCs w:val="21"/>
                <w:highlight w:val="none"/>
                <w:lang w:val="en-US" w:eastAsia="zh-CN"/>
              </w:rPr>
              <w:t>即一个标段一套响应文件）；同时投二个标的，项目实施人同可为同一套人员。</w:t>
            </w:r>
          </w:p>
        </w:tc>
      </w:tr>
      <w:tr w14:paraId="47DCE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5" w:type="dxa"/>
            <w:vAlign w:val="center"/>
          </w:tcPr>
          <w:p w14:paraId="1227D5CF">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12.2</w:t>
            </w:r>
          </w:p>
        </w:tc>
        <w:tc>
          <w:tcPr>
            <w:tcW w:w="2186" w:type="dxa"/>
            <w:vAlign w:val="center"/>
          </w:tcPr>
          <w:p w14:paraId="7EC0635C">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响应文件电子版要求</w:t>
            </w:r>
          </w:p>
        </w:tc>
        <w:tc>
          <w:tcPr>
            <w:tcW w:w="6454" w:type="dxa"/>
            <w:vAlign w:val="center"/>
          </w:tcPr>
          <w:p w14:paraId="40BE7C4F">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1.响应文件电子版要求：按照本采购文件“第五章 响应文件格式”编写（第五章未附格式的，由供应商自行拟定），不可涂改并在规定加盖公章处加盖电子公章，</w:t>
            </w:r>
            <w:r>
              <w:rPr>
                <w:rFonts w:hint="eastAsia" w:ascii="宋体" w:hAnsi="宋体" w:cs="宋体"/>
                <w:b/>
                <w:color w:val="auto"/>
                <w:sz w:val="24"/>
                <w:szCs w:val="24"/>
                <w:highlight w:val="none"/>
              </w:rPr>
              <w:t>否则响应文件按无效响应处理</w:t>
            </w:r>
            <w:r>
              <w:rPr>
                <w:rFonts w:hint="eastAsia" w:ascii="宋体" w:hAnsi="宋体" w:cs="宋体"/>
                <w:color w:val="auto"/>
                <w:sz w:val="24"/>
                <w:szCs w:val="24"/>
                <w:highlight w:val="none"/>
              </w:rPr>
              <w:t>。</w:t>
            </w:r>
          </w:p>
          <w:p w14:paraId="56E9D08A">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2.响应文件电子版密封方式：电子响应文件通过平台有效CA加密后在“采购云”平台投送。（操作方式见公告“电子响应文件具体操作流程” ）</w:t>
            </w:r>
          </w:p>
        </w:tc>
      </w:tr>
      <w:tr w14:paraId="79CCD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5" w:type="dxa"/>
            <w:vAlign w:val="center"/>
          </w:tcPr>
          <w:p w14:paraId="0427C31E">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15.2</w:t>
            </w:r>
          </w:p>
        </w:tc>
        <w:tc>
          <w:tcPr>
            <w:tcW w:w="2186" w:type="dxa"/>
            <w:vAlign w:val="center"/>
          </w:tcPr>
          <w:p w14:paraId="2DE85851">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响应报价要求</w:t>
            </w:r>
          </w:p>
        </w:tc>
        <w:tc>
          <w:tcPr>
            <w:tcW w:w="6454" w:type="dxa"/>
            <w:vAlign w:val="center"/>
          </w:tcPr>
          <w:p w14:paraId="6266F37B">
            <w:pPr>
              <w:pStyle w:val="18"/>
              <w:spacing w:line="420" w:lineRule="exact"/>
              <w:rPr>
                <w:rFonts w:hint="eastAsia" w:ascii="方正粗黑宋简体" w:hAnsi="方正粗黑宋简体" w:eastAsia="方正粗黑宋简体" w:cs="方正粗黑宋简体"/>
                <w:b/>
                <w:bCs/>
                <w:color w:val="auto"/>
                <w:sz w:val="24"/>
                <w:szCs w:val="24"/>
                <w:highlight w:val="none"/>
              </w:rPr>
            </w:pPr>
            <w:r>
              <w:rPr>
                <w:rFonts w:hint="eastAsia" w:ascii="方正粗黑宋简体" w:hAnsi="方正粗黑宋简体" w:eastAsia="方正粗黑宋简体" w:cs="方正粗黑宋简体"/>
                <w:b/>
                <w:bCs/>
                <w:color w:val="auto"/>
                <w:sz w:val="24"/>
                <w:szCs w:val="24"/>
                <w:highlight w:val="none"/>
                <w:lang w:val="en-US" w:eastAsia="zh-CN"/>
              </w:rPr>
              <w:t>1、</w:t>
            </w:r>
            <w:r>
              <w:rPr>
                <w:rFonts w:hint="eastAsia" w:ascii="方正粗黑宋简体" w:hAnsi="方正粗黑宋简体" w:eastAsia="方正粗黑宋简体" w:cs="方正粗黑宋简体"/>
                <w:b/>
                <w:bCs/>
                <w:color w:val="auto"/>
                <w:sz w:val="24"/>
                <w:szCs w:val="24"/>
                <w:highlight w:val="none"/>
              </w:rPr>
              <w:t>竞标报价方式：本项目按折扣率进行报价。</w:t>
            </w:r>
          </w:p>
          <w:p w14:paraId="0A9FC5D9">
            <w:pPr>
              <w:pStyle w:val="18"/>
              <w:spacing w:line="420" w:lineRule="exact"/>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 xml:space="preserve">2、有效报价：0 </w:t>
            </w:r>
            <w:r>
              <w:rPr>
                <w:rFonts w:hint="eastAsia" w:ascii="宋体" w:hAnsi="宋体" w:eastAsia="宋体" w:cs="宋体"/>
                <w:b/>
                <w:bCs/>
                <w:color w:val="auto"/>
                <w:sz w:val="24"/>
                <w:szCs w:val="24"/>
                <w:highlight w:val="none"/>
              </w:rPr>
              <w:t>&lt;</w:t>
            </w:r>
            <w:r>
              <w:rPr>
                <w:rFonts w:hint="eastAsia" w:ascii="宋体" w:hAnsi="宋体" w:eastAsia="宋体" w:cs="宋体"/>
                <w:b/>
                <w:bCs/>
                <w:color w:val="auto"/>
                <w:sz w:val="24"/>
                <w:szCs w:val="24"/>
                <w:highlight w:val="none"/>
                <w:lang w:val="en-US" w:eastAsia="zh-CN"/>
              </w:rPr>
              <w:t xml:space="preserve"> </w:t>
            </w:r>
            <w:r>
              <w:rPr>
                <w:rFonts w:hint="eastAsia" w:ascii="宋体" w:hAnsi="宋体"/>
                <w:b/>
                <w:bCs/>
                <w:color w:val="auto"/>
                <w:sz w:val="24"/>
                <w:szCs w:val="24"/>
                <w:highlight w:val="none"/>
                <w:lang w:val="en-US" w:eastAsia="zh-CN"/>
              </w:rPr>
              <w:t>有效报价（</w:t>
            </w:r>
            <w:r>
              <w:rPr>
                <w:rFonts w:hint="eastAsia" w:ascii="宋体" w:hAnsi="宋体"/>
                <w:b/>
                <w:bCs/>
                <w:color w:val="auto"/>
                <w:sz w:val="24"/>
                <w:szCs w:val="24"/>
                <w:highlight w:val="none"/>
              </w:rPr>
              <w:t>折扣率</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范围</w:t>
            </w:r>
            <w:r>
              <w:rPr>
                <w:rFonts w:hint="eastAsia" w:ascii="宋体" w:hAnsi="宋体" w:eastAsia="宋体" w:cs="宋体"/>
                <w:b/>
                <w:bCs/>
                <w:color w:val="auto"/>
                <w:sz w:val="24"/>
                <w:szCs w:val="24"/>
                <w:highlight w:val="none"/>
              </w:rPr>
              <w:t>≦</w:t>
            </w:r>
            <w:r>
              <w:rPr>
                <w:rFonts w:hint="eastAsia" w:ascii="宋体" w:hAnsi="宋体"/>
                <w:b/>
                <w:bCs/>
                <w:color w:val="auto"/>
                <w:sz w:val="24"/>
                <w:szCs w:val="24"/>
                <w:highlight w:val="none"/>
              </w:rPr>
              <w:t>1</w:t>
            </w:r>
            <w:r>
              <w:rPr>
                <w:rFonts w:hint="eastAsia" w:ascii="宋体" w:hAnsi="宋体"/>
                <w:b/>
                <w:bCs/>
                <w:color w:val="auto"/>
                <w:sz w:val="24"/>
                <w:szCs w:val="24"/>
                <w:highlight w:val="none"/>
                <w:lang w:val="en-US" w:eastAsia="zh-CN"/>
              </w:rPr>
              <w:t>；</w:t>
            </w:r>
            <w:r>
              <w:rPr>
                <w:rFonts w:hint="eastAsia" w:ascii="宋体" w:hAnsi="宋体"/>
                <w:b/>
                <w:bCs/>
                <w:color w:val="auto"/>
                <w:sz w:val="24"/>
                <w:szCs w:val="24"/>
                <w:highlight w:val="none"/>
              </w:rPr>
              <w:t>竞标报价</w:t>
            </w:r>
            <w:r>
              <w:rPr>
                <w:rFonts w:hint="eastAsia" w:ascii="宋体" w:hAnsi="宋体"/>
                <w:b/>
                <w:bCs/>
                <w:color w:val="auto"/>
                <w:sz w:val="24"/>
                <w:szCs w:val="24"/>
                <w:highlight w:val="none"/>
                <w:lang w:val="en-US" w:eastAsia="zh-CN"/>
              </w:rPr>
              <w:t>不在有效范围</w:t>
            </w:r>
            <w:r>
              <w:rPr>
                <w:rFonts w:hint="eastAsia" w:ascii="宋体" w:hAnsi="宋体"/>
                <w:b/>
                <w:bCs/>
                <w:color w:val="auto"/>
                <w:sz w:val="24"/>
                <w:szCs w:val="24"/>
                <w:highlight w:val="none"/>
              </w:rPr>
              <w:t>的作无效竞标处理。</w:t>
            </w:r>
          </w:p>
          <w:p w14:paraId="6735275D">
            <w:pPr>
              <w:pStyle w:val="18"/>
              <w:spacing w:line="420" w:lineRule="exact"/>
              <w:rPr>
                <w:rFonts w:hint="eastAsia" w:hAnsi="宋体" w:eastAsia="宋体" w:cs="宋体"/>
                <w:color w:val="auto"/>
                <w:sz w:val="24"/>
                <w:szCs w:val="24"/>
                <w:highlight w:val="none"/>
              </w:rPr>
            </w:pPr>
            <w:r>
              <w:rPr>
                <w:rFonts w:hint="eastAsia" w:ascii="宋体" w:hAnsi="宋体" w:eastAsia="宋体"/>
                <w:b/>
                <w:bCs/>
                <w:color w:val="auto"/>
                <w:sz w:val="24"/>
                <w:szCs w:val="24"/>
                <w:highlight w:val="none"/>
                <w:lang w:val="en-US" w:eastAsia="zh-CN"/>
              </w:rPr>
              <w:t>3、</w:t>
            </w:r>
            <w:r>
              <w:rPr>
                <w:rFonts w:hint="eastAsia" w:hAnsi="宋体" w:eastAsia="宋体" w:cs="宋体"/>
                <w:color w:val="auto"/>
                <w:sz w:val="24"/>
                <w:szCs w:val="24"/>
                <w:highlight w:val="none"/>
              </w:rPr>
              <w:t>供应商必须就《采购内容及要求》中的项目和服务内容可能发生的费用作唯一完整报价。（本项目只允许递交一个方案的报价，不接受任何有选择性的报价。）</w:t>
            </w:r>
          </w:p>
          <w:p w14:paraId="2B887D2E">
            <w:pPr>
              <w:pStyle w:val="18"/>
              <w:spacing w:line="420" w:lineRule="exact"/>
              <w:rPr>
                <w:rFonts w:hint="eastAsia" w:ascii="宋体" w:hAnsi="宋体" w:cs="宋体"/>
                <w:b/>
                <w:color w:val="auto"/>
                <w:sz w:val="24"/>
                <w:szCs w:val="24"/>
                <w:highlight w:val="none"/>
              </w:rPr>
            </w:pPr>
            <w:r>
              <w:rPr>
                <w:rFonts w:hint="eastAsia" w:ascii="宋体" w:hAnsi="宋体" w:eastAsia="宋体" w:cs="宋体"/>
                <w:color w:val="auto"/>
                <w:sz w:val="24"/>
                <w:highlight w:val="none"/>
              </w:rPr>
              <w:t>竞标报价应为实施本项目所需的所有费用，包含采购、制造、改造、包装、运输、劳务、管理、利润、税金、保险、协调、装卸、调试、培训、售后服务费用以及相关文件规定及合同包含的所有风险、责任等</w:t>
            </w:r>
            <w:r>
              <w:rPr>
                <w:rFonts w:hint="eastAsia" w:ascii="宋体" w:hAnsi="宋体" w:eastAsia="宋体" w:cs="宋体"/>
                <w:color w:val="auto"/>
                <w:sz w:val="24"/>
                <w:szCs w:val="24"/>
                <w:highlight w:val="none"/>
              </w:rPr>
              <w:t>。</w:t>
            </w:r>
            <w:r>
              <w:rPr>
                <w:rFonts w:hint="eastAsia" w:ascii="宋体" w:hAnsi="宋体" w:cs="宋体"/>
                <w:b/>
                <w:color w:val="auto"/>
                <w:sz w:val="24"/>
                <w:szCs w:val="24"/>
                <w:highlight w:val="none"/>
              </w:rPr>
              <w:t>（采购需求另有约定的，从其约定。）</w:t>
            </w:r>
          </w:p>
          <w:p w14:paraId="26F39CF9">
            <w:pPr>
              <w:pStyle w:val="18"/>
              <w:spacing w:line="420" w:lineRule="exact"/>
              <w:rPr>
                <w:rFonts w:hAnsi="宋体" w:cs="宋体"/>
                <w:b/>
                <w:bCs w:val="0"/>
                <w:color w:val="auto"/>
                <w:sz w:val="24"/>
                <w:szCs w:val="24"/>
                <w:highlight w:val="none"/>
              </w:rPr>
            </w:pPr>
            <w:r>
              <w:rPr>
                <w:rFonts w:hint="eastAsia" w:hAnsi="宋体" w:cs="宋体"/>
                <w:b/>
                <w:bCs w:val="0"/>
                <w:color w:val="auto"/>
                <w:sz w:val="24"/>
                <w:szCs w:val="24"/>
                <w:highlight w:val="none"/>
              </w:rPr>
              <w:t>最终</w:t>
            </w:r>
            <w:r>
              <w:rPr>
                <w:rFonts w:hAnsi="宋体" w:cs="宋体"/>
                <w:b/>
                <w:bCs w:val="0"/>
                <w:color w:val="auto"/>
                <w:sz w:val="24"/>
                <w:szCs w:val="24"/>
                <w:highlight w:val="none"/>
              </w:rPr>
              <w:t>结算</w:t>
            </w:r>
            <w:r>
              <w:rPr>
                <w:rFonts w:hint="eastAsia" w:hAnsi="宋体" w:cs="宋体"/>
                <w:b/>
                <w:bCs w:val="0"/>
                <w:color w:val="auto"/>
                <w:sz w:val="24"/>
                <w:szCs w:val="24"/>
                <w:highlight w:val="none"/>
                <w:lang w:val="en-US" w:eastAsia="zh-CN"/>
              </w:rPr>
              <w:t>价</w:t>
            </w:r>
            <w:r>
              <w:rPr>
                <w:rFonts w:hint="eastAsia" w:hAnsi="宋体" w:cs="宋体"/>
                <w:b/>
                <w:bCs w:val="0"/>
                <w:color w:val="auto"/>
                <w:sz w:val="24"/>
                <w:szCs w:val="24"/>
                <w:highlight w:val="none"/>
              </w:rPr>
              <w:t>款</w:t>
            </w:r>
            <w:r>
              <w:rPr>
                <w:rFonts w:hAnsi="宋体" w:cs="宋体"/>
                <w:b/>
                <w:bCs w:val="0"/>
                <w:color w:val="auto"/>
                <w:sz w:val="24"/>
                <w:szCs w:val="24"/>
                <w:highlight w:val="none"/>
              </w:rPr>
              <w:t>=</w:t>
            </w:r>
            <w:r>
              <w:rPr>
                <w:rFonts w:hint="eastAsia" w:hAnsi="宋体" w:cs="宋体"/>
                <w:b/>
                <w:bCs w:val="0"/>
                <w:color w:val="auto"/>
                <w:sz w:val="24"/>
                <w:szCs w:val="24"/>
                <w:highlight w:val="none"/>
              </w:rPr>
              <w:t>实际</w:t>
            </w:r>
            <w:r>
              <w:rPr>
                <w:rFonts w:hAnsi="宋体" w:cs="宋体"/>
                <w:b/>
                <w:bCs w:val="0"/>
                <w:color w:val="auto"/>
                <w:sz w:val="24"/>
                <w:szCs w:val="24"/>
                <w:highlight w:val="none"/>
              </w:rPr>
              <w:t>订购图书码洋</w:t>
            </w:r>
            <w:r>
              <w:rPr>
                <w:rFonts w:hint="eastAsia" w:hAnsi="宋体" w:cs="宋体"/>
                <w:b/>
                <w:bCs w:val="0"/>
                <w:color w:val="auto"/>
                <w:sz w:val="24"/>
                <w:szCs w:val="24"/>
                <w:highlight w:val="none"/>
              </w:rPr>
              <w:t>总额*折扣</w:t>
            </w:r>
            <w:r>
              <w:rPr>
                <w:rFonts w:hAnsi="宋体" w:cs="宋体"/>
                <w:b/>
                <w:bCs w:val="0"/>
                <w:color w:val="auto"/>
                <w:sz w:val="24"/>
                <w:szCs w:val="24"/>
                <w:highlight w:val="none"/>
              </w:rPr>
              <w:t>率</w:t>
            </w:r>
          </w:p>
          <w:p w14:paraId="7CDEEA24">
            <w:pPr>
              <w:pStyle w:val="18"/>
              <w:spacing w:line="420" w:lineRule="exact"/>
              <w:rPr>
                <w:color w:val="auto"/>
                <w:highlight w:val="none"/>
              </w:rPr>
            </w:pPr>
            <w:r>
              <w:rPr>
                <w:rFonts w:hint="eastAsia" w:hAnsi="宋体"/>
                <w:b/>
                <w:bCs w:val="0"/>
                <w:color w:val="auto"/>
                <w:sz w:val="24"/>
                <w:szCs w:val="24"/>
                <w:highlight w:val="none"/>
              </w:rPr>
              <w:t>折扣率是指按原价的若干成计价</w:t>
            </w:r>
            <w:r>
              <w:rPr>
                <w:rFonts w:hint="eastAsia" w:hAnsi="宋体"/>
                <w:b/>
                <w:bCs w:val="0"/>
                <w:color w:val="auto"/>
                <w:sz w:val="24"/>
                <w:szCs w:val="24"/>
                <w:highlight w:val="none"/>
                <w:lang w:eastAsia="zh-CN"/>
              </w:rPr>
              <w:t>，</w:t>
            </w:r>
            <w:r>
              <w:rPr>
                <w:rFonts w:hint="eastAsia" w:hAnsi="宋体"/>
                <w:b/>
                <w:bCs w:val="0"/>
                <w:color w:val="auto"/>
                <w:sz w:val="24"/>
                <w:szCs w:val="24"/>
                <w:highlight w:val="none"/>
                <w:lang w:val="en-US" w:eastAsia="zh-CN"/>
              </w:rPr>
              <w:t>例</w:t>
            </w:r>
            <w:r>
              <w:rPr>
                <w:rFonts w:hint="eastAsia" w:hAnsi="宋体"/>
                <w:b/>
                <w:bCs w:val="0"/>
                <w:color w:val="auto"/>
                <w:sz w:val="24"/>
                <w:szCs w:val="24"/>
                <w:highlight w:val="none"/>
              </w:rPr>
              <w:t>如</w:t>
            </w:r>
            <w:r>
              <w:rPr>
                <w:rFonts w:hint="eastAsia" w:hAnsi="宋体"/>
                <w:b/>
                <w:bCs w:val="0"/>
                <w:color w:val="auto"/>
                <w:sz w:val="24"/>
                <w:szCs w:val="24"/>
                <w:highlight w:val="none"/>
                <w:lang w:val="en-US" w:eastAsia="zh-CN"/>
              </w:rPr>
              <w:t>成交</w:t>
            </w:r>
            <w:r>
              <w:rPr>
                <w:rFonts w:hint="eastAsia" w:hAnsi="宋体"/>
                <w:b/>
                <w:bCs w:val="0"/>
                <w:color w:val="auto"/>
                <w:sz w:val="24"/>
                <w:szCs w:val="24"/>
                <w:highlight w:val="none"/>
                <w:lang w:eastAsia="zh-CN"/>
              </w:rPr>
              <w:t>折扣率</w:t>
            </w:r>
            <w:r>
              <w:rPr>
                <w:rFonts w:hint="eastAsia" w:hAnsi="宋体"/>
                <w:b/>
                <w:bCs w:val="0"/>
                <w:color w:val="auto"/>
                <w:sz w:val="24"/>
                <w:szCs w:val="24"/>
                <w:highlight w:val="none"/>
                <w:lang w:val="en-US" w:eastAsia="zh-CN"/>
              </w:rPr>
              <w:t>为</w:t>
            </w:r>
            <w:r>
              <w:rPr>
                <w:rFonts w:hint="eastAsia" w:hAnsi="宋体"/>
                <w:b/>
                <w:bCs w:val="0"/>
                <w:color w:val="auto"/>
                <w:sz w:val="24"/>
                <w:szCs w:val="24"/>
                <w:highlight w:val="none"/>
              </w:rPr>
              <w:t>80%，</w:t>
            </w:r>
            <w:r>
              <w:rPr>
                <w:rFonts w:hint="eastAsia" w:hAnsi="宋体"/>
                <w:b/>
                <w:bCs w:val="0"/>
                <w:color w:val="auto"/>
                <w:sz w:val="24"/>
                <w:szCs w:val="24"/>
                <w:highlight w:val="none"/>
                <w:lang w:val="en-US" w:eastAsia="zh-CN"/>
              </w:rPr>
              <w:t>则：</w:t>
            </w:r>
            <w:r>
              <w:rPr>
                <w:rFonts w:hint="eastAsia" w:hAnsi="宋体" w:cs="宋体"/>
                <w:b/>
                <w:bCs w:val="0"/>
                <w:color w:val="auto"/>
                <w:sz w:val="24"/>
                <w:szCs w:val="24"/>
                <w:highlight w:val="none"/>
              </w:rPr>
              <w:t>最终</w:t>
            </w:r>
            <w:r>
              <w:rPr>
                <w:rFonts w:hAnsi="宋体" w:cs="宋体"/>
                <w:b/>
                <w:bCs w:val="0"/>
                <w:color w:val="auto"/>
                <w:sz w:val="24"/>
                <w:szCs w:val="24"/>
                <w:highlight w:val="none"/>
              </w:rPr>
              <w:t>结算</w:t>
            </w:r>
            <w:r>
              <w:rPr>
                <w:rFonts w:hint="eastAsia" w:hAnsi="宋体" w:cs="宋体"/>
                <w:b/>
                <w:bCs w:val="0"/>
                <w:color w:val="auto"/>
                <w:sz w:val="24"/>
                <w:szCs w:val="24"/>
                <w:highlight w:val="none"/>
                <w:lang w:val="en-US" w:eastAsia="zh-CN"/>
              </w:rPr>
              <w:t>价</w:t>
            </w:r>
            <w:r>
              <w:rPr>
                <w:rFonts w:hint="eastAsia" w:hAnsi="宋体" w:cs="宋体"/>
                <w:b/>
                <w:bCs w:val="0"/>
                <w:color w:val="auto"/>
                <w:sz w:val="24"/>
                <w:szCs w:val="24"/>
                <w:highlight w:val="none"/>
              </w:rPr>
              <w:t>款</w:t>
            </w:r>
            <w:r>
              <w:rPr>
                <w:rFonts w:hint="eastAsia" w:hAnsi="宋体" w:cs="宋体"/>
                <w:b/>
                <w:bCs w:val="0"/>
                <w:color w:val="auto"/>
                <w:sz w:val="24"/>
                <w:szCs w:val="24"/>
                <w:highlight w:val="none"/>
                <w:lang w:val="en-US" w:eastAsia="zh-CN"/>
              </w:rPr>
              <w:t>(</w:t>
            </w:r>
            <w:r>
              <w:rPr>
                <w:rFonts w:hint="eastAsia" w:hAnsi="宋体"/>
                <w:b/>
                <w:bCs w:val="0"/>
                <w:color w:val="auto"/>
                <w:sz w:val="24"/>
                <w:szCs w:val="24"/>
                <w:highlight w:val="none"/>
              </w:rPr>
              <w:t>成交价格</w:t>
            </w:r>
            <w:r>
              <w:rPr>
                <w:rFonts w:hint="eastAsia" w:hAnsi="宋体"/>
                <w:b/>
                <w:bCs w:val="0"/>
                <w:color w:val="auto"/>
                <w:sz w:val="24"/>
                <w:szCs w:val="24"/>
                <w:highlight w:val="none"/>
                <w:lang w:val="en-US" w:eastAsia="zh-CN"/>
              </w:rPr>
              <w:t>)</w:t>
            </w:r>
            <w:r>
              <w:rPr>
                <w:rFonts w:hint="eastAsia" w:hAnsi="宋体"/>
                <w:b/>
                <w:bCs w:val="0"/>
                <w:color w:val="auto"/>
                <w:sz w:val="24"/>
                <w:szCs w:val="24"/>
                <w:highlight w:val="none"/>
              </w:rPr>
              <w:t>=</w:t>
            </w:r>
            <w:r>
              <w:rPr>
                <w:rFonts w:hAnsi="宋体" w:cs="宋体"/>
                <w:b/>
                <w:bCs w:val="0"/>
                <w:color w:val="auto"/>
                <w:sz w:val="24"/>
                <w:szCs w:val="24"/>
                <w:highlight w:val="none"/>
              </w:rPr>
              <w:t>图书码洋</w:t>
            </w:r>
            <w:r>
              <w:rPr>
                <w:rFonts w:hint="eastAsia" w:hAnsi="宋体" w:cs="宋体"/>
                <w:b/>
                <w:bCs w:val="0"/>
                <w:color w:val="auto"/>
                <w:sz w:val="24"/>
                <w:szCs w:val="24"/>
                <w:highlight w:val="none"/>
              </w:rPr>
              <w:t>总额</w:t>
            </w:r>
            <w:r>
              <w:rPr>
                <w:rFonts w:hint="eastAsia" w:hAnsi="宋体"/>
                <w:b/>
                <w:bCs w:val="0"/>
                <w:color w:val="auto"/>
                <w:sz w:val="24"/>
                <w:szCs w:val="24"/>
                <w:highlight w:val="none"/>
              </w:rPr>
              <w:t>×80%。</w:t>
            </w:r>
          </w:p>
        </w:tc>
      </w:tr>
      <w:tr w14:paraId="64D25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5" w:type="dxa"/>
            <w:vAlign w:val="center"/>
          </w:tcPr>
          <w:p w14:paraId="38413BF7">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16.2</w:t>
            </w:r>
          </w:p>
        </w:tc>
        <w:tc>
          <w:tcPr>
            <w:tcW w:w="2186" w:type="dxa"/>
            <w:vAlign w:val="center"/>
          </w:tcPr>
          <w:p w14:paraId="1E55C8BD">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竞标有效期</w:t>
            </w:r>
          </w:p>
        </w:tc>
        <w:tc>
          <w:tcPr>
            <w:tcW w:w="6454" w:type="dxa"/>
            <w:vAlign w:val="center"/>
          </w:tcPr>
          <w:p w14:paraId="3C3D05D6">
            <w:pPr>
              <w:pStyle w:val="10"/>
              <w:tabs>
                <w:tab w:val="clear" w:pos="454"/>
                <w:tab w:val="clear" w:pos="720"/>
                <w:tab w:val="clear" w:pos="840"/>
              </w:tabs>
              <w:spacing w:line="360" w:lineRule="auto"/>
              <w:ind w:left="283" w:hanging="324" w:hangingChars="135"/>
              <w:rPr>
                <w:rFonts w:ascii="宋体" w:hAnsi="宋体" w:cs="宋体"/>
                <w:color w:val="auto"/>
                <w:sz w:val="24"/>
                <w:szCs w:val="24"/>
                <w:highlight w:val="none"/>
              </w:rPr>
            </w:pPr>
            <w:r>
              <w:rPr>
                <w:rFonts w:hint="eastAsia" w:ascii="宋体" w:hAnsi="宋体" w:cs="宋体"/>
                <w:color w:val="auto"/>
                <w:sz w:val="24"/>
                <w:szCs w:val="24"/>
                <w:highlight w:val="none"/>
              </w:rPr>
              <w:t>自首次响应文件提交截止之日起</w:t>
            </w:r>
            <w:r>
              <w:rPr>
                <w:rFonts w:hint="eastAsia" w:ascii="宋体" w:hAnsi="宋体" w:cs="宋体"/>
                <w:color w:val="auto"/>
                <w:sz w:val="24"/>
                <w:szCs w:val="24"/>
                <w:highlight w:val="none"/>
                <w:u w:val="single"/>
              </w:rPr>
              <w:t xml:space="preserve"> 60 </w:t>
            </w:r>
            <w:r>
              <w:rPr>
                <w:rFonts w:hint="eastAsia" w:ascii="宋体" w:hAnsi="宋体" w:cs="宋体"/>
                <w:color w:val="auto"/>
                <w:sz w:val="24"/>
                <w:szCs w:val="24"/>
                <w:highlight w:val="none"/>
              </w:rPr>
              <w:t>日。</w:t>
            </w:r>
          </w:p>
        </w:tc>
      </w:tr>
      <w:tr w14:paraId="61F68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6" w:hRule="atLeast"/>
          <w:jc w:val="center"/>
        </w:trPr>
        <w:tc>
          <w:tcPr>
            <w:tcW w:w="1195" w:type="dxa"/>
            <w:vAlign w:val="center"/>
          </w:tcPr>
          <w:p w14:paraId="6BAAAAD7">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17.1</w:t>
            </w:r>
          </w:p>
        </w:tc>
        <w:tc>
          <w:tcPr>
            <w:tcW w:w="2186" w:type="dxa"/>
            <w:vAlign w:val="center"/>
          </w:tcPr>
          <w:p w14:paraId="7AC290D4">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谈判保证金</w:t>
            </w:r>
          </w:p>
        </w:tc>
        <w:tc>
          <w:tcPr>
            <w:tcW w:w="6454" w:type="dxa"/>
            <w:vAlign w:val="center"/>
          </w:tcPr>
          <w:p w14:paraId="2C622AF2">
            <w:pPr>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本项目收取</w:t>
            </w:r>
            <w:r>
              <w:rPr>
                <w:rFonts w:hint="eastAsia" w:ascii="宋体" w:hAnsi="宋体" w:eastAsia="宋体" w:cs="宋体"/>
                <w:b/>
                <w:bCs/>
                <w:color w:val="auto"/>
                <w:sz w:val="24"/>
                <w:szCs w:val="24"/>
                <w:highlight w:val="none"/>
                <w:lang w:eastAsia="zh-CN"/>
              </w:rPr>
              <w:t>谈判</w:t>
            </w:r>
            <w:r>
              <w:rPr>
                <w:rFonts w:hint="eastAsia" w:ascii="宋体" w:hAnsi="宋体" w:eastAsia="宋体" w:cs="宋体"/>
                <w:b/>
                <w:bCs/>
                <w:color w:val="auto"/>
                <w:sz w:val="24"/>
                <w:szCs w:val="24"/>
                <w:highlight w:val="none"/>
              </w:rPr>
              <w:t>保证金，具体规定如下：</w:t>
            </w:r>
          </w:p>
          <w:p w14:paraId="3AA24CAB">
            <w:pPr>
              <w:spacing w:line="360" w:lineRule="auto"/>
              <w:jc w:val="left"/>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lang w:eastAsia="zh-CN"/>
              </w:rPr>
              <w:t>谈判</w:t>
            </w:r>
            <w:r>
              <w:rPr>
                <w:rFonts w:hint="eastAsia" w:ascii="宋体" w:hAnsi="宋体" w:eastAsia="宋体" w:cs="宋体"/>
                <w:b/>
                <w:bCs/>
                <w:color w:val="auto"/>
                <w:sz w:val="24"/>
                <w:szCs w:val="24"/>
                <w:highlight w:val="none"/>
              </w:rPr>
              <w:t xml:space="preserve">保证金人民币 </w:t>
            </w:r>
            <w:r>
              <w:rPr>
                <w:rFonts w:hint="eastAsia" w:ascii="宋体" w:hAnsi="宋体" w:eastAsia="宋体" w:cs="宋体"/>
                <w:b/>
                <w:bCs/>
                <w:color w:val="auto"/>
                <w:sz w:val="24"/>
                <w:szCs w:val="24"/>
                <w:highlight w:val="none"/>
                <w:u w:val="single"/>
              </w:rPr>
              <w:t>分标1：</w:t>
            </w:r>
            <w:r>
              <w:rPr>
                <w:rFonts w:hint="eastAsia" w:ascii="宋体" w:hAnsi="宋体" w:cs="宋体"/>
                <w:b/>
                <w:bCs/>
                <w:color w:val="auto"/>
                <w:sz w:val="24"/>
                <w:szCs w:val="24"/>
                <w:highlight w:val="none"/>
                <w:u w:val="single"/>
                <w:lang w:val="en-US" w:eastAsia="zh-CN"/>
              </w:rPr>
              <w:t>7500</w:t>
            </w:r>
            <w:r>
              <w:rPr>
                <w:rFonts w:hint="eastAsia" w:ascii="宋体" w:hAnsi="宋体" w:eastAsia="宋体" w:cs="宋体"/>
                <w:b/>
                <w:bCs/>
                <w:color w:val="auto"/>
                <w:sz w:val="24"/>
                <w:szCs w:val="24"/>
                <w:highlight w:val="none"/>
                <w:u w:val="single"/>
              </w:rPr>
              <w:t>元；分标2：</w:t>
            </w:r>
            <w:r>
              <w:rPr>
                <w:rFonts w:hint="eastAsia" w:ascii="宋体" w:hAnsi="宋体" w:cs="宋体"/>
                <w:b/>
                <w:bCs/>
                <w:color w:val="auto"/>
                <w:sz w:val="24"/>
                <w:szCs w:val="24"/>
                <w:highlight w:val="none"/>
                <w:u w:val="single"/>
                <w:lang w:val="en-US" w:eastAsia="zh-CN"/>
              </w:rPr>
              <w:t>7500</w:t>
            </w:r>
            <w:r>
              <w:rPr>
                <w:rFonts w:hint="eastAsia" w:ascii="宋体" w:hAnsi="宋体" w:eastAsia="宋体" w:cs="宋体"/>
                <w:b/>
                <w:bCs/>
                <w:color w:val="auto"/>
                <w:sz w:val="24"/>
                <w:szCs w:val="24"/>
                <w:highlight w:val="none"/>
                <w:u w:val="single"/>
              </w:rPr>
              <w:t>元。</w:t>
            </w:r>
          </w:p>
          <w:p w14:paraId="77DDA6BA">
            <w:pPr>
              <w:pStyle w:val="20"/>
              <w:keepNext w:val="0"/>
              <w:keepLines w:val="0"/>
              <w:pageBreakBefore w:val="0"/>
              <w:kinsoku/>
              <w:wordWrap/>
              <w:overflowPunct/>
              <w:topLinePunct w:val="0"/>
              <w:bidi w:val="0"/>
              <w:spacing w:after="0" w:line="440" w:lineRule="exact"/>
              <w:rPr>
                <w:rFonts w:hint="eastAsia" w:ascii="宋体" w:hAnsi="宋体" w:eastAsia="宋体" w:cs="宋体"/>
                <w:b w:val="0"/>
                <w:bCs w:val="0"/>
                <w:color w:val="auto"/>
                <w:sz w:val="24"/>
                <w:szCs w:val="24"/>
                <w:highlight w:val="none"/>
                <w:lang w:eastAsia="zh-CN"/>
              </w:rPr>
            </w:pPr>
            <w:r>
              <w:rPr>
                <w:rFonts w:hint="eastAsia" w:ascii="宋体" w:hAnsi="宋体" w:eastAsia="宋体" w:cs="宋体"/>
                <w:b/>
                <w:bCs/>
                <w:color w:val="auto"/>
                <w:sz w:val="24"/>
                <w:szCs w:val="24"/>
                <w:highlight w:val="none"/>
                <w:lang w:eastAsia="zh-CN"/>
              </w:rPr>
              <w:t>谈判</w:t>
            </w:r>
            <w:r>
              <w:rPr>
                <w:rFonts w:hint="eastAsia" w:ascii="宋体" w:hAnsi="宋体" w:eastAsia="宋体" w:cs="宋体"/>
                <w:b/>
                <w:bCs/>
                <w:color w:val="auto"/>
                <w:sz w:val="24"/>
                <w:szCs w:val="24"/>
                <w:highlight w:val="none"/>
              </w:rPr>
              <w:t>保证金的交纳方式：银行转账、支票、汇票、本票或者银行、保险机构出具的保函，禁止采用现钞方式。采用银行转账方式的，在响应文件提交截止时间前交至指定账户并且到账</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请在银行进账单或电汇单的用途或空白栏上注明：项目名称+</w:t>
            </w:r>
            <w:r>
              <w:rPr>
                <w:rFonts w:hint="eastAsia" w:ascii="宋体" w:hAnsi="宋体" w:eastAsia="宋体" w:cs="宋体"/>
                <w:b/>
                <w:bCs/>
                <w:color w:val="auto"/>
                <w:sz w:val="24"/>
                <w:szCs w:val="24"/>
                <w:highlight w:val="none"/>
                <w:lang w:val="en-US" w:eastAsia="zh-CN"/>
              </w:rPr>
              <w:t>分标号</w:t>
            </w:r>
            <w:r>
              <w:rPr>
                <w:rFonts w:hint="eastAsia" w:ascii="宋体" w:hAnsi="宋体" w:eastAsia="宋体" w:cs="宋体"/>
                <w:b/>
                <w:bCs/>
                <w:color w:val="auto"/>
                <w:sz w:val="24"/>
                <w:szCs w:val="24"/>
                <w:highlight w:val="none"/>
              </w:rPr>
              <w:t>（可简写，如不注明字样，查不到帐概不负责）。开标前经查实</w:t>
            </w:r>
            <w:r>
              <w:rPr>
                <w:rFonts w:hint="eastAsia" w:ascii="宋体" w:hAnsi="宋体" w:eastAsia="宋体" w:cs="宋体"/>
                <w:b/>
                <w:bCs/>
                <w:color w:val="auto"/>
                <w:sz w:val="24"/>
                <w:szCs w:val="24"/>
                <w:highlight w:val="none"/>
                <w:lang w:eastAsia="zh-CN"/>
              </w:rPr>
              <w:t>谈判</w:t>
            </w:r>
            <w:r>
              <w:rPr>
                <w:rFonts w:hint="eastAsia" w:ascii="宋体" w:hAnsi="宋体" w:eastAsia="宋体" w:cs="宋体"/>
                <w:b/>
                <w:bCs/>
                <w:color w:val="auto"/>
                <w:sz w:val="24"/>
                <w:szCs w:val="24"/>
                <w:highlight w:val="none"/>
              </w:rPr>
              <w:t>保证金没有到账的，其</w:t>
            </w:r>
            <w:r>
              <w:rPr>
                <w:rFonts w:hint="eastAsia" w:ascii="宋体" w:hAnsi="宋体" w:eastAsia="宋体" w:cs="宋体"/>
                <w:b/>
                <w:bCs/>
                <w:color w:val="auto"/>
                <w:sz w:val="24"/>
                <w:szCs w:val="24"/>
                <w:highlight w:val="none"/>
                <w:lang w:eastAsia="zh-CN"/>
              </w:rPr>
              <w:t>谈判</w:t>
            </w:r>
            <w:r>
              <w:rPr>
                <w:rFonts w:hint="eastAsia" w:ascii="宋体" w:hAnsi="宋体" w:eastAsia="宋体" w:cs="宋体"/>
                <w:b/>
                <w:bCs/>
                <w:color w:val="auto"/>
                <w:sz w:val="24"/>
                <w:szCs w:val="24"/>
                <w:highlight w:val="none"/>
              </w:rPr>
              <w:t xml:space="preserve">将被拒绝 </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具体账户如下</w:t>
            </w:r>
            <w:r>
              <w:rPr>
                <w:rFonts w:hint="eastAsia" w:ascii="宋体" w:hAnsi="宋体" w:eastAsia="宋体" w:cs="宋体"/>
                <w:b/>
                <w:bCs/>
                <w:color w:val="auto"/>
                <w:sz w:val="24"/>
                <w:szCs w:val="24"/>
                <w:highlight w:val="none"/>
                <w:lang w:eastAsia="zh-CN"/>
              </w:rPr>
              <w:t>：</w:t>
            </w:r>
          </w:p>
          <w:p w14:paraId="1FBA1E9F">
            <w:pPr>
              <w:pStyle w:val="20"/>
              <w:keepNext w:val="0"/>
              <w:keepLines w:val="0"/>
              <w:pageBreakBefore w:val="0"/>
              <w:kinsoku/>
              <w:wordWrap/>
              <w:overflowPunct/>
              <w:topLinePunct w:val="0"/>
              <w:bidi w:val="0"/>
              <w:spacing w:after="0" w:line="44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账户名称：广西建标建设工程咨询有限责任公司</w:t>
            </w:r>
          </w:p>
          <w:p w14:paraId="13A5BD98">
            <w:pPr>
              <w:pStyle w:val="20"/>
              <w:keepNext w:val="0"/>
              <w:keepLines w:val="0"/>
              <w:pageBreakBefore w:val="0"/>
              <w:kinsoku/>
              <w:wordWrap/>
              <w:overflowPunct/>
              <w:topLinePunct w:val="0"/>
              <w:bidi w:val="0"/>
              <w:spacing w:after="0" w:line="44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开户银行：工行南宁市荣和支行（网银支付选工行南宁市南湖支行）</w:t>
            </w:r>
          </w:p>
          <w:p w14:paraId="37555A82">
            <w:pPr>
              <w:pStyle w:val="20"/>
              <w:keepNext w:val="0"/>
              <w:keepLines w:val="0"/>
              <w:pageBreakBefore w:val="0"/>
              <w:kinsoku/>
              <w:wordWrap/>
              <w:overflowPunct/>
              <w:topLinePunct w:val="0"/>
              <w:bidi w:val="0"/>
              <w:spacing w:after="0" w:line="44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银行账号：2102 1738 1930 0001 305</w:t>
            </w:r>
          </w:p>
          <w:p w14:paraId="3CFC54CF">
            <w:pPr>
              <w:numPr>
                <w:ilvl w:val="0"/>
                <w:numId w:val="0"/>
              </w:numPr>
              <w:spacing w:line="360" w:lineRule="exact"/>
              <w:ind w:firstLine="482" w:firstLineChars="200"/>
              <w:outlineLvl w:val="9"/>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szCs w:val="24"/>
                <w:highlight w:val="none"/>
                <w:lang w:val="en-US" w:eastAsia="zh-CN"/>
              </w:rPr>
              <w:t>行号：102611011005</w:t>
            </w:r>
          </w:p>
          <w:p w14:paraId="53287A4F">
            <w:pPr>
              <w:spacing w:line="400" w:lineRule="exact"/>
              <w:rPr>
                <w:rFonts w:hint="eastAsia" w:ascii="方正粗黑宋简体" w:hAnsi="方正粗黑宋简体" w:eastAsia="方正粗黑宋简体" w:cs="方正粗黑宋简体"/>
                <w:b/>
                <w:bCs/>
                <w:color w:val="auto"/>
                <w:highlight w:val="none"/>
                <w:lang w:val="en-US" w:eastAsia="zh-CN"/>
              </w:rPr>
            </w:pPr>
          </w:p>
          <w:p w14:paraId="6FCDFD94">
            <w:pPr>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highlight w:val="none"/>
                <w:lang w:val="en-US" w:eastAsia="zh-CN"/>
              </w:rPr>
              <w:t>同时投二个标段时，必须同时交纳二份</w:t>
            </w:r>
            <w:r>
              <w:rPr>
                <w:rFonts w:hint="eastAsia" w:ascii="宋体" w:hAnsi="宋体" w:eastAsia="宋体" w:cs="宋体"/>
                <w:b/>
                <w:bCs/>
                <w:color w:val="auto"/>
                <w:sz w:val="24"/>
                <w:szCs w:val="24"/>
                <w:highlight w:val="none"/>
                <w:lang w:eastAsia="zh-CN"/>
              </w:rPr>
              <w:t>谈判</w:t>
            </w:r>
            <w:r>
              <w:rPr>
                <w:rFonts w:hint="eastAsia" w:ascii="宋体" w:hAnsi="宋体" w:eastAsia="宋体" w:cs="宋体"/>
                <w:b/>
                <w:bCs/>
                <w:color w:val="auto"/>
                <w:sz w:val="24"/>
                <w:szCs w:val="24"/>
                <w:highlight w:val="none"/>
              </w:rPr>
              <w:t>保证金</w:t>
            </w:r>
            <w:r>
              <w:rPr>
                <w:rFonts w:hint="eastAsia" w:ascii="宋体" w:hAnsi="宋体" w:eastAsia="宋体" w:cs="宋体"/>
                <w:b/>
                <w:bCs/>
                <w:color w:val="auto"/>
                <w:sz w:val="24"/>
                <w:highlight w:val="none"/>
                <w:lang w:val="en-US" w:eastAsia="zh-CN"/>
              </w:rPr>
              <w:t>。</w:t>
            </w:r>
          </w:p>
          <w:p w14:paraId="663FB930">
            <w:pPr>
              <w:spacing w:line="400" w:lineRule="exact"/>
              <w:rPr>
                <w:rFonts w:hint="eastAsia" w:ascii="宋体" w:hAnsi="宋体" w:eastAsia="宋体" w:cs="宋体"/>
                <w:b/>
                <w:bCs/>
                <w:color w:val="auto"/>
                <w:sz w:val="24"/>
                <w:szCs w:val="24"/>
                <w:highlight w:val="none"/>
              </w:rPr>
            </w:pPr>
          </w:p>
          <w:p w14:paraId="109D2436">
            <w:pPr>
              <w:spacing w:line="400" w:lineRule="exact"/>
              <w:rPr>
                <w:rFonts w:hint="eastAsia" w:ascii="宋体" w:hAnsi="宋体" w:cs="宋体"/>
                <w:b/>
                <w:bCs/>
                <w:color w:val="auto"/>
                <w:sz w:val="24"/>
                <w:szCs w:val="24"/>
                <w:highlight w:val="none"/>
              </w:rPr>
            </w:pPr>
            <w:r>
              <w:rPr>
                <w:rFonts w:hint="eastAsia" w:ascii="宋体" w:hAnsi="宋体" w:eastAsia="宋体" w:cs="宋体"/>
                <w:b/>
                <w:bCs/>
                <w:color w:val="auto"/>
                <w:sz w:val="24"/>
                <w:szCs w:val="24"/>
                <w:highlight w:val="none"/>
              </w:rPr>
              <w:t>相关要求：</w:t>
            </w:r>
          </w:p>
          <w:p w14:paraId="049F98FD">
            <w:pPr>
              <w:spacing w:line="400" w:lineRule="exac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w:t>
            </w:r>
            <w:r>
              <w:rPr>
                <w:rFonts w:hint="eastAsia" w:ascii="宋体" w:hAnsi="宋体" w:cs="宋体"/>
                <w:b/>
                <w:bCs/>
                <w:color w:val="auto"/>
                <w:sz w:val="24"/>
                <w:szCs w:val="24"/>
                <w:highlight w:val="none"/>
                <w:lang w:eastAsia="zh-CN"/>
              </w:rPr>
              <w:t>谈判</w:t>
            </w:r>
            <w:r>
              <w:rPr>
                <w:rFonts w:hint="eastAsia" w:ascii="宋体" w:hAnsi="宋体" w:cs="宋体"/>
                <w:b/>
                <w:bCs/>
                <w:color w:val="auto"/>
                <w:sz w:val="24"/>
                <w:szCs w:val="24"/>
                <w:highlight w:val="none"/>
              </w:rPr>
              <w:t>保证金采用银行转账交纳方式的，在响应文件提交截止时间前交至指定账户并且到账，供应商应将银行转账底单的</w:t>
            </w:r>
            <w:r>
              <w:rPr>
                <w:rFonts w:hint="eastAsia" w:ascii="宋体" w:hAnsi="宋体" w:cs="宋体"/>
                <w:b/>
                <w:bCs/>
                <w:color w:val="auto"/>
                <w:sz w:val="24"/>
                <w:szCs w:val="24"/>
                <w:highlight w:val="none"/>
                <w:lang w:val="en-US" w:eastAsia="zh-CN"/>
              </w:rPr>
              <w:t>扫描件或</w:t>
            </w:r>
            <w:r>
              <w:rPr>
                <w:rFonts w:hint="eastAsia" w:ascii="宋体" w:hAnsi="宋体" w:cs="宋体"/>
                <w:b/>
                <w:bCs/>
                <w:color w:val="auto"/>
                <w:sz w:val="24"/>
                <w:szCs w:val="24"/>
                <w:highlight w:val="none"/>
              </w:rPr>
              <w:t>复印件作为</w:t>
            </w:r>
            <w:r>
              <w:rPr>
                <w:rFonts w:hint="eastAsia" w:ascii="宋体" w:hAnsi="宋体" w:cs="宋体"/>
                <w:b/>
                <w:bCs/>
                <w:color w:val="auto"/>
                <w:sz w:val="24"/>
                <w:szCs w:val="24"/>
                <w:highlight w:val="none"/>
                <w:lang w:eastAsia="zh-CN"/>
              </w:rPr>
              <w:t>谈判</w:t>
            </w:r>
            <w:r>
              <w:rPr>
                <w:rFonts w:hint="eastAsia" w:ascii="宋体" w:hAnsi="宋体" w:cs="宋体"/>
                <w:b/>
                <w:bCs/>
                <w:color w:val="auto"/>
                <w:sz w:val="24"/>
                <w:szCs w:val="24"/>
                <w:highlight w:val="none"/>
              </w:rPr>
              <w:t>保证金提交凭证，放置于商务技术文件中，否则响应文件按无效响应处理。</w:t>
            </w:r>
          </w:p>
          <w:p w14:paraId="024AC03D">
            <w:pPr>
              <w:spacing w:line="400" w:lineRule="exact"/>
              <w:rPr>
                <w:rFonts w:hint="eastAsia" w:ascii="宋体" w:hAnsi="宋体"/>
                <w:b/>
                <w:bCs/>
                <w:color w:val="auto"/>
                <w:sz w:val="24"/>
                <w:szCs w:val="24"/>
                <w:highlight w:val="none"/>
              </w:rPr>
            </w:pPr>
            <w:r>
              <w:rPr>
                <w:rFonts w:hint="eastAsia" w:ascii="宋体" w:hAnsi="宋体"/>
                <w:b/>
                <w:bCs/>
                <w:color w:val="auto"/>
                <w:sz w:val="24"/>
                <w:szCs w:val="24"/>
                <w:highlight w:val="none"/>
              </w:rPr>
              <w:t>2.</w:t>
            </w:r>
            <w:r>
              <w:rPr>
                <w:rFonts w:hint="eastAsia" w:ascii="宋体" w:hAnsi="宋体" w:cs="宋体"/>
                <w:b/>
                <w:bCs/>
                <w:color w:val="auto"/>
                <w:sz w:val="24"/>
                <w:szCs w:val="24"/>
                <w:highlight w:val="none"/>
                <w:lang w:eastAsia="zh-CN"/>
              </w:rPr>
              <w:t>谈判</w:t>
            </w:r>
            <w:r>
              <w:rPr>
                <w:rFonts w:hint="eastAsia" w:ascii="宋体" w:hAnsi="宋体"/>
                <w:b/>
                <w:bCs/>
                <w:color w:val="auto"/>
                <w:sz w:val="24"/>
                <w:szCs w:val="24"/>
                <w:highlight w:val="none"/>
              </w:rPr>
              <w:t>保证金采用支票、汇票、本票或者银行、保险机构出具的保函交纳方式的，供应商应将支票、汇票、本票或者银行、保险机构出具的保函的</w:t>
            </w:r>
            <w:r>
              <w:rPr>
                <w:rFonts w:ascii="宋体" w:hAnsi="宋体"/>
                <w:b/>
                <w:bCs/>
                <w:color w:val="auto"/>
                <w:sz w:val="24"/>
                <w:szCs w:val="24"/>
                <w:highlight w:val="none"/>
                <w:lang w:val="en-US"/>
              </w:rPr>
              <w:t>复印</w:t>
            </w:r>
            <w:r>
              <w:rPr>
                <w:rFonts w:hint="eastAsia" w:ascii="宋体" w:hAnsi="宋体"/>
                <w:b/>
                <w:bCs/>
                <w:color w:val="auto"/>
                <w:sz w:val="24"/>
                <w:szCs w:val="24"/>
                <w:highlight w:val="none"/>
                <w:lang w:val="en-US" w:eastAsia="zh-CN"/>
              </w:rPr>
              <w:t>原件扫描</w:t>
            </w:r>
            <w:r>
              <w:rPr>
                <w:rFonts w:hint="eastAsia" w:ascii="宋体" w:hAnsi="宋体"/>
                <w:b/>
                <w:bCs/>
                <w:color w:val="auto"/>
                <w:sz w:val="24"/>
                <w:szCs w:val="24"/>
                <w:highlight w:val="none"/>
              </w:rPr>
              <w:t>件作为</w:t>
            </w:r>
            <w:r>
              <w:rPr>
                <w:rFonts w:hint="eastAsia" w:ascii="宋体" w:hAnsi="宋体"/>
                <w:b/>
                <w:bCs/>
                <w:color w:val="auto"/>
                <w:sz w:val="24"/>
                <w:szCs w:val="24"/>
                <w:highlight w:val="none"/>
                <w:lang w:eastAsia="zh-CN"/>
              </w:rPr>
              <w:t>谈判</w:t>
            </w:r>
            <w:r>
              <w:rPr>
                <w:rFonts w:hint="eastAsia" w:ascii="宋体" w:hAnsi="宋体"/>
                <w:b/>
                <w:bCs/>
                <w:color w:val="auto"/>
                <w:sz w:val="24"/>
                <w:szCs w:val="24"/>
                <w:highlight w:val="none"/>
              </w:rPr>
              <w:t>保证金提交凭证，放置于</w:t>
            </w:r>
            <w:r>
              <w:rPr>
                <w:rFonts w:hint="eastAsia" w:ascii="宋体" w:hAnsi="宋体" w:cs="宋体"/>
                <w:b/>
                <w:bCs/>
                <w:color w:val="auto"/>
                <w:sz w:val="24"/>
                <w:szCs w:val="24"/>
                <w:highlight w:val="none"/>
              </w:rPr>
              <w:t>商务技术文件</w:t>
            </w:r>
            <w:r>
              <w:rPr>
                <w:rFonts w:hint="eastAsia" w:ascii="宋体" w:hAnsi="宋体"/>
                <w:b/>
                <w:bCs/>
                <w:color w:val="auto"/>
                <w:sz w:val="24"/>
                <w:szCs w:val="24"/>
                <w:highlight w:val="none"/>
              </w:rPr>
              <w:t>中，</w:t>
            </w:r>
            <w:r>
              <w:rPr>
                <w:rFonts w:hint="eastAsia" w:ascii="宋体" w:hAnsi="宋体" w:cs="宋体"/>
                <w:b/>
                <w:bCs/>
                <w:color w:val="auto"/>
                <w:sz w:val="24"/>
                <w:szCs w:val="24"/>
                <w:highlight w:val="none"/>
              </w:rPr>
              <w:t>否则响应文件按无效处理</w:t>
            </w:r>
            <w:r>
              <w:rPr>
                <w:rFonts w:hint="eastAsia" w:ascii="宋体" w:hAnsi="宋体"/>
                <w:b/>
                <w:bCs/>
                <w:color w:val="auto"/>
                <w:sz w:val="24"/>
                <w:szCs w:val="24"/>
                <w:highlight w:val="none"/>
              </w:rPr>
              <w:t>。</w:t>
            </w:r>
          </w:p>
          <w:p w14:paraId="119A9D00">
            <w:pPr>
              <w:spacing w:line="400" w:lineRule="exac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3.供应商为联合体的，可以由联合体中的一方或者多方共同交纳</w:t>
            </w:r>
            <w:r>
              <w:rPr>
                <w:rFonts w:hint="eastAsia" w:ascii="宋体" w:hAnsi="宋体" w:cs="宋体"/>
                <w:b/>
                <w:bCs/>
                <w:color w:val="auto"/>
                <w:sz w:val="24"/>
                <w:szCs w:val="24"/>
                <w:highlight w:val="none"/>
                <w:lang w:eastAsia="zh-CN"/>
              </w:rPr>
              <w:t>谈判</w:t>
            </w:r>
            <w:r>
              <w:rPr>
                <w:rFonts w:hint="eastAsia" w:ascii="宋体" w:hAnsi="宋体" w:cs="宋体"/>
                <w:b/>
                <w:bCs/>
                <w:color w:val="auto"/>
                <w:sz w:val="24"/>
                <w:szCs w:val="24"/>
                <w:highlight w:val="none"/>
              </w:rPr>
              <w:t>保证金，其交纳的保证金对联合体各方均具有约束力。（</w:t>
            </w:r>
            <w:r>
              <w:rPr>
                <w:rFonts w:hint="eastAsia" w:ascii="宋体" w:hAnsi="宋体"/>
                <w:b/>
                <w:bCs/>
                <w:color w:val="auto"/>
                <w:sz w:val="24"/>
                <w:szCs w:val="24"/>
                <w:highlight w:val="none"/>
              </w:rPr>
              <w:t>本项目不接受联合体投标，此项不适用</w:t>
            </w:r>
            <w:r>
              <w:rPr>
                <w:rFonts w:hint="eastAsia" w:ascii="宋体" w:hAnsi="宋体" w:cs="宋体"/>
                <w:b/>
                <w:bCs/>
                <w:color w:val="auto"/>
                <w:sz w:val="24"/>
                <w:szCs w:val="24"/>
                <w:highlight w:val="none"/>
              </w:rPr>
              <w:t>）</w:t>
            </w:r>
          </w:p>
          <w:p w14:paraId="78077F3E">
            <w:pPr>
              <w:spacing w:line="400" w:lineRule="exac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备注： </w:t>
            </w:r>
          </w:p>
          <w:p w14:paraId="124EF2D5">
            <w:pPr>
              <w:spacing w:line="360" w:lineRule="auto"/>
              <w:jc w:val="left"/>
              <w:rPr>
                <w:rFonts w:hint="eastAsia" w:ascii="宋体" w:hAnsi="宋体" w:eastAsia="宋体" w:cs="宋体"/>
                <w:b/>
                <w:bCs/>
                <w:color w:val="auto"/>
                <w:sz w:val="24"/>
                <w:szCs w:val="24"/>
                <w:highlight w:val="none"/>
              </w:rPr>
            </w:pPr>
          </w:p>
          <w:p w14:paraId="7054E6AB">
            <w:pPr>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cs="宋体"/>
                <w:b/>
                <w:bCs/>
                <w:color w:val="auto"/>
                <w:sz w:val="24"/>
                <w:szCs w:val="24"/>
                <w:highlight w:val="none"/>
                <w:lang w:eastAsia="zh-CN"/>
              </w:rPr>
              <w:t>谈判</w:t>
            </w:r>
            <w:r>
              <w:rPr>
                <w:rFonts w:hint="eastAsia" w:ascii="宋体" w:hAnsi="宋体" w:eastAsia="宋体" w:cs="宋体"/>
                <w:b/>
                <w:bCs/>
                <w:color w:val="auto"/>
                <w:sz w:val="24"/>
                <w:szCs w:val="24"/>
                <w:highlight w:val="none"/>
              </w:rPr>
              <w:t>保证金在响应文件提交截止时间后提交的，或者不按规定交纳方式交纳的，或者未足额交纳的（包含保函额度不足的），视为无效</w:t>
            </w:r>
            <w:r>
              <w:rPr>
                <w:rFonts w:hint="eastAsia" w:ascii="宋体" w:hAnsi="宋体" w:eastAsia="宋体" w:cs="宋体"/>
                <w:b/>
                <w:bCs/>
                <w:color w:val="auto"/>
                <w:sz w:val="24"/>
                <w:szCs w:val="24"/>
                <w:highlight w:val="none"/>
                <w:lang w:eastAsia="zh-CN"/>
              </w:rPr>
              <w:t>谈判</w:t>
            </w:r>
            <w:r>
              <w:rPr>
                <w:rFonts w:hint="eastAsia" w:ascii="宋体" w:hAnsi="宋体" w:eastAsia="宋体" w:cs="宋体"/>
                <w:b/>
                <w:bCs/>
                <w:color w:val="auto"/>
                <w:sz w:val="24"/>
                <w:szCs w:val="24"/>
                <w:highlight w:val="none"/>
              </w:rPr>
              <w:t>保证金。</w:t>
            </w:r>
          </w:p>
          <w:p w14:paraId="45FC0629">
            <w:pPr>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2.供应商采用现钞方式或者从个人账户（自然人竞标除外）转出的</w:t>
            </w:r>
            <w:r>
              <w:rPr>
                <w:rFonts w:hint="eastAsia" w:ascii="宋体" w:hAnsi="宋体" w:eastAsia="宋体" w:cs="宋体"/>
                <w:b/>
                <w:bCs/>
                <w:color w:val="auto"/>
                <w:sz w:val="24"/>
                <w:szCs w:val="24"/>
                <w:highlight w:val="none"/>
                <w:lang w:eastAsia="zh-CN"/>
              </w:rPr>
              <w:t>谈判</w:t>
            </w:r>
            <w:r>
              <w:rPr>
                <w:rFonts w:hint="eastAsia" w:ascii="宋体" w:hAnsi="宋体" w:eastAsia="宋体" w:cs="宋体"/>
                <w:b/>
                <w:bCs/>
                <w:color w:val="auto"/>
                <w:sz w:val="24"/>
                <w:szCs w:val="24"/>
                <w:highlight w:val="none"/>
              </w:rPr>
              <w:t>保证金，视为无效</w:t>
            </w:r>
            <w:r>
              <w:rPr>
                <w:rFonts w:hint="eastAsia" w:ascii="宋体" w:hAnsi="宋体" w:eastAsia="宋体" w:cs="宋体"/>
                <w:b/>
                <w:bCs/>
                <w:color w:val="auto"/>
                <w:sz w:val="24"/>
                <w:szCs w:val="24"/>
                <w:highlight w:val="none"/>
                <w:lang w:eastAsia="zh-CN"/>
              </w:rPr>
              <w:t>谈判</w:t>
            </w:r>
            <w:r>
              <w:rPr>
                <w:rFonts w:hint="eastAsia" w:ascii="宋体" w:hAnsi="宋体" w:eastAsia="宋体" w:cs="宋体"/>
                <w:b/>
                <w:bCs/>
                <w:color w:val="auto"/>
                <w:sz w:val="24"/>
                <w:szCs w:val="24"/>
                <w:highlight w:val="none"/>
              </w:rPr>
              <w:t>保证金。</w:t>
            </w:r>
          </w:p>
          <w:p w14:paraId="2B5F566A">
            <w:pPr>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3.支票、汇票或者本票出现无效或者背书情形的，视为无效</w:t>
            </w:r>
            <w:r>
              <w:rPr>
                <w:rFonts w:hint="eastAsia" w:ascii="宋体" w:hAnsi="宋体" w:eastAsia="宋体" w:cs="宋体"/>
                <w:b/>
                <w:bCs/>
                <w:color w:val="auto"/>
                <w:sz w:val="24"/>
                <w:szCs w:val="24"/>
                <w:highlight w:val="none"/>
                <w:lang w:eastAsia="zh-CN"/>
              </w:rPr>
              <w:t>谈判</w:t>
            </w:r>
            <w:r>
              <w:rPr>
                <w:rFonts w:hint="eastAsia" w:ascii="宋体" w:hAnsi="宋体" w:eastAsia="宋体" w:cs="宋体"/>
                <w:b/>
                <w:bCs/>
                <w:color w:val="auto"/>
                <w:sz w:val="24"/>
                <w:szCs w:val="24"/>
                <w:highlight w:val="none"/>
              </w:rPr>
              <w:t>保证金。</w:t>
            </w:r>
          </w:p>
          <w:p w14:paraId="0DB046AE">
            <w:pPr>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4.保函有效期低于竞标有效期的，视为无效</w:t>
            </w:r>
            <w:r>
              <w:rPr>
                <w:rFonts w:hint="eastAsia" w:ascii="宋体" w:hAnsi="宋体" w:eastAsia="宋体" w:cs="宋体"/>
                <w:b/>
                <w:bCs/>
                <w:color w:val="auto"/>
                <w:sz w:val="24"/>
                <w:szCs w:val="24"/>
                <w:highlight w:val="none"/>
                <w:lang w:eastAsia="zh-CN"/>
              </w:rPr>
              <w:t>谈判</w:t>
            </w:r>
            <w:r>
              <w:rPr>
                <w:rFonts w:hint="eastAsia" w:ascii="宋体" w:hAnsi="宋体" w:eastAsia="宋体" w:cs="宋体"/>
                <w:b/>
                <w:bCs/>
                <w:color w:val="auto"/>
                <w:sz w:val="24"/>
                <w:szCs w:val="24"/>
                <w:highlight w:val="none"/>
              </w:rPr>
              <w:t>保证金。</w:t>
            </w:r>
          </w:p>
          <w:p w14:paraId="4C6B1CC5">
            <w:pPr>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5.采用银行、保险机构出具保函的，必须为无条件保函，否则视为无效</w:t>
            </w:r>
            <w:r>
              <w:rPr>
                <w:rFonts w:hint="eastAsia" w:ascii="宋体" w:hAnsi="宋体" w:eastAsia="宋体" w:cs="宋体"/>
                <w:b/>
                <w:bCs/>
                <w:color w:val="auto"/>
                <w:sz w:val="24"/>
                <w:szCs w:val="24"/>
                <w:highlight w:val="none"/>
                <w:lang w:eastAsia="zh-CN"/>
              </w:rPr>
              <w:t>谈判</w:t>
            </w:r>
            <w:r>
              <w:rPr>
                <w:rFonts w:hint="eastAsia" w:ascii="宋体" w:hAnsi="宋体" w:eastAsia="宋体" w:cs="宋体"/>
                <w:b/>
                <w:bCs/>
                <w:color w:val="auto"/>
                <w:sz w:val="24"/>
                <w:szCs w:val="24"/>
                <w:highlight w:val="none"/>
              </w:rPr>
              <w:t>保证金。</w:t>
            </w:r>
          </w:p>
          <w:p w14:paraId="6536DEA3">
            <w:pPr>
              <w:spacing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6、未中标人谈判保证金的退还时限：（中标通知书发出后5个工作日内，退回方式：按银行转账方式原路返还）。</w:t>
            </w:r>
          </w:p>
          <w:p w14:paraId="2A1D0C7A">
            <w:pPr>
              <w:spacing w:line="360" w:lineRule="auto"/>
              <w:jc w:val="left"/>
              <w:rPr>
                <w:rFonts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7、中标人谈判保证金的退还时限：（合同签订后5个工作日内，退回方式：按银行转账方式原路返还）。</w:t>
            </w:r>
          </w:p>
        </w:tc>
      </w:tr>
      <w:tr w14:paraId="6804A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95" w:type="dxa"/>
            <w:vMerge w:val="restart"/>
            <w:vAlign w:val="center"/>
          </w:tcPr>
          <w:p w14:paraId="515841C7">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20.1</w:t>
            </w:r>
          </w:p>
        </w:tc>
        <w:tc>
          <w:tcPr>
            <w:tcW w:w="2186" w:type="dxa"/>
            <w:vAlign w:val="center"/>
          </w:tcPr>
          <w:p w14:paraId="1697B09E">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首次响应文件提交起止时间</w:t>
            </w:r>
          </w:p>
        </w:tc>
        <w:tc>
          <w:tcPr>
            <w:tcW w:w="6454" w:type="dxa"/>
            <w:vAlign w:val="center"/>
          </w:tcPr>
          <w:p w14:paraId="351AAFC8">
            <w:pPr>
              <w:spacing w:line="360" w:lineRule="auto"/>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详见竞争性谈判公告。</w:t>
            </w:r>
          </w:p>
        </w:tc>
      </w:tr>
      <w:tr w14:paraId="6AEBA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195" w:type="dxa"/>
            <w:vMerge w:val="continue"/>
            <w:vAlign w:val="center"/>
          </w:tcPr>
          <w:p w14:paraId="6DAC97B0">
            <w:pPr>
              <w:spacing w:line="360" w:lineRule="auto"/>
              <w:jc w:val="center"/>
              <w:rPr>
                <w:rFonts w:ascii="宋体" w:hAnsi="宋体" w:cs="宋体"/>
                <w:color w:val="auto"/>
                <w:sz w:val="24"/>
                <w:szCs w:val="24"/>
                <w:highlight w:val="none"/>
              </w:rPr>
            </w:pPr>
          </w:p>
        </w:tc>
        <w:tc>
          <w:tcPr>
            <w:tcW w:w="2186" w:type="dxa"/>
            <w:vAlign w:val="center"/>
          </w:tcPr>
          <w:p w14:paraId="3B218BD1">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首次响应文件提交地点</w:t>
            </w:r>
          </w:p>
        </w:tc>
        <w:tc>
          <w:tcPr>
            <w:tcW w:w="6454" w:type="dxa"/>
            <w:vAlign w:val="center"/>
          </w:tcPr>
          <w:p w14:paraId="71E55D7C">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详见竞争性谈判公告。</w:t>
            </w:r>
          </w:p>
          <w:p w14:paraId="369DEB54">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响应文件的上传和提交：</w:t>
            </w:r>
          </w:p>
          <w:p w14:paraId="50BB670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本项目通过“政采云平台（www.zcygov.cn）”实行在线谈判响应（电子标），谈判供应商应当在上传响应文件截止时间前，将生成的“电子加密响应文件”上传提交至“政采云平台”。</w:t>
            </w:r>
          </w:p>
          <w:p w14:paraId="33FF3B9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“电子加密响应文件”的上传、提交：</w:t>
            </w:r>
          </w:p>
          <w:p w14:paraId="2670799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a.谈判供应商应在上传响应文件截止时间前将“电子加密响应文件”成功上传提交至“政采云平台”，否则谈判无效。</w:t>
            </w:r>
          </w:p>
          <w:p w14:paraId="4FA6CED1">
            <w:pPr>
              <w:spacing w:line="360" w:lineRule="auto"/>
              <w:jc w:val="left"/>
              <w:rPr>
                <w:rFonts w:ascii="宋体" w:hAnsi="宋体" w:cs="宋体"/>
                <w:color w:val="auto"/>
                <w:sz w:val="24"/>
                <w:szCs w:val="24"/>
                <w:highlight w:val="none"/>
                <w:u w:val="single"/>
              </w:rPr>
            </w:pPr>
            <w:r>
              <w:rPr>
                <w:rFonts w:hint="eastAsia" w:ascii="宋体" w:hAnsi="宋体" w:eastAsia="宋体" w:cs="宋体"/>
                <w:color w:val="auto"/>
                <w:sz w:val="24"/>
                <w:szCs w:val="24"/>
                <w:highlight w:val="none"/>
              </w:rPr>
              <w:t>b.“电子加密谈判响应文件”成功上传提交后，供应商可自行打印响应文件接收回执。</w:t>
            </w:r>
          </w:p>
        </w:tc>
      </w:tr>
      <w:tr w14:paraId="69953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195" w:type="dxa"/>
            <w:vAlign w:val="center"/>
          </w:tcPr>
          <w:p w14:paraId="0CF481E9">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20.6</w:t>
            </w:r>
          </w:p>
        </w:tc>
        <w:tc>
          <w:tcPr>
            <w:tcW w:w="2186" w:type="dxa"/>
            <w:vAlign w:val="center"/>
          </w:tcPr>
          <w:p w14:paraId="4E4C9970">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备份响应文件</w:t>
            </w:r>
          </w:p>
        </w:tc>
        <w:tc>
          <w:tcPr>
            <w:tcW w:w="6454" w:type="dxa"/>
            <w:vAlign w:val="center"/>
          </w:tcPr>
          <w:p w14:paraId="6FFA3212">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本项目不接受</w:t>
            </w:r>
            <w:r>
              <w:rPr>
                <w:rFonts w:hint="eastAsia" w:ascii="宋体" w:hAnsi="宋体" w:cs="宋体"/>
                <w:color w:val="auto"/>
                <w:sz w:val="24"/>
                <w:szCs w:val="24"/>
                <w:highlight w:val="none"/>
                <w:lang w:eastAsia="zh-CN"/>
              </w:rPr>
              <w:t>电子</w:t>
            </w:r>
            <w:r>
              <w:rPr>
                <w:rFonts w:hint="eastAsia" w:ascii="宋体" w:hAnsi="宋体" w:cs="宋体"/>
                <w:color w:val="auto"/>
                <w:sz w:val="24"/>
                <w:szCs w:val="24"/>
                <w:highlight w:val="none"/>
              </w:rPr>
              <w:t>备份响应文件。</w:t>
            </w:r>
          </w:p>
        </w:tc>
      </w:tr>
      <w:tr w14:paraId="0D97E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195" w:type="dxa"/>
            <w:vAlign w:val="center"/>
          </w:tcPr>
          <w:p w14:paraId="2A838120">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21</w:t>
            </w:r>
          </w:p>
        </w:tc>
        <w:tc>
          <w:tcPr>
            <w:tcW w:w="2186" w:type="dxa"/>
            <w:vAlign w:val="center"/>
          </w:tcPr>
          <w:p w14:paraId="2BB6016A">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首次响应文件的退回</w:t>
            </w:r>
          </w:p>
        </w:tc>
        <w:tc>
          <w:tcPr>
            <w:tcW w:w="6454" w:type="dxa"/>
            <w:vAlign w:val="center"/>
          </w:tcPr>
          <w:p w14:paraId="1B19514C">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详见竞争性谈判公告。</w:t>
            </w:r>
          </w:p>
        </w:tc>
      </w:tr>
      <w:tr w14:paraId="684F1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95" w:type="dxa"/>
            <w:vMerge w:val="restart"/>
            <w:vAlign w:val="center"/>
          </w:tcPr>
          <w:p w14:paraId="3F68638F">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26.2</w:t>
            </w:r>
          </w:p>
        </w:tc>
        <w:tc>
          <w:tcPr>
            <w:tcW w:w="2186" w:type="dxa"/>
            <w:vAlign w:val="center"/>
          </w:tcPr>
          <w:p w14:paraId="5458E56A">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负偏离要求</w:t>
            </w:r>
          </w:p>
        </w:tc>
        <w:tc>
          <w:tcPr>
            <w:tcW w:w="6454" w:type="dxa"/>
            <w:vAlign w:val="center"/>
          </w:tcPr>
          <w:p w14:paraId="1EDE510D">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商务条款评审中允许负偏离的条款数为</w:t>
            </w:r>
            <w:r>
              <w:rPr>
                <w:rFonts w:hint="eastAsia" w:ascii="宋体" w:hAnsi="宋体" w:cs="宋体"/>
                <w:color w:val="auto"/>
                <w:sz w:val="24"/>
                <w:szCs w:val="24"/>
                <w:highlight w:val="none"/>
                <w:u w:val="single"/>
              </w:rPr>
              <w:t xml:space="preserve"> 0</w:t>
            </w:r>
            <w:r>
              <w:rPr>
                <w:rFonts w:hint="eastAsia" w:ascii="宋体" w:hAnsi="宋体" w:cs="宋体"/>
                <w:color w:val="auto"/>
                <w:sz w:val="24"/>
                <w:szCs w:val="24"/>
                <w:highlight w:val="none"/>
              </w:rPr>
              <w:t>项。</w:t>
            </w:r>
          </w:p>
          <w:p w14:paraId="3D4719A3">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货物需求评审中允许负偏离的条款数为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w:t>
            </w:r>
            <w:r>
              <w:rPr>
                <w:rFonts w:hint="eastAsia" w:ascii="宋体" w:hAnsi="宋体" w:cs="宋体"/>
                <w:color w:val="auto"/>
                <w:sz w:val="24"/>
                <w:szCs w:val="24"/>
                <w:highlight w:val="none"/>
              </w:rPr>
              <w:t>项。</w:t>
            </w:r>
          </w:p>
        </w:tc>
      </w:tr>
      <w:tr w14:paraId="75274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5" w:type="dxa"/>
            <w:vMerge w:val="continue"/>
            <w:vAlign w:val="center"/>
          </w:tcPr>
          <w:p w14:paraId="3E7E9D09">
            <w:pPr>
              <w:spacing w:line="360" w:lineRule="auto"/>
              <w:jc w:val="center"/>
              <w:rPr>
                <w:rFonts w:ascii="宋体" w:hAnsi="宋体" w:cs="宋体"/>
                <w:color w:val="auto"/>
                <w:sz w:val="24"/>
                <w:szCs w:val="24"/>
                <w:highlight w:val="none"/>
              </w:rPr>
            </w:pPr>
          </w:p>
        </w:tc>
        <w:tc>
          <w:tcPr>
            <w:tcW w:w="2186" w:type="dxa"/>
            <w:vAlign w:val="center"/>
          </w:tcPr>
          <w:p w14:paraId="5D959D35">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谈判的顺序</w:t>
            </w:r>
          </w:p>
          <w:p w14:paraId="399D08ED">
            <w:pPr>
              <w:spacing w:line="360" w:lineRule="auto"/>
              <w:jc w:val="center"/>
              <w:rPr>
                <w:rFonts w:ascii="宋体" w:hAnsi="宋体" w:cs="宋体"/>
                <w:color w:val="auto"/>
                <w:sz w:val="24"/>
                <w:szCs w:val="24"/>
                <w:highlight w:val="none"/>
              </w:rPr>
            </w:pPr>
          </w:p>
        </w:tc>
        <w:tc>
          <w:tcPr>
            <w:tcW w:w="6454" w:type="dxa"/>
            <w:vAlign w:val="center"/>
          </w:tcPr>
          <w:p w14:paraId="147728FC">
            <w:pPr>
              <w:spacing w:line="360" w:lineRule="auto"/>
              <w:jc w:val="left"/>
              <w:rPr>
                <w:rFonts w:hint="eastAsia" w:ascii="宋体" w:hAnsi="宋体" w:eastAsia="宋体" w:cs="宋体"/>
                <w:b/>
                <w:color w:val="auto"/>
                <w:sz w:val="24"/>
                <w:szCs w:val="24"/>
                <w:highlight w:val="none"/>
                <w:lang w:eastAsia="zh-CN"/>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谈判的顺序</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系统自动提取的顺序</w:t>
            </w:r>
            <w:r>
              <w:rPr>
                <w:rFonts w:hint="eastAsia" w:ascii="宋体" w:hAnsi="宋体" w:cs="宋体"/>
                <w:color w:val="auto"/>
                <w:sz w:val="24"/>
                <w:szCs w:val="24"/>
                <w:highlight w:val="none"/>
                <w:lang w:eastAsia="zh-CN"/>
              </w:rPr>
              <w:t>，</w:t>
            </w:r>
            <w:r>
              <w:rPr>
                <w:rFonts w:hint="eastAsia" w:ascii="宋体" w:hAnsi="宋体" w:cs="宋体"/>
                <w:b/>
                <w:bCs w:val="0"/>
                <w:color w:val="auto"/>
                <w:kern w:val="44"/>
                <w:sz w:val="24"/>
                <w:szCs w:val="24"/>
                <w:highlight w:val="none"/>
                <w:lang w:val="en-US" w:eastAsia="zh-CN"/>
              </w:rPr>
              <w:t>2、本项目共分两个分标，竞标人可同时参与多个分标竞标，所参与的分标均需递交谈判响应文件，但至多只能中一个分标（即：在第一个分标被推荐为成交单位的供应商，第二个分标不再推荐为成交单位）</w:t>
            </w:r>
          </w:p>
        </w:tc>
      </w:tr>
      <w:tr w14:paraId="71181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5" w:type="dxa"/>
            <w:vMerge w:val="continue"/>
            <w:vAlign w:val="center"/>
          </w:tcPr>
          <w:p w14:paraId="3B6E7608">
            <w:pPr>
              <w:spacing w:line="360" w:lineRule="auto"/>
              <w:jc w:val="center"/>
              <w:rPr>
                <w:rFonts w:ascii="宋体" w:hAnsi="宋体" w:cs="宋体"/>
                <w:color w:val="auto"/>
                <w:sz w:val="24"/>
                <w:szCs w:val="24"/>
                <w:highlight w:val="none"/>
              </w:rPr>
            </w:pPr>
          </w:p>
        </w:tc>
        <w:tc>
          <w:tcPr>
            <w:tcW w:w="2186" w:type="dxa"/>
            <w:vAlign w:val="center"/>
          </w:tcPr>
          <w:p w14:paraId="1326A9C0">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评审价相同时</w:t>
            </w:r>
            <w:r>
              <w:rPr>
                <w:rFonts w:hint="eastAsia" w:ascii="宋体" w:hAnsi="宋体" w:cs="宋体"/>
                <w:color w:val="auto"/>
                <w:sz w:val="24"/>
                <w:szCs w:val="24"/>
                <w:highlight w:val="none"/>
              </w:rPr>
              <w:t>成交原则</w:t>
            </w:r>
          </w:p>
        </w:tc>
        <w:tc>
          <w:tcPr>
            <w:tcW w:w="6454" w:type="dxa"/>
            <w:vAlign w:val="center"/>
          </w:tcPr>
          <w:p w14:paraId="3418ADE3">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评审价相同时，</w:t>
            </w:r>
            <w:r>
              <w:rPr>
                <w:rFonts w:hint="eastAsia" w:ascii="宋体" w:hAnsi="宋体" w:cs="宋体"/>
                <w:color w:val="auto"/>
                <w:sz w:val="24"/>
                <w:szCs w:val="24"/>
                <w:highlight w:val="none"/>
              </w:rPr>
              <w:t>按照最后报价由低到高顺序依次推荐；最后报价相同时，按以下原则确定成交候选人的顺序：</w:t>
            </w:r>
          </w:p>
          <w:p w14:paraId="2E06FCCD">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依次按</w:t>
            </w:r>
            <w:r>
              <w:rPr>
                <w:rFonts w:hint="eastAsia" w:ascii="宋体" w:hAnsi="宋体" w:eastAsia="宋体" w:cs="宋体"/>
                <w:color w:val="auto"/>
                <w:sz w:val="24"/>
                <w:szCs w:val="24"/>
                <w:highlight w:val="none"/>
                <w:lang w:val="en-US" w:eastAsia="zh-CN"/>
              </w:rPr>
              <w:t>带</w:t>
            </w:r>
            <w:r>
              <w:rPr>
                <w:rFonts w:hint="eastAsia" w:ascii="宋体" w:hAnsi="宋体" w:eastAsia="宋体" w:cs="宋体"/>
                <w:color w:val="auto"/>
                <w:sz w:val="24"/>
                <w:szCs w:val="24"/>
                <w:highlight w:val="none"/>
              </w:rPr>
              <w:t>“▲”的实质性要求正偏离项数多的优先、均无正偏离或者正偏离项数一致时</w:t>
            </w:r>
            <w:r>
              <w:rPr>
                <w:rFonts w:hint="eastAsia" w:ascii="宋体" w:hAnsi="宋体" w:eastAsia="宋体" w:cs="宋体"/>
                <w:color w:val="auto"/>
                <w:sz w:val="24"/>
                <w:szCs w:val="24"/>
                <w:highlight w:val="none"/>
                <w:lang w:val="en-US" w:eastAsia="zh-CN"/>
              </w:rPr>
              <w:t>非</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的要求正</w:t>
            </w:r>
            <w:r>
              <w:rPr>
                <w:rFonts w:hint="eastAsia" w:ascii="宋体" w:hAnsi="宋体" w:eastAsia="宋体" w:cs="宋体"/>
                <w:color w:val="auto"/>
                <w:sz w:val="24"/>
                <w:szCs w:val="24"/>
                <w:highlight w:val="none"/>
              </w:rPr>
              <w:t>偏离项数</w:t>
            </w:r>
            <w:r>
              <w:rPr>
                <w:rFonts w:hint="eastAsia" w:ascii="宋体" w:hAnsi="宋体" w:eastAsia="宋体" w:cs="宋体"/>
                <w:color w:val="auto"/>
                <w:sz w:val="24"/>
                <w:szCs w:val="24"/>
                <w:highlight w:val="none"/>
                <w:lang w:val="en-US" w:eastAsia="zh-CN"/>
              </w:rPr>
              <w:t>多</w:t>
            </w:r>
            <w:r>
              <w:rPr>
                <w:rFonts w:hint="eastAsia" w:ascii="宋体" w:hAnsi="宋体" w:eastAsia="宋体" w:cs="宋体"/>
                <w:color w:val="auto"/>
                <w:sz w:val="24"/>
                <w:szCs w:val="24"/>
                <w:highlight w:val="none"/>
              </w:rPr>
              <w:t>的优先、质量保证期长</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优先、交货期短优先、</w:t>
            </w:r>
            <w:r>
              <w:rPr>
                <w:rFonts w:hint="eastAsia" w:ascii="宋体" w:hAnsi="宋体" w:eastAsia="宋体" w:cs="宋体"/>
                <w:color w:val="auto"/>
                <w:sz w:val="24"/>
                <w:szCs w:val="24"/>
                <w:highlight w:val="none"/>
                <w:lang w:val="en-US" w:eastAsia="zh-CN"/>
              </w:rPr>
              <w:t>售后服务好的</w:t>
            </w:r>
            <w:r>
              <w:rPr>
                <w:rFonts w:hint="eastAsia" w:ascii="宋体" w:hAnsi="宋体" w:eastAsia="宋体" w:cs="宋体"/>
                <w:color w:val="auto"/>
                <w:sz w:val="24"/>
                <w:szCs w:val="24"/>
                <w:highlight w:val="none"/>
              </w:rPr>
              <w:t>优先的顺序排列。</w:t>
            </w:r>
          </w:p>
          <w:p w14:paraId="06A0AD79">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由谈判小组推荐代表随机抽取。</w:t>
            </w:r>
          </w:p>
        </w:tc>
      </w:tr>
      <w:tr w14:paraId="595E6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5" w:type="dxa"/>
            <w:vAlign w:val="center"/>
          </w:tcPr>
          <w:p w14:paraId="1A83DFD4">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28</w:t>
            </w:r>
          </w:p>
        </w:tc>
        <w:tc>
          <w:tcPr>
            <w:tcW w:w="2186" w:type="dxa"/>
            <w:vAlign w:val="center"/>
          </w:tcPr>
          <w:p w14:paraId="449A051C">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履约保证金</w:t>
            </w:r>
          </w:p>
        </w:tc>
        <w:tc>
          <w:tcPr>
            <w:tcW w:w="6454" w:type="dxa"/>
            <w:vAlign w:val="center"/>
          </w:tcPr>
          <w:p w14:paraId="5A6CB0A8">
            <w:pPr>
              <w:autoSpaceDE w:val="0"/>
              <w:autoSpaceDN w:val="0"/>
              <w:spacing w:line="400" w:lineRule="exact"/>
              <w:rPr>
                <w:rFonts w:hint="eastAsia" w:ascii="宋体" w:hAnsi="宋体"/>
                <w:color w:val="auto"/>
                <w:sz w:val="24"/>
                <w:szCs w:val="24"/>
                <w:highlight w:val="none"/>
              </w:rPr>
            </w:pPr>
            <w:r>
              <w:rPr>
                <w:rFonts w:hint="eastAsia" w:ascii="Segoe UI Symbol" w:hAnsi="Segoe UI Symbol" w:cs="Segoe UI Symbol"/>
                <w:color w:val="auto"/>
                <w:sz w:val="24"/>
                <w:szCs w:val="24"/>
                <w:highlight w:val="none"/>
                <w:lang w:eastAsia="zh-CN"/>
              </w:rPr>
              <w:t>☑</w:t>
            </w:r>
            <w:r>
              <w:rPr>
                <w:rFonts w:hint="eastAsia" w:ascii="宋体" w:hAnsi="宋体"/>
                <w:color w:val="auto"/>
                <w:sz w:val="24"/>
                <w:szCs w:val="24"/>
                <w:highlight w:val="none"/>
              </w:rPr>
              <w:t>本项目收取履约保证金，具体规定如下：</w:t>
            </w:r>
          </w:p>
          <w:p w14:paraId="43E99C07">
            <w:pPr>
              <w:spacing w:line="400" w:lineRule="exact"/>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履约保证金金额：按预算金额的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%收取（中小企业履约保证金为预算金额的2%）</w:t>
            </w:r>
          </w:p>
          <w:p w14:paraId="60A37492">
            <w:pPr>
              <w:spacing w:line="400" w:lineRule="exact"/>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履约保证金提交方式：银行转账、保函或电汇。</w:t>
            </w:r>
          </w:p>
          <w:p w14:paraId="3A25AB04">
            <w:pPr>
              <w:spacing w:line="400" w:lineRule="exact"/>
              <w:ind w:firstLine="480" w:firstLineChars="200"/>
              <w:contextualSpacing/>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履约保证金退付方式、时间及条件：</w:t>
            </w:r>
            <w:r>
              <w:rPr>
                <w:rFonts w:hint="eastAsia" w:ascii="宋体" w:hAnsi="宋体" w:cs="宋体"/>
                <w:color w:val="auto"/>
                <w:sz w:val="24"/>
                <w:szCs w:val="24"/>
                <w:highlight w:val="none"/>
                <w:u w:val="single"/>
              </w:rPr>
              <w:t>履行完合同全部义务且验收合格后无息退付。由成交人向履约保证金收取单位提供《广西壮族自治区政府采购项目合同验收书》（详见桂财采〔2015〕22 号）及《政府采购项目履约保证金退付意见书》，保证金收取单位在收到合格材料后五个工作日内办理退付手续（不计息）。</w:t>
            </w:r>
          </w:p>
          <w:p w14:paraId="19F04D1B">
            <w:pPr>
              <w:spacing w:line="400" w:lineRule="exact"/>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履约保证金指定账户：</w:t>
            </w:r>
          </w:p>
          <w:p w14:paraId="339203A7">
            <w:pPr>
              <w:spacing w:line="400" w:lineRule="exact"/>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全 称：广西生态工程职业技术学院</w:t>
            </w:r>
          </w:p>
          <w:p w14:paraId="4E61044B">
            <w:pPr>
              <w:spacing w:line="400" w:lineRule="exact"/>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账 号： 45001625059050702021</w:t>
            </w:r>
          </w:p>
          <w:p w14:paraId="138D5B89">
            <w:pPr>
              <w:spacing w:line="400" w:lineRule="exact"/>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开户银行：建行柳州柳南支行</w:t>
            </w:r>
          </w:p>
          <w:p w14:paraId="54C47EE7">
            <w:pPr>
              <w:spacing w:line="400" w:lineRule="exact"/>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转帐时注明：××××项目，项目编号××××履约保证金</w:t>
            </w:r>
          </w:p>
          <w:p w14:paraId="01C26867">
            <w:pPr>
              <w:spacing w:line="400" w:lineRule="exact"/>
              <w:contextualSpacing/>
              <w:rPr>
                <w:rFonts w:ascii="宋体" w:hAnsi="宋体" w:cs="宋体"/>
                <w:color w:val="auto"/>
                <w:sz w:val="24"/>
                <w:szCs w:val="24"/>
                <w:highlight w:val="none"/>
              </w:rPr>
            </w:pPr>
            <w:r>
              <w:rPr>
                <w:rFonts w:hint="eastAsia" w:ascii="宋体" w:hAnsi="宋体" w:cs="宋体"/>
                <w:color w:val="auto"/>
                <w:sz w:val="24"/>
                <w:szCs w:val="24"/>
                <w:highlight w:val="none"/>
              </w:rPr>
              <w:t>电汇、转帐的持银行回执复印件（非电汇、转账的出具其他保证金递交证明文件）、中标（成交）通知书及合同到广西生态工程职业技术学院签定合同。</w:t>
            </w:r>
          </w:p>
          <w:p w14:paraId="77B2EDA6">
            <w:pPr>
              <w:spacing w:line="400" w:lineRule="exact"/>
              <w:contextualSpacing/>
              <w:rPr>
                <w:rFonts w:ascii="宋体" w:hAnsi="宋体" w:cs="宋体"/>
                <w:b/>
                <w:color w:val="auto"/>
                <w:sz w:val="24"/>
                <w:szCs w:val="24"/>
                <w:highlight w:val="none"/>
              </w:rPr>
            </w:pPr>
            <w:r>
              <w:rPr>
                <w:rFonts w:hint="eastAsia" w:ascii="宋体" w:hAnsi="宋体" w:cs="宋体"/>
                <w:color w:val="auto"/>
                <w:sz w:val="24"/>
                <w:szCs w:val="24"/>
                <w:highlight w:val="none"/>
              </w:rPr>
              <w:t>备注：</w:t>
            </w:r>
            <w:r>
              <w:rPr>
                <w:rFonts w:hint="eastAsia" w:ascii="宋体" w:hAnsi="宋体" w:cs="宋体"/>
                <w:color w:val="auto"/>
                <w:sz w:val="24"/>
                <w:szCs w:val="24"/>
                <w:highlight w:val="none"/>
              </w:rPr>
              <w:br w:type="textWrapping" w:clear="all"/>
            </w:r>
            <w:r>
              <w:rPr>
                <w:rFonts w:hint="eastAsia" w:ascii="宋体" w:hAnsi="宋体" w:cs="宋体"/>
                <w:b/>
                <w:color w:val="auto"/>
                <w:sz w:val="24"/>
                <w:szCs w:val="24"/>
                <w:highlight w:val="none"/>
              </w:rPr>
              <w:t>1</w:t>
            </w:r>
            <w:r>
              <w:rPr>
                <w:rFonts w:ascii="宋体" w:hAnsi="宋体" w:cs="宋体"/>
                <w:b/>
                <w:color w:val="auto"/>
                <w:sz w:val="24"/>
                <w:szCs w:val="24"/>
                <w:highlight w:val="none"/>
              </w:rPr>
              <w:t>.</w:t>
            </w:r>
            <w:bookmarkStart w:id="42" w:name="_Hlk54170335"/>
            <w:r>
              <w:rPr>
                <w:rFonts w:hint="eastAsia" w:ascii="宋体" w:hAnsi="宋体"/>
                <w:b/>
                <w:color w:val="auto"/>
                <w:sz w:val="24"/>
                <w:szCs w:val="24"/>
                <w:highlight w:val="none"/>
              </w:rPr>
              <w:t>根据《广西壮族自治区财政厅关于规范政府采购货物和服务项目保证金管理的通知》（桂财规〔2022〕8号）规定，采购人在采购文件中要求提交履约保证金的，履约保证金数额不得超过政府采购合同金额的5%；政府采购要加大对中小企业发展的扶持力度，对中小企业收取的履约保证金数额不得超过政府采购合同金额的2%。中标（成交）供应商的投标（响应）保证金可转为履约保证金。</w:t>
            </w:r>
            <w:bookmarkEnd w:id="42"/>
          </w:p>
          <w:p w14:paraId="5CB2CE63">
            <w:pPr>
              <w:spacing w:line="400" w:lineRule="exact"/>
              <w:contextualSpacing/>
              <w:rPr>
                <w:rFonts w:hint="eastAsia" w:ascii="宋体" w:hAnsi="宋体" w:cs="宋体"/>
                <w:b/>
                <w:color w:val="auto"/>
                <w:sz w:val="24"/>
                <w:szCs w:val="24"/>
                <w:highlight w:val="none"/>
              </w:rPr>
            </w:pPr>
            <w:r>
              <w:rPr>
                <w:rFonts w:hint="eastAsia" w:ascii="宋体" w:hAnsi="宋体" w:cs="宋体"/>
                <w:b/>
                <w:color w:val="auto"/>
                <w:sz w:val="24"/>
                <w:szCs w:val="24"/>
                <w:highlight w:val="none"/>
              </w:rPr>
              <w:t>2</w:t>
            </w:r>
            <w:r>
              <w:rPr>
                <w:rFonts w:ascii="宋体" w:hAnsi="宋体" w:cs="宋体"/>
                <w:b/>
                <w:color w:val="auto"/>
                <w:sz w:val="24"/>
                <w:szCs w:val="24"/>
                <w:highlight w:val="none"/>
              </w:rPr>
              <w:t>.</w:t>
            </w:r>
            <w:r>
              <w:rPr>
                <w:rFonts w:hint="eastAsia" w:ascii="宋体" w:hAnsi="宋体" w:cs="宋体"/>
                <w:b/>
                <w:color w:val="auto"/>
                <w:sz w:val="24"/>
                <w:szCs w:val="24"/>
                <w:highlight w:val="none"/>
              </w:rPr>
              <w:t>履约保证金不足额缴纳的，或者银行、保险机构出具的保函额度不足的或者保函有效期低于合同履行期限（即签订采购合同之日起至履行完合同约定的权利及义务之日止）的，不予签订合同。</w:t>
            </w:r>
            <w:r>
              <w:rPr>
                <w:rFonts w:hint="eastAsia" w:ascii="宋体" w:hAnsi="宋体" w:cs="宋体"/>
                <w:b/>
                <w:color w:val="auto"/>
                <w:sz w:val="24"/>
                <w:szCs w:val="24"/>
                <w:highlight w:val="none"/>
              </w:rPr>
              <w:br w:type="textWrapping" w:clear="all"/>
            </w:r>
            <w:r>
              <w:rPr>
                <w:rFonts w:ascii="宋体" w:hAnsi="宋体" w:cs="宋体"/>
                <w:b/>
                <w:color w:val="auto"/>
                <w:sz w:val="24"/>
                <w:szCs w:val="24"/>
                <w:highlight w:val="none"/>
              </w:rPr>
              <w:t>3.</w:t>
            </w:r>
            <w:r>
              <w:rPr>
                <w:rFonts w:hint="eastAsia" w:ascii="宋体" w:hAnsi="宋体" w:cs="宋体"/>
                <w:b/>
                <w:color w:val="auto"/>
                <w:sz w:val="24"/>
                <w:szCs w:val="24"/>
                <w:highlight w:val="none"/>
              </w:rPr>
              <w:t>采用银行、保险机构出具的保函的，必须为无条件保函，否则不予签订合同。</w:t>
            </w:r>
          </w:p>
          <w:p w14:paraId="6CA9B694">
            <w:pPr>
              <w:spacing w:line="360" w:lineRule="auto"/>
              <w:rPr>
                <w:rFonts w:hint="eastAsia" w:ascii="宋体" w:hAnsi="宋体" w:eastAsia="宋体" w:cs="宋体"/>
                <w:color w:val="auto"/>
                <w:sz w:val="24"/>
                <w:szCs w:val="24"/>
                <w:highlight w:val="none"/>
                <w:lang w:eastAsia="zh-CN"/>
              </w:rPr>
            </w:pPr>
            <w:r>
              <w:rPr>
                <w:rFonts w:ascii="宋体" w:hAnsi="宋体" w:cs="宋体"/>
                <w:b/>
                <w:color w:val="auto"/>
                <w:sz w:val="24"/>
                <w:szCs w:val="24"/>
                <w:highlight w:val="none"/>
              </w:rPr>
              <w:t>4.</w:t>
            </w:r>
            <w:r>
              <w:rPr>
                <w:rFonts w:hint="eastAsia" w:ascii="宋体" w:hAnsi="宋体" w:cs="宋体"/>
                <w:b/>
                <w:color w:val="auto"/>
                <w:sz w:val="24"/>
                <w:szCs w:val="24"/>
                <w:highlight w:val="none"/>
              </w:rPr>
              <w:t>供应商为联合体的，由联合体任意一方按规定提交的履约保证金，视为有效履约保证金。</w:t>
            </w:r>
          </w:p>
        </w:tc>
      </w:tr>
      <w:tr w14:paraId="2C82D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5" w:type="dxa"/>
            <w:vAlign w:val="center"/>
          </w:tcPr>
          <w:p w14:paraId="6E9858DD">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29.5</w:t>
            </w:r>
          </w:p>
        </w:tc>
        <w:tc>
          <w:tcPr>
            <w:tcW w:w="2186" w:type="dxa"/>
            <w:vAlign w:val="center"/>
          </w:tcPr>
          <w:p w14:paraId="7722018F">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签订合同携带的材料</w:t>
            </w:r>
          </w:p>
        </w:tc>
        <w:tc>
          <w:tcPr>
            <w:tcW w:w="6454" w:type="dxa"/>
            <w:vAlign w:val="center"/>
          </w:tcPr>
          <w:p w14:paraId="2EE287ED">
            <w:pPr>
              <w:autoSpaceDE w:val="0"/>
              <w:autoSpaceDN w:val="0"/>
              <w:spacing w:line="40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签订合同携带的证明材料： </w:t>
            </w:r>
          </w:p>
          <w:p w14:paraId="3E6C803F">
            <w:pPr>
              <w:autoSpaceDE w:val="0"/>
              <w:autoSpaceDN w:val="0"/>
              <w:spacing w:line="400" w:lineRule="exact"/>
              <w:rPr>
                <w:rFonts w:hint="eastAsia" w:ascii="宋体" w:hAnsi="宋体"/>
                <w:color w:val="auto"/>
                <w:sz w:val="24"/>
                <w:szCs w:val="24"/>
                <w:highlight w:val="none"/>
              </w:rPr>
            </w:pPr>
            <w:r>
              <w:rPr>
                <w:rFonts w:hint="eastAsia" w:ascii="宋体" w:hAnsi="宋体"/>
                <w:color w:val="auto"/>
                <w:sz w:val="24"/>
                <w:szCs w:val="24"/>
                <w:highlight w:val="none"/>
              </w:rPr>
              <w:t>委托代理人负责签订合同的，须携带授权委托书及委托代理人身份证原件等其他资格证件。</w:t>
            </w:r>
          </w:p>
          <w:p w14:paraId="1A292E11">
            <w:pPr>
              <w:spacing w:line="360" w:lineRule="auto"/>
              <w:rPr>
                <w:rFonts w:hint="eastAsia" w:ascii="宋体" w:hAnsi="宋体" w:eastAsia="宋体" w:cs="宋体"/>
                <w:color w:val="auto"/>
                <w:sz w:val="24"/>
                <w:szCs w:val="24"/>
                <w:highlight w:val="none"/>
                <w:lang w:eastAsia="zh-CN"/>
              </w:rPr>
            </w:pPr>
            <w:r>
              <w:rPr>
                <w:rFonts w:hint="eastAsia" w:ascii="宋体" w:hAnsi="宋体"/>
                <w:color w:val="auto"/>
                <w:sz w:val="24"/>
                <w:szCs w:val="24"/>
                <w:highlight w:val="none"/>
              </w:rPr>
              <w:t>法定代表人负责签订合同的，须携带法定代表人</w:t>
            </w:r>
            <w:r>
              <w:rPr>
                <w:rFonts w:ascii="宋体" w:hAnsi="宋体"/>
                <w:color w:val="auto"/>
                <w:sz w:val="24"/>
                <w:szCs w:val="24"/>
                <w:highlight w:val="none"/>
              </w:rPr>
              <w:t>身份证明原件</w:t>
            </w:r>
            <w:r>
              <w:rPr>
                <w:rFonts w:hint="eastAsia" w:ascii="宋体" w:hAnsi="宋体"/>
                <w:color w:val="auto"/>
                <w:sz w:val="24"/>
                <w:szCs w:val="24"/>
                <w:highlight w:val="none"/>
              </w:rPr>
              <w:t>及</w:t>
            </w:r>
            <w:r>
              <w:rPr>
                <w:rFonts w:ascii="宋体" w:hAnsi="宋体"/>
                <w:color w:val="auto"/>
                <w:sz w:val="24"/>
                <w:szCs w:val="24"/>
                <w:highlight w:val="none"/>
              </w:rPr>
              <w:t>身份证原件</w:t>
            </w:r>
            <w:r>
              <w:rPr>
                <w:rFonts w:hint="eastAsia" w:ascii="宋体" w:hAnsi="宋体"/>
                <w:color w:val="auto"/>
                <w:sz w:val="24"/>
                <w:szCs w:val="24"/>
                <w:highlight w:val="none"/>
              </w:rPr>
              <w:t>等其他证明材料。</w:t>
            </w:r>
          </w:p>
        </w:tc>
      </w:tr>
      <w:tr w14:paraId="1CF61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5" w:type="dxa"/>
            <w:vMerge w:val="restart"/>
            <w:vAlign w:val="center"/>
          </w:tcPr>
          <w:p w14:paraId="43286CBA">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31.2</w:t>
            </w:r>
          </w:p>
        </w:tc>
        <w:tc>
          <w:tcPr>
            <w:tcW w:w="2186" w:type="dxa"/>
            <w:vAlign w:val="center"/>
          </w:tcPr>
          <w:p w14:paraId="05C3EBE1">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接收质疑函方式</w:t>
            </w:r>
          </w:p>
        </w:tc>
        <w:tc>
          <w:tcPr>
            <w:tcW w:w="6454" w:type="dxa"/>
            <w:vAlign w:val="center"/>
          </w:tcPr>
          <w:p w14:paraId="01905098">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以书面形式</w:t>
            </w:r>
          </w:p>
        </w:tc>
      </w:tr>
      <w:tr w14:paraId="5F7EF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5" w:type="dxa"/>
            <w:vMerge w:val="continue"/>
            <w:vAlign w:val="center"/>
          </w:tcPr>
          <w:p w14:paraId="3C65C64F">
            <w:pPr>
              <w:spacing w:line="360" w:lineRule="auto"/>
              <w:jc w:val="center"/>
              <w:rPr>
                <w:rFonts w:ascii="宋体" w:hAnsi="宋体" w:cs="宋体"/>
                <w:color w:val="auto"/>
                <w:sz w:val="24"/>
                <w:szCs w:val="24"/>
                <w:highlight w:val="none"/>
              </w:rPr>
            </w:pPr>
          </w:p>
        </w:tc>
        <w:tc>
          <w:tcPr>
            <w:tcW w:w="2186" w:type="dxa"/>
            <w:vAlign w:val="center"/>
          </w:tcPr>
          <w:p w14:paraId="3EAEDB5A">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质疑联系部门及联系方式</w:t>
            </w:r>
          </w:p>
        </w:tc>
        <w:tc>
          <w:tcPr>
            <w:tcW w:w="6454" w:type="dxa"/>
            <w:vAlign w:val="center"/>
          </w:tcPr>
          <w:p w14:paraId="7720C402">
            <w:pPr>
              <w:pStyle w:val="18"/>
              <w:spacing w:line="400" w:lineRule="exact"/>
              <w:rPr>
                <w:rFonts w:hint="eastAsia" w:hAnsi="宋体" w:cs="宋体"/>
                <w:color w:val="auto"/>
                <w:kern w:val="2"/>
                <w:sz w:val="24"/>
                <w:szCs w:val="24"/>
                <w:highlight w:val="none"/>
              </w:rPr>
            </w:pPr>
            <w:r>
              <w:rPr>
                <w:rFonts w:hint="eastAsia" w:hAnsi="宋体" w:cs="宋体"/>
                <w:color w:val="auto"/>
                <w:kern w:val="2"/>
                <w:sz w:val="24"/>
                <w:szCs w:val="24"/>
                <w:highlight w:val="none"/>
              </w:rPr>
              <w:t>质疑联系部门及联系方式：</w:t>
            </w:r>
            <w:r>
              <w:rPr>
                <w:rFonts w:hint="eastAsia" w:ascii="宋体" w:hAnsi="宋体"/>
                <w:color w:val="auto"/>
                <w:sz w:val="24"/>
                <w:szCs w:val="24"/>
                <w:highlight w:val="none"/>
                <w:u w:val="single"/>
                <w:lang w:eastAsia="zh-CN"/>
              </w:rPr>
              <w:t>广西建标建设工程咨询有限责任公司</w:t>
            </w:r>
            <w:r>
              <w:rPr>
                <w:rFonts w:hint="eastAsia" w:hAnsi="宋体" w:cs="宋体"/>
                <w:color w:val="auto"/>
                <w:kern w:val="2"/>
                <w:sz w:val="24"/>
                <w:szCs w:val="24"/>
                <w:highlight w:val="none"/>
              </w:rPr>
              <w:t>，联系电话：</w:t>
            </w:r>
            <w:r>
              <w:rPr>
                <w:rFonts w:hint="eastAsia" w:ascii="宋体" w:hAnsi="宋体" w:eastAsia="宋体" w:cs="Times New Roman"/>
                <w:color w:val="auto"/>
                <w:kern w:val="2"/>
                <w:sz w:val="24"/>
                <w:szCs w:val="24"/>
                <w:highlight w:val="none"/>
                <w:lang w:val="en-US" w:eastAsia="zh-CN" w:bidi="ar-SA"/>
              </w:rPr>
              <w:t>0771-4923450</w:t>
            </w:r>
            <w:r>
              <w:rPr>
                <w:rFonts w:hint="eastAsia" w:hAnsi="宋体" w:cs="宋体"/>
                <w:color w:val="auto"/>
                <w:kern w:val="2"/>
                <w:sz w:val="24"/>
                <w:szCs w:val="24"/>
                <w:highlight w:val="none"/>
              </w:rPr>
              <w:t>，通讯地址：</w:t>
            </w:r>
            <w:r>
              <w:rPr>
                <w:rFonts w:hint="eastAsia" w:ascii="宋体" w:hAnsi="宋体" w:eastAsia="宋体" w:cs="Times New Roman"/>
                <w:color w:val="auto"/>
                <w:kern w:val="2"/>
                <w:sz w:val="24"/>
                <w:szCs w:val="24"/>
                <w:highlight w:val="none"/>
                <w:lang w:val="en-US" w:eastAsia="zh-CN" w:bidi="ar-SA"/>
              </w:rPr>
              <w:t>广西南宁市白沙大道1-6号白沙苑1～3楼</w:t>
            </w:r>
            <w:r>
              <w:rPr>
                <w:rFonts w:hint="eastAsia" w:hAnsi="宋体"/>
                <w:color w:val="auto"/>
                <w:sz w:val="24"/>
                <w:szCs w:val="24"/>
                <w:highlight w:val="none"/>
                <w:u w:val="single"/>
              </w:rPr>
              <w:t>。</w:t>
            </w:r>
          </w:p>
          <w:p w14:paraId="6F07141E">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业务时间：工作日每天上午</w:t>
            </w:r>
            <w:r>
              <w:rPr>
                <w:rFonts w:ascii="宋体" w:hAnsi="宋体" w:cs="宋体"/>
                <w:color w:val="auto"/>
                <w:sz w:val="24"/>
                <w:szCs w:val="24"/>
                <w:highlight w:val="none"/>
              </w:rPr>
              <w:t>8</w:t>
            </w:r>
            <w:r>
              <w:rPr>
                <w:rFonts w:hint="eastAsia" w:ascii="宋体" w:hAnsi="宋体" w:cs="宋体"/>
                <w:color w:val="auto"/>
                <w:sz w:val="24"/>
                <w:szCs w:val="24"/>
                <w:highlight w:val="none"/>
              </w:rPr>
              <w:t>时30分到</w:t>
            </w:r>
            <w:r>
              <w:rPr>
                <w:rFonts w:ascii="宋体" w:hAnsi="宋体" w:cs="宋体"/>
                <w:color w:val="auto"/>
                <w:sz w:val="24"/>
                <w:szCs w:val="24"/>
                <w:highlight w:val="none"/>
              </w:rPr>
              <w:t>12</w:t>
            </w:r>
            <w:r>
              <w:rPr>
                <w:rFonts w:hint="eastAsia" w:ascii="宋体" w:hAnsi="宋体" w:cs="宋体"/>
                <w:color w:val="auto"/>
                <w:sz w:val="24"/>
                <w:szCs w:val="24"/>
                <w:highlight w:val="none"/>
              </w:rPr>
              <w:t>时</w:t>
            </w:r>
            <w:r>
              <w:rPr>
                <w:rFonts w:ascii="宋体" w:hAnsi="宋体" w:cs="宋体"/>
                <w:color w:val="auto"/>
                <w:sz w:val="24"/>
                <w:szCs w:val="24"/>
                <w:highlight w:val="none"/>
              </w:rPr>
              <w:t>00</w:t>
            </w:r>
            <w:r>
              <w:rPr>
                <w:rFonts w:hint="eastAsia" w:ascii="宋体" w:hAnsi="宋体" w:cs="宋体"/>
                <w:color w:val="auto"/>
                <w:sz w:val="24"/>
                <w:szCs w:val="24"/>
                <w:highlight w:val="none"/>
              </w:rPr>
              <w:t>分，下午15时</w:t>
            </w:r>
            <w:r>
              <w:rPr>
                <w:rFonts w:ascii="宋体" w:hAnsi="宋体" w:cs="宋体"/>
                <w:color w:val="auto"/>
                <w:sz w:val="24"/>
                <w:szCs w:val="24"/>
                <w:highlight w:val="none"/>
              </w:rPr>
              <w:t>00</w:t>
            </w:r>
            <w:r>
              <w:rPr>
                <w:rFonts w:hint="eastAsia" w:ascii="宋体" w:hAnsi="宋体" w:cs="宋体"/>
                <w:color w:val="auto"/>
                <w:sz w:val="24"/>
                <w:szCs w:val="24"/>
                <w:highlight w:val="none"/>
              </w:rPr>
              <w:t>分到18时</w:t>
            </w:r>
            <w:r>
              <w:rPr>
                <w:rFonts w:ascii="宋体" w:hAnsi="宋体" w:cs="宋体"/>
                <w:color w:val="auto"/>
                <w:sz w:val="24"/>
                <w:szCs w:val="24"/>
                <w:highlight w:val="none"/>
              </w:rPr>
              <w:t>00</w:t>
            </w:r>
            <w:r>
              <w:rPr>
                <w:rFonts w:hint="eastAsia" w:ascii="宋体" w:hAnsi="宋体" w:cs="宋体"/>
                <w:color w:val="auto"/>
                <w:sz w:val="24"/>
                <w:szCs w:val="24"/>
                <w:highlight w:val="none"/>
              </w:rPr>
              <w:t xml:space="preserve">分。                  </w:t>
            </w:r>
          </w:p>
        </w:tc>
      </w:tr>
      <w:tr w14:paraId="45C8A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5" w:type="dxa"/>
            <w:vMerge w:val="continue"/>
            <w:vAlign w:val="center"/>
          </w:tcPr>
          <w:p w14:paraId="77E5B889">
            <w:pPr>
              <w:spacing w:line="360" w:lineRule="auto"/>
              <w:jc w:val="center"/>
              <w:rPr>
                <w:rFonts w:ascii="宋体" w:hAnsi="宋体" w:cs="宋体"/>
                <w:color w:val="auto"/>
                <w:sz w:val="24"/>
                <w:szCs w:val="24"/>
                <w:highlight w:val="none"/>
              </w:rPr>
            </w:pPr>
          </w:p>
        </w:tc>
        <w:tc>
          <w:tcPr>
            <w:tcW w:w="2186" w:type="dxa"/>
            <w:vAlign w:val="center"/>
          </w:tcPr>
          <w:p w14:paraId="4218ECBD">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现场提交质疑办理业务时间</w:t>
            </w:r>
          </w:p>
        </w:tc>
        <w:tc>
          <w:tcPr>
            <w:tcW w:w="6454" w:type="dxa"/>
            <w:vAlign w:val="center"/>
          </w:tcPr>
          <w:p w14:paraId="7900B525">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质疑期内每个工作日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8</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00 </w:t>
            </w:r>
            <w:r>
              <w:rPr>
                <w:rFonts w:hint="eastAsia" w:ascii="宋体" w:hAnsi="宋体" w:cs="宋体"/>
                <w:color w:val="auto"/>
                <w:sz w:val="24"/>
                <w:szCs w:val="24"/>
                <w:highlight w:val="none"/>
              </w:rPr>
              <w:t>分到</w:t>
            </w:r>
            <w:r>
              <w:rPr>
                <w:rFonts w:hint="eastAsia" w:ascii="宋体" w:hAnsi="宋体" w:cs="宋体"/>
                <w:color w:val="auto"/>
                <w:sz w:val="24"/>
                <w:szCs w:val="24"/>
                <w:highlight w:val="none"/>
                <w:u w:val="single"/>
              </w:rPr>
              <w:t xml:space="preserve"> 12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00 </w:t>
            </w:r>
            <w:r>
              <w:rPr>
                <w:rFonts w:hint="eastAsia" w:ascii="宋体" w:hAnsi="宋体" w:cs="宋体"/>
                <w:color w:val="auto"/>
                <w:sz w:val="24"/>
                <w:szCs w:val="24"/>
                <w:highlight w:val="none"/>
              </w:rPr>
              <w:t>分，</w:t>
            </w:r>
            <w:r>
              <w:rPr>
                <w:rFonts w:hint="eastAsia" w:ascii="宋体" w:hAnsi="宋体" w:cs="宋体"/>
                <w:color w:val="auto"/>
                <w:sz w:val="24"/>
                <w:szCs w:val="24"/>
                <w:highlight w:val="none"/>
                <w:u w:val="single"/>
              </w:rPr>
              <w:t xml:space="preserve"> 15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00 </w:t>
            </w:r>
            <w:r>
              <w:rPr>
                <w:rFonts w:hint="eastAsia" w:ascii="宋体" w:hAnsi="宋体" w:cs="宋体"/>
                <w:color w:val="auto"/>
                <w:sz w:val="24"/>
                <w:szCs w:val="24"/>
                <w:highlight w:val="none"/>
              </w:rPr>
              <w:t>分到</w:t>
            </w:r>
            <w:r>
              <w:rPr>
                <w:rFonts w:hint="eastAsia" w:ascii="宋体" w:hAnsi="宋体" w:cs="宋体"/>
                <w:color w:val="auto"/>
                <w:sz w:val="24"/>
                <w:szCs w:val="24"/>
                <w:highlight w:val="none"/>
                <w:u w:val="single"/>
              </w:rPr>
              <w:t xml:space="preserve"> 18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00  </w:t>
            </w:r>
            <w:r>
              <w:rPr>
                <w:rFonts w:hint="eastAsia" w:ascii="宋体" w:hAnsi="宋体" w:cs="宋体"/>
                <w:color w:val="auto"/>
                <w:sz w:val="24"/>
                <w:szCs w:val="24"/>
                <w:highlight w:val="none"/>
              </w:rPr>
              <w:t>分</w:t>
            </w:r>
          </w:p>
        </w:tc>
      </w:tr>
      <w:tr w14:paraId="31243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5" w:type="dxa"/>
            <w:vAlign w:val="center"/>
          </w:tcPr>
          <w:p w14:paraId="5B64D2D6">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31.6</w:t>
            </w:r>
          </w:p>
        </w:tc>
        <w:tc>
          <w:tcPr>
            <w:tcW w:w="2186" w:type="dxa"/>
            <w:vAlign w:val="center"/>
          </w:tcPr>
          <w:p w14:paraId="3EA1534F">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受理投诉方式</w:t>
            </w:r>
          </w:p>
        </w:tc>
        <w:tc>
          <w:tcPr>
            <w:tcW w:w="6454" w:type="dxa"/>
            <w:vAlign w:val="center"/>
          </w:tcPr>
          <w:p w14:paraId="4B6C6700">
            <w:pPr>
              <w:spacing w:line="360" w:lineRule="auto"/>
              <w:rPr>
                <w:rFonts w:ascii="宋体" w:hAnsi="宋体"/>
                <w:color w:val="auto"/>
                <w:sz w:val="24"/>
                <w:szCs w:val="24"/>
                <w:highlight w:val="none"/>
              </w:rPr>
            </w:pPr>
            <w:r>
              <w:rPr>
                <w:rFonts w:hint="eastAsia" w:ascii="宋体" w:hAnsi="宋体"/>
                <w:color w:val="auto"/>
                <w:sz w:val="24"/>
                <w:szCs w:val="24"/>
                <w:highlight w:val="none"/>
              </w:rPr>
              <w:t>1、受理方式：纸质方式受理，投诉书正、副本（经过质疑的事项才可投诉）。</w:t>
            </w:r>
          </w:p>
          <w:p w14:paraId="25D2F4AB">
            <w:pPr>
              <w:spacing w:line="360" w:lineRule="auto"/>
              <w:rPr>
                <w:rFonts w:ascii="宋体" w:hAnsi="宋体"/>
                <w:color w:val="auto"/>
                <w:sz w:val="24"/>
                <w:szCs w:val="24"/>
                <w:highlight w:val="none"/>
              </w:rPr>
            </w:pPr>
            <w:r>
              <w:rPr>
                <w:rFonts w:hint="eastAsia" w:ascii="宋体" w:hAnsi="宋体"/>
                <w:color w:val="auto"/>
                <w:sz w:val="24"/>
                <w:szCs w:val="24"/>
                <w:highlight w:val="none"/>
              </w:rPr>
              <w:t>2、邮寄地址：</w:t>
            </w:r>
          </w:p>
          <w:p w14:paraId="2331A911">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名称：</w:t>
            </w:r>
            <w:r>
              <w:rPr>
                <w:rFonts w:hint="eastAsia" w:ascii="宋体" w:hAnsi="宋体" w:eastAsia="宋体" w:cs="宋体"/>
                <w:color w:val="auto"/>
                <w:sz w:val="24"/>
                <w:szCs w:val="24"/>
                <w:highlight w:val="none"/>
                <w:lang w:val="en-US" w:eastAsia="zh-CN"/>
              </w:rPr>
              <w:t>广西壮族自治区财政厅</w:t>
            </w:r>
            <w:r>
              <w:rPr>
                <w:rFonts w:hint="eastAsia" w:ascii="宋体" w:hAnsi="宋体" w:eastAsia="宋体" w:cs="宋体"/>
                <w:color w:val="auto"/>
                <w:sz w:val="24"/>
                <w:szCs w:val="24"/>
                <w:highlight w:val="none"/>
                <w:lang w:eastAsia="zh-CN"/>
              </w:rPr>
              <w:t xml:space="preserve"> </w:t>
            </w:r>
          </w:p>
          <w:p w14:paraId="64369A3F">
            <w:pPr>
              <w:spacing w:line="360" w:lineRule="auto"/>
              <w:rPr>
                <w:rFonts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联系电话：077</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5331544</w:t>
            </w:r>
          </w:p>
        </w:tc>
      </w:tr>
      <w:tr w14:paraId="3639E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5" w:type="dxa"/>
            <w:vAlign w:val="center"/>
          </w:tcPr>
          <w:p w14:paraId="1D82C734">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33</w:t>
            </w:r>
          </w:p>
        </w:tc>
        <w:tc>
          <w:tcPr>
            <w:tcW w:w="2186" w:type="dxa"/>
            <w:vAlign w:val="center"/>
          </w:tcPr>
          <w:p w14:paraId="5CB49F3D">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采购代理费</w:t>
            </w:r>
          </w:p>
        </w:tc>
        <w:tc>
          <w:tcPr>
            <w:tcW w:w="6454" w:type="dxa"/>
            <w:vAlign w:val="center"/>
          </w:tcPr>
          <w:p w14:paraId="5257AA34">
            <w:pPr>
              <w:pStyle w:val="18"/>
              <w:spacing w:line="400" w:lineRule="exact"/>
              <w:rPr>
                <w:rFonts w:hint="eastAsia" w:hAnsi="宋体" w:cs="宋体"/>
                <w:color w:val="auto"/>
                <w:sz w:val="24"/>
                <w:szCs w:val="24"/>
                <w:highlight w:val="none"/>
              </w:rPr>
            </w:pPr>
            <w:r>
              <w:rPr>
                <w:rFonts w:hint="eastAsia" w:hAnsi="宋体" w:cs="宋体"/>
                <w:color w:val="auto"/>
                <w:sz w:val="24"/>
                <w:szCs w:val="24"/>
                <w:highlight w:val="none"/>
              </w:rPr>
              <w:t>1.采购代理费支付方式：</w:t>
            </w:r>
          </w:p>
          <w:p w14:paraId="43C8D414">
            <w:pPr>
              <w:pStyle w:val="18"/>
              <w:spacing w:line="400" w:lineRule="exact"/>
              <w:rPr>
                <w:rFonts w:hint="eastAsia" w:hAnsi="宋体" w:cs="宋体"/>
                <w:color w:val="auto"/>
                <w:sz w:val="24"/>
                <w:szCs w:val="24"/>
                <w:highlight w:val="none"/>
              </w:rPr>
            </w:pPr>
            <w:r>
              <w:rPr>
                <w:rFonts w:ascii="Segoe UI Symbol" w:hAnsi="Segoe UI Symbol" w:cs="Segoe UI Symbol"/>
                <w:color w:val="auto"/>
                <w:sz w:val="24"/>
                <w:szCs w:val="24"/>
                <w:highlight w:val="none"/>
              </w:rPr>
              <w:t>☑</w:t>
            </w:r>
            <w:r>
              <w:rPr>
                <w:rFonts w:hint="eastAsia" w:hAnsi="宋体" w:cs="宋体"/>
                <w:color w:val="auto"/>
                <w:sz w:val="24"/>
                <w:szCs w:val="24"/>
                <w:highlight w:val="none"/>
              </w:rPr>
              <w:t>本项目代理服务费由</w:t>
            </w:r>
            <w:r>
              <w:rPr>
                <w:rFonts w:hint="eastAsia" w:hAnsi="宋体" w:cs="宋体"/>
                <w:color w:val="auto"/>
                <w:sz w:val="24"/>
                <w:szCs w:val="24"/>
                <w:highlight w:val="none"/>
                <w:lang w:val="en-US" w:eastAsia="zh-CN"/>
              </w:rPr>
              <w:t>每个分标</w:t>
            </w:r>
            <w:r>
              <w:rPr>
                <w:rFonts w:hint="eastAsia" w:hAnsi="宋体" w:cs="宋体"/>
                <w:color w:val="auto"/>
                <w:sz w:val="24"/>
                <w:szCs w:val="24"/>
                <w:highlight w:val="none"/>
                <w:u w:val="single"/>
              </w:rPr>
              <w:t>成交供应商</w:t>
            </w:r>
            <w:r>
              <w:rPr>
                <w:rFonts w:hint="eastAsia" w:hAnsi="宋体" w:cs="宋体"/>
                <w:color w:val="auto"/>
                <w:sz w:val="24"/>
                <w:szCs w:val="24"/>
                <w:highlight w:val="none"/>
              </w:rPr>
              <w:t>签订合同前，一次性向采购代理机构支付。</w:t>
            </w:r>
          </w:p>
          <w:p w14:paraId="77726971">
            <w:pPr>
              <w:pStyle w:val="18"/>
              <w:spacing w:line="400" w:lineRule="exact"/>
              <w:rPr>
                <w:rFonts w:hint="eastAsia" w:hAnsi="宋体" w:cs="宋体"/>
                <w:color w:val="auto"/>
                <w:sz w:val="24"/>
                <w:szCs w:val="24"/>
                <w:highlight w:val="none"/>
              </w:rPr>
            </w:pPr>
            <w:r>
              <w:rPr>
                <w:rFonts w:hint="eastAsia" w:hAnsi="宋体" w:cs="宋体"/>
                <w:color w:val="auto"/>
                <w:sz w:val="24"/>
                <w:szCs w:val="24"/>
                <w:highlight w:val="none"/>
              </w:rPr>
              <w:t>□采购人支付。</w:t>
            </w:r>
          </w:p>
          <w:p w14:paraId="3540EF5B">
            <w:pPr>
              <w:pStyle w:val="18"/>
              <w:spacing w:line="400" w:lineRule="exact"/>
              <w:rPr>
                <w:rFonts w:hint="eastAsia" w:hAnsi="宋体" w:cs="宋体"/>
                <w:color w:val="auto"/>
                <w:sz w:val="24"/>
                <w:szCs w:val="24"/>
                <w:highlight w:val="none"/>
              </w:rPr>
            </w:pPr>
            <w:r>
              <w:rPr>
                <w:rFonts w:hint="eastAsia" w:hAnsi="宋体" w:cs="宋体"/>
                <w:color w:val="auto"/>
                <w:sz w:val="24"/>
                <w:szCs w:val="24"/>
                <w:highlight w:val="none"/>
              </w:rPr>
              <w:t>2.采购代理费收取标准：</w:t>
            </w:r>
          </w:p>
          <w:p w14:paraId="070E7B91">
            <w:pPr>
              <w:pStyle w:val="18"/>
              <w:spacing w:line="400" w:lineRule="exact"/>
              <w:rPr>
                <w:rFonts w:hint="eastAsia" w:hAnsi="宋体" w:cs="宋体"/>
                <w:color w:val="auto"/>
                <w:sz w:val="24"/>
                <w:szCs w:val="24"/>
                <w:highlight w:val="none"/>
              </w:rPr>
            </w:pPr>
            <w:r>
              <w:rPr>
                <w:rFonts w:ascii="Segoe UI Symbol" w:hAnsi="Segoe UI Symbol" w:cs="Segoe UI Symbol"/>
                <w:color w:val="auto"/>
                <w:sz w:val="24"/>
                <w:szCs w:val="24"/>
                <w:highlight w:val="none"/>
              </w:rPr>
              <w:t>☑</w:t>
            </w:r>
            <w:r>
              <w:rPr>
                <w:rFonts w:hint="eastAsia" w:hAnsi="宋体" w:cs="宋体"/>
                <w:color w:val="auto"/>
                <w:sz w:val="24"/>
                <w:szCs w:val="24"/>
                <w:highlight w:val="none"/>
              </w:rPr>
              <w:t>以分标（</w:t>
            </w:r>
            <w:r>
              <w:rPr>
                <w:rFonts w:hint="eastAsia" w:hAnsi="宋体" w:cs="宋体"/>
                <w:color w:val="auto"/>
                <w:sz w:val="24"/>
                <w:szCs w:val="24"/>
                <w:highlight w:val="none"/>
                <w:lang w:eastAsia="zh-CN"/>
              </w:rPr>
              <w:t>□</w:t>
            </w:r>
            <w:r>
              <w:rPr>
                <w:rFonts w:hint="eastAsia" w:hAnsi="宋体" w:cs="宋体"/>
                <w:color w:val="auto"/>
                <w:sz w:val="24"/>
                <w:szCs w:val="24"/>
                <w:highlight w:val="none"/>
              </w:rPr>
              <w:t>成交金额/</w:t>
            </w:r>
            <w:r>
              <w:rPr>
                <w:rFonts w:hint="eastAsia" w:ascii="Segoe UI Symbol" w:hAnsi="Segoe UI Symbol" w:cs="Segoe UI Symbol"/>
                <w:color w:val="auto"/>
                <w:sz w:val="24"/>
                <w:szCs w:val="24"/>
                <w:highlight w:val="none"/>
                <w:lang w:eastAsia="zh-CN"/>
              </w:rPr>
              <w:t>☑</w:t>
            </w:r>
            <w:r>
              <w:rPr>
                <w:rFonts w:hint="eastAsia" w:hAnsi="宋体" w:cs="宋体"/>
                <w:color w:val="auto"/>
                <w:sz w:val="24"/>
                <w:szCs w:val="24"/>
                <w:highlight w:val="none"/>
              </w:rPr>
              <w:t>采购预算/□暂定成交金额/□其他</w:t>
            </w:r>
            <w:r>
              <w:rPr>
                <w:rFonts w:hint="eastAsia" w:hAnsi="宋体" w:cs="宋体"/>
                <w:color w:val="auto"/>
                <w:sz w:val="24"/>
                <w:szCs w:val="24"/>
                <w:highlight w:val="none"/>
                <w:u w:val="single"/>
              </w:rPr>
              <w:t xml:space="preserve"> </w:t>
            </w:r>
            <w:r>
              <w:rPr>
                <w:rFonts w:hAnsi="宋体" w:cs="宋体"/>
                <w:color w:val="auto"/>
                <w:sz w:val="24"/>
                <w:szCs w:val="24"/>
                <w:highlight w:val="none"/>
                <w:u w:val="single"/>
              </w:rPr>
              <w:t xml:space="preserve">/ </w:t>
            </w:r>
            <w:r>
              <w:rPr>
                <w:rFonts w:hint="eastAsia" w:hAnsi="宋体" w:cs="宋体"/>
                <w:color w:val="auto"/>
                <w:sz w:val="24"/>
                <w:szCs w:val="24"/>
                <w:highlight w:val="none"/>
              </w:rPr>
              <w:t>）为计费额，</w:t>
            </w:r>
            <w:r>
              <w:rPr>
                <w:rFonts w:hint="eastAsia" w:ascii="宋体" w:hAnsi="宋体" w:eastAsia="宋体" w:cs="宋体"/>
                <w:color w:val="auto"/>
                <w:sz w:val="24"/>
                <w:szCs w:val="24"/>
                <w:highlight w:val="none"/>
                <w:u w:val="none"/>
                <w:lang w:val="en-US" w:eastAsia="zh-CN"/>
              </w:rPr>
              <w:t>参照原国家计委关于《招标代理服务收费管理暂行办法》的通知（计价格〔2002〕1980号）、《国家发展改革委办公厅关于招标代理服务收费有关问题的通知》（发改办价格［2003］857号）以及《国家发展改革委关于降低部分建设项目收费标准规范收费行为等有关问题的通知》（发改价格〔2011〕534号）采用差额定率累进法计算出收费基准价格，</w:t>
            </w:r>
            <w:r>
              <w:rPr>
                <w:rFonts w:hint="eastAsia" w:hAnsi="宋体" w:cs="宋体"/>
                <w:color w:val="auto"/>
                <w:sz w:val="24"/>
                <w:szCs w:val="24"/>
                <w:highlight w:val="none"/>
              </w:rPr>
              <w:t>收费计算标准（</w:t>
            </w:r>
            <w:r>
              <w:rPr>
                <w:rFonts w:ascii="Segoe UI Symbol" w:hAnsi="Segoe UI Symbol" w:cs="Segoe UI Symbol"/>
                <w:color w:val="auto"/>
                <w:sz w:val="24"/>
                <w:szCs w:val="24"/>
                <w:highlight w:val="none"/>
              </w:rPr>
              <w:t>☑</w:t>
            </w:r>
            <w:r>
              <w:rPr>
                <w:rFonts w:hint="eastAsia" w:hAnsi="宋体" w:cs="宋体"/>
                <w:color w:val="auto"/>
                <w:sz w:val="24"/>
                <w:szCs w:val="24"/>
                <w:highlight w:val="none"/>
              </w:rPr>
              <w:t>货物类/</w:t>
            </w:r>
            <w:r>
              <w:rPr>
                <w:rFonts w:hint="eastAsia" w:hAnsi="宋体" w:cs="宋体"/>
                <w:color w:val="auto"/>
                <w:sz w:val="24"/>
                <w:szCs w:val="24"/>
                <w:highlight w:val="none"/>
                <w:lang w:eastAsia="zh-CN"/>
              </w:rPr>
              <w:t>□</w:t>
            </w:r>
            <w:r>
              <w:rPr>
                <w:rFonts w:hint="eastAsia" w:hAnsi="宋体" w:cs="宋体"/>
                <w:color w:val="auto"/>
                <w:sz w:val="24"/>
                <w:szCs w:val="24"/>
                <w:highlight w:val="none"/>
              </w:rPr>
              <w:t>服务类/□工程类）采用差额定率累进法计算出收费基准价格，采购代理收费以（□收费基准价格/</w:t>
            </w:r>
            <w:r>
              <w:rPr>
                <w:rFonts w:ascii="Segoe UI Symbol" w:hAnsi="Segoe UI Symbol" w:cs="Segoe UI Symbol"/>
                <w:color w:val="auto"/>
                <w:sz w:val="24"/>
                <w:szCs w:val="24"/>
                <w:highlight w:val="none"/>
              </w:rPr>
              <w:t>☑</w:t>
            </w:r>
            <w:r>
              <w:rPr>
                <w:rFonts w:hint="eastAsia" w:hAnsi="宋体" w:cs="宋体"/>
                <w:color w:val="auto"/>
                <w:sz w:val="24"/>
                <w:szCs w:val="24"/>
                <w:highlight w:val="none"/>
              </w:rPr>
              <w:t>收费基准价格下浮</w:t>
            </w:r>
            <w:r>
              <w:rPr>
                <w:rFonts w:hint="eastAsia" w:hAnsi="宋体" w:cs="宋体"/>
                <w:color w:val="auto"/>
                <w:sz w:val="24"/>
                <w:szCs w:val="24"/>
                <w:highlight w:val="none"/>
                <w:u w:val="single"/>
              </w:rPr>
              <w:t xml:space="preserve"> 20</w:t>
            </w:r>
            <w:r>
              <w:rPr>
                <w:rFonts w:hAnsi="宋体" w:cs="宋体"/>
                <w:color w:val="auto"/>
                <w:sz w:val="24"/>
                <w:szCs w:val="24"/>
                <w:highlight w:val="none"/>
                <w:u w:val="single"/>
              </w:rPr>
              <w:t xml:space="preserve"> </w:t>
            </w:r>
            <w:r>
              <w:rPr>
                <w:rFonts w:hint="eastAsia" w:hAnsi="宋体" w:cs="宋体"/>
                <w:color w:val="auto"/>
                <w:sz w:val="24"/>
                <w:szCs w:val="24"/>
                <w:highlight w:val="none"/>
                <w:u w:val="single"/>
              </w:rPr>
              <w:t>%</w:t>
            </w:r>
            <w:r>
              <w:rPr>
                <w:rFonts w:hAnsi="宋体" w:cs="宋体"/>
                <w:color w:val="auto"/>
                <w:sz w:val="24"/>
                <w:szCs w:val="24"/>
                <w:highlight w:val="none"/>
              </w:rPr>
              <w:t>/</w:t>
            </w:r>
            <w:r>
              <w:rPr>
                <w:rFonts w:hint="eastAsia" w:hAnsi="宋体" w:cs="宋体"/>
                <w:color w:val="auto"/>
                <w:sz w:val="24"/>
                <w:szCs w:val="24"/>
                <w:highlight w:val="none"/>
              </w:rPr>
              <w:t>□收费基准价格上浮</w:t>
            </w:r>
            <w:r>
              <w:rPr>
                <w:rFonts w:hint="eastAsia" w:hAnsi="宋体" w:cs="宋体"/>
                <w:color w:val="auto"/>
                <w:sz w:val="24"/>
                <w:szCs w:val="24"/>
                <w:highlight w:val="none"/>
                <w:u w:val="single"/>
              </w:rPr>
              <w:t xml:space="preserve"> </w:t>
            </w:r>
            <w:r>
              <w:rPr>
                <w:rFonts w:hAnsi="宋体" w:cs="宋体"/>
                <w:color w:val="auto"/>
                <w:sz w:val="24"/>
                <w:szCs w:val="24"/>
                <w:highlight w:val="none"/>
                <w:u w:val="single"/>
              </w:rPr>
              <w:t xml:space="preserve">/ </w:t>
            </w:r>
            <w:r>
              <w:rPr>
                <w:rFonts w:hint="eastAsia" w:hAnsi="宋体" w:cs="宋体"/>
                <w:color w:val="auto"/>
                <w:sz w:val="24"/>
                <w:szCs w:val="24"/>
                <w:highlight w:val="none"/>
                <w:u w:val="single"/>
              </w:rPr>
              <w:t>%</w:t>
            </w:r>
            <w:r>
              <w:rPr>
                <w:rFonts w:hint="eastAsia" w:hAnsi="宋体" w:cs="宋体"/>
                <w:color w:val="auto"/>
                <w:sz w:val="24"/>
                <w:szCs w:val="24"/>
                <w:highlight w:val="none"/>
              </w:rPr>
              <w:t>）收取。</w:t>
            </w:r>
          </w:p>
          <w:p w14:paraId="7030E433">
            <w:pPr>
              <w:pStyle w:val="18"/>
              <w:spacing w:line="400" w:lineRule="exact"/>
              <w:rPr>
                <w:rFonts w:hAnsi="宋体" w:cs="宋体"/>
                <w:color w:val="auto"/>
                <w:sz w:val="24"/>
                <w:szCs w:val="24"/>
                <w:highlight w:val="none"/>
                <w:u w:val="single"/>
              </w:rPr>
            </w:pPr>
            <w:r>
              <w:rPr>
                <w:rFonts w:hint="eastAsia" w:hAnsi="宋体" w:cs="宋体"/>
                <w:color w:val="auto"/>
                <w:sz w:val="24"/>
                <w:szCs w:val="24"/>
                <w:highlight w:val="none"/>
              </w:rPr>
              <w:t>□固定采购代理收费</w:t>
            </w:r>
            <w:r>
              <w:rPr>
                <w:rFonts w:hint="eastAsia" w:hAnsi="宋体" w:cs="宋体"/>
                <w:color w:val="auto"/>
                <w:sz w:val="24"/>
                <w:szCs w:val="24"/>
                <w:highlight w:val="none"/>
                <w:u w:val="single"/>
              </w:rPr>
              <w:t xml:space="preserve"> / </w:t>
            </w:r>
            <w:r>
              <w:rPr>
                <w:rFonts w:hint="eastAsia" w:hAnsi="宋体" w:cs="宋体"/>
                <w:color w:val="auto"/>
                <w:sz w:val="24"/>
                <w:szCs w:val="24"/>
                <w:highlight w:val="none"/>
              </w:rPr>
              <w:t>。</w:t>
            </w:r>
          </w:p>
          <w:p w14:paraId="65C9BB3B">
            <w:pPr>
              <w:pStyle w:val="18"/>
              <w:spacing w:line="400" w:lineRule="exact"/>
              <w:rPr>
                <w:rFonts w:hint="eastAsia" w:hAnsi="宋体" w:cs="宋体"/>
                <w:color w:val="auto"/>
                <w:sz w:val="24"/>
                <w:szCs w:val="24"/>
                <w:highlight w:val="none"/>
              </w:rPr>
            </w:pPr>
            <w:r>
              <w:rPr>
                <w:rFonts w:hint="eastAsia" w:hAnsi="宋体" w:cs="宋体"/>
                <w:color w:val="auto"/>
                <w:sz w:val="24"/>
                <w:szCs w:val="24"/>
                <w:highlight w:val="none"/>
              </w:rPr>
              <w:t>3.采购代理费收取银行账户</w:t>
            </w:r>
          </w:p>
          <w:p w14:paraId="05E175CA">
            <w:pPr>
              <w:pStyle w:val="18"/>
              <w:spacing w:line="400" w:lineRule="exact"/>
              <w:rPr>
                <w:rFonts w:hAnsi="宋体" w:cs="宋体"/>
                <w:color w:val="auto"/>
                <w:sz w:val="24"/>
                <w:szCs w:val="24"/>
                <w:highlight w:val="none"/>
              </w:rPr>
            </w:pPr>
            <w:r>
              <w:rPr>
                <w:rFonts w:hint="eastAsia" w:hAnsi="宋体" w:cs="宋体"/>
                <w:color w:val="auto"/>
                <w:sz w:val="24"/>
                <w:szCs w:val="24"/>
                <w:highlight w:val="none"/>
              </w:rPr>
              <w:t>开户名称：</w:t>
            </w:r>
            <w:r>
              <w:rPr>
                <w:rFonts w:hint="eastAsia" w:hAnsi="宋体" w:cs="宋体"/>
                <w:color w:val="auto"/>
                <w:sz w:val="24"/>
                <w:szCs w:val="24"/>
                <w:highlight w:val="none"/>
                <w:lang w:val="en-US" w:eastAsia="zh-CN"/>
              </w:rPr>
              <w:t>另行通知</w:t>
            </w:r>
            <w:r>
              <w:rPr>
                <w:rFonts w:hint="eastAsia" w:hAnsi="宋体" w:cs="宋体"/>
                <w:color w:val="auto"/>
                <w:sz w:val="24"/>
                <w:szCs w:val="24"/>
                <w:highlight w:val="none"/>
              </w:rPr>
              <w:t>开户银行：</w:t>
            </w:r>
            <w:r>
              <w:rPr>
                <w:rFonts w:hint="eastAsia" w:hAnsi="宋体" w:cs="宋体"/>
                <w:color w:val="auto"/>
                <w:sz w:val="24"/>
                <w:szCs w:val="24"/>
                <w:highlight w:val="none"/>
                <w:lang w:val="en-US" w:eastAsia="zh-CN"/>
              </w:rPr>
              <w:t>另行通知</w:t>
            </w:r>
          </w:p>
          <w:p w14:paraId="585CAB8F">
            <w:pPr>
              <w:pStyle w:val="18"/>
              <w:spacing w:line="360" w:lineRule="auto"/>
              <w:rPr>
                <w:rFonts w:hAnsi="宋体" w:eastAsia="宋体" w:cs="宋体"/>
                <w:color w:val="auto"/>
                <w:sz w:val="24"/>
                <w:szCs w:val="24"/>
                <w:highlight w:val="none"/>
                <w:lang w:val="en-US" w:eastAsia="zh-CN"/>
              </w:rPr>
            </w:pPr>
            <w:r>
              <w:rPr>
                <w:rFonts w:hint="eastAsia" w:hAnsi="宋体" w:cs="宋体"/>
                <w:color w:val="auto"/>
                <w:sz w:val="24"/>
                <w:szCs w:val="24"/>
                <w:highlight w:val="none"/>
              </w:rPr>
              <w:t>银行账号：</w:t>
            </w:r>
            <w:r>
              <w:rPr>
                <w:rFonts w:hint="eastAsia" w:hAnsi="宋体" w:cs="宋体"/>
                <w:color w:val="auto"/>
                <w:sz w:val="24"/>
                <w:szCs w:val="24"/>
                <w:highlight w:val="none"/>
                <w:lang w:val="en-US" w:eastAsia="zh-CN"/>
              </w:rPr>
              <w:t>另行通知</w:t>
            </w:r>
          </w:p>
        </w:tc>
      </w:tr>
      <w:tr w14:paraId="00D52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5" w:type="dxa"/>
            <w:vAlign w:val="center"/>
          </w:tcPr>
          <w:p w14:paraId="59345892">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34.1</w:t>
            </w:r>
          </w:p>
        </w:tc>
        <w:tc>
          <w:tcPr>
            <w:tcW w:w="2186" w:type="dxa"/>
            <w:vAlign w:val="center"/>
          </w:tcPr>
          <w:p w14:paraId="5658E78E">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解释</w:t>
            </w:r>
          </w:p>
        </w:tc>
        <w:tc>
          <w:tcPr>
            <w:tcW w:w="6454" w:type="dxa"/>
            <w:vAlign w:val="center"/>
          </w:tcPr>
          <w:p w14:paraId="4D733BC4">
            <w:pPr>
              <w:pStyle w:val="18"/>
              <w:spacing w:line="360" w:lineRule="auto"/>
              <w:rPr>
                <w:rFonts w:hAnsi="宋体" w:cs="宋体"/>
                <w:b/>
                <w:color w:val="auto"/>
                <w:sz w:val="24"/>
                <w:szCs w:val="24"/>
                <w:highlight w:val="none"/>
              </w:rPr>
            </w:pPr>
            <w:r>
              <w:rPr>
                <w:rFonts w:hint="eastAsia" w:hAnsi="宋体" w:cs="宋体"/>
                <w:color w:val="auto"/>
                <w:sz w:val="24"/>
                <w:szCs w:val="24"/>
                <w:highlight w:val="none"/>
              </w:rPr>
              <w:t>解释权：构成本谈判文件的各个组成文件应互为解释，互为说明；除谈判文件中有特别规定外，仅适用于竞标阶段的规定，按更正公告（澄清公告）、竞争性谈判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谈判文件不一致时以更正公告（澄清公告）为准。按本款前述规定仍不能形成结论的，</w:t>
            </w:r>
            <w:r>
              <w:rPr>
                <w:rFonts w:hint="eastAsia" w:hAnsi="宋体" w:cs="宋体"/>
                <w:b/>
                <w:color w:val="auto"/>
                <w:sz w:val="24"/>
                <w:szCs w:val="24"/>
                <w:highlight w:val="none"/>
              </w:rPr>
              <w:t>由采购人或者采购代理机构负责解释。</w:t>
            </w:r>
          </w:p>
          <w:p w14:paraId="650CC54A">
            <w:pPr>
              <w:tabs>
                <w:tab w:val="left" w:pos="1080"/>
              </w:tabs>
              <w:spacing w:line="360" w:lineRule="auto"/>
              <w:rPr>
                <w:rFonts w:ascii="宋体" w:hAnsi="宋体" w:cs="宋体"/>
                <w:color w:val="auto"/>
                <w:sz w:val="24"/>
                <w:szCs w:val="24"/>
                <w:highlight w:val="none"/>
              </w:rPr>
            </w:pPr>
            <w:r>
              <w:rPr>
                <w:rFonts w:hint="eastAsia" w:ascii="宋体" w:hAnsi="宋体" w:cs="宋体"/>
                <w:color w:val="auto"/>
                <w:kern w:val="0"/>
                <w:sz w:val="24"/>
                <w:szCs w:val="24"/>
                <w:highlight w:val="none"/>
              </w:rPr>
              <w:t>法律责任：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14:paraId="70624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5" w:type="dxa"/>
            <w:vAlign w:val="center"/>
          </w:tcPr>
          <w:p w14:paraId="39FC9E99">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34.2</w:t>
            </w:r>
          </w:p>
        </w:tc>
        <w:tc>
          <w:tcPr>
            <w:tcW w:w="2186" w:type="dxa"/>
            <w:vAlign w:val="center"/>
          </w:tcPr>
          <w:p w14:paraId="11ADEB51">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其他</w:t>
            </w:r>
          </w:p>
        </w:tc>
        <w:tc>
          <w:tcPr>
            <w:tcW w:w="6454" w:type="dxa"/>
            <w:vAlign w:val="center"/>
          </w:tcPr>
          <w:p w14:paraId="205CE9F8">
            <w:pPr>
              <w:pStyle w:val="18"/>
              <w:spacing w:line="360" w:lineRule="auto"/>
              <w:rPr>
                <w:rFonts w:hAnsi="宋体" w:cs="宋体"/>
                <w:color w:val="auto"/>
                <w:sz w:val="24"/>
                <w:szCs w:val="24"/>
                <w:highlight w:val="none"/>
              </w:rPr>
            </w:pPr>
            <w:r>
              <w:rPr>
                <w:rFonts w:hint="eastAsia" w:hAnsi="宋体" w:cs="宋体"/>
                <w:color w:val="auto"/>
                <w:sz w:val="24"/>
                <w:szCs w:val="24"/>
                <w:highlight w:val="none"/>
              </w:rPr>
              <w:t>1.本谈判文件中描述供应商的“公章”是指供应商通过指定电子化政府采购平台办理数字证书（CA认证）获得的以法定主体行为名称制作的电子印章。</w:t>
            </w:r>
          </w:p>
          <w:p w14:paraId="1AFF4E53">
            <w:pPr>
              <w:pStyle w:val="18"/>
              <w:spacing w:line="360" w:lineRule="auto"/>
              <w:rPr>
                <w:rFonts w:hint="eastAsia" w:hAnsi="宋体" w:cs="宋体"/>
                <w:color w:val="auto"/>
                <w:sz w:val="24"/>
                <w:szCs w:val="24"/>
                <w:highlight w:val="none"/>
              </w:rPr>
            </w:pPr>
            <w:r>
              <w:rPr>
                <w:rFonts w:hint="eastAsia" w:hAnsi="宋体" w:cs="宋体"/>
                <w:color w:val="auto"/>
                <w:sz w:val="24"/>
                <w:szCs w:val="24"/>
                <w:highlight w:val="none"/>
              </w:rPr>
              <w:t>2.本谈判文件中描述供应商的“签字”是指供应商通过指定电子化政府采购平台办理数字证书（CA认证）获得的以供应商法定代表人或者委托代理人姓名制作的电子印章或手写签字。</w:t>
            </w:r>
          </w:p>
          <w:p w14:paraId="061FDC7E">
            <w:pPr>
              <w:pStyle w:val="18"/>
              <w:spacing w:line="360" w:lineRule="auto"/>
              <w:rPr>
                <w:rFonts w:hAnsi="宋体" w:cs="宋体"/>
                <w:color w:val="auto"/>
                <w:sz w:val="24"/>
                <w:szCs w:val="24"/>
                <w:highlight w:val="none"/>
              </w:rPr>
            </w:pPr>
            <w:r>
              <w:rPr>
                <w:rFonts w:hint="eastAsia" w:hAnsi="宋体"/>
                <w:color w:val="auto"/>
                <w:sz w:val="24"/>
                <w:szCs w:val="24"/>
                <w:highlight w:val="none"/>
                <w:lang w:val="en-US" w:eastAsia="zh-CN"/>
              </w:rPr>
              <w:t>3</w:t>
            </w:r>
            <w:r>
              <w:rPr>
                <w:rFonts w:hAnsi="宋体"/>
                <w:color w:val="auto"/>
                <w:sz w:val="24"/>
                <w:szCs w:val="24"/>
                <w:highlight w:val="none"/>
              </w:rPr>
              <w:t>.</w:t>
            </w:r>
            <w:r>
              <w:rPr>
                <w:rFonts w:hint="eastAsia" w:hAnsi="宋体"/>
                <w:color w:val="auto"/>
                <w:sz w:val="24"/>
                <w:szCs w:val="24"/>
                <w:highlight w:val="none"/>
                <w:lang w:val="en-US" w:eastAsia="zh-CN"/>
              </w:rPr>
              <w:t xml:space="preserve"> </w:t>
            </w:r>
            <w:r>
              <w:rPr>
                <w:rFonts w:hAnsi="宋体"/>
                <w:color w:val="auto"/>
                <w:sz w:val="24"/>
                <w:szCs w:val="24"/>
                <w:highlight w:val="none"/>
              </w:rPr>
              <w:t xml:space="preserve">CA </w:t>
            </w:r>
            <w:r>
              <w:rPr>
                <w:rFonts w:hint="eastAsia" w:hAnsi="宋体"/>
                <w:color w:val="auto"/>
                <w:sz w:val="24"/>
                <w:szCs w:val="24"/>
                <w:highlight w:val="none"/>
              </w:rPr>
              <w:t>签章上目前没有法定代表人（负责人）或授权代表签字信息，供应商在响应文件中涉及到签字的位置线下签好字然后扫描或者拍照做成</w:t>
            </w:r>
            <w:r>
              <w:rPr>
                <w:rFonts w:hAnsi="宋体"/>
                <w:color w:val="auto"/>
                <w:sz w:val="24"/>
                <w:szCs w:val="24"/>
                <w:highlight w:val="none"/>
              </w:rPr>
              <w:t xml:space="preserve">PDF </w:t>
            </w:r>
            <w:r>
              <w:rPr>
                <w:rFonts w:hint="eastAsia" w:hAnsi="宋体"/>
                <w:color w:val="auto"/>
                <w:sz w:val="24"/>
                <w:szCs w:val="24"/>
                <w:highlight w:val="none"/>
              </w:rPr>
              <w:t>的格式亦可。</w:t>
            </w:r>
            <w:r>
              <w:rPr>
                <w:rFonts w:hint="eastAsia" w:hAnsi="宋体"/>
                <w:color w:val="auto"/>
                <w:sz w:val="24"/>
                <w:szCs w:val="24"/>
                <w:highlight w:val="none"/>
                <w:lang w:eastAsia="zh-CN"/>
              </w:rPr>
              <w:t>响应文件</w:t>
            </w:r>
            <w:r>
              <w:rPr>
                <w:rFonts w:hint="eastAsia" w:hAnsi="宋体"/>
                <w:color w:val="auto"/>
                <w:sz w:val="24"/>
                <w:szCs w:val="24"/>
                <w:highlight w:val="none"/>
              </w:rPr>
              <w:t>中涉及到签字的位置未按要求签字的，提供的材料视为无效。</w:t>
            </w:r>
          </w:p>
          <w:p w14:paraId="6BA6DD75">
            <w:pPr>
              <w:pStyle w:val="18"/>
              <w:spacing w:line="360" w:lineRule="auto"/>
              <w:rPr>
                <w:rFonts w:hAnsi="宋体" w:cs="宋体"/>
                <w:color w:val="auto"/>
                <w:sz w:val="24"/>
                <w:szCs w:val="24"/>
                <w:highlight w:val="none"/>
              </w:rPr>
            </w:pPr>
            <w:r>
              <w:rPr>
                <w:rFonts w:hint="eastAsia" w:hAnsi="宋体" w:cs="宋体"/>
                <w:color w:val="auto"/>
                <w:sz w:val="24"/>
                <w:szCs w:val="24"/>
                <w:highlight w:val="none"/>
                <w:lang w:val="en-US" w:eastAsia="zh-CN"/>
              </w:rPr>
              <w:t>4</w:t>
            </w:r>
            <w:r>
              <w:rPr>
                <w:rFonts w:hint="eastAsia" w:hAnsi="宋体" w:cs="宋体"/>
                <w:color w:val="auto"/>
                <w:sz w:val="24"/>
                <w:szCs w:val="24"/>
                <w:highlight w:val="none"/>
              </w:rPr>
              <w:t>.供应商为其他组织或者自然人时，本谈判文件规定的法定代表人指负责人或者自然人。本谈判文件所称负责人是指参加竞标的其他组织营业执照上的负责人，本谈判文件所称自然人指参与竞标的自然人本人。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18387CCF">
            <w:pPr>
              <w:pStyle w:val="18"/>
              <w:spacing w:line="360" w:lineRule="auto"/>
              <w:rPr>
                <w:rFonts w:hAnsi="宋体" w:cs="宋体"/>
                <w:color w:val="auto"/>
                <w:sz w:val="24"/>
                <w:szCs w:val="24"/>
                <w:highlight w:val="none"/>
              </w:rPr>
            </w:pPr>
            <w:r>
              <w:rPr>
                <w:rFonts w:hint="eastAsia" w:hAnsi="宋体" w:cs="宋体"/>
                <w:color w:val="auto"/>
                <w:sz w:val="24"/>
                <w:szCs w:val="24"/>
                <w:highlight w:val="none"/>
                <w:lang w:val="en-US" w:eastAsia="zh-CN"/>
              </w:rPr>
              <w:t>5</w:t>
            </w:r>
            <w:r>
              <w:rPr>
                <w:rFonts w:hint="eastAsia" w:hAnsi="宋体" w:cs="宋体"/>
                <w:color w:val="auto"/>
                <w:sz w:val="24"/>
                <w:szCs w:val="24"/>
                <w:highlight w:val="none"/>
              </w:rPr>
              <w:t>.自然人竞标的，谈判文件规定盖公章处由自然人摁手指指印。</w:t>
            </w:r>
          </w:p>
          <w:p w14:paraId="7BCCDA07">
            <w:pPr>
              <w:pStyle w:val="18"/>
              <w:spacing w:line="360" w:lineRule="auto"/>
              <w:rPr>
                <w:rFonts w:hAnsi="宋体" w:cs="宋体"/>
                <w:color w:val="auto"/>
                <w:sz w:val="24"/>
                <w:szCs w:val="24"/>
                <w:highlight w:val="none"/>
              </w:rPr>
            </w:pPr>
            <w:r>
              <w:rPr>
                <w:rFonts w:hint="eastAsia" w:hAnsi="宋体" w:cs="宋体"/>
                <w:color w:val="auto"/>
                <w:sz w:val="24"/>
                <w:szCs w:val="24"/>
                <w:highlight w:val="none"/>
                <w:lang w:val="en-US" w:eastAsia="zh-CN"/>
              </w:rPr>
              <w:t>6</w:t>
            </w:r>
            <w:r>
              <w:rPr>
                <w:rFonts w:hint="eastAsia" w:hAnsi="宋体" w:cs="宋体"/>
                <w:color w:val="auto"/>
                <w:sz w:val="24"/>
                <w:szCs w:val="24"/>
                <w:highlight w:val="none"/>
              </w:rPr>
              <w:t>.本谈判文件所称的“以上”“以下”“以内”“届满”，包括本数；所称的“不满”“超过”“以外”，不包括本数。</w:t>
            </w:r>
          </w:p>
        </w:tc>
      </w:tr>
    </w:tbl>
    <w:p w14:paraId="0C6062F8">
      <w:pPr>
        <w:pStyle w:val="3"/>
        <w:spacing w:before="0" w:after="0" w:line="360" w:lineRule="auto"/>
        <w:jc w:val="center"/>
        <w:rPr>
          <w:rFonts w:ascii="宋体" w:hAnsi="宋体" w:cs="宋体"/>
          <w:b w:val="0"/>
          <w:color w:val="auto"/>
          <w:sz w:val="24"/>
          <w:szCs w:val="24"/>
          <w:highlight w:val="none"/>
        </w:rPr>
      </w:pPr>
      <w:r>
        <w:rPr>
          <w:rFonts w:hint="eastAsia" w:ascii="宋体" w:hAnsi="宋体" w:cs="宋体"/>
          <w:b w:val="0"/>
          <w:color w:val="auto"/>
          <w:sz w:val="24"/>
          <w:szCs w:val="24"/>
          <w:highlight w:val="none"/>
        </w:rPr>
        <w:br w:type="page"/>
      </w:r>
      <w:bookmarkStart w:id="43" w:name="_Toc17168"/>
      <w:r>
        <w:rPr>
          <w:rFonts w:hint="eastAsia" w:ascii="宋体" w:hAnsi="宋体" w:cs="宋体"/>
          <w:b w:val="0"/>
          <w:color w:val="auto"/>
          <w:sz w:val="24"/>
          <w:szCs w:val="24"/>
          <w:highlight w:val="none"/>
        </w:rPr>
        <w:t>第二节 供应商须知正文</w:t>
      </w:r>
      <w:bookmarkEnd w:id="43"/>
    </w:p>
    <w:p w14:paraId="7DA78529">
      <w:pPr>
        <w:pStyle w:val="4"/>
        <w:spacing w:before="0" w:after="0" w:line="360" w:lineRule="auto"/>
        <w:ind w:firstLine="480" w:firstLineChars="200"/>
        <w:rPr>
          <w:rFonts w:ascii="宋体" w:hAnsi="宋体" w:cs="宋体"/>
          <w:b w:val="0"/>
          <w:color w:val="auto"/>
          <w:sz w:val="24"/>
          <w:szCs w:val="24"/>
          <w:highlight w:val="none"/>
        </w:rPr>
      </w:pPr>
      <w:bookmarkStart w:id="44" w:name="_Toc12423"/>
      <w:r>
        <w:rPr>
          <w:rFonts w:hint="eastAsia" w:ascii="宋体" w:hAnsi="宋体" w:cs="宋体"/>
          <w:b w:val="0"/>
          <w:color w:val="auto"/>
          <w:sz w:val="24"/>
          <w:szCs w:val="24"/>
          <w:highlight w:val="none"/>
        </w:rPr>
        <w:t>一、总则</w:t>
      </w:r>
      <w:bookmarkEnd w:id="44"/>
    </w:p>
    <w:p w14:paraId="75F847BE">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1.适用范围</w:t>
      </w:r>
    </w:p>
    <w:p w14:paraId="7C51267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52205C9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w:t>
      </w:r>
      <w:r>
        <w:rPr>
          <w:rFonts w:hint="eastAsia" w:ascii="宋体" w:hAnsi="宋体" w:cs="宋体"/>
          <w:color w:val="auto"/>
          <w:spacing w:val="-6"/>
          <w:sz w:val="24"/>
          <w:szCs w:val="24"/>
          <w:highlight w:val="none"/>
        </w:rPr>
        <w:t>本竞争性谈判文件（以下简称谈判文件）适用于本项目的所有采购程序和环节（法律、法规另有规定的，从其规定）。</w:t>
      </w:r>
    </w:p>
    <w:p w14:paraId="1BCF1E0C">
      <w:pPr>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2.定义</w:t>
      </w:r>
    </w:p>
    <w:p w14:paraId="17BCABD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2.1“采购人”是指依法进行采购的国家机关、事业单位、团体组织。</w:t>
      </w:r>
    </w:p>
    <w:p w14:paraId="4760AFB9">
      <w:pPr>
        <w:spacing w:line="360" w:lineRule="auto"/>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2.2“采购代理机构”是指政府采购集中采购机构和集中采购机构以外的采购代理机构。</w:t>
      </w:r>
    </w:p>
    <w:p w14:paraId="11834FB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2.3“供应商”是指向采购人提供货物、工程或者服务的法人、其他组织或者自然人。</w:t>
      </w:r>
    </w:p>
    <w:p w14:paraId="0A01CBF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2.4“货物”是指各种形态和种类的物品，包括原材料、燃料、设备、产品等。</w:t>
      </w:r>
    </w:p>
    <w:p w14:paraId="1F4F89C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2.5“竞标”是指按照本项目竞争性谈判公告或者邀请函规定的方式供应商获取谈判文件、提交响应文件并希望获得标的的行为。</w:t>
      </w:r>
    </w:p>
    <w:p w14:paraId="565E88F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2.6“售后服务” 是指包含但不限于供应商须承担的备品备件、包装、运输、装卸、保险、货到就位以及安装、调试、培训、保修和其他类似的义务。</w:t>
      </w:r>
    </w:p>
    <w:p w14:paraId="5C96E9C2">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2.7“书面形式”是指合同书、信件和数据电文（包括电报、电传、传真、电子数据交换和电子邮件）等可以有形地表现所载内容的形式。</w:t>
      </w:r>
    </w:p>
    <w:p w14:paraId="2DA3FA9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2.8“响应文件”</w:t>
      </w:r>
      <w:r>
        <w:rPr>
          <w:rFonts w:hint="eastAsia" w:ascii="宋体" w:hAnsi="宋体" w:cs="宋体"/>
          <w:color w:val="auto"/>
          <w:spacing w:val="-6"/>
          <w:sz w:val="24"/>
          <w:szCs w:val="24"/>
          <w:highlight w:val="none"/>
        </w:rPr>
        <w:t>是指：供应商根据本文件要求，编制包含报价、技术和货物等所有内容的文件。</w:t>
      </w:r>
    </w:p>
    <w:p w14:paraId="4DE06E7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2.9 “实质性要求”是指采购需求中带“▲”的条款或者不能负偏离的条款或者已经指明不满足按响应文件作无效处理的条款。</w:t>
      </w:r>
    </w:p>
    <w:p w14:paraId="5DC269F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2.10“正偏离”，是指响应文件对谈判文件“采购需求”中有关条款作出优于条款要求并有利于采购人的响应情形；</w:t>
      </w:r>
    </w:p>
    <w:p w14:paraId="0E5D76D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2.11“负偏离”，是指响应文件对谈判文件“采购需求”中有关条款作出的响应不满足条款要求，导致采购人要求不能得到满足的情形。</w:t>
      </w:r>
    </w:p>
    <w:p w14:paraId="6F01298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2.12“允许负偏离的条款”是指采购需求中的不属于“实质性要求”的条款。</w:t>
      </w:r>
    </w:p>
    <w:p w14:paraId="20FD8DB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2.13“首次报价”是指供应商提交的首次响应文件中的竞标报价。</w:t>
      </w:r>
    </w:p>
    <w:p w14:paraId="35CEEE78">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3.供应商的资格条件</w:t>
      </w:r>
    </w:p>
    <w:p w14:paraId="78E3F18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供应商的资格条件详见“供应商须知前附表”。</w:t>
      </w:r>
    </w:p>
    <w:p w14:paraId="04116341">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4.谈判费用</w:t>
      </w:r>
    </w:p>
    <w:p w14:paraId="71B95C2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供应商应承担参与本次采购活动有关的所有费用，包括但不限于、勘查现场、编制和提交响应文件、参加谈判与应答、签订合同等，不论竞标结果如何，均应自行承担。</w:t>
      </w:r>
    </w:p>
    <w:p w14:paraId="161A4FB0">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5.联合体竞标</w:t>
      </w:r>
    </w:p>
    <w:p w14:paraId="15A44B12">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5.1本项目是否接受联合体竞标，详见“供应商须知前附表”。</w:t>
      </w:r>
    </w:p>
    <w:p w14:paraId="3135385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5.2如接受联合体竞标，联合体竞标要求详见“供应商须知前附表”。</w:t>
      </w:r>
    </w:p>
    <w:p w14:paraId="7BEED0D9">
      <w:pPr>
        <w:spacing w:line="360" w:lineRule="auto"/>
        <w:ind w:firstLine="480" w:firstLineChars="200"/>
        <w:rPr>
          <w:rFonts w:ascii="宋体" w:hAnsi="宋体" w:cs="宋体"/>
          <w:bCs/>
          <w:color w:val="auto"/>
          <w:sz w:val="24"/>
          <w:szCs w:val="24"/>
          <w:highlight w:val="none"/>
        </w:rPr>
      </w:pPr>
      <w:r>
        <w:rPr>
          <w:rFonts w:hint="eastAsia" w:ascii="宋体" w:hAnsi="宋体" w:cs="宋体"/>
          <w:color w:val="auto"/>
          <w:sz w:val="24"/>
          <w:szCs w:val="24"/>
          <w:highlight w:val="none"/>
        </w:rPr>
        <w:t>5.3 根据《政府采购促进中小企业发展管理办法》（财库[2020]46 号）第九条第二款以及《关于进一步加大政府采购支持中小企业力度的通知》（财库〔2022〕19 号）的规定，接受大中型企业与小微企业组成联合体的采购项目，对于联合协议约定小微企业的合同份额占到合同总金额 30%以上的，采购人、采购代理机构应当对联合体的报价给予 4%-6%的扣除，用扣除后的价格参加评审。组成联合体的小微企业与联合体内其他企业、分包企业之间存在直接控股、管理关系的，不享受价格扣除优惠政策</w:t>
      </w:r>
      <w:r>
        <w:rPr>
          <w:rFonts w:hint="eastAsia" w:ascii="宋体" w:hAnsi="宋体" w:cs="宋体"/>
          <w:bCs/>
          <w:color w:val="auto"/>
          <w:sz w:val="24"/>
          <w:szCs w:val="24"/>
          <w:highlight w:val="none"/>
        </w:rPr>
        <w:t>。</w:t>
      </w:r>
    </w:p>
    <w:p w14:paraId="5884EC8A">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 xml:space="preserve">6.转包与分包             </w:t>
      </w:r>
    </w:p>
    <w:p w14:paraId="62AF927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6.1本项目</w:t>
      </w:r>
      <w:r>
        <w:rPr>
          <w:rFonts w:hint="eastAsia" w:ascii="宋体" w:hAnsi="宋体" w:cs="宋体"/>
          <w:color w:val="auto"/>
          <w:sz w:val="24"/>
          <w:szCs w:val="24"/>
          <w:highlight w:val="none"/>
          <w:lang w:eastAsia="zh-CN"/>
        </w:rPr>
        <w:t>不允许转包</w:t>
      </w:r>
      <w:r>
        <w:rPr>
          <w:rFonts w:hint="eastAsia" w:ascii="宋体" w:hAnsi="宋体" w:cs="宋体"/>
          <w:color w:val="auto"/>
          <w:sz w:val="24"/>
          <w:szCs w:val="24"/>
          <w:highlight w:val="none"/>
        </w:rPr>
        <w:t>。</w:t>
      </w:r>
    </w:p>
    <w:p w14:paraId="3770062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6E0B4A2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6.3供应商根据谈判文件的规定和采购项目的实际情况，拟在成交后将成交项目的非主体、非关键性工作分包的，应当在响应文件中载明分包承担主体，分包承担主体应当具备相应资质条件且不得再次分包。</w:t>
      </w:r>
    </w:p>
    <w:p w14:paraId="49663DA9">
      <w:pPr>
        <w:spacing w:line="360" w:lineRule="auto"/>
        <w:ind w:firstLine="482" w:firstLineChars="200"/>
        <w:rPr>
          <w:rFonts w:ascii="宋体" w:hAnsi="宋体" w:cs="宋体"/>
          <w:b/>
          <w:bCs/>
          <w:color w:val="auto"/>
          <w:sz w:val="24"/>
          <w:szCs w:val="24"/>
          <w:highlight w:val="none"/>
        </w:rPr>
      </w:pPr>
      <w:bookmarkStart w:id="45" w:name="_Toc254970673"/>
      <w:bookmarkStart w:id="46" w:name="_Toc254970532"/>
      <w:r>
        <w:rPr>
          <w:rFonts w:hint="eastAsia" w:ascii="宋体" w:hAnsi="宋体" w:cs="宋体"/>
          <w:b/>
          <w:bCs/>
          <w:color w:val="auto"/>
          <w:sz w:val="24"/>
          <w:szCs w:val="24"/>
          <w:highlight w:val="none"/>
        </w:rPr>
        <w:t>7.特别说明</w:t>
      </w:r>
      <w:bookmarkEnd w:id="45"/>
      <w:bookmarkEnd w:id="46"/>
    </w:p>
    <w:p w14:paraId="703093FE">
      <w:pPr>
        <w:spacing w:line="360" w:lineRule="auto"/>
        <w:ind w:firstLine="480" w:firstLineChars="200"/>
        <w:rPr>
          <w:rFonts w:ascii="宋体" w:hAnsi="宋体" w:cs="宋体"/>
          <w:color w:val="auto"/>
          <w:sz w:val="24"/>
          <w:szCs w:val="24"/>
          <w:highlight w:val="none"/>
        </w:rPr>
      </w:pPr>
      <w:bookmarkStart w:id="47" w:name="_8.1提供相同品牌产品且通过资格审查、符合性审查的不同投标人参加同一合"/>
      <w:bookmarkEnd w:id="47"/>
      <w:r>
        <w:rPr>
          <w:rFonts w:hint="eastAsia" w:ascii="宋体" w:hAnsi="宋体" w:cs="宋体"/>
          <w:color w:val="auto"/>
          <w:sz w:val="24"/>
          <w:szCs w:val="24"/>
          <w:highlight w:val="none"/>
        </w:rPr>
        <w:t>7.1如果本谈判文件要求提供供应商或制造商的资格、信誉、荣誉、业绩与企业认证等材料的，资格、信誉、荣誉、业绩与企业认证等必须为供应商或者制造商所拥有或自身获得 。</w:t>
      </w:r>
    </w:p>
    <w:p w14:paraId="7B22BE2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7.2供应商应仔细阅读谈判文件的所有内容，按照谈判文件的要求提交响应文件，并对所提供的全部资料的真实性承担法律责任。</w:t>
      </w:r>
    </w:p>
    <w:p w14:paraId="19FBB2B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7.3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14:paraId="06AB201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7.4在政府采购活动中，采购人员及相关人员与供应商有下列利害关系之一的，应当回避：</w:t>
      </w:r>
    </w:p>
    <w:p w14:paraId="3566B12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（1）参加采购活动前3年内与供应商存在劳动关系；</w:t>
      </w:r>
    </w:p>
    <w:p w14:paraId="155C0A42">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（2）参加采购活动前3年内担任供应商的董事、监事；</w:t>
      </w:r>
    </w:p>
    <w:p w14:paraId="584DD402">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（3）参加采购活动前3年内是供应商的控股股东或者实际控制人；</w:t>
      </w:r>
    </w:p>
    <w:p w14:paraId="05E0493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（4）与供应商的法定代表人或者负责人有夫妻、直系血亲、三代以内旁系血亲或者近姻亲关系；</w:t>
      </w:r>
    </w:p>
    <w:p w14:paraId="59DFC3C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（5）与供应商有其他可能影响政府采购活动公平、公正进行的关系。</w:t>
      </w:r>
    </w:p>
    <w:p w14:paraId="5FAA72B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A6F5E5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7.5有下列情形之一的视为供应商相互串通竞标，响应文件将被视为无效：</w:t>
      </w:r>
    </w:p>
    <w:p w14:paraId="6263CC3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（1）不同供应商的响应文件由同一单位或者个人编制；</w:t>
      </w:r>
    </w:p>
    <w:p w14:paraId="545D917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（2）不同供应商委托同一单位或者个人办理竞标事宜；</w:t>
      </w:r>
    </w:p>
    <w:p w14:paraId="0149D82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（3）不同的供应商的响应文件载明的项目管理员为同一个人；</w:t>
      </w:r>
    </w:p>
    <w:p w14:paraId="5128127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（4）不同供应商的响应文件异常一致或者报价呈规律性差异；</w:t>
      </w:r>
    </w:p>
    <w:p w14:paraId="1DF4CD7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（5）不同供应商的响应文件相互混装；</w:t>
      </w:r>
    </w:p>
    <w:p w14:paraId="0474E7F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（6）不同供应商的竞标保证金从同一单位或者个人账户转出。</w:t>
      </w:r>
    </w:p>
    <w:p w14:paraId="1FEEF932">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7.6供应商有下列情形之一的，属于恶意串通行为</w:t>
      </w:r>
      <w:bookmarkStart w:id="48" w:name="_Hlk54682620"/>
      <w:r>
        <w:rPr>
          <w:rFonts w:hint="eastAsia" w:ascii="宋体" w:hAnsi="宋体" w:cs="宋体"/>
          <w:color w:val="auto"/>
          <w:sz w:val="24"/>
          <w:szCs w:val="24"/>
          <w:highlight w:val="none"/>
        </w:rPr>
        <w:t>，将报同级监督管理部门</w:t>
      </w:r>
      <w:bookmarkEnd w:id="48"/>
      <w:r>
        <w:rPr>
          <w:rFonts w:hint="eastAsia" w:ascii="宋体" w:hAnsi="宋体" w:cs="宋体"/>
          <w:color w:val="auto"/>
          <w:sz w:val="24"/>
          <w:szCs w:val="24"/>
          <w:highlight w:val="none"/>
        </w:rPr>
        <w:t>：</w:t>
      </w:r>
    </w:p>
    <w:p w14:paraId="21CE159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（1）供应商直接或者间接从采购人或者采购代理机构处获得其他供应商的相关信息并修改其响应文件；</w:t>
      </w:r>
    </w:p>
    <w:p w14:paraId="21A9023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（2）供应商按照采购人或者采购代理机构的授意撤换、修改响应文件；</w:t>
      </w:r>
    </w:p>
    <w:p w14:paraId="531BE56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（3）供应商之间协商报价、技术方案等响应文件或者响应文件的实质性内容；</w:t>
      </w:r>
    </w:p>
    <w:p w14:paraId="4B37BD5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（4）属于同一集团、协会、商会等组织成员的供应商按照该组织要求协同参加政府采购活动；</w:t>
      </w:r>
    </w:p>
    <w:p w14:paraId="3A80FEE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（5）供应商之间事先约定一致抬高或者压低报价,或者在政府采购活动中事先约定轮流以高价位或者低价位成交,或者事先约定由某一特定供应商成交,然后再参加竞标；</w:t>
      </w:r>
    </w:p>
    <w:p w14:paraId="176F0D5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（6）供应商之间商定部分供应商放弃参加政府采购活动或者放弃成交；</w:t>
      </w:r>
    </w:p>
    <w:p w14:paraId="15A7A2C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（7）供应商与采购人或者采购代理机构之间、供应商相互之间，为谋求特定供应商成交或者排斥其他供应商的其他串通行为。</w:t>
      </w:r>
      <w:bookmarkStart w:id="49" w:name="_Toc254970675"/>
      <w:bookmarkStart w:id="50" w:name="_Toc254970534"/>
    </w:p>
    <w:p w14:paraId="7B01C002">
      <w:pPr>
        <w:pStyle w:val="4"/>
        <w:spacing w:before="0" w:after="0" w:line="360" w:lineRule="auto"/>
        <w:ind w:firstLine="562" w:firstLineChars="200"/>
        <w:jc w:val="center"/>
        <w:rPr>
          <w:rFonts w:ascii="宋体" w:hAnsi="宋体" w:cs="宋体"/>
          <w:b/>
          <w:bCs/>
          <w:color w:val="auto"/>
          <w:sz w:val="28"/>
          <w:szCs w:val="28"/>
          <w:highlight w:val="none"/>
        </w:rPr>
      </w:pPr>
      <w:bookmarkStart w:id="51" w:name="_Toc25400"/>
      <w:r>
        <w:rPr>
          <w:rFonts w:hint="eastAsia" w:ascii="宋体" w:hAnsi="宋体" w:cs="宋体"/>
          <w:b/>
          <w:bCs/>
          <w:color w:val="auto"/>
          <w:sz w:val="28"/>
          <w:szCs w:val="28"/>
          <w:highlight w:val="none"/>
        </w:rPr>
        <w:t>二、谈判文件</w:t>
      </w:r>
      <w:bookmarkEnd w:id="49"/>
      <w:bookmarkEnd w:id="50"/>
      <w:bookmarkEnd w:id="51"/>
    </w:p>
    <w:p w14:paraId="6994652E">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8.谈判文件的构成</w:t>
      </w:r>
    </w:p>
    <w:p w14:paraId="2B1D1DE3">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第一章 竞争性谈判公告；</w:t>
      </w:r>
    </w:p>
    <w:p w14:paraId="375099BA">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第二章 采购需求；</w:t>
      </w:r>
    </w:p>
    <w:p w14:paraId="3EB9BD9A">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第三章 供应商须知； </w:t>
      </w:r>
    </w:p>
    <w:p w14:paraId="72C68C62">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第四章 评审程序、评审方法和成交标准；</w:t>
      </w:r>
    </w:p>
    <w:p w14:paraId="43D3242E">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第五章 响应文件格式；</w:t>
      </w:r>
    </w:p>
    <w:p w14:paraId="0DA05BF6">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第六章 合同文本；</w:t>
      </w:r>
    </w:p>
    <w:p w14:paraId="0F9618D6">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第七章 质疑、投诉材料格式。</w:t>
      </w:r>
    </w:p>
    <w:p w14:paraId="2CE0EE2D">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9.供应商的询问</w:t>
      </w:r>
    </w:p>
    <w:p w14:paraId="178BD96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供应商应认真阅读谈判文件的采购需求，如供应商对谈判文件有疑问的，如要求采购人作出澄清或者修改的，供应商尽应在提交首次响应文件截止之日前，以书面形式向采购人、采购代理机构提出。</w:t>
      </w:r>
    </w:p>
    <w:p w14:paraId="6F38E22A">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10.谈判文件的澄清和修改</w:t>
      </w:r>
    </w:p>
    <w:p w14:paraId="49E3B8F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10.1已获取谈判文件的潜在供应商，若有问题需要澄清，应于应标截止时间前，以书面形式向采购代理机构提出，采购代理机构与采购人研究后，对认为有必要回答的问题，按照本章10.3的内容处理。</w:t>
      </w:r>
    </w:p>
    <w:p w14:paraId="361E7B47">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10.2采购人或者采购代理机构可以对已发出的谈判文件进行必要的澄清或者修改，但不得改变采购标的和资格条件。澄清或者修改应当在原公告发布媒体上发布澄清公告。澄清或者修改的内容为谈判文件的组成部分。</w:t>
      </w:r>
    </w:p>
    <w:p w14:paraId="2BC8AE4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10.3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在提交首次响应文件截止之日3个工作日前，以书面形式（目前为网上公告和系统短信等形式）通知所有获取谈判文件的供应商，不足3个工作日的，应当顺延提交首次响应文件截止之日。</w:t>
      </w:r>
    </w:p>
    <w:p w14:paraId="1C1D891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10.4</w:t>
      </w:r>
      <w:r>
        <w:rPr>
          <w:rFonts w:hint="eastAsia" w:ascii="宋体" w:hAnsi="宋体" w:cs="宋体"/>
          <w:color w:val="auto"/>
          <w:sz w:val="24"/>
          <w:szCs w:val="24"/>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46431E3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10.5 采购人和采购代理机构可以视采购具体情况，变更提交首次响应文件截止时间和竞谈时间，将变更时间将在“采购文件公告”中“七、其他补充事宜</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.网上查询地址”规定的政府采购信息发布媒体上发布更正公告。</w:t>
      </w:r>
    </w:p>
    <w:p w14:paraId="251B2ECB">
      <w:pPr>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b/>
          <w:color w:val="auto"/>
          <w:kern w:val="0"/>
          <w:sz w:val="24"/>
          <w:szCs w:val="24"/>
          <w:highlight w:val="none"/>
        </w:rPr>
        <w:t>响应文件未按谈判文件的澄清、修改的内容编制，又不符合实质性要求的，其响应文件作无效处理。</w:t>
      </w:r>
    </w:p>
    <w:p w14:paraId="666956B9">
      <w:pPr>
        <w:pStyle w:val="4"/>
        <w:spacing w:before="0" w:after="0" w:line="360" w:lineRule="auto"/>
        <w:ind w:firstLine="560" w:firstLineChars="200"/>
        <w:jc w:val="center"/>
        <w:rPr>
          <w:rFonts w:ascii="宋体" w:hAnsi="宋体" w:cs="宋体"/>
          <w:b w:val="0"/>
          <w:bCs w:val="0"/>
          <w:color w:val="auto"/>
          <w:sz w:val="28"/>
          <w:szCs w:val="28"/>
          <w:highlight w:val="none"/>
        </w:rPr>
      </w:pPr>
      <w:bookmarkStart w:id="52" w:name="_Toc30807"/>
      <w:r>
        <w:rPr>
          <w:rFonts w:hint="eastAsia" w:ascii="宋体" w:hAnsi="宋体" w:cs="宋体"/>
          <w:b w:val="0"/>
          <w:bCs w:val="0"/>
          <w:color w:val="auto"/>
          <w:sz w:val="28"/>
          <w:szCs w:val="28"/>
          <w:highlight w:val="none"/>
        </w:rPr>
        <w:t>三、响应文件的编制</w:t>
      </w:r>
      <w:bookmarkEnd w:id="52"/>
    </w:p>
    <w:p w14:paraId="0238C90F">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11.响应文件的编制原则</w:t>
      </w:r>
    </w:p>
    <w:p w14:paraId="783D57D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供应商必须按照谈判文件的要求编制响应文件，并对其提交的响应文件的真实性、合法性承担法律责任。响应文件必须对谈判文件作出实质性响应。</w:t>
      </w:r>
    </w:p>
    <w:p w14:paraId="11B7FE8B">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12.响应文件的组成</w:t>
      </w:r>
    </w:p>
    <w:p w14:paraId="7B9F665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12.1响应文件由资格证明文件、报价文件、商务技术文件三部分组成。</w:t>
      </w:r>
    </w:p>
    <w:p w14:paraId="17FE1A4C">
      <w:pPr>
        <w:spacing w:line="360" w:lineRule="auto"/>
        <w:ind w:left="420" w:leftChars="2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12.1.1资格证明文件：详见须知前附表</w:t>
      </w:r>
    </w:p>
    <w:p w14:paraId="185492DB">
      <w:pPr>
        <w:spacing w:line="360" w:lineRule="auto"/>
        <w:ind w:left="420" w:leftChars="2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12.1.2商务技术文件：详见须知前附表</w:t>
      </w:r>
    </w:p>
    <w:p w14:paraId="492B25E5">
      <w:pPr>
        <w:spacing w:line="360" w:lineRule="auto"/>
        <w:ind w:left="420" w:leftChars="2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12.1.3报价文件：详见须知前附表</w:t>
      </w:r>
    </w:p>
    <w:p w14:paraId="0DC20BDF">
      <w:pPr>
        <w:spacing w:line="360" w:lineRule="auto"/>
        <w:ind w:left="420" w:leftChars="2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12.2响应文件电子版：详见须知前附表</w:t>
      </w:r>
    </w:p>
    <w:p w14:paraId="44E2DC29">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13.计量单位</w:t>
      </w:r>
    </w:p>
    <w:p w14:paraId="48BB9C9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谈判文件已有明确规定的，使用谈判文件规定的计量单位；谈判文件没有规定的，应采用中华人民共和国法定计量单位，货币种类为人民币，否则视同未响应。</w:t>
      </w:r>
    </w:p>
    <w:p w14:paraId="083B80EF">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14.竞标的风险</w:t>
      </w:r>
    </w:p>
    <w:p w14:paraId="4FE7D42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供应商没有按照谈判文件要求提供全部资料，或者供应商没有对谈判文件在各方面作出实质性响应可能导致其响应无效，是供应商应当考虑的风险。</w:t>
      </w:r>
    </w:p>
    <w:p w14:paraId="2E5AEF6F">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15.响应报价要求和构成</w:t>
      </w:r>
    </w:p>
    <w:p w14:paraId="3D857474">
      <w:pPr>
        <w:tabs>
          <w:tab w:val="left" w:pos="2492"/>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15.1响应报价应按“第五章 响应文件格式”中“响应报价表”格式填写。</w:t>
      </w:r>
    </w:p>
    <w:p w14:paraId="50A6B800">
      <w:pPr>
        <w:tabs>
          <w:tab w:val="left" w:pos="2492"/>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15.2响应报价的价格构成见“供应商须知前附表”。</w:t>
      </w:r>
    </w:p>
    <w:p w14:paraId="0A8848F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15.3响应报价要求</w:t>
      </w:r>
    </w:p>
    <w:p w14:paraId="77A670B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15.3.1供应商的响应报价应符合以下要求，否则响应文件按无效响应处理：</w:t>
      </w:r>
    </w:p>
    <w:p w14:paraId="6C281BB2">
      <w:pPr>
        <w:spacing w:line="360" w:lineRule="auto"/>
        <w:ind w:left="420" w:leftChars="200"/>
        <w:rPr>
          <w:rFonts w:ascii="宋体" w:hAnsi="宋体" w:cs="宋体"/>
          <w:color w:val="auto"/>
          <w:sz w:val="24"/>
          <w:szCs w:val="24"/>
          <w:highlight w:val="none"/>
        </w:rPr>
      </w:pPr>
      <w:r>
        <w:rPr>
          <w:rFonts w:hint="eastAsia" w:ascii="宋体" w:hAnsi="宋体" w:cs="宋体"/>
          <w:color w:val="auto"/>
          <w:sz w:val="24"/>
          <w:szCs w:val="24"/>
          <w:highlight w:val="none"/>
        </w:rPr>
        <w:t>（1）供应商必须就“采购需求”中所竞标的每个分标的全部内容分别作完整唯一总价报价，不得存在漏项报价；</w:t>
      </w:r>
    </w:p>
    <w:p w14:paraId="54D3804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（2）供应商必须就所竞标的分标的单项内容作唯一报价。</w:t>
      </w:r>
    </w:p>
    <w:p w14:paraId="03B469D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15.3.2响应报价（包含首次报价、最后报价）超过所竞标分标规定的最高</w:t>
      </w:r>
      <w:r>
        <w:rPr>
          <w:rFonts w:hint="eastAsia" w:ascii="宋体" w:hAnsi="宋体" w:cs="宋体"/>
          <w:color w:val="auto"/>
          <w:sz w:val="24"/>
          <w:szCs w:val="24"/>
          <w:highlight w:val="none"/>
          <w:lang w:val="en-US" w:eastAsia="zh-CN"/>
        </w:rPr>
        <w:t>折扣</w:t>
      </w:r>
      <w:r>
        <w:rPr>
          <w:rFonts w:hint="eastAsia" w:ascii="宋体" w:hAnsi="宋体" w:cs="宋体"/>
          <w:color w:val="auto"/>
          <w:sz w:val="24"/>
          <w:szCs w:val="24"/>
          <w:highlight w:val="none"/>
        </w:rPr>
        <w:t>价的，其响应文件将作无效处理。</w:t>
      </w:r>
    </w:p>
    <w:p w14:paraId="7914E2F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15.3.3</w:t>
      </w:r>
      <w:bookmarkStart w:id="53" w:name="_Hlk42592874"/>
      <w:r>
        <w:rPr>
          <w:rFonts w:hint="eastAsia" w:ascii="宋体" w:hAnsi="宋体" w:cs="宋体"/>
          <w:color w:val="auto"/>
          <w:sz w:val="24"/>
          <w:szCs w:val="24"/>
          <w:highlight w:val="none"/>
        </w:rPr>
        <w:t>响应报价（包含首次报价、最后报价）超过分项采购</w:t>
      </w:r>
      <w:r>
        <w:rPr>
          <w:rFonts w:hint="eastAsia" w:ascii="宋体" w:hAnsi="宋体" w:cs="宋体"/>
          <w:color w:val="auto"/>
          <w:sz w:val="24"/>
          <w:szCs w:val="24"/>
          <w:highlight w:val="none"/>
          <w:lang w:val="en-US" w:eastAsia="zh-CN"/>
        </w:rPr>
        <w:t>规定</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最高折扣价的</w:t>
      </w:r>
      <w:r>
        <w:rPr>
          <w:rFonts w:hint="eastAsia" w:ascii="宋体" w:hAnsi="宋体" w:cs="宋体"/>
          <w:color w:val="auto"/>
          <w:sz w:val="24"/>
          <w:szCs w:val="24"/>
          <w:highlight w:val="none"/>
        </w:rPr>
        <w:t>，其响应文件将作无效处理。</w:t>
      </w:r>
    </w:p>
    <w:bookmarkEnd w:id="53"/>
    <w:p w14:paraId="3E125D12">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16.竞标有效期</w:t>
      </w:r>
    </w:p>
    <w:p w14:paraId="0649BAB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16.1竞标有效期是指为保证采购人有足够的时间在提交响应文件后完成评审、确定成交供应商、合同签订等工作而要求供应商提交的响应文件在一定时间内保持有效的期限。</w:t>
      </w:r>
    </w:p>
    <w:p w14:paraId="0DC11F6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16.2 竞标有效期应由供应商按“供应商须知前附表”规定的期限作出响应。</w:t>
      </w:r>
    </w:p>
    <w:p w14:paraId="4A7D2AD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16.3供应商的响应文件在竞标有效期内均保持有效。</w:t>
      </w:r>
    </w:p>
    <w:p w14:paraId="7A679FAE">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17.谈判保证金</w:t>
      </w:r>
    </w:p>
    <w:p w14:paraId="076C653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详见“供应商须知前附表”。</w:t>
      </w:r>
    </w:p>
    <w:p w14:paraId="5CF3337E">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18.响应文件编制的要求</w:t>
      </w:r>
    </w:p>
    <w:p w14:paraId="31F6BF2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18.1各供应商在编制响应文件时请按照谈判文件“第五章 响应文件格式”规定的格式进行，混乱的编排导致响应文件被误读或谈判小组查找不到有效文件是供应商的风险。不完整、编排混乱导致响应文件被误读、漏读或者查找不到相关内容的，由此引发的后果由供应商承担。</w:t>
      </w:r>
    </w:p>
    <w:p w14:paraId="7A1A176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18.2响应文件应按资格证明、报价分别编制，商务技术文件合并编制，本谈判只接收电子版响应文件，要求见本章“12.2响应文件电子版要求”。</w:t>
      </w:r>
    </w:p>
    <w:p w14:paraId="29EA5B4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18.</w:t>
      </w:r>
      <w:bookmarkStart w:id="54" w:name="_Hlk65832699"/>
      <w:r>
        <w:rPr>
          <w:rFonts w:hint="eastAsia" w:ascii="宋体" w:hAnsi="宋体" w:cs="宋体"/>
          <w:color w:val="auto"/>
          <w:sz w:val="24"/>
          <w:szCs w:val="24"/>
          <w:highlight w:val="none"/>
        </w:rPr>
        <w:t>3响应文件须由供应商在</w:t>
      </w:r>
      <w:r>
        <w:rPr>
          <w:rFonts w:hint="eastAsia" w:ascii="宋体" w:hAnsi="宋体" w:cs="宋体"/>
          <w:color w:val="auto"/>
          <w:kern w:val="0"/>
          <w:sz w:val="24"/>
          <w:szCs w:val="24"/>
          <w:highlight w:val="none"/>
          <w:lang w:val="zh-CN"/>
        </w:rPr>
        <w:t>“</w:t>
      </w:r>
      <w:r>
        <w:rPr>
          <w:rFonts w:hint="eastAsia" w:ascii="宋体" w:hAnsi="宋体" w:cs="宋体"/>
          <w:color w:val="auto"/>
          <w:sz w:val="24"/>
          <w:szCs w:val="24"/>
          <w:highlight w:val="none"/>
        </w:rPr>
        <w:t>第五章 响应文件格式</w:t>
      </w:r>
      <w:r>
        <w:rPr>
          <w:rFonts w:hint="eastAsia" w:ascii="宋体" w:hAnsi="宋体" w:cs="宋体"/>
          <w:color w:val="auto"/>
          <w:kern w:val="0"/>
          <w:sz w:val="24"/>
          <w:szCs w:val="24"/>
          <w:highlight w:val="none"/>
          <w:lang w:val="zh-CN"/>
        </w:rPr>
        <w:t>”</w:t>
      </w:r>
      <w:r>
        <w:rPr>
          <w:rFonts w:hint="eastAsia" w:ascii="宋体" w:hAnsi="宋体" w:cs="宋体"/>
          <w:color w:val="auto"/>
          <w:sz w:val="24"/>
          <w:szCs w:val="24"/>
          <w:highlight w:val="none"/>
        </w:rPr>
        <w:t>规定位置进行签署、盖章</w:t>
      </w:r>
      <w:bookmarkEnd w:id="54"/>
      <w:r>
        <w:rPr>
          <w:rFonts w:hint="eastAsia" w:ascii="宋体" w:hAnsi="宋体" w:cs="宋体"/>
          <w:color w:val="auto"/>
          <w:sz w:val="24"/>
          <w:szCs w:val="24"/>
          <w:highlight w:val="none"/>
        </w:rPr>
        <w:t>，否则其响应文件按无效响应处理。骑缝盖公章不视为在规定位置盖章。</w:t>
      </w:r>
    </w:p>
    <w:p w14:paraId="634BC30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18.4响应文件中标注的供应商名称应与营业执照（事业单位法人证书、执业许可证、自然人身份证）及电子公章一致，否则其响应文件按无效响应处理。</w:t>
      </w:r>
    </w:p>
    <w:p w14:paraId="59FF2D1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18.5响应文件应避免涂改、行间插字或者删除，否则其响应文件按无效响应处理。</w:t>
      </w:r>
    </w:p>
    <w:p w14:paraId="6754F796">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19.响应文件的密封和标记</w:t>
      </w:r>
    </w:p>
    <w:p w14:paraId="672298C6">
      <w:pPr>
        <w:spacing w:line="360" w:lineRule="auto"/>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19.1供应商进行电子交易应安装客户端软件—“采购云平台电子交易客户端”，并按照谈判文件和电子交易平台的要求编制并加密响应文件。供应商未按规定加密的响应文件，电子交易平台将拒收并提示。</w:t>
      </w:r>
    </w:p>
    <w:p w14:paraId="5E9B4F4C">
      <w:pPr>
        <w:spacing w:line="360" w:lineRule="auto"/>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19.2使用“采购云平台电子交易客户端”需要提前申领CA数字证书，申领流程见该项目采购公告附件。</w:t>
      </w:r>
    </w:p>
    <w:p w14:paraId="24FDEAF8">
      <w:pPr>
        <w:pStyle w:val="1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19.3为确保网上操作合法、有效和安全，供应商应当在响应文件提交截止时间前完成在“政府采购云平台”的身份认证，确保在电子交易过程中能够对相关数据电文进行加密和使用电子签名。</w:t>
      </w:r>
    </w:p>
    <w:p w14:paraId="793FD700">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20.响应文件的提交</w:t>
      </w:r>
    </w:p>
    <w:p w14:paraId="60AD751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20.1供应商必须在“供应商须知前附表”规定的时间和地点提交响应文件。</w:t>
      </w:r>
    </w:p>
    <w:p w14:paraId="6685CAD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20.2 在响应文件提交截止时间以后，不能补充、修改响应文件。</w:t>
      </w:r>
    </w:p>
    <w:p w14:paraId="3B93572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20.3 在提交“最后报价”后，供应商不能退出谈判。</w:t>
      </w:r>
    </w:p>
    <w:p w14:paraId="1814B7A2">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0BD022A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20.5 采购机构不可视情况延长提交响应文件的截止时间。</w:t>
      </w:r>
    </w:p>
    <w:p w14:paraId="27F2709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20.6备份响应文件。</w:t>
      </w:r>
      <w:r>
        <w:rPr>
          <w:rFonts w:hint="eastAsia" w:ascii="宋体" w:hAnsi="宋体" w:cs="宋体"/>
          <w:bCs/>
          <w:color w:val="auto"/>
          <w:sz w:val="24"/>
          <w:szCs w:val="24"/>
          <w:highlight w:val="none"/>
        </w:rPr>
        <w:t>详见在“供应商须知前附表”。</w:t>
      </w:r>
    </w:p>
    <w:p w14:paraId="5EC7CAA7">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21.首次响应文件的补充、修改与撤回</w:t>
      </w:r>
    </w:p>
    <w:p w14:paraId="37405318">
      <w:pPr>
        <w:pStyle w:val="45"/>
        <w:spacing w:before="0"/>
        <w:ind w:firstLine="420"/>
        <w:rPr>
          <w:rFonts w:ascii="宋体" w:hAnsi="宋体" w:cs="宋体"/>
          <w:color w:val="auto"/>
          <w:sz w:val="24"/>
          <w:szCs w:val="24"/>
          <w:highlight w:val="none"/>
        </w:rPr>
      </w:pPr>
      <w:r>
        <w:rPr>
          <w:rFonts w:hint="eastAsia" w:ascii="宋体" w:hAnsi="宋体" w:cs="宋体"/>
          <w:color w:val="auto"/>
          <w:sz w:val="24"/>
          <w:szCs w:val="24"/>
          <w:highlight w:val="none"/>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14:paraId="116DA428">
      <w:pPr>
        <w:spacing w:line="360" w:lineRule="auto"/>
        <w:ind w:firstLine="482" w:firstLineChars="200"/>
        <w:rPr>
          <w:rFonts w:ascii="宋体" w:hAnsi="宋体" w:cs="宋体"/>
          <w:b/>
          <w:bCs/>
          <w:color w:val="auto"/>
          <w:sz w:val="24"/>
          <w:szCs w:val="24"/>
          <w:highlight w:val="none"/>
        </w:rPr>
      </w:pPr>
      <w:bookmarkStart w:id="55" w:name="_Hlk45702405"/>
      <w:r>
        <w:rPr>
          <w:rFonts w:hint="eastAsia" w:ascii="宋体" w:hAnsi="宋体" w:cs="宋体"/>
          <w:b/>
          <w:bCs/>
          <w:color w:val="auto"/>
          <w:sz w:val="24"/>
          <w:szCs w:val="24"/>
          <w:highlight w:val="none"/>
        </w:rPr>
        <w:t>22. 首次响应文件的退回</w:t>
      </w:r>
    </w:p>
    <w:p w14:paraId="3FE4F57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详见“供应商须知前附表”。</w:t>
      </w:r>
    </w:p>
    <w:p w14:paraId="1709FC4D">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23. 截止时间后的撤回</w:t>
      </w:r>
    </w:p>
    <w:bookmarkEnd w:id="55"/>
    <w:p w14:paraId="00CD5DF5">
      <w:pPr>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在投标截止时间后，采购人和采购代理机构对已提交的投标文件概不退回。</w:t>
      </w:r>
    </w:p>
    <w:p w14:paraId="0E9A7ED6">
      <w:pPr>
        <w:pStyle w:val="4"/>
        <w:spacing w:before="0" w:after="0" w:line="360" w:lineRule="auto"/>
        <w:ind w:firstLine="480" w:firstLineChars="200"/>
        <w:jc w:val="center"/>
        <w:rPr>
          <w:rFonts w:ascii="宋体" w:hAnsi="宋体" w:cs="宋体"/>
          <w:b w:val="0"/>
          <w:bCs w:val="0"/>
          <w:color w:val="auto"/>
          <w:sz w:val="24"/>
          <w:szCs w:val="24"/>
          <w:highlight w:val="none"/>
        </w:rPr>
      </w:pPr>
      <w:bookmarkStart w:id="56" w:name="_Toc5654"/>
      <w:r>
        <w:rPr>
          <w:rFonts w:hint="eastAsia" w:ascii="宋体" w:hAnsi="宋体" w:cs="宋体"/>
          <w:b w:val="0"/>
          <w:bCs w:val="0"/>
          <w:color w:val="auto"/>
          <w:sz w:val="24"/>
          <w:szCs w:val="24"/>
          <w:highlight w:val="none"/>
        </w:rPr>
        <w:t>四、评审及谈判</w:t>
      </w:r>
      <w:bookmarkEnd w:id="56"/>
    </w:p>
    <w:p w14:paraId="3756ED61">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24.谈判小组成立</w:t>
      </w:r>
    </w:p>
    <w:p w14:paraId="63E4AC4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24.1谈判小组由采购人代表和评审专家共3人以上单数组成，其中评审专家人数不得少于谈判小组成员总数的2/3。采购人代表不得以评审专家身份参加本部门或者本单位采购项目的评审。采购代理机构人员不得参加本机构代理的采购项目的评审。达到公开招标数额标准的货物或者货物采购项目，或者达到公开招标规模标准的政府采购工程，经批准采用竞争性谈判方式采购的，谈判小组由5人以上单数组成。</w:t>
      </w:r>
    </w:p>
    <w:p w14:paraId="52850D7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24.2评审专家应当从政府采购评审专家库内相关专业的专家名单中随机抽取。技术复杂、专业性强的竞争性谈判采购项目，评审专家中应当包含1名法律专家。</w:t>
      </w:r>
    </w:p>
    <w:p w14:paraId="5FFAE717">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25.首次响应文件的开启</w:t>
      </w:r>
    </w:p>
    <w:p w14:paraId="0CC7E2D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25.1首次响应文件由谈判小组或者采购代理机构在“供应商须知前附表”规定的时间开启。</w:t>
      </w:r>
    </w:p>
    <w:p w14:paraId="0C2FBC1A">
      <w:pPr>
        <w:pStyle w:val="18"/>
        <w:spacing w:line="360" w:lineRule="auto"/>
        <w:ind w:firstLine="480" w:firstLineChars="200"/>
        <w:rPr>
          <w:rFonts w:hAnsi="宋体" w:cs="宋体"/>
          <w:bCs/>
          <w:color w:val="auto"/>
          <w:sz w:val="24"/>
          <w:szCs w:val="24"/>
          <w:highlight w:val="none"/>
        </w:rPr>
      </w:pPr>
      <w:r>
        <w:rPr>
          <w:rFonts w:hint="eastAsia" w:hAnsi="宋体" w:cs="宋体"/>
          <w:color w:val="auto"/>
          <w:sz w:val="24"/>
          <w:szCs w:val="24"/>
          <w:highlight w:val="none"/>
        </w:rPr>
        <w:t xml:space="preserve">25.2 </w:t>
      </w:r>
      <w:r>
        <w:rPr>
          <w:rFonts w:hint="eastAsia" w:hAnsi="宋体" w:cs="宋体"/>
          <w:bCs/>
          <w:color w:val="auto"/>
          <w:sz w:val="24"/>
          <w:szCs w:val="24"/>
          <w:highlight w:val="none"/>
        </w:rPr>
        <w:t>响应文件解密</w:t>
      </w:r>
    </w:p>
    <w:p w14:paraId="19CFFEC0">
      <w:pPr>
        <w:pStyle w:val="18"/>
        <w:spacing w:line="360" w:lineRule="auto"/>
        <w:ind w:firstLine="480" w:firstLineChars="200"/>
        <w:rPr>
          <w:rFonts w:hAnsi="宋体" w:cs="宋体"/>
          <w:color w:val="auto"/>
          <w:sz w:val="24"/>
          <w:szCs w:val="24"/>
          <w:highlight w:val="none"/>
        </w:rPr>
      </w:pPr>
      <w:r>
        <w:rPr>
          <w:rFonts w:hint="eastAsia" w:hAnsi="宋体" w:cs="宋体"/>
          <w:bCs/>
          <w:color w:val="auto"/>
          <w:sz w:val="24"/>
          <w:szCs w:val="24"/>
          <w:highlight w:val="none"/>
        </w:rPr>
        <w:t>采购代理机构将在“供应商须知前附表”规定的时</w:t>
      </w:r>
      <w:r>
        <w:rPr>
          <w:rFonts w:hint="eastAsia" w:hAnsi="宋体" w:cs="宋体"/>
          <w:color w:val="auto"/>
          <w:sz w:val="24"/>
          <w:szCs w:val="24"/>
          <w:highlight w:val="none"/>
        </w:rPr>
        <w:t>间通过电子交易平台组织响应文件开启，采购机构依托电子交易平台发起开始解密指令，供应商的法定代表人或其委托代理人</w:t>
      </w:r>
      <w:r>
        <w:rPr>
          <w:rFonts w:hint="eastAsia" w:hAnsi="宋体" w:cs="宋体"/>
          <w:b/>
          <w:color w:val="auto"/>
          <w:sz w:val="24"/>
          <w:szCs w:val="24"/>
          <w:highlight w:val="none"/>
        </w:rPr>
        <w:t>须携带加密时所用的CA锁按平台提示和采购文件的规定登录到“</w:t>
      </w:r>
      <w:r>
        <w:rPr>
          <w:rFonts w:hint="eastAsia" w:hAnsi="宋体" w:cs="宋体"/>
          <w:b/>
          <w:color w:val="auto"/>
          <w:sz w:val="24"/>
          <w:szCs w:val="24"/>
          <w:highlight w:val="none"/>
          <w:lang w:eastAsia="zh-CN"/>
        </w:rPr>
        <w:t>采购云</w:t>
      </w:r>
      <w:r>
        <w:rPr>
          <w:rFonts w:hint="eastAsia" w:hAnsi="宋体" w:cs="宋体"/>
          <w:b/>
          <w:color w:val="auto"/>
          <w:sz w:val="24"/>
          <w:szCs w:val="24"/>
          <w:highlight w:val="none"/>
        </w:rPr>
        <w:t>”平台电子开标大厅签到并在发起解密指令之时起30分钟内完成对电子响应文件在线解密</w:t>
      </w:r>
      <w:r>
        <w:rPr>
          <w:rFonts w:hint="eastAsia" w:hAnsi="宋体" w:cs="宋体"/>
          <w:color w:val="auto"/>
          <w:sz w:val="24"/>
          <w:szCs w:val="24"/>
          <w:highlight w:val="none"/>
        </w:rPr>
        <w:t>。发起解密指令之时起5分钟内供应商还未进行解密的，代理机构要通知供应商，供应商没预留联系方式或预留联系方式无效，导致代理机构无法联系到供应商进行解密的，</w:t>
      </w:r>
      <w:r>
        <w:rPr>
          <w:rFonts w:hint="eastAsia" w:hAnsi="宋体" w:cs="宋体"/>
          <w:b/>
          <w:color w:val="auto"/>
          <w:sz w:val="24"/>
          <w:szCs w:val="24"/>
          <w:highlight w:val="none"/>
        </w:rPr>
        <w:t>视为响应文件无效。</w:t>
      </w:r>
      <w:r>
        <w:rPr>
          <w:rFonts w:hint="eastAsia" w:hAnsi="宋体" w:cs="宋体"/>
          <w:color w:val="auto"/>
          <w:sz w:val="24"/>
          <w:szCs w:val="24"/>
          <w:highlight w:val="none"/>
        </w:rPr>
        <w:t>（解密</w:t>
      </w:r>
      <w:r>
        <w:rPr>
          <w:rFonts w:hint="eastAsia" w:hAnsi="宋体" w:cs="宋体"/>
          <w:bCs/>
          <w:color w:val="auto"/>
          <w:sz w:val="24"/>
          <w:szCs w:val="24"/>
          <w:highlight w:val="none"/>
        </w:rPr>
        <w:t>异常情况处理：详见本章</w:t>
      </w:r>
      <w:r>
        <w:rPr>
          <w:rFonts w:hint="eastAsia" w:hAnsi="宋体" w:cs="宋体"/>
          <w:color w:val="auto"/>
          <w:sz w:val="24"/>
          <w:szCs w:val="24"/>
          <w:highlight w:val="none"/>
        </w:rPr>
        <w:t>26.3 电子交易活动的中止。）</w:t>
      </w:r>
    </w:p>
    <w:p w14:paraId="42A40C56">
      <w:pPr>
        <w:pStyle w:val="1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如</w:t>
      </w:r>
      <w:r>
        <w:rPr>
          <w:rFonts w:hint="eastAsia" w:hAnsi="宋体" w:cs="宋体"/>
          <w:bCs/>
          <w:color w:val="auto"/>
          <w:sz w:val="24"/>
          <w:szCs w:val="24"/>
          <w:highlight w:val="none"/>
        </w:rPr>
        <w:t>供应商成功解密响应文件，但未在“采购云”电子开标大厅参加谈判的，视同认可谈判过程和结果，</w:t>
      </w:r>
      <w:r>
        <w:rPr>
          <w:rFonts w:hint="eastAsia" w:hAnsi="宋体" w:cs="宋体"/>
          <w:color w:val="auto"/>
          <w:sz w:val="24"/>
          <w:szCs w:val="24"/>
          <w:highlight w:val="none"/>
        </w:rPr>
        <w:t>由此产生的后果由供应商自行负责。 参与谈判的供应商不足3家的，不得谈判。</w:t>
      </w:r>
    </w:p>
    <w:p w14:paraId="24D68938">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26.评审程序、评审方法和成交标准</w:t>
      </w:r>
    </w:p>
    <w:p w14:paraId="5C4CDAF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26.1谈判小组按照“第四章 评审程序、评审方法和成交标准”规定的方法、评审因素、标准和程序对响应文件进行评审。</w:t>
      </w:r>
    </w:p>
    <w:p w14:paraId="0B0AFB5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26.2 采购需求负偏离要求及谈判顺序详见 “供应商须知前附表”。</w:t>
      </w:r>
    </w:p>
    <w:p w14:paraId="55374AA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26.3电子交易活动的中止。采购过程中出现以下情形，导致电子交易平台无法正常运行，或者无法保证电子交易的公平、公正和安全时，采购机构可中止电子交易活动：</w:t>
      </w:r>
    </w:p>
    <w:p w14:paraId="2C64F18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（1）电子交易平台发生故障而无法登录访问的； </w:t>
      </w:r>
    </w:p>
    <w:p w14:paraId="5CAEB2A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（2）电子交易平台应用或数据库出现错误，不能进行正常操作的；</w:t>
      </w:r>
    </w:p>
    <w:p w14:paraId="1869810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（3）电子交易平台发现严重安全漏洞，有潜在泄密危险的；</w:t>
      </w:r>
    </w:p>
    <w:p w14:paraId="063BFB3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（4）病毒发作导致不能进行正常操作的； </w:t>
      </w:r>
    </w:p>
    <w:p w14:paraId="6AD6A70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）其他无法保证电子交易的公平、公正和安全的情况。</w:t>
      </w:r>
    </w:p>
    <w:p w14:paraId="44B80B6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7ED197BE">
      <w:pPr>
        <w:pStyle w:val="4"/>
        <w:spacing w:before="0" w:after="0" w:line="360" w:lineRule="auto"/>
        <w:ind w:firstLine="480" w:firstLineChars="200"/>
        <w:jc w:val="center"/>
        <w:rPr>
          <w:rFonts w:ascii="宋体" w:hAnsi="宋体" w:cs="宋体"/>
          <w:b w:val="0"/>
          <w:bCs w:val="0"/>
          <w:color w:val="auto"/>
          <w:sz w:val="24"/>
          <w:szCs w:val="24"/>
          <w:highlight w:val="none"/>
        </w:rPr>
      </w:pPr>
      <w:bookmarkStart w:id="57" w:name="_Toc14196"/>
      <w:r>
        <w:rPr>
          <w:rFonts w:hint="eastAsia" w:ascii="宋体" w:hAnsi="宋体" w:cs="宋体"/>
          <w:b w:val="0"/>
          <w:bCs w:val="0"/>
          <w:color w:val="auto"/>
          <w:sz w:val="24"/>
          <w:szCs w:val="24"/>
          <w:highlight w:val="none"/>
        </w:rPr>
        <w:t>五、成交及合同</w:t>
      </w:r>
      <w:bookmarkEnd w:id="57"/>
    </w:p>
    <w:p w14:paraId="1D3BD023">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27.确定成交供应商及结果公告</w:t>
      </w:r>
    </w:p>
    <w:p w14:paraId="5AB7742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27.1确定成交供应商。采购代理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14:paraId="25ED3A32">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27.2成交通知及成交结果公告。</w:t>
      </w:r>
      <w:r>
        <w:rPr>
          <w:rFonts w:hint="eastAsia" w:ascii="宋体" w:hAnsi="宋体" w:cs="宋体"/>
          <w:color w:val="auto"/>
          <w:kern w:val="0"/>
          <w:sz w:val="24"/>
          <w:szCs w:val="24"/>
          <w:highlight w:val="none"/>
        </w:rPr>
        <w:t>成交</w:t>
      </w:r>
      <w:r>
        <w:rPr>
          <w:rFonts w:hint="eastAsia" w:ascii="宋体" w:hAnsi="宋体" w:cs="宋体"/>
          <w:color w:val="auto"/>
          <w:sz w:val="24"/>
          <w:szCs w:val="24"/>
          <w:highlight w:val="none"/>
        </w:rPr>
        <w:t>供应商确定后2个工作日内，在省级以上财政部门指定的媒体上公告成交结果，同时向成交供应商发出成交通知书。</w:t>
      </w:r>
    </w:p>
    <w:p w14:paraId="58D541B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谈判文件一并保存。</w:t>
      </w:r>
      <w:bookmarkStart w:id="58" w:name="_Hlk66782294"/>
      <w:r>
        <w:rPr>
          <w:rFonts w:hint="eastAsia" w:ascii="宋体" w:hAnsi="宋体" w:cs="宋体"/>
          <w:color w:val="auto"/>
          <w:sz w:val="24"/>
          <w:szCs w:val="24"/>
          <w:highlight w:val="none"/>
        </w:rPr>
        <w:t>成交供应商享受《政府采购促进中小企业发展管理办法》（财库〔2020〕46号）规定的中小企业扶持政策的，采购人、采购代理机构应当随成交结果公开成交供应商的《中小企业声明函》。</w:t>
      </w:r>
      <w:bookmarkEnd w:id="58"/>
    </w:p>
    <w:p w14:paraId="41F6B61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60480B92">
      <w:pPr>
        <w:spacing w:line="360" w:lineRule="auto"/>
        <w:ind w:firstLine="480" w:firstLineChars="200"/>
        <w:rPr>
          <w:rFonts w:ascii="宋体" w:hAnsi="宋体" w:cs="宋体"/>
          <w:color w:val="auto"/>
          <w:sz w:val="24"/>
          <w:szCs w:val="24"/>
          <w:highlight w:val="none"/>
        </w:rPr>
      </w:pPr>
      <w:r>
        <w:rPr>
          <w:rFonts w:hint="eastAsia" w:ascii="宋体" w:hAnsi="宋体" w:cs="宋体"/>
          <w:bCs/>
          <w:color w:val="auto"/>
          <w:sz w:val="24"/>
          <w:szCs w:val="24"/>
          <w:highlight w:val="none"/>
        </w:rPr>
        <w:t>27.5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063E1E32">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28.履约保证金</w:t>
      </w:r>
    </w:p>
    <w:p w14:paraId="6099CC6B">
      <w:pPr>
        <w:spacing w:line="360" w:lineRule="auto"/>
        <w:ind w:firstLine="480" w:firstLineChars="200"/>
        <w:rPr>
          <w:rFonts w:ascii="宋体" w:hAnsi="宋体" w:cs="宋体"/>
          <w:b/>
          <w:bCs/>
          <w:color w:val="auto"/>
          <w:sz w:val="24"/>
          <w:szCs w:val="24"/>
          <w:highlight w:val="none"/>
        </w:rPr>
      </w:pPr>
      <w:r>
        <w:rPr>
          <w:rFonts w:hint="eastAsia" w:ascii="宋体" w:hAnsi="宋体" w:cs="宋体"/>
          <w:color w:val="auto"/>
          <w:sz w:val="24"/>
          <w:szCs w:val="24"/>
          <w:highlight w:val="none"/>
        </w:rPr>
        <w:t>详见 “供应商须知前附表”</w:t>
      </w:r>
    </w:p>
    <w:p w14:paraId="0FB7F953">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29.签订合同</w:t>
      </w:r>
    </w:p>
    <w:p w14:paraId="31D736B9">
      <w:pPr>
        <w:pStyle w:val="45"/>
        <w:spacing w:before="0"/>
        <w:ind w:firstLine="420"/>
        <w:rPr>
          <w:rFonts w:ascii="宋体" w:hAnsi="宋体" w:cs="宋体"/>
          <w:color w:val="auto"/>
          <w:sz w:val="24"/>
          <w:szCs w:val="24"/>
          <w:highlight w:val="none"/>
          <w:lang w:val="zh-CN"/>
        </w:rPr>
      </w:pPr>
      <w:r>
        <w:rPr>
          <w:rFonts w:hint="eastAsia" w:ascii="宋体" w:hAnsi="宋体" w:cs="宋体"/>
          <w:color w:val="auto"/>
          <w:sz w:val="24"/>
          <w:szCs w:val="24"/>
          <w:highlight w:val="none"/>
        </w:rPr>
        <w:t>29.1采购人与成交供应商应当在成交通知书规定的时间内，按照谈判文件确定的合同文本以及采购标的、货物技术、采购金额、采购数量、技术和货物要求等事项签订政府采购合同。</w:t>
      </w:r>
      <w:r>
        <w:rPr>
          <w:rFonts w:hint="eastAsia" w:ascii="宋体" w:hAnsi="宋体" w:cs="宋体"/>
          <w:color w:val="auto"/>
          <w:sz w:val="24"/>
          <w:szCs w:val="24"/>
          <w:highlight w:val="none"/>
          <w:lang w:val="zh-CN"/>
        </w:rPr>
        <w:t>如成交供应商为联合体的，由联合体成员各方法定代表人或其授权代表与采购人代表签订合同。签订合同时间：自成交通知书发出之日起25日内。</w:t>
      </w:r>
    </w:p>
    <w:p w14:paraId="3C9EAF6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29.2采购人不得向成交供应商提出超出谈判文件以外的任何要求作为签订合同的条件，不得与成交供应商订立背离谈判文件确定的合同文本以及采购标的、货物技术、采购金额、采购数量、技术和货物要求等实质性内容的协议。</w:t>
      </w:r>
    </w:p>
    <w:p w14:paraId="3DE8E98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1C4FDB12">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29.4如签订合同并生效后，供应商无故拒绝或延期，除按照合同条款处理外，列入不良行为记录，并给予通报。</w:t>
      </w:r>
    </w:p>
    <w:p w14:paraId="0A705D8E">
      <w:pPr>
        <w:pStyle w:val="45"/>
        <w:spacing w:before="0"/>
        <w:ind w:firstLine="420"/>
        <w:rPr>
          <w:rFonts w:ascii="宋体" w:hAnsi="宋体" w:cs="宋体"/>
          <w:color w:val="auto"/>
          <w:sz w:val="24"/>
          <w:szCs w:val="24"/>
          <w:highlight w:val="none"/>
        </w:rPr>
      </w:pPr>
      <w:r>
        <w:rPr>
          <w:rFonts w:hint="eastAsia" w:ascii="宋体" w:hAnsi="宋体" w:cs="宋体"/>
          <w:color w:val="auto"/>
          <w:sz w:val="24"/>
          <w:szCs w:val="24"/>
          <w:highlight w:val="none"/>
        </w:rPr>
        <w:t>29.5采购合同由采购人与成交供应商根据谈判文件、响应文件等内容签订。</w:t>
      </w:r>
    </w:p>
    <w:p w14:paraId="18A955BB">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30.政府采购合同公告</w:t>
      </w:r>
    </w:p>
    <w:p w14:paraId="579BF7A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3A48840B">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31. 询问、质疑和投诉</w:t>
      </w:r>
    </w:p>
    <w:p w14:paraId="579BC50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31.1供应商对政府采购活动事项有疑问的，可以向采购人、采购代理机构提出询问，采购人或者采购代理机构应当在3个工作日内对供应商依法提出的询问作出答复。</w:t>
      </w:r>
    </w:p>
    <w:p w14:paraId="50FED266">
      <w:pPr>
        <w:spacing w:line="360" w:lineRule="auto"/>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31.2供应商认为谈判文件、采购过程或者成交结果使自己的合法权益受到损害的，应当在知道或者应知其权益受到损害之日起7个工作日内，以书面形式向采购人、采购代理机构提出质疑，</w:t>
      </w:r>
      <w:r>
        <w:rPr>
          <w:rFonts w:hint="eastAsia" w:ascii="宋体" w:hAnsi="宋体" w:cs="宋体"/>
          <w:color w:val="auto"/>
          <w:sz w:val="24"/>
          <w:szCs w:val="24"/>
          <w:highlight w:val="none"/>
          <w:shd w:val="clear" w:color="auto" w:fill="FFFFFF"/>
        </w:rPr>
        <w:t>接收质疑函的方式、联系部门、联系电话和通讯地址等信息详见</w:t>
      </w:r>
      <w:r>
        <w:rPr>
          <w:rFonts w:hint="eastAsia" w:ascii="宋体" w:hAnsi="宋体" w:cs="宋体"/>
          <w:color w:val="auto"/>
          <w:sz w:val="24"/>
          <w:szCs w:val="24"/>
          <w:highlight w:val="none"/>
        </w:rPr>
        <w:t>“供应商须知前附表”。</w:t>
      </w:r>
      <w:r>
        <w:rPr>
          <w:rFonts w:hint="eastAsia" w:ascii="宋体" w:hAnsi="宋体" w:cs="宋体"/>
          <w:b/>
          <w:color w:val="auto"/>
          <w:sz w:val="24"/>
          <w:szCs w:val="24"/>
          <w:highlight w:val="none"/>
        </w:rPr>
        <w:t xml:space="preserve">具体质疑起算时间及处理方式如下： </w:t>
      </w:r>
    </w:p>
    <w:p w14:paraId="6F4D8080">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（1）潜在供应商依法获取采购文件后，认为采购文件使自己的权益受到损害的，应当在竞争性谈判采购文件公告期限届满之日起7个工作日内提出质疑。</w:t>
      </w:r>
      <w:r>
        <w:rPr>
          <w:rFonts w:hint="eastAsia" w:ascii="宋体" w:hAnsi="宋体" w:cs="宋体"/>
          <w:color w:val="auto"/>
          <w:sz w:val="24"/>
          <w:szCs w:val="24"/>
          <w:highlight w:val="none"/>
        </w:rPr>
        <w:t>委托代理协议无特殊约定的，</w:t>
      </w:r>
      <w:r>
        <w:rPr>
          <w:rFonts w:hint="eastAsia" w:ascii="宋体" w:hAnsi="宋体" w:cs="宋体"/>
          <w:bCs/>
          <w:color w:val="auto"/>
          <w:sz w:val="24"/>
          <w:szCs w:val="24"/>
          <w:highlight w:val="none"/>
        </w:rPr>
        <w:t>对竞争性谈判文件中采购需求（含资格要求、采购预算和评分办法）的质疑由采购人受理并负责答复；对竞争性谈判文件中的采购执行程序的质疑由采购代理机构受理并负责答复。</w:t>
      </w:r>
    </w:p>
    <w:p w14:paraId="25BD5B70">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1D28ABF9">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（3）供应商认为成交结果使自己的权益受到损害的，应当在成交结果公告期限届满之日起7个工作日内提出质疑，由采购人受理并负责答复。</w:t>
      </w:r>
    </w:p>
    <w:p w14:paraId="5665577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72ABD9E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31.4 供应商提出质疑应当提交质疑函和必要的证明材料，针对同一采购程序环节的质疑必须在法定质疑期内一次性提出。质疑函应当包括下列内容</w:t>
      </w:r>
      <w:r>
        <w:rPr>
          <w:rFonts w:hint="eastAsia" w:ascii="宋体" w:hAnsi="宋体" w:cs="宋体"/>
          <w:bCs/>
          <w:color w:val="auto"/>
          <w:sz w:val="24"/>
          <w:szCs w:val="24"/>
          <w:highlight w:val="none"/>
        </w:rPr>
        <w:t>（质疑函格式后附）</w:t>
      </w:r>
      <w:r>
        <w:rPr>
          <w:rFonts w:hint="eastAsia" w:ascii="宋体" w:hAnsi="宋体" w:cs="宋体"/>
          <w:color w:val="auto"/>
          <w:sz w:val="24"/>
          <w:szCs w:val="24"/>
          <w:highlight w:val="none"/>
        </w:rPr>
        <w:t>：</w:t>
      </w:r>
    </w:p>
    <w:p w14:paraId="7C548DA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（1）供应商的姓名或者名称、地址、邮编、联系人及联系电话；</w:t>
      </w:r>
    </w:p>
    <w:p w14:paraId="5733167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（2）质疑项目的名称、编号；</w:t>
      </w:r>
    </w:p>
    <w:p w14:paraId="46F53D2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（3）具体、明确的质疑事项和与质疑事项相关的请求；</w:t>
      </w:r>
    </w:p>
    <w:p w14:paraId="48FE112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（4）事实依据；</w:t>
      </w:r>
    </w:p>
    <w:p w14:paraId="4D01DB0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（5）必要的法律依据；</w:t>
      </w:r>
    </w:p>
    <w:p w14:paraId="4299A10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（6）提出质疑的日期。</w:t>
      </w:r>
    </w:p>
    <w:p w14:paraId="68CCD64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供应商为自然人的，应当由本人签字；供应商为法人或者其他组织的，应当由法定代表人、主要负责人，或者其委托代理人签字或者盖章，并加盖公章。</w:t>
      </w:r>
    </w:p>
    <w:p w14:paraId="36B36F0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31.5采购人、采购代理机构认为供应商质疑不成立，或者成立但未对成交结果构成影响的，继续开展采购活动；认为供应商质疑成立且影响或者可能影响成交结果的，按照下列情况处理：</w:t>
      </w:r>
    </w:p>
    <w:p w14:paraId="654E5EB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（一）对采购文件提出的质疑，依法通过澄清或者修改可以继续开展采购活动的，澄清或者修改采购文件后继续开展采购活动；否则应当修改采购文件后重新开展采购活动。</w:t>
      </w:r>
    </w:p>
    <w:p w14:paraId="5260A9F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（二）对采购过程或者成交结果提出的质疑，合格供应商符合法定数量时，可以从合格的成交候选人中另行确定成交供应商的，应当依法另行确定成交供应商；否则应当重新开展采购活动。</w:t>
      </w:r>
    </w:p>
    <w:p w14:paraId="5A101FD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质疑答复导致成交结果改变的，采购人或者采购代理机构应当将有关情况书面报告本级财政部门。</w:t>
      </w:r>
    </w:p>
    <w:p w14:paraId="415F856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p>
    <w:p w14:paraId="0F037565">
      <w:pPr>
        <w:pStyle w:val="4"/>
        <w:spacing w:before="0" w:after="0" w:line="360" w:lineRule="auto"/>
        <w:ind w:firstLine="480" w:firstLineChars="200"/>
        <w:jc w:val="center"/>
        <w:rPr>
          <w:rFonts w:ascii="宋体" w:hAnsi="宋体" w:cs="宋体"/>
          <w:b w:val="0"/>
          <w:bCs w:val="0"/>
          <w:color w:val="auto"/>
          <w:sz w:val="24"/>
          <w:szCs w:val="24"/>
          <w:highlight w:val="none"/>
        </w:rPr>
      </w:pPr>
      <w:bookmarkStart w:id="59" w:name="_Toc28084"/>
      <w:r>
        <w:rPr>
          <w:rFonts w:hint="eastAsia" w:ascii="宋体" w:hAnsi="宋体" w:cs="宋体"/>
          <w:b w:val="0"/>
          <w:bCs w:val="0"/>
          <w:color w:val="auto"/>
          <w:sz w:val="24"/>
          <w:szCs w:val="24"/>
          <w:highlight w:val="none"/>
        </w:rPr>
        <w:t>六、验收</w:t>
      </w:r>
      <w:bookmarkEnd w:id="59"/>
    </w:p>
    <w:p w14:paraId="075F4A53">
      <w:pPr>
        <w:tabs>
          <w:tab w:val="left" w:pos="0"/>
        </w:tabs>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32.验收</w:t>
      </w:r>
    </w:p>
    <w:p w14:paraId="25173060">
      <w:pPr>
        <w:tabs>
          <w:tab w:val="left" w:pos="0"/>
        </w:tabs>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C81311E">
      <w:pPr>
        <w:tabs>
          <w:tab w:val="left" w:pos="0"/>
        </w:tabs>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32.2采购人可以邀请参加本项目的其他供应商或者第三方机构参与验收。参与验收的供应商或者第三方机构的意见作为验收书的参考资料一并存档。</w:t>
      </w:r>
    </w:p>
    <w:p w14:paraId="1DC3EA25">
      <w:pPr>
        <w:tabs>
          <w:tab w:val="left" w:pos="0"/>
        </w:tabs>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32.3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45AF0BE">
      <w:pPr>
        <w:tabs>
          <w:tab w:val="left" w:pos="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kern w:val="0"/>
          <w:sz w:val="24"/>
          <w:szCs w:val="24"/>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52BE4FF">
      <w:pPr>
        <w:pStyle w:val="4"/>
        <w:spacing w:before="0" w:after="0" w:line="360" w:lineRule="auto"/>
        <w:ind w:firstLine="480" w:firstLineChars="200"/>
        <w:jc w:val="center"/>
        <w:rPr>
          <w:rFonts w:ascii="宋体" w:hAnsi="宋体" w:cs="宋体"/>
          <w:b w:val="0"/>
          <w:bCs w:val="0"/>
          <w:color w:val="auto"/>
          <w:sz w:val="24"/>
          <w:szCs w:val="24"/>
          <w:highlight w:val="none"/>
        </w:rPr>
      </w:pPr>
      <w:bookmarkStart w:id="60" w:name="_Toc7514"/>
      <w:r>
        <w:rPr>
          <w:rFonts w:hint="eastAsia" w:ascii="宋体" w:hAnsi="宋体" w:cs="宋体"/>
          <w:b w:val="0"/>
          <w:bCs w:val="0"/>
          <w:color w:val="auto"/>
          <w:sz w:val="24"/>
          <w:szCs w:val="24"/>
          <w:highlight w:val="none"/>
        </w:rPr>
        <w:t>七、其他事项</w:t>
      </w:r>
      <w:bookmarkEnd w:id="60"/>
    </w:p>
    <w:p w14:paraId="08947501">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33.代理</w:t>
      </w:r>
      <w:r>
        <w:rPr>
          <w:rFonts w:hint="eastAsia" w:ascii="宋体" w:hAnsi="宋体" w:cs="宋体"/>
          <w:b/>
          <w:bCs/>
          <w:color w:val="auto"/>
          <w:sz w:val="24"/>
          <w:szCs w:val="24"/>
          <w:highlight w:val="none"/>
          <w:lang w:val="en-US" w:eastAsia="zh-CN"/>
        </w:rPr>
        <w:t>服务</w:t>
      </w:r>
      <w:r>
        <w:rPr>
          <w:rFonts w:hint="eastAsia" w:ascii="宋体" w:hAnsi="宋体" w:cs="宋体"/>
          <w:b/>
          <w:bCs/>
          <w:color w:val="auto"/>
          <w:sz w:val="24"/>
          <w:szCs w:val="24"/>
          <w:highlight w:val="none"/>
        </w:rPr>
        <w:t>费</w:t>
      </w:r>
    </w:p>
    <w:p w14:paraId="55057E0F">
      <w:pPr>
        <w:tabs>
          <w:tab w:val="left" w:pos="2835"/>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代理</w:t>
      </w:r>
      <w:r>
        <w:rPr>
          <w:rFonts w:hint="eastAsia" w:ascii="宋体" w:hAnsi="宋体" w:cs="宋体"/>
          <w:color w:val="auto"/>
          <w:sz w:val="24"/>
          <w:szCs w:val="24"/>
          <w:highlight w:val="none"/>
          <w:lang w:val="en-US" w:eastAsia="zh-CN"/>
        </w:rPr>
        <w:t>服务</w:t>
      </w:r>
      <w:r>
        <w:rPr>
          <w:rFonts w:hint="eastAsia" w:ascii="宋体" w:hAnsi="宋体" w:cs="宋体"/>
          <w:color w:val="auto"/>
          <w:sz w:val="24"/>
          <w:szCs w:val="24"/>
          <w:highlight w:val="none"/>
        </w:rPr>
        <w:t>收费标准及缴费账户详见“供应商须知前附表”，供应商为联合体的，可以由联合体中的一方或者多方共同交纳代理货物费。</w:t>
      </w:r>
    </w:p>
    <w:p w14:paraId="37DD1F67">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34.需要补充的其他内容</w:t>
      </w:r>
    </w:p>
    <w:p w14:paraId="5BE63972">
      <w:pPr>
        <w:pStyle w:val="18"/>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34.1本谈判文件解释规则详见“供应商须知前附表”。</w:t>
      </w:r>
    </w:p>
    <w:p w14:paraId="0F5DDFAB">
      <w:pPr>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kern w:val="0"/>
          <w:sz w:val="24"/>
          <w:szCs w:val="24"/>
          <w:highlight w:val="none"/>
        </w:rPr>
        <w:t>34.2 其他事</w:t>
      </w:r>
      <w:r>
        <w:rPr>
          <w:rFonts w:hint="eastAsia" w:ascii="宋体" w:hAnsi="宋体" w:cs="宋体"/>
          <w:color w:val="auto"/>
          <w:sz w:val="24"/>
          <w:szCs w:val="24"/>
          <w:highlight w:val="none"/>
        </w:rPr>
        <w:t>项详见“供应商须知前附表”。</w:t>
      </w:r>
    </w:p>
    <w:p w14:paraId="5054A628">
      <w:pPr>
        <w:pStyle w:val="18"/>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34.3</w:t>
      </w:r>
      <w:bookmarkStart w:id="61" w:name="_Hlk65857140"/>
      <w:r>
        <w:rPr>
          <w:rFonts w:hint="eastAsia" w:hAnsi="宋体" w:cs="宋体"/>
          <w:color w:val="auto"/>
          <w:sz w:val="24"/>
          <w:szCs w:val="24"/>
          <w:highlight w:val="none"/>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货物符合下列情形的，享受本文件规定的中小企业扶持政策：</w:t>
      </w:r>
    </w:p>
    <w:p w14:paraId="41731DA1">
      <w:pPr>
        <w:pStyle w:val="18"/>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在货物采购项目中，货物由中小企业制造，即货物由中小企业生产且使用该中小企业商号或者注册商标，不对其中涉及的工程承建商和货物的承接商作出要求；</w:t>
      </w:r>
    </w:p>
    <w:p w14:paraId="50FF01AA">
      <w:pPr>
        <w:pStyle w:val="18"/>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1312C072">
      <w:pPr>
        <w:pStyle w:val="1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依据本文件规定享受扶持政策获得政府采购合同的，小微企业不得将合同分包给大中型企业，中型企业不得将合同分包给大型企业。</w:t>
      </w:r>
      <w:bookmarkEnd w:id="61"/>
    </w:p>
    <w:p w14:paraId="3FEAF68E">
      <w:pPr>
        <w:pStyle w:val="18"/>
        <w:spacing w:line="360" w:lineRule="auto"/>
        <w:ind w:firstLine="482" w:firstLineChars="200"/>
        <w:contextualSpacing/>
        <w:jc w:val="center"/>
        <w:rPr>
          <w:rFonts w:hint="eastAsia" w:hAnsi="宋体" w:cs="宋体"/>
          <w:b/>
          <w:color w:val="auto"/>
          <w:sz w:val="24"/>
          <w:szCs w:val="24"/>
          <w:highlight w:val="none"/>
        </w:rPr>
        <w:sectPr>
          <w:footerReference r:id="rId8" w:type="first"/>
          <w:footerReference r:id="rId7" w:type="default"/>
          <w:pgSz w:w="11910" w:h="16840"/>
          <w:pgMar w:top="1440" w:right="1080" w:bottom="1440" w:left="1080" w:header="720" w:footer="720" w:gutter="0"/>
          <w:cols w:space="720" w:num="1"/>
        </w:sectPr>
      </w:pPr>
    </w:p>
    <w:p w14:paraId="3E017FBD">
      <w:pPr>
        <w:pStyle w:val="18"/>
        <w:spacing w:line="360" w:lineRule="auto"/>
        <w:ind w:firstLine="482" w:firstLineChars="200"/>
        <w:contextualSpacing/>
        <w:jc w:val="center"/>
        <w:rPr>
          <w:color w:val="auto"/>
          <w:sz w:val="24"/>
          <w:szCs w:val="24"/>
          <w:highlight w:val="none"/>
        </w:rPr>
      </w:pPr>
      <w:bookmarkStart w:id="62" w:name="_Toc29422"/>
      <w:r>
        <w:rPr>
          <w:rStyle w:val="93"/>
          <w:rFonts w:hint="eastAsia"/>
          <w:color w:val="auto"/>
          <w:sz w:val="24"/>
          <w:szCs w:val="24"/>
          <w:highlight w:val="none"/>
        </w:rPr>
        <w:t>第四章  评审程序、评审方法和成交标准</w:t>
      </w:r>
      <w:bookmarkEnd w:id="62"/>
    </w:p>
    <w:p w14:paraId="223E30F4">
      <w:pPr>
        <w:pStyle w:val="3"/>
        <w:pageBreakBefore w:val="0"/>
        <w:kinsoku/>
        <w:wordWrap/>
        <w:overflowPunct/>
        <w:topLinePunct w:val="0"/>
        <w:autoSpaceDE/>
        <w:autoSpaceDN/>
        <w:bidi w:val="0"/>
        <w:spacing w:before="0" w:after="0" w:line="560" w:lineRule="exact"/>
        <w:ind w:firstLine="480" w:firstLineChars="200"/>
        <w:jc w:val="center"/>
        <w:rPr>
          <w:rFonts w:ascii="宋体" w:hAnsi="宋体" w:cs="宋体"/>
          <w:b w:val="0"/>
          <w:color w:val="auto"/>
          <w:sz w:val="24"/>
          <w:szCs w:val="24"/>
          <w:highlight w:val="none"/>
        </w:rPr>
      </w:pPr>
      <w:bookmarkStart w:id="63" w:name="_Toc29070"/>
      <w:r>
        <w:rPr>
          <w:rFonts w:hint="eastAsia" w:ascii="宋体" w:hAnsi="宋体" w:cs="宋体"/>
          <w:b w:val="0"/>
          <w:color w:val="auto"/>
          <w:sz w:val="24"/>
          <w:szCs w:val="24"/>
          <w:highlight w:val="none"/>
        </w:rPr>
        <w:t>第一节 评审程序和评审方法</w:t>
      </w:r>
      <w:bookmarkEnd w:id="63"/>
    </w:p>
    <w:p w14:paraId="07FE6B48">
      <w:pPr>
        <w:pageBreakBefore w:val="0"/>
        <w:kinsoku/>
        <w:wordWrap/>
        <w:overflowPunct/>
        <w:topLinePunct w:val="0"/>
        <w:autoSpaceDE/>
        <w:autoSpaceDN/>
        <w:bidi w:val="0"/>
        <w:spacing w:line="56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1.确认谈判文件</w:t>
      </w:r>
    </w:p>
    <w:p w14:paraId="3D601D02">
      <w:pPr>
        <w:pageBreakBefore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由谈判小组确认谈判文件。</w:t>
      </w:r>
    </w:p>
    <w:p w14:paraId="4BE1E723">
      <w:pPr>
        <w:pageBreakBefore w:val="0"/>
        <w:kinsoku/>
        <w:wordWrap/>
        <w:overflowPunct/>
        <w:topLinePunct w:val="0"/>
        <w:autoSpaceDE/>
        <w:autoSpaceDN/>
        <w:bidi w:val="0"/>
        <w:spacing w:line="56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2.资格审查</w:t>
      </w:r>
    </w:p>
    <w:p w14:paraId="2A7DF461">
      <w:pPr>
        <w:pageBreakBefore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2.1响应文件开启后，谈判小组依法对供应商的资格证明文件进行审查。</w:t>
      </w:r>
    </w:p>
    <w:p w14:paraId="532438EE">
      <w:pPr>
        <w:pageBreakBefore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注：采购人代表或者采购代理机构在资格审查结束前，对供应商进行信用查询。</w:t>
      </w:r>
    </w:p>
    <w:p w14:paraId="45B14EC6">
      <w:pPr>
        <w:pageBreakBefore w:val="0"/>
        <w:kinsoku/>
        <w:wordWrap/>
        <w:overflowPunct/>
        <w:topLinePunct w:val="0"/>
        <w:autoSpaceDE/>
        <w:autoSpaceDN/>
        <w:bidi w:val="0"/>
        <w:spacing w:line="5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（1）查询渠道：“</w:t>
      </w:r>
      <w:r>
        <w:rPr>
          <w:rFonts w:hint="eastAsia" w:ascii="宋体" w:hAnsi="宋体" w:cs="宋体"/>
          <w:color w:val="auto"/>
          <w:sz w:val="24"/>
          <w:szCs w:val="24"/>
          <w:highlight w:val="none"/>
          <w:lang w:eastAsia="zh-CN"/>
        </w:rPr>
        <w:t>采购云</w:t>
      </w:r>
      <w:r>
        <w:rPr>
          <w:rFonts w:hint="eastAsia" w:ascii="宋体" w:hAnsi="宋体" w:cs="宋体"/>
          <w:color w:val="auto"/>
          <w:sz w:val="24"/>
          <w:szCs w:val="24"/>
          <w:highlight w:val="none"/>
        </w:rPr>
        <w:t>”平台“信用中国”网站(</w:t>
      </w:r>
      <w:r>
        <w:rPr>
          <w:color w:val="auto"/>
          <w:sz w:val="24"/>
          <w:szCs w:val="24"/>
          <w:highlight w:val="none"/>
          <w:u w:val="none"/>
        </w:rPr>
        <w:fldChar w:fldCharType="begin"/>
      </w:r>
      <w:r>
        <w:rPr>
          <w:color w:val="auto"/>
          <w:sz w:val="24"/>
          <w:szCs w:val="24"/>
          <w:highlight w:val="none"/>
          <w:u w:val="none"/>
        </w:rPr>
        <w:instrText xml:space="preserve"> HYPERLINK "http://www.creditchina.gov.cn" </w:instrText>
      </w:r>
      <w:r>
        <w:rPr>
          <w:color w:val="auto"/>
          <w:sz w:val="24"/>
          <w:szCs w:val="24"/>
          <w:highlight w:val="none"/>
          <w:u w:val="none"/>
        </w:rPr>
        <w:fldChar w:fldCharType="separate"/>
      </w:r>
      <w:r>
        <w:rPr>
          <w:rStyle w:val="38"/>
          <w:rFonts w:hint="eastAsia" w:ascii="宋体" w:hAnsi="宋体" w:cs="宋体"/>
          <w:color w:val="auto"/>
          <w:sz w:val="24"/>
          <w:szCs w:val="24"/>
          <w:highlight w:val="none"/>
          <w:u w:val="none"/>
        </w:rPr>
        <w:t>www.creditchina.gov.cn</w:t>
      </w:r>
      <w:r>
        <w:rPr>
          <w:rFonts w:hint="eastAsia" w:ascii="宋体" w:hAnsi="宋体" w:cs="宋体"/>
          <w:color w:val="auto"/>
          <w:sz w:val="24"/>
          <w:szCs w:val="24"/>
          <w:highlight w:val="none"/>
          <w:u w:val="none"/>
        </w:rPr>
        <w:fldChar w:fldCharType="end"/>
      </w:r>
      <w:r>
        <w:rPr>
          <w:rFonts w:hint="eastAsia" w:ascii="宋体" w:hAnsi="宋体" w:cs="宋体"/>
          <w:color w:val="auto"/>
          <w:sz w:val="24"/>
          <w:szCs w:val="24"/>
          <w:highlight w:val="none"/>
          <w:u w:val="none"/>
        </w:rPr>
        <w:t>)、中国政府采购网(</w:t>
      </w:r>
      <w:r>
        <w:rPr>
          <w:color w:val="auto"/>
          <w:sz w:val="24"/>
          <w:szCs w:val="24"/>
          <w:highlight w:val="none"/>
          <w:u w:val="none"/>
        </w:rPr>
        <w:fldChar w:fldCharType="begin"/>
      </w:r>
      <w:r>
        <w:rPr>
          <w:color w:val="auto"/>
          <w:sz w:val="24"/>
          <w:szCs w:val="24"/>
          <w:highlight w:val="none"/>
          <w:u w:val="none"/>
        </w:rPr>
        <w:instrText xml:space="preserve"> HYPERLINK "http://www.ccgp.gov.cn" </w:instrText>
      </w:r>
      <w:r>
        <w:rPr>
          <w:color w:val="auto"/>
          <w:sz w:val="24"/>
          <w:szCs w:val="24"/>
          <w:highlight w:val="none"/>
          <w:u w:val="none"/>
        </w:rPr>
        <w:fldChar w:fldCharType="separate"/>
      </w:r>
      <w:r>
        <w:rPr>
          <w:rStyle w:val="38"/>
          <w:rFonts w:hint="eastAsia" w:ascii="宋体" w:hAnsi="宋体" w:cs="宋体"/>
          <w:color w:val="auto"/>
          <w:sz w:val="24"/>
          <w:szCs w:val="24"/>
          <w:highlight w:val="none"/>
          <w:u w:val="none"/>
        </w:rPr>
        <w:t>www.ccgp.gov.cn</w:t>
      </w:r>
      <w:r>
        <w:rPr>
          <w:rFonts w:hint="eastAsia" w:ascii="宋体" w:hAnsi="宋体" w:cs="宋体"/>
          <w:color w:val="auto"/>
          <w:sz w:val="24"/>
          <w:szCs w:val="24"/>
          <w:highlight w:val="none"/>
          <w:u w:val="none"/>
        </w:rPr>
        <w:fldChar w:fldCharType="end"/>
      </w:r>
      <w:r>
        <w:rPr>
          <w:rFonts w:hint="eastAsia" w:ascii="宋体" w:hAnsi="宋体" w:cs="宋体"/>
          <w:color w:val="auto"/>
          <w:sz w:val="24"/>
          <w:szCs w:val="24"/>
          <w:highlight w:val="none"/>
        </w:rPr>
        <w:t>)链接入口。</w:t>
      </w:r>
    </w:p>
    <w:p w14:paraId="6155936D">
      <w:pPr>
        <w:pageBreakBefore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（2）信用查询截止时点：资格审查结束前。</w:t>
      </w:r>
    </w:p>
    <w:p w14:paraId="203B9BA2">
      <w:pPr>
        <w:pageBreakBefore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查询记录和证据留存方式：在查询网站中直接打印查询记录，截图另存为电子文档作为评审资料保存。</w:t>
      </w:r>
    </w:p>
    <w:p w14:paraId="4B84EAE7">
      <w:pPr>
        <w:pageBreakBefore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13EC213">
      <w:pPr>
        <w:pageBreakBefore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2.2资格审查标准为本谈判文件中载明对供应商资格要求的条件。资格审查采用合格制，凡符合谈判文件规定的供应商资格要求的响应文件均通过资格审查。</w:t>
      </w:r>
    </w:p>
    <w:p w14:paraId="576652AE">
      <w:pPr>
        <w:pageBreakBefore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2.3供应商有下列情形之一的，资格审查不通过，其响应文件按无效响应处理：</w:t>
      </w:r>
    </w:p>
    <w:p w14:paraId="01BD0838">
      <w:pPr>
        <w:pageBreakBefore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（1）不具备谈判文件中规定的资格要求的；</w:t>
      </w:r>
    </w:p>
    <w:p w14:paraId="60DD7800">
      <w:pPr>
        <w:pageBreakBefore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（2）响应文件未提供任一项“供应商须知前附表”资格证明文件规定的“必须提供”的文件资料的；</w:t>
      </w:r>
    </w:p>
    <w:p w14:paraId="5EF4506E">
      <w:pPr>
        <w:pageBreakBefore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（3）响应文件提供的资格证明文件出现任一项不符合“供应商须知前附表”资格证明文件规定的“必须提供”的文件资料要求或者无效的。</w:t>
      </w:r>
    </w:p>
    <w:p w14:paraId="50177C21">
      <w:pPr>
        <w:pageBreakBefore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bookmarkStart w:id="64" w:name="_Hlk68601553"/>
      <w:r>
        <w:rPr>
          <w:rFonts w:hint="eastAsia" w:ascii="宋体" w:hAnsi="宋体" w:cs="宋体"/>
          <w:color w:val="auto"/>
          <w:sz w:val="24"/>
          <w:szCs w:val="24"/>
          <w:highlight w:val="none"/>
        </w:rPr>
        <w:t>（4）同一合同项下的不同供应商，单位负责人为同一人或者存在直接控股、管理关系的；为本项目提供过整体设计、规范编制或者项目管理、监理、检测等</w:t>
      </w:r>
      <w:r>
        <w:rPr>
          <w:rFonts w:hint="eastAsia" w:ascii="宋体" w:hAnsi="宋体" w:cs="宋体"/>
          <w:color w:val="auto"/>
          <w:sz w:val="24"/>
          <w:szCs w:val="24"/>
          <w:highlight w:val="none"/>
          <w:lang w:eastAsia="zh-CN"/>
        </w:rPr>
        <w:t>服务</w:t>
      </w:r>
      <w:r>
        <w:rPr>
          <w:rFonts w:hint="eastAsia" w:ascii="宋体" w:hAnsi="宋体" w:cs="宋体"/>
          <w:color w:val="auto"/>
          <w:sz w:val="24"/>
          <w:szCs w:val="24"/>
          <w:highlight w:val="none"/>
        </w:rPr>
        <w:t>的。</w:t>
      </w:r>
      <w:bookmarkEnd w:id="64"/>
    </w:p>
    <w:p w14:paraId="4711AFD6">
      <w:pPr>
        <w:pageBreakBefore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2.4通过资格审查的合格供应商不足3家的，不得进入符合性审查环节，采购人或者采购代理机构应当重新开展采购活动。</w:t>
      </w:r>
    </w:p>
    <w:p w14:paraId="30569A8D">
      <w:pPr>
        <w:pageBreakBefore w:val="0"/>
        <w:kinsoku/>
        <w:wordWrap/>
        <w:overflowPunct/>
        <w:topLinePunct w:val="0"/>
        <w:autoSpaceDE/>
        <w:autoSpaceDN/>
        <w:bidi w:val="0"/>
        <w:spacing w:line="56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3.符合性审查</w:t>
      </w:r>
    </w:p>
    <w:p w14:paraId="552B2834">
      <w:pPr>
        <w:pageBreakBefore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bookmarkStart w:id="65" w:name="_Hlk42528882"/>
      <w:r>
        <w:rPr>
          <w:rFonts w:hint="eastAsia" w:ascii="宋体" w:hAnsi="宋体" w:cs="宋体"/>
          <w:color w:val="auto"/>
          <w:sz w:val="24"/>
          <w:szCs w:val="24"/>
          <w:highlight w:val="none"/>
        </w:rPr>
        <w:t>3.1由谈判小组对通过资格审查的合格供应商的响应文件的响应报价、商务、技术等实质性要求进行符合性审查，以确定其是否满足谈判文件的实质性要求。</w:t>
      </w:r>
    </w:p>
    <w:bookmarkEnd w:id="65"/>
    <w:p w14:paraId="4C4C3C94">
      <w:pPr>
        <w:pageBreakBefore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34D1DA4">
      <w:pPr>
        <w:pageBreakBefore w:val="0"/>
        <w:kinsoku/>
        <w:wordWrap/>
        <w:overflowPunct/>
        <w:topLinePunct w:val="0"/>
        <w:autoSpaceDE/>
        <w:autoSpaceDN/>
        <w:bidi w:val="0"/>
        <w:spacing w:line="560" w:lineRule="exact"/>
        <w:ind w:firstLine="480" w:firstLineChars="200"/>
        <w:rPr>
          <w:rFonts w:ascii="宋体" w:hAnsi="宋体" w:cs="宋体"/>
          <w:color w:val="auto"/>
          <w:spacing w:val="-6"/>
          <w:sz w:val="24"/>
          <w:szCs w:val="24"/>
          <w:highlight w:val="none"/>
        </w:rPr>
      </w:pPr>
      <w:r>
        <w:rPr>
          <w:rFonts w:hint="eastAsia" w:ascii="宋体" w:hAnsi="宋体" w:cs="宋体"/>
          <w:color w:val="auto"/>
          <w:sz w:val="24"/>
          <w:szCs w:val="24"/>
          <w:highlight w:val="none"/>
        </w:rPr>
        <w:t>3.3谈判小组要求供应商澄清、说明或者更正响应文件应当以电子澄清函形式作出。供应商的澄清、说明或者更正应当已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公章</w:t>
      </w:r>
      <w:r>
        <w:rPr>
          <w:rFonts w:hint="eastAsia" w:ascii="宋体" w:hAnsi="宋体" w:cs="宋体"/>
          <w:color w:val="auto"/>
          <w:spacing w:val="-6"/>
          <w:sz w:val="24"/>
          <w:szCs w:val="24"/>
          <w:highlight w:val="none"/>
        </w:rPr>
        <w:t>。供应商为自然人的，必须由本人签字并附身份证明。</w:t>
      </w:r>
    </w:p>
    <w:p w14:paraId="03276723">
      <w:pPr>
        <w:pageBreakBefore w:val="0"/>
        <w:kinsoku/>
        <w:wordWrap/>
        <w:overflowPunct/>
        <w:topLinePunct w:val="0"/>
        <w:autoSpaceDE/>
        <w:autoSpaceDN/>
        <w:bidi w:val="0"/>
        <w:spacing w:line="560" w:lineRule="exact"/>
        <w:ind w:firstLine="456" w:firstLineChars="200"/>
        <w:rPr>
          <w:rFonts w:ascii="宋体" w:hAnsi="宋体" w:cs="宋体"/>
          <w:color w:val="auto"/>
          <w:sz w:val="24"/>
          <w:szCs w:val="24"/>
          <w:highlight w:val="none"/>
        </w:rPr>
      </w:pPr>
      <w:r>
        <w:rPr>
          <w:rFonts w:hint="eastAsia" w:ascii="宋体" w:hAnsi="宋体" w:cs="宋体"/>
          <w:color w:val="auto"/>
          <w:spacing w:val="-6"/>
          <w:sz w:val="24"/>
          <w:szCs w:val="24"/>
          <w:highlight w:val="none"/>
        </w:rPr>
        <w:t>3.4</w:t>
      </w:r>
      <w:r>
        <w:rPr>
          <w:rFonts w:hint="eastAsia" w:ascii="宋体" w:hAnsi="宋体" w:cs="宋体"/>
          <w:color w:val="auto"/>
          <w:sz w:val="24"/>
          <w:szCs w:val="24"/>
          <w:highlight w:val="none"/>
        </w:rPr>
        <w:t xml:space="preserve">首次响应文件报价出现前后不一致的，按照下列规定修正： </w:t>
      </w:r>
    </w:p>
    <w:p w14:paraId="0672A4BE">
      <w:pPr>
        <w:pageBreakBefore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（1）响应文件中报价表内容与响应文件中相应内容不一致的，以报价表为准；</w:t>
      </w:r>
    </w:p>
    <w:p w14:paraId="7ACA6E05">
      <w:pPr>
        <w:pageBreakBefore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（2）大写金额和小写金额不一致的，以大写金额为准；</w:t>
      </w:r>
    </w:p>
    <w:p w14:paraId="25F246D8">
      <w:pPr>
        <w:pageBreakBefore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（3）单价金额小数点或者百分比有明显错位的，以报价表的总价为准，并修改单价；</w:t>
      </w:r>
    </w:p>
    <w:p w14:paraId="02648BD7">
      <w:pPr>
        <w:pageBreakBefore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（4）总价金额与按单价汇总金额不一致的，以单价金额计算结果为准。</w:t>
      </w:r>
    </w:p>
    <w:p w14:paraId="097709D4">
      <w:pPr>
        <w:pageBreakBefore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同时出现两种以上不一致的，按照以上（1）-（4）规定的顺序逐条进行修正。修正后的报价经供应商确认后产生约束力，供应商不确认的，其响应文件按无效响应处理。</w:t>
      </w:r>
    </w:p>
    <w:p w14:paraId="420BF791">
      <w:pPr>
        <w:pageBreakBefore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3.5商务技术、报价评审</w:t>
      </w:r>
    </w:p>
    <w:p w14:paraId="7255C923">
      <w:pPr>
        <w:pageBreakBefore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在评审时，如发现下列情形之一的，将被视为响应文件无效处理：</w:t>
      </w:r>
    </w:p>
    <w:p w14:paraId="09F999D8">
      <w:pPr>
        <w:pageBreakBefore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（1）商务、技术评审</w:t>
      </w:r>
    </w:p>
    <w:p w14:paraId="22DAABDE">
      <w:pPr>
        <w:pageBreakBefore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1）响应文件未按谈判文件要求签署、盖章；</w:t>
      </w:r>
    </w:p>
    <w:p w14:paraId="485EA654">
      <w:pPr>
        <w:pageBreakBefore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2）委托代理人未能出具有效身份证明或者出具的身份证明与授权委托书中的信息不符； </w:t>
      </w:r>
    </w:p>
    <w:p w14:paraId="49F857F0">
      <w:pPr>
        <w:pageBreakBefore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3）响应文件未按“供应商须知前附表”商务技术文件中“必须提供”或者“委托时必须提供”的要求提供文件资料</w:t>
      </w:r>
      <w:r>
        <w:rPr>
          <w:rFonts w:hint="eastAsia" w:ascii="宋体" w:hAnsi="宋体" w:cs="宋体"/>
          <w:color w:val="auto"/>
          <w:sz w:val="24"/>
          <w:szCs w:val="24"/>
          <w:highlight w:val="none"/>
          <w:lang w:eastAsia="zh-CN"/>
        </w:rPr>
        <w:t>的</w:t>
      </w:r>
      <w:r>
        <w:rPr>
          <w:rFonts w:hint="eastAsia" w:ascii="宋体" w:hAnsi="宋体" w:cs="宋体"/>
          <w:color w:val="auto"/>
          <w:sz w:val="24"/>
          <w:szCs w:val="24"/>
          <w:highlight w:val="none"/>
        </w:rPr>
        <w:t>；响应文件提供的商务、技术文件出现任一项不符合“供应商须知前附表”商务、技术文件中“必须提供”或者“委托时必须提供”文件资料要求的规定或者提供的商务技术文件无效。</w:t>
      </w:r>
    </w:p>
    <w:p w14:paraId="2356B30E">
      <w:pPr>
        <w:pageBreakBefore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4）商务条款中标“▲”的条款发生负偏离的或者允许负偏离的条款数超过“供应商须知前附表”规定项数的或者标明实质性的要求发生负偏离；</w:t>
      </w:r>
    </w:p>
    <w:p w14:paraId="384E190E">
      <w:pPr>
        <w:pageBreakBefore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5）未对竞标有效期作出响应或者响应文件承诺的竞标有效期不满足谈判文件要求；</w:t>
      </w:r>
    </w:p>
    <w:p w14:paraId="733AC46C">
      <w:pPr>
        <w:pageBreakBefore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6）响应文件的实质性内容未使用中文表述、使用计量单位不符合谈判文件要求；</w:t>
      </w:r>
    </w:p>
    <w:p w14:paraId="0AB9127A">
      <w:pPr>
        <w:pageBreakBefore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7）响应文件中的文件资料因填写不齐全或者内容虚假或者出现其他情形而导致被谈判小组认定无效；</w:t>
      </w:r>
    </w:p>
    <w:p w14:paraId="03675385">
      <w:pPr>
        <w:pageBreakBefore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8）响应文件含有采购人不能接受的附加条件；</w:t>
      </w:r>
    </w:p>
    <w:p w14:paraId="76652587">
      <w:pPr>
        <w:pageBreakBefore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9）属于“供应商须知正文”第7.5条情形；</w:t>
      </w:r>
    </w:p>
    <w:p w14:paraId="72A93371">
      <w:pPr>
        <w:pageBreakBefore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10）技术需求允许负偏离的条款数超过“供应商须知前附表”规定项数；</w:t>
      </w:r>
    </w:p>
    <w:p w14:paraId="1F57891B">
      <w:pPr>
        <w:pageBreakBefore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11）虚假竞标，或者出现其他情形而导致被谈判小组认定无效；</w:t>
      </w:r>
    </w:p>
    <w:p w14:paraId="1EAD576F">
      <w:pPr>
        <w:pageBreakBefore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12）竞标技术方案不明确，谈判文件未允许但响应文件中存在一个或者一个以上备选（替代）竞标方案；</w:t>
      </w:r>
    </w:p>
    <w:p w14:paraId="567AFA37">
      <w:pPr>
        <w:pageBreakBefore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13）响应文件标注的项目名称或者项目编号与竞争性谈判文件标注的项目名称或者项目编号不一致的；</w:t>
      </w:r>
    </w:p>
    <w:p w14:paraId="6F8ECE02">
      <w:pPr>
        <w:pageBreakBefore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14）未响应谈判文件实质性要求；</w:t>
      </w:r>
    </w:p>
    <w:p w14:paraId="5344CBC7">
      <w:pPr>
        <w:pageBreakBefore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15）法律、法规和谈判文件规定的其他无效情形。</w:t>
      </w:r>
    </w:p>
    <w:p w14:paraId="0039A321">
      <w:pPr>
        <w:pageBreakBefore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（2）报价评审</w:t>
      </w:r>
    </w:p>
    <w:p w14:paraId="2E1F8BA8">
      <w:pPr>
        <w:pageBreakBefore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 响应文件未提供“供应商须知前附表” 报价文件中规定的“响应报价表”；</w:t>
      </w:r>
    </w:p>
    <w:p w14:paraId="759A94B4">
      <w:pPr>
        <w:pageBreakBefore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2）未按照谈判文件要求进行报价；</w:t>
      </w:r>
    </w:p>
    <w:p w14:paraId="682DCBB2">
      <w:pPr>
        <w:pageBreakBefore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供应商未就所竞标分标进行报价或者存在漏项报价；供应商未就所竞标分标的单项内容作唯一报价；供应商未就所竞标分标的全部内容作唯一总价报价；供应商响应文件中存在有选择、有条件报价的（谈判文件允许有备选方案或者其他约定的除外）；</w:t>
      </w:r>
    </w:p>
    <w:p w14:paraId="6289666C">
      <w:pPr>
        <w:pageBreakBefore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4）响应报价（包含首次报价、最后报价）超过所竞标分标规定的采购预算金额或者最高限价的（如本项目公布了最高限价）；</w:t>
      </w:r>
      <w:bookmarkStart w:id="66" w:name="_Hlk42596405"/>
      <w:r>
        <w:rPr>
          <w:rFonts w:hint="eastAsia" w:ascii="宋体" w:hAnsi="宋体" w:cs="宋体"/>
          <w:color w:val="auto"/>
          <w:sz w:val="24"/>
          <w:szCs w:val="24"/>
          <w:highlight w:val="none"/>
        </w:rPr>
        <w:t>响应报价（包含首次报价、最后报价）</w:t>
      </w:r>
      <w:bookmarkEnd w:id="66"/>
      <w:bookmarkStart w:id="67" w:name="_Hlk42596276"/>
      <w:r>
        <w:rPr>
          <w:rFonts w:hint="eastAsia" w:ascii="宋体" w:hAnsi="宋体" w:cs="宋体"/>
          <w:color w:val="auto"/>
          <w:sz w:val="24"/>
          <w:szCs w:val="24"/>
          <w:highlight w:val="none"/>
        </w:rPr>
        <w:t>超过谈判文件分项采购预算金额或者最高限价的</w:t>
      </w:r>
      <w:bookmarkEnd w:id="67"/>
      <w:r>
        <w:rPr>
          <w:rFonts w:hint="eastAsia" w:ascii="宋体" w:hAnsi="宋体" w:cs="宋体"/>
          <w:color w:val="auto"/>
          <w:sz w:val="24"/>
          <w:szCs w:val="24"/>
          <w:highlight w:val="none"/>
        </w:rPr>
        <w:t>（如本项目公布了最高限价）；</w:t>
      </w:r>
    </w:p>
    <w:p w14:paraId="7042DEC1">
      <w:pPr>
        <w:pageBreakBefore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谈判文件分项采购预算金额或者最高限价的（如本项目公布了最高限价）。</w:t>
      </w:r>
    </w:p>
    <w:p w14:paraId="51452AAE">
      <w:pPr>
        <w:pageBreakBefore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6）响应文件响应的标的数量及单位与竞争性谈判采购文件要求实质性不一致的。</w:t>
      </w:r>
    </w:p>
    <w:p w14:paraId="6B2AAA37">
      <w:pPr>
        <w:pageBreakBefore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3.6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14:paraId="34FA85DE">
      <w:pPr>
        <w:pageBreakBefore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3.7通过符合性审查的合格供应商不足3家的，不得进入谈判环节，应当重新开展采购活动。</w:t>
      </w:r>
    </w:p>
    <w:p w14:paraId="4CBAB94B">
      <w:pPr>
        <w:pageBreakBefore w:val="0"/>
        <w:kinsoku/>
        <w:wordWrap/>
        <w:overflowPunct/>
        <w:topLinePunct w:val="0"/>
        <w:autoSpaceDE/>
        <w:autoSpaceDN/>
        <w:bidi w:val="0"/>
        <w:spacing w:line="56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4.谈判程序</w:t>
      </w:r>
    </w:p>
    <w:p w14:paraId="5D7AF072">
      <w:pPr>
        <w:pageBreakBefore w:val="0"/>
        <w:kinsoku/>
        <w:wordWrap/>
        <w:overflowPunct/>
        <w:topLinePunct w:val="0"/>
        <w:autoSpaceDE/>
        <w:autoSpaceDN/>
        <w:bidi w:val="0"/>
        <w:spacing w:line="560" w:lineRule="exact"/>
        <w:ind w:firstLine="480" w:firstLineChars="200"/>
        <w:rPr>
          <w:rFonts w:ascii="宋体" w:hAnsi="宋体" w:cs="宋体"/>
          <w:b/>
          <w:color w:val="auto"/>
          <w:kern w:val="0"/>
          <w:sz w:val="24"/>
          <w:szCs w:val="24"/>
          <w:highlight w:val="none"/>
        </w:rPr>
      </w:pPr>
      <w:r>
        <w:rPr>
          <w:rFonts w:hint="eastAsia" w:ascii="宋体" w:hAnsi="宋体" w:cs="宋体"/>
          <w:color w:val="auto"/>
          <w:kern w:val="0"/>
          <w:sz w:val="24"/>
          <w:szCs w:val="24"/>
          <w:highlight w:val="none"/>
        </w:rPr>
        <w:t>4.1谈判小组按照“供应商须知前附表”</w:t>
      </w:r>
      <w:r>
        <w:rPr>
          <w:rFonts w:hint="eastAsia" w:ascii="宋体" w:hAnsi="宋体" w:cs="宋体"/>
          <w:color w:val="auto"/>
          <w:sz w:val="24"/>
          <w:szCs w:val="24"/>
          <w:highlight w:val="none"/>
        </w:rPr>
        <w:t xml:space="preserve"> </w:t>
      </w:r>
      <w:r>
        <w:rPr>
          <w:rFonts w:hint="eastAsia" w:ascii="宋体" w:hAnsi="宋体" w:cs="宋体"/>
          <w:color w:val="auto"/>
          <w:kern w:val="0"/>
          <w:sz w:val="24"/>
          <w:szCs w:val="24"/>
          <w:highlight w:val="none"/>
        </w:rPr>
        <w:t>确定的</w:t>
      </w:r>
      <w:r>
        <w:rPr>
          <w:rFonts w:hint="eastAsia" w:ascii="宋体" w:hAnsi="宋体" w:cs="宋体"/>
          <w:color w:val="auto"/>
          <w:sz w:val="24"/>
          <w:szCs w:val="24"/>
          <w:highlight w:val="none"/>
        </w:rPr>
        <w:t>顺序，集中与单一供应商分别进行谈判，并给予所有参加谈判的供应商平等的谈判机会。符合谈判资格的供应商必须在接到谈判通知后规定时间内参加谈判，未在规定时间内参加谈判的视同放弃参加谈判权利，</w:t>
      </w:r>
      <w:r>
        <w:rPr>
          <w:rFonts w:hint="eastAsia" w:ascii="宋体" w:hAnsi="宋体" w:cs="宋体"/>
          <w:b/>
          <w:color w:val="auto"/>
          <w:sz w:val="24"/>
          <w:szCs w:val="24"/>
          <w:highlight w:val="none"/>
        </w:rPr>
        <w:t>其响应文件按无效响应处理。</w:t>
      </w:r>
    </w:p>
    <w:p w14:paraId="4D9E268D">
      <w:pPr>
        <w:pageBreakBefore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4.2在谈判过程中，谈判小组可以根据谈判文件和谈判情况实质性变动采购需求中的技术、货物要求以及合同草案条款，但不得变动谈判文件中的其他内容。实质性变动的内容，须经采购人代表确认。可能实质性变动的内容为采购需求中的技术、货物要求以及合同草案条款。</w:t>
      </w:r>
    </w:p>
    <w:p w14:paraId="23A5FDB9">
      <w:pPr>
        <w:pageBreakBefore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4.3对谈判文件作出的实质性变动是谈判文件的有效组成部分，由谈判小组及时以电子澄清函形式同时通知所有参加谈判的供应商。</w:t>
      </w:r>
    </w:p>
    <w:p w14:paraId="0DEBDDE6">
      <w:pPr>
        <w:pageBreakBefore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4.4供应商必须按照谈判文件的变动情况和谈判小组的要求以回函的形式重新提交响应文件，并加盖电子公章。供应商为自然人的，必须由本人签字并附身份证明。参加谈判的供应商未在规定时间内重新提交响应文件的，视同退出谈判。</w:t>
      </w:r>
    </w:p>
    <w:p w14:paraId="3EB002C0">
      <w:pPr>
        <w:pageBreakBefore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4.5谈判中，</w:t>
      </w:r>
      <w:r>
        <w:rPr>
          <w:rFonts w:hint="eastAsia" w:ascii="宋体" w:hAnsi="宋体" w:cs="宋体"/>
          <w:color w:val="auto"/>
          <w:spacing w:val="-6"/>
          <w:sz w:val="24"/>
          <w:szCs w:val="24"/>
          <w:highlight w:val="none"/>
        </w:rPr>
        <w:t>谈判的任何一方不得透露与谈判有关的其他供应商的技术资料、价格和其他信息。</w:t>
      </w:r>
    </w:p>
    <w:p w14:paraId="4D013086">
      <w:pPr>
        <w:pageBreakBefore w:val="0"/>
        <w:widowControl/>
        <w:tabs>
          <w:tab w:val="left" w:pos="540"/>
        </w:tabs>
        <w:kinsoku/>
        <w:wordWrap/>
        <w:overflowPunct/>
        <w:topLinePunct w:val="0"/>
        <w:autoSpaceDE/>
        <w:autoSpaceDN/>
        <w:bidi w:val="0"/>
        <w:spacing w:line="5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4.6谈判小组应对谈判过程和重要谈判内容进行记录，作为评标报告一部分，谈判小组在记录上签字确认。</w:t>
      </w:r>
      <w:r>
        <w:rPr>
          <w:rFonts w:hint="eastAsia" w:ascii="宋体" w:hAnsi="宋体" w:cs="宋体"/>
          <w:b w:val="0"/>
          <w:bCs/>
          <w:color w:val="auto"/>
          <w:sz w:val="24"/>
          <w:szCs w:val="24"/>
          <w:highlight w:val="none"/>
        </w:rPr>
        <w:t>主要内容包括：</w:t>
      </w:r>
    </w:p>
    <w:p w14:paraId="3B950032">
      <w:pPr>
        <w:pStyle w:val="45"/>
        <w:pageBreakBefore w:val="0"/>
        <w:kinsoku/>
        <w:wordWrap/>
        <w:overflowPunct/>
        <w:topLinePunct w:val="0"/>
        <w:autoSpaceDE/>
        <w:autoSpaceDN/>
        <w:bidi w:val="0"/>
        <w:spacing w:before="0" w:line="560" w:lineRule="exact"/>
        <w:ind w:firstLine="396"/>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（1）按照相关规定进行公示的，公示情况说明；</w:t>
      </w:r>
    </w:p>
    <w:p w14:paraId="1AAC510A">
      <w:pPr>
        <w:pStyle w:val="45"/>
        <w:pageBreakBefore w:val="0"/>
        <w:kinsoku/>
        <w:wordWrap/>
        <w:overflowPunct/>
        <w:topLinePunct w:val="0"/>
        <w:autoSpaceDE/>
        <w:autoSpaceDN/>
        <w:bidi w:val="0"/>
        <w:spacing w:before="0" w:line="560" w:lineRule="exact"/>
        <w:ind w:firstLine="396"/>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（2）谈判日期和地点，谈判人员名单；</w:t>
      </w:r>
    </w:p>
    <w:p w14:paraId="5AE946A8">
      <w:pPr>
        <w:pStyle w:val="45"/>
        <w:pageBreakBefore w:val="0"/>
        <w:kinsoku/>
        <w:wordWrap/>
        <w:overflowPunct/>
        <w:topLinePunct w:val="0"/>
        <w:autoSpaceDE/>
        <w:autoSpaceDN/>
        <w:bidi w:val="0"/>
        <w:spacing w:before="0" w:line="560" w:lineRule="exact"/>
        <w:ind w:firstLine="396"/>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（3）合同主要条款及价格商定情况。</w:t>
      </w:r>
    </w:p>
    <w:p w14:paraId="37BC0927">
      <w:pPr>
        <w:pageBreakBefore w:val="0"/>
        <w:widowControl/>
        <w:tabs>
          <w:tab w:val="left" w:pos="540"/>
        </w:tabs>
        <w:kinsoku/>
        <w:wordWrap/>
        <w:overflowPunct/>
        <w:topLinePunct w:val="0"/>
        <w:autoSpaceDE/>
        <w:autoSpaceDN/>
        <w:bidi w:val="0"/>
        <w:spacing w:line="5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4.7谈判过程中重新提交的响应文件，供应商可以在开启前补充、修改。</w:t>
      </w:r>
    </w:p>
    <w:p w14:paraId="3FD08F84">
      <w:pPr>
        <w:pageBreakBefore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4.8对谈判过程提交的响应文件进行有效性、完整性和响应程度审查，通过审查的合格供应商不足3家的，采购人或者采购代理机构应当重新开展采购活动。</w:t>
      </w:r>
    </w:p>
    <w:p w14:paraId="572542CC">
      <w:pPr>
        <w:pageBreakBefore w:val="0"/>
        <w:kinsoku/>
        <w:wordWrap/>
        <w:overflowPunct/>
        <w:topLinePunct w:val="0"/>
        <w:autoSpaceDE/>
        <w:autoSpaceDN/>
        <w:bidi w:val="0"/>
        <w:spacing w:line="560" w:lineRule="exact"/>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5. 最后报价</w:t>
      </w:r>
    </w:p>
    <w:p w14:paraId="4772B20F">
      <w:pPr>
        <w:pageBreakBefore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5.1谈判文件能够详细列明采购标的的技术、货物要求的，谈判结束后，由谈判小组要求所有继续参加谈判的供应商在规定时间内密封提交最后报价，提交最后报价的供应商不得少于3家，否则必须重新采购。</w:t>
      </w:r>
    </w:p>
    <w:p w14:paraId="715B4B70">
      <w:pPr>
        <w:pageBreakBefore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5.2谈判文件不能详细列明采购标的的技术、货物要求，需经谈判由供应商提供最后设计方案或者解决方案的，谈判结束后，由谈判小组按照少数服从多数的原则投票推荐3家以上供应商的设计方案或者解决方案，并要求其在规定时间内在“</w:t>
      </w:r>
      <w:r>
        <w:rPr>
          <w:rFonts w:hint="eastAsia" w:ascii="宋体" w:hAnsi="宋体" w:cs="宋体"/>
          <w:color w:val="auto"/>
          <w:sz w:val="24"/>
          <w:szCs w:val="24"/>
          <w:highlight w:val="none"/>
          <w:lang w:eastAsia="zh-CN"/>
        </w:rPr>
        <w:t>采购云</w:t>
      </w:r>
      <w:r>
        <w:rPr>
          <w:rFonts w:hint="eastAsia" w:ascii="宋体" w:hAnsi="宋体" w:cs="宋体"/>
          <w:color w:val="auto"/>
          <w:sz w:val="24"/>
          <w:szCs w:val="24"/>
          <w:highlight w:val="none"/>
        </w:rPr>
        <w:t>”平台远程不见面开标大厅响应最后报价。</w:t>
      </w:r>
    </w:p>
    <w:p w14:paraId="778B2DF9">
      <w:pPr>
        <w:pageBreakBefore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5.3 最后报价是供应商响应文件的有效组成部分。</w:t>
      </w:r>
    </w:p>
    <w:p w14:paraId="28483DAC">
      <w:pPr>
        <w:pageBreakBefore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5.4已经提交响应文件的供应商，在提交最后报价之前，可以根据谈判情况退出谈判，退出谈判的供应商的响应文件按无效响应处理。</w:t>
      </w:r>
    </w:p>
    <w:p w14:paraId="51509AB0">
      <w:pPr>
        <w:pageBreakBefore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5.5供应商未在规定时间内提交最后报价的</w:t>
      </w:r>
      <w:r>
        <w:rPr>
          <w:rFonts w:hint="eastAsia" w:ascii="宋体" w:hAnsi="宋体" w:cs="宋体"/>
          <w:b/>
          <w:color w:val="auto"/>
          <w:sz w:val="24"/>
          <w:szCs w:val="24"/>
          <w:highlight w:val="none"/>
        </w:rPr>
        <w:t>，视同放弃报价权利退出谈判。</w:t>
      </w:r>
    </w:p>
    <w:p w14:paraId="0CBCA7E7">
      <w:pPr>
        <w:pageBreakBefore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5.6最终响应文件的报价出现前后不一致的，按照本章第3.4条的规定修正。 </w:t>
      </w:r>
    </w:p>
    <w:p w14:paraId="73DB9EED">
      <w:pPr>
        <w:pageBreakBefore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5.7修正后的最终报价出现下列情形的，按无效响应处理：</w:t>
      </w:r>
    </w:p>
    <w:p w14:paraId="6D702DF4">
      <w:pPr>
        <w:pageBreakBefore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（1）供应商不确认的（全流程电子化评标采取在线确认）；</w:t>
      </w:r>
    </w:p>
    <w:p w14:paraId="22B24F1B">
      <w:pPr>
        <w:pageBreakBefore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经供应商确认修正后的响应报价（包含首次报价、最后报价）超过所竞标分标规定的采购预算金额或者最高限价的（如本项目公布了最高限价）（全流程电子化评标多轮报价设置了上线控制价，即预算价）；</w:t>
      </w:r>
    </w:p>
    <w:p w14:paraId="46610C2A">
      <w:pPr>
        <w:pageBreakBefore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（3）经供应商确认修正后的响应报价（包含首次报价、最后报价）超过分项采购预算金额或者最高限价的（如本项目公布了最高限价）。</w:t>
      </w:r>
    </w:p>
    <w:p w14:paraId="514D9DDA">
      <w:pPr>
        <w:pageBreakBefore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5.8经供应商确认修正后的最后报价作为评审及签订合同的依据。</w:t>
      </w:r>
    </w:p>
    <w:p w14:paraId="04146E6E">
      <w:pPr>
        <w:pageBreakBefore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5.9供应商出现最后报价按无效响应处理或者响应文件按无效处理时，谈判小组应当告知有关供应商。</w:t>
      </w:r>
    </w:p>
    <w:p w14:paraId="3AF106F2">
      <w:pPr>
        <w:pageBreakBefore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5.10最后报价结束后，谈判小组不得再与供应商进行任何形式的商谈。</w:t>
      </w:r>
    </w:p>
    <w:p w14:paraId="26A3E8FB">
      <w:pPr>
        <w:pageBreakBefore w:val="0"/>
        <w:numPr>
          <w:ilvl w:val="0"/>
          <w:numId w:val="0"/>
        </w:numPr>
        <w:kinsoku/>
        <w:wordWrap/>
        <w:overflowPunct/>
        <w:topLinePunct w:val="0"/>
        <w:autoSpaceDE/>
        <w:autoSpaceDN/>
        <w:bidi w:val="0"/>
        <w:spacing w:line="56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6.</w:t>
      </w:r>
      <w:r>
        <w:rPr>
          <w:rFonts w:hint="eastAsia" w:ascii="宋体" w:hAnsi="宋体" w:cs="宋体"/>
          <w:b/>
          <w:bCs/>
          <w:color w:val="auto"/>
          <w:sz w:val="24"/>
          <w:szCs w:val="24"/>
          <w:highlight w:val="none"/>
        </w:rPr>
        <w:t>最后报价政府采购政策性扣除</w:t>
      </w:r>
    </w:p>
    <w:p w14:paraId="03135F71">
      <w:pPr>
        <w:pageBreakBefore w:val="0"/>
        <w:numPr>
          <w:ilvl w:val="0"/>
          <w:numId w:val="0"/>
        </w:numPr>
        <w:kinsoku/>
        <w:wordWrap/>
        <w:overflowPunct/>
        <w:topLinePunct w:val="0"/>
        <w:autoSpaceDE/>
        <w:autoSpaceDN/>
        <w:bidi w:val="0"/>
        <w:spacing w:line="560" w:lineRule="exact"/>
        <w:ind w:firstLine="480" w:firstLineChars="200"/>
        <w:rPr>
          <w:rFonts w:hint="eastAsia" w:ascii="宋体" w:hAnsi="宋体" w:cs="宋体"/>
          <w:b w:val="0"/>
          <w:color w:val="auto"/>
          <w:sz w:val="24"/>
          <w:szCs w:val="24"/>
          <w:highlight w:val="none"/>
        </w:rPr>
      </w:pPr>
      <w:r>
        <w:rPr>
          <w:rFonts w:hint="eastAsia" w:ascii="宋体" w:hAnsi="宋体" w:cs="宋体"/>
          <w:b w:val="0"/>
          <w:color w:val="auto"/>
          <w:sz w:val="24"/>
          <w:szCs w:val="24"/>
          <w:highlight w:val="none"/>
        </w:rPr>
        <w:t>6.1评审价为供应商的最后报价进行政策性扣除后的价格，评审价只是作为评审时使用。最终成交供应商的成交金额等于最后报价（如有修正，以确认修正后的最后报价为准）。</w:t>
      </w:r>
    </w:p>
    <w:p w14:paraId="4D413E3A">
      <w:pPr>
        <w:pageBreakBefore w:val="0"/>
        <w:numPr>
          <w:ilvl w:val="0"/>
          <w:numId w:val="0"/>
        </w:numPr>
        <w:kinsoku/>
        <w:wordWrap/>
        <w:overflowPunct/>
        <w:topLinePunct w:val="0"/>
        <w:autoSpaceDE/>
        <w:autoSpaceDN/>
        <w:bidi w:val="0"/>
        <w:spacing w:line="560" w:lineRule="exact"/>
        <w:ind w:firstLine="480" w:firstLineChars="200"/>
        <w:rPr>
          <w:rFonts w:hint="eastAsia" w:ascii="宋体" w:hAnsi="宋体" w:cs="宋体"/>
          <w:b w:val="0"/>
          <w:color w:val="auto"/>
          <w:sz w:val="24"/>
          <w:szCs w:val="24"/>
          <w:highlight w:val="none"/>
        </w:rPr>
      </w:pPr>
      <w:r>
        <w:rPr>
          <w:rFonts w:hint="eastAsia" w:ascii="宋体" w:hAnsi="宋体" w:cs="宋体"/>
          <w:b w:val="0"/>
          <w:color w:val="auto"/>
          <w:sz w:val="24"/>
          <w:szCs w:val="24"/>
          <w:highlight w:val="none"/>
        </w:rPr>
        <w:t>6.2政策性扣除计算方法。</w:t>
      </w:r>
    </w:p>
    <w:p w14:paraId="73E58C34">
      <w:pPr>
        <w:pageBreakBefore w:val="0"/>
        <w:numPr>
          <w:ilvl w:val="0"/>
          <w:numId w:val="0"/>
        </w:numPr>
        <w:kinsoku/>
        <w:wordWrap/>
        <w:overflowPunct/>
        <w:topLinePunct w:val="0"/>
        <w:autoSpaceDE/>
        <w:autoSpaceDN/>
        <w:bidi w:val="0"/>
        <w:spacing w:line="560" w:lineRule="exact"/>
        <w:ind w:firstLine="480" w:firstLineChars="200"/>
        <w:rPr>
          <w:rFonts w:hint="eastAsia" w:ascii="宋体" w:hAnsi="宋体" w:cs="宋体"/>
          <w:b w:val="0"/>
          <w:color w:val="auto"/>
          <w:sz w:val="24"/>
          <w:szCs w:val="24"/>
          <w:highlight w:val="none"/>
        </w:rPr>
      </w:pPr>
      <w:r>
        <w:rPr>
          <w:rFonts w:hint="eastAsia" w:ascii="宋体" w:hAnsi="宋体" w:cs="宋体"/>
          <w:b w:val="0"/>
          <w:color w:val="auto"/>
          <w:sz w:val="24"/>
          <w:szCs w:val="24"/>
          <w:highlight w:val="none"/>
        </w:rPr>
        <w:t>根据《政府采购促进中小企业发展管理办法》（财库〔2020〕46号）及桂财采〔2022〕31号《广西壮族自治区财政厅关于贯彻落实政府采购支持中小企业发展政策的通知》的规定，供应商在其响应文件中提供《中小企业声明函》，且其竞标全部货物均由小微企业提供的，对供应商的竞标报价给予20%的扣除，扣除后的价格为评审价，即评审价=竞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6%的扣除，用扣除后的价格参加评审，扣除后的价格为评审价，即评审价=竞标报价×（1-6%）。</w:t>
      </w:r>
    </w:p>
    <w:p w14:paraId="189EDD0F">
      <w:pPr>
        <w:pStyle w:val="3"/>
        <w:pageBreakBefore w:val="0"/>
        <w:kinsoku/>
        <w:wordWrap/>
        <w:overflowPunct/>
        <w:topLinePunct w:val="0"/>
        <w:autoSpaceDE/>
        <w:autoSpaceDN/>
        <w:bidi w:val="0"/>
        <w:spacing w:before="0" w:after="0" w:line="560" w:lineRule="exact"/>
        <w:ind w:firstLine="480" w:firstLineChars="200"/>
        <w:jc w:val="left"/>
        <w:rPr>
          <w:rFonts w:hint="eastAsia" w:ascii="宋体" w:hAnsi="宋体" w:cs="宋体"/>
          <w:b w:val="0"/>
          <w:color w:val="auto"/>
          <w:sz w:val="24"/>
          <w:szCs w:val="24"/>
          <w:highlight w:val="none"/>
        </w:rPr>
      </w:pPr>
      <w:bookmarkStart w:id="68" w:name="_Toc12488"/>
      <w:bookmarkStart w:id="69" w:name="_Toc21639"/>
      <w:r>
        <w:rPr>
          <w:rFonts w:hint="eastAsia" w:ascii="宋体" w:hAnsi="宋体" w:cs="宋体"/>
          <w:b w:val="0"/>
          <w:color w:val="auto"/>
          <w:sz w:val="24"/>
          <w:szCs w:val="24"/>
          <w:highlight w:val="none"/>
        </w:rPr>
        <w:t>6.3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bookmarkEnd w:id="68"/>
      <w:bookmarkEnd w:id="69"/>
    </w:p>
    <w:p w14:paraId="116481E9">
      <w:pPr>
        <w:pStyle w:val="3"/>
        <w:pageBreakBefore w:val="0"/>
        <w:kinsoku/>
        <w:wordWrap/>
        <w:overflowPunct/>
        <w:topLinePunct w:val="0"/>
        <w:autoSpaceDE/>
        <w:autoSpaceDN/>
        <w:bidi w:val="0"/>
        <w:spacing w:before="0" w:after="0" w:line="560" w:lineRule="exact"/>
        <w:ind w:firstLine="480" w:firstLineChars="200"/>
        <w:jc w:val="left"/>
        <w:rPr>
          <w:rFonts w:hint="eastAsia" w:ascii="宋体" w:hAnsi="宋体" w:cs="宋体"/>
          <w:b w:val="0"/>
          <w:color w:val="auto"/>
          <w:sz w:val="24"/>
          <w:szCs w:val="24"/>
          <w:highlight w:val="none"/>
        </w:rPr>
      </w:pPr>
      <w:bookmarkStart w:id="70" w:name="_Toc7828"/>
      <w:bookmarkStart w:id="71" w:name="_Toc22073"/>
      <w:r>
        <w:rPr>
          <w:rFonts w:hint="eastAsia" w:ascii="宋体" w:hAnsi="宋体" w:cs="宋体"/>
          <w:b w:val="0"/>
          <w:color w:val="auto"/>
          <w:sz w:val="24"/>
          <w:szCs w:val="24"/>
          <w:highlight w:val="none"/>
        </w:rPr>
        <w:t>6.4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bookmarkEnd w:id="70"/>
      <w:bookmarkEnd w:id="71"/>
    </w:p>
    <w:p w14:paraId="758D00BE">
      <w:pPr>
        <w:pStyle w:val="3"/>
        <w:pageBreakBefore w:val="0"/>
        <w:kinsoku/>
        <w:wordWrap/>
        <w:overflowPunct/>
        <w:topLinePunct w:val="0"/>
        <w:autoSpaceDE/>
        <w:autoSpaceDN/>
        <w:bidi w:val="0"/>
        <w:spacing w:before="0" w:after="0" w:line="560" w:lineRule="exact"/>
        <w:ind w:firstLine="480" w:firstLineChars="200"/>
        <w:jc w:val="left"/>
        <w:rPr>
          <w:rFonts w:hint="eastAsia" w:ascii="宋体" w:hAnsi="宋体" w:eastAsia="宋体" w:cs="宋体"/>
          <w:b w:val="0"/>
          <w:bCs/>
          <w:color w:val="auto"/>
          <w:sz w:val="24"/>
          <w:szCs w:val="24"/>
          <w:highlight w:val="none"/>
        </w:rPr>
      </w:pPr>
      <w:bookmarkStart w:id="72" w:name="_Toc16179"/>
      <w:bookmarkStart w:id="73" w:name="_Toc27765"/>
      <w:r>
        <w:rPr>
          <w:rFonts w:hint="eastAsia" w:ascii="宋体" w:hAnsi="宋体" w:eastAsia="宋体" w:cs="宋体"/>
          <w:b w:val="0"/>
          <w:bCs/>
          <w:color w:val="auto"/>
          <w:sz w:val="24"/>
          <w:szCs w:val="24"/>
          <w:highlight w:val="none"/>
        </w:rPr>
        <w:t>6.5除上述情况外，评审价＝最后报价。</w:t>
      </w:r>
      <w:bookmarkEnd w:id="72"/>
      <w:bookmarkEnd w:id="73"/>
    </w:p>
    <w:p w14:paraId="32E5AE61">
      <w:pPr>
        <w:pStyle w:val="3"/>
        <w:pageBreakBefore w:val="0"/>
        <w:kinsoku/>
        <w:wordWrap/>
        <w:overflowPunct/>
        <w:topLinePunct w:val="0"/>
        <w:autoSpaceDE/>
        <w:autoSpaceDN/>
        <w:bidi w:val="0"/>
        <w:spacing w:before="0" w:after="0" w:line="560" w:lineRule="exact"/>
        <w:ind w:firstLine="482" w:firstLineChars="200"/>
        <w:jc w:val="left"/>
        <w:rPr>
          <w:rFonts w:hint="eastAsia" w:ascii="宋体" w:hAnsi="宋体" w:eastAsia="宋体" w:cs="宋体"/>
          <w:b/>
          <w:bCs w:val="0"/>
          <w:color w:val="auto"/>
          <w:sz w:val="24"/>
          <w:szCs w:val="24"/>
          <w:highlight w:val="none"/>
        </w:rPr>
      </w:pPr>
      <w:bookmarkStart w:id="74" w:name="_Toc29285"/>
      <w:bookmarkStart w:id="75" w:name="_Toc12366"/>
      <w:r>
        <w:rPr>
          <w:rFonts w:hint="eastAsia" w:ascii="宋体" w:hAnsi="宋体" w:eastAsia="宋体" w:cs="宋体"/>
          <w:b/>
          <w:bCs w:val="0"/>
          <w:color w:val="auto"/>
          <w:sz w:val="24"/>
          <w:szCs w:val="24"/>
          <w:highlight w:val="none"/>
        </w:rPr>
        <w:t>7.评审复核</w:t>
      </w:r>
      <w:bookmarkEnd w:id="74"/>
      <w:bookmarkEnd w:id="75"/>
    </w:p>
    <w:p w14:paraId="743048C9">
      <w:pPr>
        <w:pStyle w:val="3"/>
        <w:pageBreakBefore w:val="0"/>
        <w:kinsoku/>
        <w:wordWrap/>
        <w:overflowPunct/>
        <w:topLinePunct w:val="0"/>
        <w:autoSpaceDE/>
        <w:autoSpaceDN/>
        <w:bidi w:val="0"/>
        <w:spacing w:before="0" w:after="0" w:line="560" w:lineRule="exact"/>
        <w:ind w:firstLine="480" w:firstLineChars="200"/>
        <w:jc w:val="left"/>
        <w:rPr>
          <w:rFonts w:hint="eastAsia" w:ascii="宋体" w:hAnsi="宋体" w:cs="宋体"/>
          <w:b w:val="0"/>
          <w:color w:val="auto"/>
          <w:sz w:val="24"/>
          <w:szCs w:val="24"/>
          <w:highlight w:val="none"/>
        </w:rPr>
      </w:pPr>
      <w:bookmarkStart w:id="76" w:name="_Toc28949"/>
      <w:bookmarkStart w:id="77" w:name="_Toc30408"/>
      <w:r>
        <w:rPr>
          <w:rFonts w:hint="eastAsia" w:ascii="宋体" w:hAnsi="宋体" w:cs="宋体"/>
          <w:b w:val="0"/>
          <w:color w:val="auto"/>
          <w:sz w:val="24"/>
          <w:szCs w:val="24"/>
          <w:highlight w:val="none"/>
        </w:rPr>
        <w:t>7.1评审报告签署前，评审委员会要对评审结果进行复核，复核意见要体现在评审报告中。</w:t>
      </w:r>
      <w:bookmarkEnd w:id="76"/>
      <w:bookmarkEnd w:id="77"/>
    </w:p>
    <w:p w14:paraId="0C435145">
      <w:pPr>
        <w:pStyle w:val="3"/>
        <w:pageBreakBefore w:val="0"/>
        <w:kinsoku/>
        <w:wordWrap/>
        <w:overflowPunct/>
        <w:topLinePunct w:val="0"/>
        <w:autoSpaceDE/>
        <w:autoSpaceDN/>
        <w:bidi w:val="0"/>
        <w:spacing w:before="0" w:after="0" w:line="560" w:lineRule="exact"/>
        <w:ind w:firstLine="480" w:firstLineChars="200"/>
        <w:jc w:val="left"/>
        <w:rPr>
          <w:rFonts w:hint="eastAsia" w:ascii="宋体" w:hAnsi="宋体" w:cs="宋体"/>
          <w:b w:val="0"/>
          <w:color w:val="auto"/>
          <w:sz w:val="24"/>
          <w:szCs w:val="24"/>
          <w:highlight w:val="none"/>
        </w:rPr>
      </w:pPr>
      <w:bookmarkStart w:id="78" w:name="_Toc14392"/>
      <w:bookmarkStart w:id="79" w:name="_Toc27113"/>
      <w:r>
        <w:rPr>
          <w:rFonts w:hint="eastAsia" w:ascii="宋体" w:hAnsi="宋体" w:cs="宋体"/>
          <w:b w:val="0"/>
          <w:color w:val="auto"/>
          <w:sz w:val="24"/>
          <w:szCs w:val="24"/>
          <w:highlight w:val="none"/>
        </w:rPr>
        <w:t>7.2除资格性审查认定错误和价格计算错误外，采购人或者采购代理机构不得以任何理由组织重新评审。</w:t>
      </w:r>
      <w:bookmarkEnd w:id="78"/>
      <w:bookmarkEnd w:id="79"/>
    </w:p>
    <w:p w14:paraId="52551635">
      <w:pPr>
        <w:pStyle w:val="3"/>
        <w:pageBreakBefore w:val="0"/>
        <w:kinsoku/>
        <w:wordWrap/>
        <w:overflowPunct/>
        <w:topLinePunct w:val="0"/>
        <w:autoSpaceDE/>
        <w:autoSpaceDN/>
        <w:bidi w:val="0"/>
        <w:spacing w:before="0" w:after="0" w:line="560" w:lineRule="exact"/>
        <w:ind w:firstLine="480" w:firstLineChars="200"/>
        <w:jc w:val="center"/>
        <w:rPr>
          <w:rFonts w:ascii="宋体" w:hAnsi="宋体" w:cs="宋体"/>
          <w:b w:val="0"/>
          <w:color w:val="auto"/>
          <w:sz w:val="24"/>
          <w:szCs w:val="24"/>
          <w:highlight w:val="none"/>
        </w:rPr>
      </w:pPr>
      <w:bookmarkStart w:id="80" w:name="_Toc10142"/>
      <w:r>
        <w:rPr>
          <w:rFonts w:hint="eastAsia" w:ascii="宋体" w:hAnsi="宋体" w:cs="宋体"/>
          <w:b w:val="0"/>
          <w:color w:val="auto"/>
          <w:sz w:val="24"/>
          <w:szCs w:val="24"/>
          <w:highlight w:val="none"/>
        </w:rPr>
        <w:t>第二节 评审原则</w:t>
      </w:r>
      <w:bookmarkEnd w:id="80"/>
    </w:p>
    <w:p w14:paraId="33457822">
      <w:pPr>
        <w:pageBreakBefore w:val="0"/>
        <w:kinsoku/>
        <w:wordWrap/>
        <w:overflowPunct/>
        <w:topLinePunct w:val="0"/>
        <w:autoSpaceDE/>
        <w:autoSpaceDN/>
        <w:bidi w:val="0"/>
        <w:spacing w:line="5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1.评审原则</w:t>
      </w:r>
    </w:p>
    <w:p w14:paraId="52EBEE82">
      <w:pPr>
        <w:pageBreakBefore w:val="0"/>
        <w:kinsoku/>
        <w:wordWrap/>
        <w:overflowPunct/>
        <w:topLinePunct w:val="0"/>
        <w:autoSpaceDE/>
        <w:autoSpaceDN/>
        <w:bidi w:val="0"/>
        <w:spacing w:line="5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1.1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7498B2C9">
      <w:pPr>
        <w:pageBreakBefore w:val="0"/>
        <w:kinsoku/>
        <w:wordWrap/>
        <w:overflowPunct/>
        <w:topLinePunct w:val="0"/>
        <w:autoSpaceDE/>
        <w:autoSpaceDN/>
        <w:bidi w:val="0"/>
        <w:spacing w:line="5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1.2根据《政府采购非招标采购方式管理办法》（财政部令第74号）第二十一条规定，评审结果汇总完成后，采购人、采购代理机构和谈判小组均不得修改评审结果或者要求重新评审，但资格性检查认定错误、分值汇总计算错误、分项评分超出评分标准范围、客观分评分不一致、经评审委员会一致认定评分畸高、畸低的情形除外。出现上述除外情形的，谈判小组应当现场修改评审结果，并在评审报告中明确记载。</w:t>
      </w:r>
      <w:bookmarkStart w:id="81" w:name="_Toc432194885"/>
      <w:bookmarkStart w:id="82" w:name="_Toc432106535"/>
      <w:bookmarkStart w:id="83" w:name="_Toc321836413"/>
    </w:p>
    <w:bookmarkEnd w:id="81"/>
    <w:bookmarkEnd w:id="82"/>
    <w:bookmarkEnd w:id="83"/>
    <w:p w14:paraId="09262C0A">
      <w:pPr>
        <w:pageBreakBefore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谈判小组发现竞争性谈判文件存在歧义、重大缺陷导致评审工作无法进行，或者竞争性谈判文件内容违反国家有关规定的，要停止评审工作并向采购人或采购代理机构书面说明情况，采购人或采购代理机构应当修改竞争性谈判文件后重新组织采购活动；发现供应商提供虚假材料、串通等违法违规行为的，要及时向采购人或采购代理机构报告。</w:t>
      </w:r>
    </w:p>
    <w:p w14:paraId="17A61778">
      <w:pPr>
        <w:pageBreakBefore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2.终止竞争性谈判采购活动</w:t>
      </w:r>
    </w:p>
    <w:p w14:paraId="21E3527B">
      <w:pPr>
        <w:pageBreakBefore w:val="0"/>
        <w:kinsoku/>
        <w:wordWrap/>
        <w:overflowPunct/>
        <w:topLinePunct w:val="0"/>
        <w:autoSpaceDE/>
        <w:autoSpaceDN/>
        <w:bidi w:val="0"/>
        <w:spacing w:line="5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出现下列情形之一的，采购人或者采购代理机构应当终止竞争性谈判采购活动，发布项目终止公告并说明原因，重新开展采购活动：</w:t>
      </w:r>
    </w:p>
    <w:p w14:paraId="13BC0BB5">
      <w:pPr>
        <w:pageBreakBefore w:val="0"/>
        <w:kinsoku/>
        <w:wordWrap/>
        <w:overflowPunct/>
        <w:topLinePunct w:val="0"/>
        <w:autoSpaceDE/>
        <w:autoSpaceDN/>
        <w:bidi w:val="0"/>
        <w:spacing w:line="5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（1）因情况变化，不再符合规定的竞争性谈判采购方式适用情形的； </w:t>
      </w:r>
    </w:p>
    <w:p w14:paraId="5A329FE4">
      <w:pPr>
        <w:pageBreakBefore w:val="0"/>
        <w:kinsoku/>
        <w:wordWrap/>
        <w:overflowPunct/>
        <w:topLinePunct w:val="0"/>
        <w:autoSpaceDE/>
        <w:autoSpaceDN/>
        <w:bidi w:val="0"/>
        <w:spacing w:line="5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（2）出现影响采购公正的违法、违规行为的；</w:t>
      </w:r>
    </w:p>
    <w:p w14:paraId="2805A0D7">
      <w:pPr>
        <w:pageBreakBefore w:val="0"/>
        <w:kinsoku/>
        <w:wordWrap/>
        <w:overflowPunct/>
        <w:topLinePunct w:val="0"/>
        <w:autoSpaceDE/>
        <w:autoSpaceDN/>
        <w:bidi w:val="0"/>
        <w:spacing w:line="5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（3）在采购过程中符合竞争要求的供应商或者报价未超过采购预算的供应商不足3家的，但《政府采购非招标采购方式管理办法》第二十七条第二款规定的情形除外。</w:t>
      </w:r>
    </w:p>
    <w:p w14:paraId="4155168D">
      <w:pPr>
        <w:pStyle w:val="3"/>
        <w:pageBreakBefore w:val="0"/>
        <w:kinsoku/>
        <w:wordWrap/>
        <w:overflowPunct/>
        <w:topLinePunct w:val="0"/>
        <w:autoSpaceDE/>
        <w:autoSpaceDN/>
        <w:bidi w:val="0"/>
        <w:spacing w:before="0" w:after="0" w:line="560" w:lineRule="exact"/>
        <w:ind w:firstLine="3120" w:firstLineChars="1300"/>
        <w:jc w:val="both"/>
        <w:rPr>
          <w:rFonts w:ascii="宋体" w:hAnsi="宋体" w:cs="宋体"/>
          <w:b w:val="0"/>
          <w:color w:val="auto"/>
          <w:sz w:val="24"/>
          <w:szCs w:val="24"/>
          <w:highlight w:val="none"/>
        </w:rPr>
      </w:pPr>
      <w:bookmarkStart w:id="84" w:name="_Toc10465"/>
      <w:r>
        <w:rPr>
          <w:rFonts w:hint="eastAsia" w:ascii="宋体" w:hAnsi="宋体" w:cs="宋体"/>
          <w:b w:val="0"/>
          <w:color w:val="auto"/>
          <w:sz w:val="24"/>
          <w:szCs w:val="24"/>
          <w:highlight w:val="none"/>
        </w:rPr>
        <w:t>第三节 评标报告</w:t>
      </w:r>
      <w:bookmarkEnd w:id="84"/>
    </w:p>
    <w:p w14:paraId="1B5DFB3A">
      <w:pPr>
        <w:pageBreakBefore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1.成交标准</w:t>
      </w:r>
    </w:p>
    <w:p w14:paraId="3A870975">
      <w:pPr>
        <w:pageBreakBefore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谈判小组应当从质量和货物均能满足谈判文件实质性响应要求的供应商中，按照</w:t>
      </w:r>
      <w:r>
        <w:rPr>
          <w:rFonts w:hint="eastAsia" w:ascii="宋体" w:hAnsi="宋体" w:cs="宋体"/>
          <w:color w:val="auto"/>
          <w:sz w:val="24"/>
          <w:szCs w:val="24"/>
          <w:highlight w:val="none"/>
          <w:lang w:eastAsia="zh-CN"/>
        </w:rPr>
        <w:t>评审价</w:t>
      </w:r>
      <w:r>
        <w:rPr>
          <w:rFonts w:hint="eastAsia" w:ascii="宋体" w:hAnsi="宋体" w:cs="宋体"/>
          <w:color w:val="auto"/>
          <w:sz w:val="24"/>
          <w:szCs w:val="24"/>
          <w:highlight w:val="none"/>
        </w:rPr>
        <w:t>由低到高的顺序提出3名以上成交候选人（最后报价相同时，由谈判小组按“供应商须知前附表”第26.2条规定的顺序推荐）,并在线编写电子评审报告。</w:t>
      </w:r>
    </w:p>
    <w:p w14:paraId="067A2E92">
      <w:pPr>
        <w:pageBreakBefore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2.评标争议事项处理</w:t>
      </w:r>
    </w:p>
    <w:p w14:paraId="775E0251">
      <w:pPr>
        <w:pStyle w:val="45"/>
        <w:pageBreakBefore w:val="0"/>
        <w:kinsoku/>
        <w:wordWrap/>
        <w:overflowPunct/>
        <w:topLinePunct w:val="0"/>
        <w:autoSpaceDE/>
        <w:autoSpaceDN/>
        <w:bidi w:val="0"/>
        <w:spacing w:before="0" w:line="560" w:lineRule="exact"/>
        <w:ind w:firstLine="420"/>
        <w:rPr>
          <w:rFonts w:ascii="宋体" w:hAnsi="宋体" w:cs="宋体"/>
          <w:color w:val="auto"/>
          <w:kern w:val="2"/>
          <w:sz w:val="24"/>
          <w:szCs w:val="24"/>
          <w:highlight w:val="none"/>
        </w:rPr>
      </w:pPr>
      <w:r>
        <w:rPr>
          <w:rFonts w:hint="eastAsia" w:ascii="宋体" w:hAnsi="宋体" w:cs="宋体"/>
          <w:color w:val="auto"/>
          <w:kern w:val="2"/>
          <w:sz w:val="24"/>
          <w:szCs w:val="24"/>
          <w:highlight w:val="none"/>
        </w:rPr>
        <w:t>谈判小组成员对需要共同认定的事项存在争议的，应当按照少数服从多数的原则作出结论。持不同意见的谈判小组成员应当在评标报告上签署不同意见及理由，否则视为同意评标报告。</w:t>
      </w:r>
    </w:p>
    <w:p w14:paraId="405E3D8D">
      <w:pPr>
        <w:pStyle w:val="3"/>
        <w:pageBreakBefore w:val="0"/>
        <w:kinsoku/>
        <w:wordWrap/>
        <w:overflowPunct/>
        <w:topLinePunct w:val="0"/>
        <w:autoSpaceDE/>
        <w:autoSpaceDN/>
        <w:bidi w:val="0"/>
        <w:spacing w:before="0" w:after="0" w:line="560" w:lineRule="exact"/>
        <w:ind w:firstLine="480" w:firstLineChars="200"/>
        <w:jc w:val="center"/>
        <w:rPr>
          <w:rFonts w:ascii="宋体" w:hAnsi="宋体" w:cs="宋体"/>
          <w:b w:val="0"/>
          <w:color w:val="auto"/>
          <w:sz w:val="24"/>
          <w:szCs w:val="24"/>
          <w:highlight w:val="none"/>
        </w:rPr>
      </w:pPr>
      <w:bookmarkStart w:id="85" w:name="_Toc7462"/>
      <w:r>
        <w:rPr>
          <w:rFonts w:hint="eastAsia" w:ascii="宋体" w:hAnsi="宋体" w:cs="宋体"/>
          <w:b w:val="0"/>
          <w:color w:val="auto"/>
          <w:sz w:val="24"/>
          <w:szCs w:val="24"/>
          <w:highlight w:val="none"/>
        </w:rPr>
        <w:t>第四节 评审过程的保密与录像</w:t>
      </w:r>
      <w:bookmarkEnd w:id="85"/>
    </w:p>
    <w:p w14:paraId="5B2B1EDB">
      <w:pPr>
        <w:pageBreakBefore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1.保密。</w:t>
      </w:r>
    </w:p>
    <w:p w14:paraId="1AB472E0">
      <w:pPr>
        <w:pageBreakBefore w:val="0"/>
        <w:widowControl/>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30FCF64B">
      <w:pPr>
        <w:pageBreakBefore w:val="0"/>
        <w:widowControl/>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2.录音录像。</w:t>
      </w:r>
    </w:p>
    <w:p w14:paraId="4FC4B68E">
      <w:pPr>
        <w:pageBreakBefore w:val="0"/>
        <w:kinsoku/>
        <w:wordWrap/>
        <w:overflowPunct/>
        <w:topLinePunct w:val="0"/>
        <w:autoSpaceDE/>
        <w:autoSpaceDN/>
        <w:bidi w:val="0"/>
        <w:spacing w:line="560" w:lineRule="exact"/>
        <w:ind w:firstLine="480" w:firstLineChars="200"/>
        <w:rPr>
          <w:rFonts w:ascii="宋体" w:hAnsi="宋体" w:cs="宋体"/>
          <w:color w:val="auto"/>
          <w:highlight w:val="none"/>
        </w:rPr>
      </w:pPr>
      <w:r>
        <w:rPr>
          <w:rFonts w:hint="eastAsia" w:ascii="宋体" w:hAnsi="宋体" w:cs="宋体"/>
          <w:color w:val="auto"/>
          <w:sz w:val="24"/>
          <w:szCs w:val="24"/>
          <w:highlight w:val="none"/>
        </w:rPr>
        <w:t>采购代理机构对评审工作现场及操作屏幕进行全过程录音录像，录音录像资料作为采购项目文件随其他文件一并存档。</w:t>
      </w:r>
      <w:r>
        <w:rPr>
          <w:rFonts w:hint="eastAsia" w:ascii="宋体" w:hAnsi="宋体" w:cs="宋体"/>
          <w:color w:val="auto"/>
          <w:sz w:val="24"/>
          <w:szCs w:val="24"/>
          <w:highlight w:val="none"/>
        </w:rPr>
        <w:br w:type="page"/>
      </w:r>
    </w:p>
    <w:p w14:paraId="13AB25F4">
      <w:pPr>
        <w:spacing w:line="360" w:lineRule="auto"/>
        <w:jc w:val="center"/>
        <w:rPr>
          <w:rFonts w:ascii="宋体" w:hAnsi="宋体" w:cs="宋体"/>
          <w:color w:val="auto"/>
          <w:highlight w:val="none"/>
        </w:rPr>
      </w:pPr>
    </w:p>
    <w:p w14:paraId="574AEEAE">
      <w:pPr>
        <w:spacing w:line="360" w:lineRule="auto"/>
        <w:jc w:val="center"/>
        <w:rPr>
          <w:rFonts w:ascii="宋体" w:hAnsi="宋体" w:cs="宋体"/>
          <w:color w:val="auto"/>
          <w:highlight w:val="none"/>
        </w:rPr>
      </w:pPr>
    </w:p>
    <w:p w14:paraId="3B0F2394">
      <w:pPr>
        <w:pStyle w:val="5"/>
        <w:rPr>
          <w:color w:val="auto"/>
          <w:highlight w:val="none"/>
        </w:rPr>
      </w:pPr>
    </w:p>
    <w:p w14:paraId="256B0D39">
      <w:pPr>
        <w:rPr>
          <w:rFonts w:ascii="宋体" w:hAnsi="宋体" w:cs="宋体"/>
          <w:color w:val="auto"/>
          <w:highlight w:val="none"/>
        </w:rPr>
      </w:pPr>
    </w:p>
    <w:p w14:paraId="33E41353">
      <w:pPr>
        <w:pStyle w:val="5"/>
        <w:rPr>
          <w:color w:val="auto"/>
          <w:highlight w:val="none"/>
        </w:rPr>
      </w:pPr>
    </w:p>
    <w:p w14:paraId="2D0205B9">
      <w:pPr>
        <w:rPr>
          <w:rFonts w:ascii="宋体" w:hAnsi="宋体" w:cs="宋体"/>
          <w:color w:val="auto"/>
          <w:highlight w:val="none"/>
        </w:rPr>
      </w:pPr>
    </w:p>
    <w:p w14:paraId="418069D0">
      <w:pPr>
        <w:pStyle w:val="5"/>
        <w:rPr>
          <w:color w:val="auto"/>
          <w:highlight w:val="none"/>
        </w:rPr>
      </w:pPr>
    </w:p>
    <w:p w14:paraId="388539DD">
      <w:pPr>
        <w:spacing w:line="360" w:lineRule="auto"/>
        <w:jc w:val="center"/>
        <w:rPr>
          <w:rFonts w:ascii="宋体" w:hAnsi="宋体" w:cs="宋体"/>
          <w:color w:val="auto"/>
          <w:highlight w:val="none"/>
        </w:rPr>
      </w:pPr>
    </w:p>
    <w:p w14:paraId="796E7F0D">
      <w:pPr>
        <w:spacing w:line="360" w:lineRule="auto"/>
        <w:jc w:val="center"/>
        <w:rPr>
          <w:rFonts w:ascii="宋体" w:hAnsi="宋体" w:cs="宋体"/>
          <w:color w:val="auto"/>
          <w:highlight w:val="none"/>
        </w:rPr>
      </w:pPr>
    </w:p>
    <w:p w14:paraId="2764158C">
      <w:pPr>
        <w:spacing w:line="360" w:lineRule="auto"/>
        <w:jc w:val="center"/>
        <w:rPr>
          <w:rFonts w:ascii="宋体" w:hAnsi="宋体" w:cs="宋体"/>
          <w:color w:val="auto"/>
          <w:highlight w:val="none"/>
        </w:rPr>
      </w:pPr>
    </w:p>
    <w:p w14:paraId="7A74DB2B">
      <w:pPr>
        <w:pStyle w:val="2"/>
        <w:spacing w:before="0" w:after="0" w:line="360" w:lineRule="auto"/>
        <w:jc w:val="center"/>
        <w:rPr>
          <w:rFonts w:ascii="宋体" w:hAnsi="宋体" w:cs="宋体"/>
          <w:bCs/>
          <w:color w:val="auto"/>
          <w:sz w:val="32"/>
          <w:szCs w:val="32"/>
          <w:highlight w:val="none"/>
        </w:rPr>
      </w:pPr>
      <w:bookmarkStart w:id="86" w:name="_Toc8856"/>
      <w:r>
        <w:rPr>
          <w:rFonts w:hint="eastAsia" w:ascii="宋体" w:hAnsi="宋体" w:cs="宋体"/>
          <w:bCs/>
          <w:color w:val="auto"/>
          <w:sz w:val="32"/>
          <w:szCs w:val="32"/>
          <w:highlight w:val="none"/>
        </w:rPr>
        <w:t>第五章 响应文件格式</w:t>
      </w:r>
      <w:r>
        <w:rPr>
          <w:rFonts w:hint="eastAsia" w:ascii="宋体" w:hAnsi="宋体" w:cs="宋体"/>
          <w:bCs/>
          <w:color w:val="auto"/>
          <w:sz w:val="24"/>
          <w:highlight w:val="none"/>
        </w:rPr>
        <w:br w:type="page"/>
      </w:r>
      <w:r>
        <w:rPr>
          <w:rFonts w:hint="eastAsia" w:ascii="宋体" w:hAnsi="宋体" w:cs="宋体"/>
          <w:bCs/>
          <w:color w:val="auto"/>
          <w:sz w:val="32"/>
          <w:szCs w:val="32"/>
          <w:highlight w:val="none"/>
        </w:rPr>
        <w:t>第</w:t>
      </w:r>
      <w:r>
        <w:rPr>
          <w:rFonts w:hint="eastAsia" w:ascii="宋体" w:hAnsi="宋体" w:cs="宋体"/>
          <w:bCs/>
          <w:color w:val="auto"/>
          <w:sz w:val="32"/>
          <w:szCs w:val="32"/>
          <w:highlight w:val="none"/>
          <w:lang w:eastAsia="zh-CN"/>
        </w:rPr>
        <w:t>一</w:t>
      </w:r>
      <w:r>
        <w:rPr>
          <w:rFonts w:hint="eastAsia" w:ascii="宋体" w:hAnsi="宋体" w:cs="宋体"/>
          <w:bCs/>
          <w:color w:val="auto"/>
          <w:sz w:val="32"/>
          <w:szCs w:val="32"/>
          <w:highlight w:val="none"/>
        </w:rPr>
        <w:t>节 资格证明文件格式</w:t>
      </w:r>
      <w:bookmarkEnd w:id="86"/>
    </w:p>
    <w:p w14:paraId="30D7A559">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75F45422">
      <w:pPr>
        <w:spacing w:line="360" w:lineRule="auto"/>
        <w:rPr>
          <w:rFonts w:ascii="宋体" w:hAnsi="宋体" w:cs="宋体"/>
          <w:color w:val="auto"/>
          <w:sz w:val="24"/>
          <w:szCs w:val="20"/>
          <w:highlight w:val="none"/>
        </w:rPr>
      </w:pPr>
    </w:p>
    <w:p w14:paraId="4D26BF7A">
      <w:pPr>
        <w:spacing w:line="360" w:lineRule="auto"/>
        <w:rPr>
          <w:rFonts w:ascii="宋体" w:hAnsi="宋体" w:cs="宋体"/>
          <w:color w:val="auto"/>
          <w:sz w:val="24"/>
          <w:szCs w:val="20"/>
          <w:highlight w:val="none"/>
        </w:rPr>
      </w:pPr>
    </w:p>
    <w:p w14:paraId="2B9B4F19">
      <w:pPr>
        <w:spacing w:line="360" w:lineRule="auto"/>
        <w:jc w:val="center"/>
        <w:rPr>
          <w:rFonts w:hint="eastAsia" w:ascii="宋体" w:hAnsi="宋体" w:cs="宋体"/>
          <w:bCs/>
          <w:color w:val="auto"/>
          <w:sz w:val="44"/>
          <w:szCs w:val="44"/>
          <w:highlight w:val="none"/>
        </w:rPr>
      </w:pPr>
    </w:p>
    <w:p w14:paraId="6DFDAE89">
      <w:pPr>
        <w:spacing w:line="360" w:lineRule="auto"/>
        <w:jc w:val="center"/>
        <w:rPr>
          <w:rFonts w:ascii="宋体" w:hAnsi="宋体" w:cs="宋体"/>
          <w:bCs/>
          <w:color w:val="auto"/>
          <w:sz w:val="44"/>
          <w:szCs w:val="44"/>
          <w:highlight w:val="none"/>
        </w:rPr>
      </w:pPr>
      <w:r>
        <w:rPr>
          <w:rFonts w:hint="eastAsia" w:ascii="宋体" w:hAnsi="宋体" w:cs="宋体"/>
          <w:bCs/>
          <w:color w:val="auto"/>
          <w:sz w:val="44"/>
          <w:szCs w:val="44"/>
          <w:highlight w:val="none"/>
        </w:rPr>
        <w:t>资  格  证  明  文  件（封面）</w:t>
      </w:r>
    </w:p>
    <w:p w14:paraId="3AB4BD6E">
      <w:pPr>
        <w:spacing w:line="360" w:lineRule="auto"/>
        <w:rPr>
          <w:rFonts w:ascii="宋体" w:hAnsi="宋体" w:cs="宋体"/>
          <w:bCs/>
          <w:color w:val="auto"/>
          <w:sz w:val="24"/>
          <w:szCs w:val="20"/>
          <w:highlight w:val="none"/>
        </w:rPr>
      </w:pPr>
    </w:p>
    <w:p w14:paraId="0F669B6C">
      <w:pPr>
        <w:spacing w:line="360" w:lineRule="auto"/>
        <w:rPr>
          <w:rFonts w:ascii="宋体" w:hAnsi="宋体" w:cs="宋体"/>
          <w:bCs/>
          <w:color w:val="auto"/>
          <w:sz w:val="24"/>
          <w:szCs w:val="20"/>
          <w:highlight w:val="none"/>
        </w:rPr>
      </w:pPr>
    </w:p>
    <w:p w14:paraId="49537653">
      <w:pPr>
        <w:spacing w:line="360" w:lineRule="auto"/>
        <w:rPr>
          <w:rFonts w:ascii="宋体" w:hAnsi="宋体" w:cs="宋体"/>
          <w:bCs/>
          <w:color w:val="auto"/>
          <w:sz w:val="24"/>
          <w:szCs w:val="20"/>
          <w:highlight w:val="none"/>
        </w:rPr>
      </w:pPr>
    </w:p>
    <w:p w14:paraId="15218030">
      <w:pPr>
        <w:spacing w:line="360" w:lineRule="auto"/>
        <w:rPr>
          <w:rFonts w:ascii="宋体" w:hAnsi="宋体" w:cs="宋体"/>
          <w:bCs/>
          <w:color w:val="auto"/>
          <w:sz w:val="24"/>
          <w:szCs w:val="20"/>
          <w:highlight w:val="none"/>
        </w:rPr>
      </w:pPr>
    </w:p>
    <w:p w14:paraId="5E4315EE">
      <w:pPr>
        <w:spacing w:line="360" w:lineRule="auto"/>
        <w:rPr>
          <w:rFonts w:ascii="宋体" w:hAnsi="宋体" w:cs="宋体"/>
          <w:bCs/>
          <w:color w:val="auto"/>
          <w:sz w:val="24"/>
          <w:szCs w:val="20"/>
          <w:highlight w:val="none"/>
        </w:rPr>
      </w:pPr>
    </w:p>
    <w:p w14:paraId="53B11210">
      <w:pPr>
        <w:spacing w:line="360" w:lineRule="auto"/>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42AB1090">
      <w:pPr>
        <w:spacing w:line="360" w:lineRule="auto"/>
        <w:ind w:firstLine="720" w:firstLineChars="225"/>
        <w:rPr>
          <w:rFonts w:ascii="宋体" w:hAnsi="宋体" w:cs="宋体"/>
          <w:bCs/>
          <w:color w:val="auto"/>
          <w:sz w:val="32"/>
          <w:szCs w:val="32"/>
          <w:highlight w:val="none"/>
        </w:rPr>
      </w:pPr>
    </w:p>
    <w:p w14:paraId="3E7B44B7">
      <w:pPr>
        <w:spacing w:line="360" w:lineRule="auto"/>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22017A15">
      <w:pPr>
        <w:spacing w:line="360" w:lineRule="auto"/>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453C1BC1">
      <w:pPr>
        <w:spacing w:line="360" w:lineRule="auto"/>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41EC7951">
      <w:pPr>
        <w:spacing w:line="360" w:lineRule="auto"/>
        <w:ind w:firstLine="720" w:firstLineChars="225"/>
        <w:rPr>
          <w:rFonts w:ascii="宋体" w:hAnsi="宋体" w:cs="宋体"/>
          <w:bCs/>
          <w:color w:val="auto"/>
          <w:sz w:val="32"/>
          <w:szCs w:val="32"/>
          <w:highlight w:val="none"/>
        </w:rPr>
      </w:pPr>
    </w:p>
    <w:p w14:paraId="3E3EDF56">
      <w:pPr>
        <w:pStyle w:val="7"/>
        <w:spacing w:line="360" w:lineRule="auto"/>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05642E55">
      <w:pPr>
        <w:pStyle w:val="7"/>
        <w:spacing w:line="360" w:lineRule="auto"/>
        <w:ind w:firstLine="720" w:firstLineChars="225"/>
        <w:rPr>
          <w:rFonts w:ascii="宋体" w:hAnsi="宋体" w:cs="宋体"/>
          <w:bCs/>
          <w:color w:val="auto"/>
          <w:sz w:val="32"/>
          <w:szCs w:val="32"/>
          <w:highlight w:val="none"/>
        </w:rPr>
      </w:pPr>
    </w:p>
    <w:p w14:paraId="056E1E66">
      <w:pPr>
        <w:pStyle w:val="7"/>
        <w:spacing w:line="360" w:lineRule="auto"/>
        <w:ind w:firstLine="720" w:firstLineChars="225"/>
        <w:rPr>
          <w:rFonts w:ascii="宋体" w:hAnsi="宋体" w:cs="宋体"/>
          <w:bCs/>
          <w:color w:val="auto"/>
          <w:sz w:val="32"/>
          <w:szCs w:val="32"/>
          <w:highlight w:val="none"/>
        </w:rPr>
      </w:pPr>
    </w:p>
    <w:p w14:paraId="2A582775">
      <w:pPr>
        <w:pStyle w:val="7"/>
        <w:spacing w:line="360" w:lineRule="auto"/>
        <w:ind w:firstLine="720" w:firstLineChars="225"/>
        <w:rPr>
          <w:rFonts w:ascii="宋体" w:hAnsi="宋体" w:cs="宋体"/>
          <w:bCs/>
          <w:color w:val="auto"/>
          <w:sz w:val="32"/>
          <w:szCs w:val="32"/>
          <w:highlight w:val="none"/>
        </w:rPr>
      </w:pPr>
    </w:p>
    <w:p w14:paraId="4C652E89">
      <w:pPr>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23FBD026">
      <w:pPr>
        <w:spacing w:line="360" w:lineRule="auto"/>
        <w:ind w:left="142" w:firstLine="480" w:firstLineChars="200"/>
        <w:jc w:val="center"/>
        <w:rPr>
          <w:rFonts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资格证明文件目录</w:t>
      </w:r>
    </w:p>
    <w:p w14:paraId="344F7BC5">
      <w:pPr>
        <w:pStyle w:val="5"/>
        <w:rPr>
          <w:color w:val="auto"/>
          <w:highlight w:val="none"/>
        </w:rPr>
        <w:sectPr>
          <w:pgSz w:w="11910" w:h="16840"/>
          <w:pgMar w:top="1440" w:right="1080" w:bottom="1440" w:left="1080" w:header="720" w:footer="720" w:gutter="0"/>
          <w:cols w:space="720" w:num="1"/>
        </w:sectPr>
      </w:pPr>
      <w:r>
        <w:rPr>
          <w:rFonts w:hint="eastAsia" w:hAnsi="宋体" w:cs="宋体"/>
          <w:color w:val="auto"/>
          <w:sz w:val="24"/>
          <w:szCs w:val="20"/>
          <w:highlight w:val="none"/>
          <w:lang w:eastAsia="zh-CN"/>
        </w:rPr>
        <w:t>（格式自拟）</w:t>
      </w:r>
    </w:p>
    <w:p w14:paraId="0F1595A2">
      <w:pPr>
        <w:spacing w:line="360" w:lineRule="auto"/>
        <w:ind w:firstLine="477" w:firstLineChars="198"/>
        <w:contextualSpacing/>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lang w:eastAsia="zh-CN"/>
        </w:rPr>
        <w:t>一、</w:t>
      </w:r>
      <w:r>
        <w:rPr>
          <w:rFonts w:hint="eastAsia" w:ascii="宋体" w:hAnsi="宋体" w:cs="宋体"/>
          <w:b/>
          <w:color w:val="auto"/>
          <w:kern w:val="0"/>
          <w:sz w:val="24"/>
          <w:szCs w:val="24"/>
          <w:highlight w:val="none"/>
        </w:rPr>
        <w:t>供应商直接控股股东信息</w:t>
      </w:r>
    </w:p>
    <w:p w14:paraId="424BD6BD">
      <w:pPr>
        <w:spacing w:line="360" w:lineRule="auto"/>
        <w:contextualSpacing/>
        <w:jc w:val="center"/>
        <w:rPr>
          <w:rFonts w:ascii="宋体" w:hAnsi="宋体" w:cs="宋体"/>
          <w:b/>
          <w:color w:val="auto"/>
          <w:sz w:val="24"/>
          <w:szCs w:val="24"/>
          <w:highlight w:val="none"/>
        </w:rPr>
      </w:pPr>
    </w:p>
    <w:tbl>
      <w:tblPr>
        <w:tblStyle w:val="32"/>
        <w:tblW w:w="0" w:type="auto"/>
        <w:jc w:val="center"/>
        <w:shd w:val="clear" w:color="auto" w:fill="FBFBFB"/>
        <w:tblLayout w:type="fixed"/>
        <w:tblCellMar>
          <w:top w:w="120" w:type="dxa"/>
          <w:left w:w="120" w:type="dxa"/>
          <w:bottom w:w="120" w:type="dxa"/>
          <w:right w:w="120" w:type="dxa"/>
        </w:tblCellMar>
      </w:tblPr>
      <w:tblGrid>
        <w:gridCol w:w="880"/>
        <w:gridCol w:w="2655"/>
        <w:gridCol w:w="1455"/>
        <w:gridCol w:w="4240"/>
        <w:gridCol w:w="917"/>
      </w:tblGrid>
      <w:tr w14:paraId="68D0CEA5">
        <w:tblPrEx>
          <w:tblCellMar>
            <w:top w:w="120" w:type="dxa"/>
            <w:left w:w="120" w:type="dxa"/>
            <w:bottom w:w="120" w:type="dxa"/>
            <w:right w:w="120" w:type="dxa"/>
          </w:tblCellMar>
        </w:tblPrEx>
        <w:trPr>
          <w:trHeight w:val="0" w:hRule="atLeast"/>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BD5997F">
            <w:pPr>
              <w:widowControl/>
              <w:spacing w:line="360" w:lineRule="auto"/>
              <w:contextualSpacing/>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A722228">
            <w:pPr>
              <w:widowControl/>
              <w:spacing w:line="360" w:lineRule="auto"/>
              <w:contextualSpacing/>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5413C3B">
            <w:pPr>
              <w:widowControl/>
              <w:spacing w:line="360" w:lineRule="auto"/>
              <w:contextualSpacing/>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出资比例</w:t>
            </w:r>
          </w:p>
        </w:tc>
        <w:tc>
          <w:tcPr>
            <w:tcW w:w="424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1C49FAB">
            <w:pPr>
              <w:widowControl/>
              <w:spacing w:line="360" w:lineRule="auto"/>
              <w:contextualSpacing/>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身份证号码或者统一社会信用代码</w:t>
            </w:r>
          </w:p>
        </w:tc>
        <w:tc>
          <w:tcPr>
            <w:tcW w:w="91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3858415">
            <w:pPr>
              <w:widowControl/>
              <w:spacing w:line="360" w:lineRule="auto"/>
              <w:contextualSpacing/>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备注</w:t>
            </w:r>
          </w:p>
        </w:tc>
      </w:tr>
      <w:tr w14:paraId="2DA1CE1B">
        <w:tblPrEx>
          <w:shd w:val="clear" w:color="auto" w:fill="FBFBFB"/>
          <w:tblCellMar>
            <w:top w:w="120" w:type="dxa"/>
            <w:left w:w="120" w:type="dxa"/>
            <w:bottom w:w="120" w:type="dxa"/>
            <w:right w:w="120" w:type="dxa"/>
          </w:tblCellMar>
        </w:tblPrEx>
        <w:trPr>
          <w:trHeight w:val="0" w:hRule="atLeast"/>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D698C68">
            <w:pPr>
              <w:widowControl/>
              <w:spacing w:line="360" w:lineRule="auto"/>
              <w:contextualSpacing/>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6A0E25B">
            <w:pPr>
              <w:widowControl/>
              <w:spacing w:line="360" w:lineRule="auto"/>
              <w:contextualSpacing/>
              <w:jc w:val="center"/>
              <w:rPr>
                <w:rFonts w:ascii="宋体" w:hAnsi="宋体" w:cs="宋体"/>
                <w:color w:val="auto"/>
                <w:kern w:val="0"/>
                <w:sz w:val="24"/>
                <w:szCs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6C0A0B5">
            <w:pPr>
              <w:widowControl/>
              <w:spacing w:line="360" w:lineRule="auto"/>
              <w:contextualSpacing/>
              <w:jc w:val="center"/>
              <w:rPr>
                <w:rFonts w:ascii="宋体" w:hAnsi="宋体" w:cs="宋体"/>
                <w:color w:val="auto"/>
                <w:kern w:val="0"/>
                <w:sz w:val="24"/>
                <w:szCs w:val="24"/>
                <w:highlight w:val="none"/>
              </w:rPr>
            </w:pPr>
          </w:p>
        </w:tc>
        <w:tc>
          <w:tcPr>
            <w:tcW w:w="424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E38CE09">
            <w:pPr>
              <w:widowControl/>
              <w:spacing w:line="360" w:lineRule="auto"/>
              <w:contextualSpacing/>
              <w:jc w:val="center"/>
              <w:rPr>
                <w:rFonts w:ascii="宋体" w:hAnsi="宋体" w:cs="宋体"/>
                <w:color w:val="auto"/>
                <w:kern w:val="0"/>
                <w:sz w:val="24"/>
                <w:szCs w:val="24"/>
                <w:highlight w:val="none"/>
              </w:rPr>
            </w:pPr>
          </w:p>
        </w:tc>
        <w:tc>
          <w:tcPr>
            <w:tcW w:w="91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D7A97EC">
            <w:pPr>
              <w:widowControl/>
              <w:spacing w:line="360" w:lineRule="auto"/>
              <w:contextualSpacing/>
              <w:jc w:val="center"/>
              <w:rPr>
                <w:rFonts w:ascii="宋体" w:hAnsi="宋体" w:cs="宋体"/>
                <w:color w:val="auto"/>
                <w:kern w:val="0"/>
                <w:sz w:val="24"/>
                <w:szCs w:val="24"/>
                <w:highlight w:val="none"/>
              </w:rPr>
            </w:pPr>
          </w:p>
        </w:tc>
      </w:tr>
      <w:tr w14:paraId="34372C23">
        <w:tblPrEx>
          <w:shd w:val="clear" w:color="auto" w:fill="FBFBFB"/>
          <w:tblCellMar>
            <w:top w:w="120" w:type="dxa"/>
            <w:left w:w="120" w:type="dxa"/>
            <w:bottom w:w="120" w:type="dxa"/>
            <w:right w:w="120" w:type="dxa"/>
          </w:tblCellMar>
        </w:tblPrEx>
        <w:trPr>
          <w:trHeight w:val="0" w:hRule="atLeast"/>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5A56111">
            <w:pPr>
              <w:widowControl/>
              <w:spacing w:line="360" w:lineRule="auto"/>
              <w:contextualSpacing/>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AE1A841">
            <w:pPr>
              <w:widowControl/>
              <w:spacing w:line="360" w:lineRule="auto"/>
              <w:contextualSpacing/>
              <w:jc w:val="center"/>
              <w:rPr>
                <w:rFonts w:ascii="宋体" w:hAnsi="宋体" w:cs="宋体"/>
                <w:color w:val="auto"/>
                <w:kern w:val="0"/>
                <w:sz w:val="24"/>
                <w:szCs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E949A2C">
            <w:pPr>
              <w:widowControl/>
              <w:spacing w:line="360" w:lineRule="auto"/>
              <w:contextualSpacing/>
              <w:jc w:val="center"/>
              <w:rPr>
                <w:rFonts w:ascii="宋体" w:hAnsi="宋体" w:cs="宋体"/>
                <w:color w:val="auto"/>
                <w:kern w:val="0"/>
                <w:sz w:val="24"/>
                <w:szCs w:val="24"/>
                <w:highlight w:val="none"/>
              </w:rPr>
            </w:pPr>
          </w:p>
        </w:tc>
        <w:tc>
          <w:tcPr>
            <w:tcW w:w="424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94E7880">
            <w:pPr>
              <w:widowControl/>
              <w:spacing w:line="360" w:lineRule="auto"/>
              <w:contextualSpacing/>
              <w:jc w:val="center"/>
              <w:rPr>
                <w:rFonts w:ascii="宋体" w:hAnsi="宋体" w:cs="宋体"/>
                <w:color w:val="auto"/>
                <w:kern w:val="0"/>
                <w:sz w:val="24"/>
                <w:szCs w:val="24"/>
                <w:highlight w:val="none"/>
              </w:rPr>
            </w:pPr>
          </w:p>
        </w:tc>
        <w:tc>
          <w:tcPr>
            <w:tcW w:w="91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069606F">
            <w:pPr>
              <w:widowControl/>
              <w:spacing w:line="360" w:lineRule="auto"/>
              <w:contextualSpacing/>
              <w:jc w:val="center"/>
              <w:rPr>
                <w:rFonts w:ascii="宋体" w:hAnsi="宋体" w:cs="宋体"/>
                <w:color w:val="auto"/>
                <w:kern w:val="0"/>
                <w:sz w:val="24"/>
                <w:szCs w:val="24"/>
                <w:highlight w:val="none"/>
              </w:rPr>
            </w:pPr>
          </w:p>
        </w:tc>
      </w:tr>
      <w:tr w14:paraId="789C241F">
        <w:tblPrEx>
          <w:shd w:val="clear" w:color="auto" w:fill="FBFBFB"/>
          <w:tblCellMar>
            <w:top w:w="120" w:type="dxa"/>
            <w:left w:w="120" w:type="dxa"/>
            <w:bottom w:w="120" w:type="dxa"/>
            <w:right w:w="120" w:type="dxa"/>
          </w:tblCellMar>
        </w:tblPrEx>
        <w:trPr>
          <w:trHeight w:val="0" w:hRule="atLeast"/>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98C49A0">
            <w:pPr>
              <w:widowControl/>
              <w:spacing w:line="360" w:lineRule="auto"/>
              <w:contextualSpacing/>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BA60D6F">
            <w:pPr>
              <w:widowControl/>
              <w:spacing w:line="360" w:lineRule="auto"/>
              <w:contextualSpacing/>
              <w:jc w:val="center"/>
              <w:rPr>
                <w:rFonts w:ascii="宋体" w:hAnsi="宋体" w:cs="宋体"/>
                <w:color w:val="auto"/>
                <w:kern w:val="0"/>
                <w:sz w:val="24"/>
                <w:szCs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8C3AEF4">
            <w:pPr>
              <w:widowControl/>
              <w:spacing w:line="360" w:lineRule="auto"/>
              <w:contextualSpacing/>
              <w:jc w:val="center"/>
              <w:rPr>
                <w:rFonts w:ascii="宋体" w:hAnsi="宋体" w:cs="宋体"/>
                <w:color w:val="auto"/>
                <w:kern w:val="0"/>
                <w:sz w:val="24"/>
                <w:szCs w:val="24"/>
                <w:highlight w:val="none"/>
              </w:rPr>
            </w:pPr>
          </w:p>
        </w:tc>
        <w:tc>
          <w:tcPr>
            <w:tcW w:w="424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BBDB0EF">
            <w:pPr>
              <w:widowControl/>
              <w:spacing w:line="360" w:lineRule="auto"/>
              <w:contextualSpacing/>
              <w:jc w:val="center"/>
              <w:rPr>
                <w:rFonts w:ascii="宋体" w:hAnsi="宋体" w:cs="宋体"/>
                <w:color w:val="auto"/>
                <w:kern w:val="0"/>
                <w:sz w:val="24"/>
                <w:szCs w:val="24"/>
                <w:highlight w:val="none"/>
              </w:rPr>
            </w:pPr>
          </w:p>
        </w:tc>
        <w:tc>
          <w:tcPr>
            <w:tcW w:w="91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1AA97C2">
            <w:pPr>
              <w:widowControl/>
              <w:spacing w:line="360" w:lineRule="auto"/>
              <w:contextualSpacing/>
              <w:jc w:val="center"/>
              <w:rPr>
                <w:rFonts w:ascii="宋体" w:hAnsi="宋体" w:cs="宋体"/>
                <w:color w:val="auto"/>
                <w:kern w:val="0"/>
                <w:sz w:val="24"/>
                <w:szCs w:val="24"/>
                <w:highlight w:val="none"/>
              </w:rPr>
            </w:pPr>
          </w:p>
        </w:tc>
      </w:tr>
      <w:tr w14:paraId="45DE85A9">
        <w:tblPrEx>
          <w:shd w:val="clear" w:color="auto" w:fill="FBFBFB"/>
          <w:tblCellMar>
            <w:top w:w="120" w:type="dxa"/>
            <w:left w:w="120" w:type="dxa"/>
            <w:bottom w:w="120" w:type="dxa"/>
            <w:right w:w="120" w:type="dxa"/>
          </w:tblCellMar>
        </w:tblPrEx>
        <w:trPr>
          <w:trHeight w:val="0" w:hRule="atLeast"/>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9A7AE5E">
            <w:pPr>
              <w:widowControl/>
              <w:spacing w:line="360" w:lineRule="auto"/>
              <w:contextualSpacing/>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4CAC7E8">
            <w:pPr>
              <w:widowControl/>
              <w:spacing w:line="360" w:lineRule="auto"/>
              <w:contextualSpacing/>
              <w:jc w:val="center"/>
              <w:rPr>
                <w:rFonts w:ascii="宋体" w:hAnsi="宋体" w:cs="宋体"/>
                <w:color w:val="auto"/>
                <w:kern w:val="0"/>
                <w:sz w:val="24"/>
                <w:szCs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62CEAE5">
            <w:pPr>
              <w:widowControl/>
              <w:spacing w:line="360" w:lineRule="auto"/>
              <w:contextualSpacing/>
              <w:jc w:val="center"/>
              <w:rPr>
                <w:rFonts w:ascii="宋体" w:hAnsi="宋体" w:cs="宋体"/>
                <w:color w:val="auto"/>
                <w:kern w:val="0"/>
                <w:sz w:val="24"/>
                <w:szCs w:val="24"/>
                <w:highlight w:val="none"/>
              </w:rPr>
            </w:pPr>
          </w:p>
        </w:tc>
        <w:tc>
          <w:tcPr>
            <w:tcW w:w="424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6F29CBA">
            <w:pPr>
              <w:widowControl/>
              <w:spacing w:line="360" w:lineRule="auto"/>
              <w:contextualSpacing/>
              <w:jc w:val="center"/>
              <w:rPr>
                <w:rFonts w:ascii="宋体" w:hAnsi="宋体" w:cs="宋体"/>
                <w:color w:val="auto"/>
                <w:kern w:val="0"/>
                <w:sz w:val="24"/>
                <w:szCs w:val="24"/>
                <w:highlight w:val="none"/>
              </w:rPr>
            </w:pPr>
          </w:p>
        </w:tc>
        <w:tc>
          <w:tcPr>
            <w:tcW w:w="91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9555945">
            <w:pPr>
              <w:widowControl/>
              <w:spacing w:line="360" w:lineRule="auto"/>
              <w:contextualSpacing/>
              <w:jc w:val="center"/>
              <w:rPr>
                <w:rFonts w:ascii="宋体" w:hAnsi="宋体" w:cs="宋体"/>
                <w:color w:val="auto"/>
                <w:kern w:val="0"/>
                <w:sz w:val="24"/>
                <w:szCs w:val="24"/>
                <w:highlight w:val="none"/>
              </w:rPr>
            </w:pPr>
          </w:p>
        </w:tc>
      </w:tr>
    </w:tbl>
    <w:p w14:paraId="4019EBF5">
      <w:pPr>
        <w:spacing w:line="360" w:lineRule="auto"/>
        <w:contextualSpacing/>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w:t>
      </w:r>
    </w:p>
    <w:p w14:paraId="42589804">
      <w:pPr>
        <w:spacing w:line="360" w:lineRule="auto"/>
        <w:ind w:firstLine="480" w:firstLineChars="200"/>
        <w:contextualSpacing/>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111B3A3">
      <w:pPr>
        <w:spacing w:line="360" w:lineRule="auto"/>
        <w:ind w:firstLine="480" w:firstLineChars="200"/>
        <w:contextualSpacing/>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2.本表所指的控股关系仅限于直接控股关系，不包括间接的控股关系。公司实际控制人与公司之间的关系不属于本表所指的直接控股关系。</w:t>
      </w:r>
    </w:p>
    <w:p w14:paraId="16F30B62">
      <w:pPr>
        <w:spacing w:line="360" w:lineRule="auto"/>
        <w:ind w:firstLine="480" w:firstLineChars="200"/>
        <w:contextualSpacing/>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3.供应商不存在直接控股股东的，则填“无”。</w:t>
      </w:r>
    </w:p>
    <w:p w14:paraId="469D35DE">
      <w:pPr>
        <w:spacing w:line="360" w:lineRule="auto"/>
        <w:jc w:val="left"/>
        <w:rPr>
          <w:rFonts w:ascii="宋体" w:hAnsi="宋体" w:cs="宋体"/>
          <w:color w:val="auto"/>
          <w:sz w:val="24"/>
          <w:szCs w:val="24"/>
          <w:highlight w:val="none"/>
        </w:rPr>
      </w:pPr>
    </w:p>
    <w:p w14:paraId="2EEDEAA3">
      <w:pPr>
        <w:pStyle w:val="5"/>
        <w:numPr>
          <w:ilvl w:val="0"/>
          <w:numId w:val="0"/>
        </w:numPr>
        <w:ind w:leftChars="0"/>
        <w:rPr>
          <w:color w:val="auto"/>
          <w:sz w:val="24"/>
          <w:szCs w:val="24"/>
          <w:highlight w:val="none"/>
        </w:rPr>
      </w:pPr>
    </w:p>
    <w:p w14:paraId="5AF99FED">
      <w:pPr>
        <w:rPr>
          <w:color w:val="auto"/>
          <w:sz w:val="24"/>
          <w:szCs w:val="24"/>
          <w:highlight w:val="none"/>
        </w:rPr>
      </w:pPr>
    </w:p>
    <w:p w14:paraId="626D3B63">
      <w:pPr>
        <w:autoSpaceDE w:val="0"/>
        <w:autoSpaceDN w:val="0"/>
        <w:spacing w:line="360" w:lineRule="auto"/>
        <w:ind w:left="4365" w:leftChars="1850" w:hanging="480" w:hanging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供应商名称（电子签章）：</w:t>
      </w:r>
    </w:p>
    <w:p w14:paraId="6B8D32ED">
      <w:pPr>
        <w:autoSpaceDE w:val="0"/>
        <w:autoSpaceDN w:val="0"/>
        <w:spacing w:line="360" w:lineRule="auto"/>
        <w:ind w:firstLine="6120" w:firstLineChars="2550"/>
        <w:rPr>
          <w:rFonts w:hint="eastAsia" w:ascii="宋体" w:hAnsi="宋体" w:cs="宋体"/>
          <w:color w:val="auto"/>
          <w:kern w:val="0"/>
          <w:sz w:val="24"/>
          <w:szCs w:val="24"/>
          <w:highlight w:val="none"/>
          <w:lang w:val="zh-CN"/>
        </w:rPr>
      </w:pPr>
    </w:p>
    <w:p w14:paraId="0D63499D">
      <w:pPr>
        <w:autoSpaceDE w:val="0"/>
        <w:autoSpaceDN w:val="0"/>
        <w:spacing w:line="360" w:lineRule="auto"/>
        <w:ind w:firstLine="6120" w:firstLineChars="2550"/>
        <w:rPr>
          <w:rFonts w:ascii="宋体" w:hAnsi="宋体" w:cs="宋体"/>
          <w:b/>
          <w:bCs/>
          <w:color w:val="auto"/>
          <w:sz w:val="24"/>
          <w:szCs w:val="24"/>
          <w:highlight w:val="none"/>
        </w:rPr>
      </w:pPr>
      <w:r>
        <w:rPr>
          <w:rFonts w:hint="eastAsia" w:ascii="宋体" w:hAnsi="宋体" w:cs="宋体"/>
          <w:color w:val="auto"/>
          <w:kern w:val="0"/>
          <w:sz w:val="24"/>
          <w:szCs w:val="24"/>
          <w:highlight w:val="none"/>
          <w:lang w:val="zh-CN"/>
        </w:rPr>
        <w:t>日期：  年  月   日</w:t>
      </w:r>
    </w:p>
    <w:p w14:paraId="0D4D550E">
      <w:pPr>
        <w:spacing w:line="360" w:lineRule="auto"/>
        <w:rPr>
          <w:rFonts w:ascii="宋体" w:hAnsi="宋体" w:cs="宋体"/>
          <w:b/>
          <w:color w:val="auto"/>
          <w:kern w:val="0"/>
          <w:sz w:val="24"/>
          <w:szCs w:val="24"/>
          <w:highlight w:val="none"/>
        </w:rPr>
      </w:pPr>
    </w:p>
    <w:p w14:paraId="78E9BF5C">
      <w:pPr>
        <w:spacing w:line="360" w:lineRule="auto"/>
        <w:rPr>
          <w:rFonts w:ascii="宋体" w:hAnsi="宋体" w:cs="宋体"/>
          <w:b/>
          <w:color w:val="auto"/>
          <w:kern w:val="0"/>
          <w:sz w:val="24"/>
          <w:szCs w:val="24"/>
          <w:highlight w:val="none"/>
        </w:rPr>
      </w:pPr>
    </w:p>
    <w:p w14:paraId="26417FDA">
      <w:pPr>
        <w:spacing w:line="360" w:lineRule="auto"/>
        <w:rPr>
          <w:rFonts w:ascii="宋体" w:hAnsi="宋体" w:cs="宋体"/>
          <w:b/>
          <w:color w:val="auto"/>
          <w:kern w:val="0"/>
          <w:sz w:val="24"/>
          <w:szCs w:val="24"/>
          <w:highlight w:val="none"/>
        </w:rPr>
      </w:pPr>
    </w:p>
    <w:p w14:paraId="090F8ED6">
      <w:pPr>
        <w:spacing w:line="360" w:lineRule="auto"/>
        <w:rPr>
          <w:rFonts w:ascii="宋体" w:hAnsi="宋体" w:cs="宋体"/>
          <w:b/>
          <w:color w:val="auto"/>
          <w:kern w:val="0"/>
          <w:sz w:val="24"/>
          <w:szCs w:val="24"/>
          <w:highlight w:val="none"/>
        </w:rPr>
      </w:pPr>
    </w:p>
    <w:p w14:paraId="3E52093B">
      <w:pPr>
        <w:spacing w:line="360" w:lineRule="auto"/>
        <w:rPr>
          <w:rFonts w:ascii="宋体" w:hAnsi="宋体" w:cs="宋体"/>
          <w:b/>
          <w:color w:val="auto"/>
          <w:kern w:val="0"/>
          <w:sz w:val="24"/>
          <w:szCs w:val="24"/>
          <w:highlight w:val="none"/>
        </w:rPr>
      </w:pPr>
    </w:p>
    <w:p w14:paraId="2F936C3F">
      <w:pPr>
        <w:spacing w:line="360" w:lineRule="auto"/>
        <w:ind w:firstLine="477" w:firstLineChars="198"/>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lang w:eastAsia="zh-CN"/>
        </w:rPr>
        <w:t>二</w:t>
      </w:r>
      <w:r>
        <w:rPr>
          <w:rFonts w:hint="eastAsia" w:ascii="宋体" w:hAnsi="宋体" w:cs="宋体"/>
          <w:b/>
          <w:color w:val="auto"/>
          <w:kern w:val="0"/>
          <w:sz w:val="24"/>
          <w:szCs w:val="24"/>
          <w:highlight w:val="none"/>
        </w:rPr>
        <w:t>、供应商直接管理关系信息表</w:t>
      </w:r>
    </w:p>
    <w:p w14:paraId="736121AA">
      <w:pPr>
        <w:spacing w:line="360" w:lineRule="auto"/>
        <w:jc w:val="center"/>
        <w:rPr>
          <w:rFonts w:ascii="宋体" w:hAnsi="宋体" w:cs="宋体"/>
          <w:b/>
          <w:color w:val="auto"/>
          <w:sz w:val="24"/>
          <w:szCs w:val="24"/>
          <w:highlight w:val="none"/>
        </w:rPr>
      </w:pPr>
    </w:p>
    <w:tbl>
      <w:tblPr>
        <w:tblStyle w:val="32"/>
        <w:tblW w:w="0" w:type="auto"/>
        <w:jc w:val="center"/>
        <w:shd w:val="clear" w:color="auto" w:fill="FBFBFB"/>
        <w:tblLayout w:type="fixed"/>
        <w:tblCellMar>
          <w:top w:w="120" w:type="dxa"/>
          <w:left w:w="120" w:type="dxa"/>
          <w:bottom w:w="120" w:type="dxa"/>
          <w:right w:w="120" w:type="dxa"/>
        </w:tblCellMar>
      </w:tblPr>
      <w:tblGrid>
        <w:gridCol w:w="808"/>
        <w:gridCol w:w="3600"/>
        <w:gridCol w:w="3555"/>
        <w:gridCol w:w="1689"/>
      </w:tblGrid>
      <w:tr w14:paraId="2D97B6E8">
        <w:tblPrEx>
          <w:tblCellMar>
            <w:top w:w="120" w:type="dxa"/>
            <w:left w:w="120" w:type="dxa"/>
            <w:bottom w:w="120" w:type="dxa"/>
            <w:right w:w="120" w:type="dxa"/>
          </w:tblCellMar>
        </w:tblPrEx>
        <w:trPr>
          <w:trHeight w:val="0" w:hRule="atLeast"/>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2DF3243">
            <w:pPr>
              <w:widowControl/>
              <w:spacing w:line="360" w:lineRule="auto"/>
              <w:contextualSpacing/>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717B057">
            <w:pPr>
              <w:widowControl/>
              <w:spacing w:line="360" w:lineRule="auto"/>
              <w:contextualSpacing/>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4620FF0">
            <w:pPr>
              <w:widowControl/>
              <w:spacing w:line="360" w:lineRule="auto"/>
              <w:contextualSpacing/>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01F802A">
            <w:pPr>
              <w:widowControl/>
              <w:spacing w:line="360" w:lineRule="auto"/>
              <w:contextualSpacing/>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备注</w:t>
            </w:r>
          </w:p>
        </w:tc>
      </w:tr>
      <w:tr w14:paraId="677C7C5E">
        <w:tblPrEx>
          <w:tblCellMar>
            <w:top w:w="120" w:type="dxa"/>
            <w:left w:w="120" w:type="dxa"/>
            <w:bottom w:w="120" w:type="dxa"/>
            <w:right w:w="120" w:type="dxa"/>
          </w:tblCellMar>
        </w:tblPrEx>
        <w:trPr>
          <w:trHeight w:val="0"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5855BB1">
            <w:pPr>
              <w:widowControl/>
              <w:spacing w:line="360" w:lineRule="auto"/>
              <w:contextualSpacing/>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CA2A13D">
            <w:pPr>
              <w:widowControl/>
              <w:spacing w:line="360" w:lineRule="auto"/>
              <w:contextualSpacing/>
              <w:jc w:val="center"/>
              <w:rPr>
                <w:rFonts w:ascii="宋体" w:hAnsi="宋体" w:cs="宋体"/>
                <w:color w:val="auto"/>
                <w:kern w:val="0"/>
                <w:sz w:val="24"/>
                <w:szCs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26E7541">
            <w:pPr>
              <w:widowControl/>
              <w:spacing w:line="360" w:lineRule="auto"/>
              <w:contextualSpacing/>
              <w:jc w:val="center"/>
              <w:rPr>
                <w:rFonts w:ascii="宋体" w:hAnsi="宋体" w:cs="宋体"/>
                <w:color w:val="auto"/>
                <w:kern w:val="0"/>
                <w:sz w:val="24"/>
                <w:szCs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5CEE095">
            <w:pPr>
              <w:widowControl/>
              <w:spacing w:line="360" w:lineRule="auto"/>
              <w:contextualSpacing/>
              <w:jc w:val="center"/>
              <w:rPr>
                <w:rFonts w:ascii="宋体" w:hAnsi="宋体" w:cs="宋体"/>
                <w:color w:val="auto"/>
                <w:kern w:val="0"/>
                <w:sz w:val="24"/>
                <w:szCs w:val="24"/>
                <w:highlight w:val="none"/>
              </w:rPr>
            </w:pPr>
          </w:p>
        </w:tc>
      </w:tr>
      <w:tr w14:paraId="330F12E4">
        <w:tblPrEx>
          <w:shd w:val="clear" w:color="auto" w:fill="FBFBFB"/>
          <w:tblCellMar>
            <w:top w:w="120" w:type="dxa"/>
            <w:left w:w="120" w:type="dxa"/>
            <w:bottom w:w="120" w:type="dxa"/>
            <w:right w:w="120" w:type="dxa"/>
          </w:tblCellMar>
        </w:tblPrEx>
        <w:trPr>
          <w:trHeight w:val="0"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10145F3">
            <w:pPr>
              <w:widowControl/>
              <w:spacing w:line="360" w:lineRule="auto"/>
              <w:contextualSpacing/>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1CB0855">
            <w:pPr>
              <w:widowControl/>
              <w:spacing w:line="360" w:lineRule="auto"/>
              <w:contextualSpacing/>
              <w:jc w:val="center"/>
              <w:rPr>
                <w:rFonts w:ascii="宋体" w:hAnsi="宋体" w:cs="宋体"/>
                <w:color w:val="auto"/>
                <w:kern w:val="0"/>
                <w:sz w:val="24"/>
                <w:szCs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60215BC">
            <w:pPr>
              <w:widowControl/>
              <w:spacing w:line="360" w:lineRule="auto"/>
              <w:contextualSpacing/>
              <w:jc w:val="center"/>
              <w:rPr>
                <w:rFonts w:ascii="宋体" w:hAnsi="宋体" w:cs="宋体"/>
                <w:color w:val="auto"/>
                <w:kern w:val="0"/>
                <w:sz w:val="24"/>
                <w:szCs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52F07A1">
            <w:pPr>
              <w:widowControl/>
              <w:spacing w:line="360" w:lineRule="auto"/>
              <w:contextualSpacing/>
              <w:jc w:val="center"/>
              <w:rPr>
                <w:rFonts w:ascii="宋体" w:hAnsi="宋体" w:cs="宋体"/>
                <w:color w:val="auto"/>
                <w:kern w:val="0"/>
                <w:sz w:val="24"/>
                <w:szCs w:val="24"/>
                <w:highlight w:val="none"/>
              </w:rPr>
            </w:pPr>
          </w:p>
        </w:tc>
      </w:tr>
      <w:tr w14:paraId="27B6C93F">
        <w:tblPrEx>
          <w:tblCellMar>
            <w:top w:w="120" w:type="dxa"/>
            <w:left w:w="120" w:type="dxa"/>
            <w:bottom w:w="120" w:type="dxa"/>
            <w:right w:w="120" w:type="dxa"/>
          </w:tblCellMar>
        </w:tblPrEx>
        <w:trPr>
          <w:trHeight w:val="0"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3F7C68E">
            <w:pPr>
              <w:widowControl/>
              <w:spacing w:line="360" w:lineRule="auto"/>
              <w:contextualSpacing/>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7F7BE97">
            <w:pPr>
              <w:widowControl/>
              <w:spacing w:line="360" w:lineRule="auto"/>
              <w:contextualSpacing/>
              <w:jc w:val="center"/>
              <w:rPr>
                <w:rFonts w:ascii="宋体" w:hAnsi="宋体" w:cs="宋体"/>
                <w:color w:val="auto"/>
                <w:kern w:val="0"/>
                <w:sz w:val="24"/>
                <w:szCs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DCABA9E">
            <w:pPr>
              <w:widowControl/>
              <w:spacing w:line="360" w:lineRule="auto"/>
              <w:contextualSpacing/>
              <w:jc w:val="center"/>
              <w:rPr>
                <w:rFonts w:ascii="宋体" w:hAnsi="宋体" w:cs="宋体"/>
                <w:color w:val="auto"/>
                <w:kern w:val="0"/>
                <w:sz w:val="24"/>
                <w:szCs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0E15800">
            <w:pPr>
              <w:widowControl/>
              <w:spacing w:line="360" w:lineRule="auto"/>
              <w:contextualSpacing/>
              <w:jc w:val="center"/>
              <w:rPr>
                <w:rFonts w:ascii="宋体" w:hAnsi="宋体" w:cs="宋体"/>
                <w:color w:val="auto"/>
                <w:kern w:val="0"/>
                <w:sz w:val="24"/>
                <w:szCs w:val="24"/>
                <w:highlight w:val="none"/>
              </w:rPr>
            </w:pPr>
          </w:p>
        </w:tc>
      </w:tr>
      <w:tr w14:paraId="0A8F42EF">
        <w:tblPrEx>
          <w:shd w:val="clear" w:color="auto" w:fill="FBFBFB"/>
          <w:tblCellMar>
            <w:top w:w="120" w:type="dxa"/>
            <w:left w:w="120" w:type="dxa"/>
            <w:bottom w:w="120" w:type="dxa"/>
            <w:right w:w="120" w:type="dxa"/>
          </w:tblCellMar>
        </w:tblPrEx>
        <w:trPr>
          <w:trHeight w:val="0"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F1E0E11">
            <w:pPr>
              <w:widowControl/>
              <w:spacing w:line="360" w:lineRule="auto"/>
              <w:contextualSpacing/>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AEEDD80">
            <w:pPr>
              <w:widowControl/>
              <w:spacing w:line="360" w:lineRule="auto"/>
              <w:contextualSpacing/>
              <w:jc w:val="center"/>
              <w:rPr>
                <w:rFonts w:ascii="宋体" w:hAnsi="宋体" w:cs="宋体"/>
                <w:color w:val="auto"/>
                <w:kern w:val="0"/>
                <w:sz w:val="24"/>
                <w:szCs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977505C">
            <w:pPr>
              <w:widowControl/>
              <w:spacing w:line="360" w:lineRule="auto"/>
              <w:contextualSpacing/>
              <w:jc w:val="center"/>
              <w:rPr>
                <w:rFonts w:ascii="宋体" w:hAnsi="宋体" w:cs="宋体"/>
                <w:color w:val="auto"/>
                <w:kern w:val="0"/>
                <w:sz w:val="24"/>
                <w:szCs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495E665">
            <w:pPr>
              <w:widowControl/>
              <w:spacing w:line="360" w:lineRule="auto"/>
              <w:contextualSpacing/>
              <w:jc w:val="center"/>
              <w:rPr>
                <w:rFonts w:ascii="宋体" w:hAnsi="宋体" w:cs="宋体"/>
                <w:color w:val="auto"/>
                <w:kern w:val="0"/>
                <w:sz w:val="24"/>
                <w:szCs w:val="24"/>
                <w:highlight w:val="none"/>
              </w:rPr>
            </w:pPr>
          </w:p>
        </w:tc>
      </w:tr>
    </w:tbl>
    <w:p w14:paraId="669CA8A9">
      <w:pPr>
        <w:spacing w:line="360" w:lineRule="auto"/>
        <w:ind w:firstLine="480" w:firstLineChars="200"/>
        <w:contextualSpacing/>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w:t>
      </w:r>
    </w:p>
    <w:p w14:paraId="7394F135">
      <w:pPr>
        <w:spacing w:line="360" w:lineRule="auto"/>
        <w:ind w:firstLine="480" w:firstLineChars="200"/>
        <w:contextualSpacing/>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1.管理关系：是指不具有出资持股关系的其他单位之间存在的管理与被管理关系，如一些上下级关系的事业单位和团体组织。</w:t>
      </w:r>
    </w:p>
    <w:p w14:paraId="3EA938C7">
      <w:pPr>
        <w:spacing w:line="360" w:lineRule="auto"/>
        <w:ind w:firstLine="480" w:firstLineChars="200"/>
        <w:contextualSpacing/>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2.本表所指的管理关系仅限于直接管理关系，不包括间接的管理关系。</w:t>
      </w:r>
    </w:p>
    <w:p w14:paraId="0FF96C85">
      <w:pPr>
        <w:spacing w:line="360" w:lineRule="auto"/>
        <w:ind w:firstLine="480" w:firstLineChars="200"/>
        <w:contextualSpacing/>
        <w:jc w:val="left"/>
        <w:rPr>
          <w:rFonts w:ascii="宋体" w:hAnsi="宋体" w:cs="宋体"/>
          <w:color w:val="auto"/>
          <w:sz w:val="24"/>
          <w:szCs w:val="24"/>
          <w:highlight w:val="none"/>
        </w:rPr>
      </w:pPr>
      <w:r>
        <w:rPr>
          <w:rFonts w:hint="eastAsia" w:ascii="宋体" w:hAnsi="宋体" w:cs="宋体"/>
          <w:color w:val="auto"/>
          <w:kern w:val="0"/>
          <w:sz w:val="24"/>
          <w:szCs w:val="24"/>
          <w:highlight w:val="none"/>
        </w:rPr>
        <w:t>3.供应商不存在直接管理关系的，则填“无”。</w:t>
      </w:r>
    </w:p>
    <w:p w14:paraId="758D12DA">
      <w:pPr>
        <w:autoSpaceDE w:val="0"/>
        <w:autoSpaceDN w:val="0"/>
        <w:spacing w:line="360" w:lineRule="auto"/>
        <w:ind w:left="4365" w:leftChars="1850" w:hanging="480" w:hangingChars="200"/>
        <w:rPr>
          <w:rFonts w:hint="eastAsia" w:ascii="宋体" w:hAnsi="宋体" w:cs="宋体"/>
          <w:color w:val="auto"/>
          <w:kern w:val="0"/>
          <w:sz w:val="24"/>
          <w:szCs w:val="24"/>
          <w:highlight w:val="none"/>
        </w:rPr>
      </w:pPr>
    </w:p>
    <w:p w14:paraId="056BEB5D">
      <w:pPr>
        <w:autoSpaceDE w:val="0"/>
        <w:autoSpaceDN w:val="0"/>
        <w:spacing w:line="360" w:lineRule="auto"/>
        <w:ind w:left="4365" w:leftChars="1850" w:hanging="480" w:hangingChars="200"/>
        <w:rPr>
          <w:rFonts w:hint="eastAsia" w:ascii="宋体" w:hAnsi="宋体" w:cs="宋体"/>
          <w:color w:val="auto"/>
          <w:kern w:val="0"/>
          <w:sz w:val="24"/>
          <w:szCs w:val="24"/>
          <w:highlight w:val="none"/>
        </w:rPr>
      </w:pPr>
    </w:p>
    <w:p w14:paraId="0B3B7457">
      <w:pPr>
        <w:autoSpaceDE w:val="0"/>
        <w:autoSpaceDN w:val="0"/>
        <w:spacing w:line="360" w:lineRule="auto"/>
        <w:ind w:left="4365" w:leftChars="1850" w:hanging="480" w:hanging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供应商名称（电子签章）：</w:t>
      </w:r>
    </w:p>
    <w:p w14:paraId="31D12F80">
      <w:pPr>
        <w:autoSpaceDE w:val="0"/>
        <w:autoSpaceDN w:val="0"/>
        <w:spacing w:line="360" w:lineRule="auto"/>
        <w:ind w:firstLine="6120" w:firstLineChars="2550"/>
        <w:jc w:val="center"/>
        <w:rPr>
          <w:rFonts w:ascii="宋体" w:hAnsi="宋体" w:cs="宋体"/>
          <w:color w:val="auto"/>
          <w:sz w:val="24"/>
          <w:szCs w:val="24"/>
          <w:highlight w:val="none"/>
        </w:rPr>
      </w:pPr>
      <w:r>
        <w:rPr>
          <w:rFonts w:hint="eastAsia" w:ascii="宋体" w:hAnsi="宋体" w:cs="宋体"/>
          <w:color w:val="auto"/>
          <w:kern w:val="0"/>
          <w:sz w:val="24"/>
          <w:szCs w:val="24"/>
          <w:highlight w:val="none"/>
          <w:lang w:val="zh-CN"/>
        </w:rPr>
        <w:t>日期：  年  月   日</w:t>
      </w:r>
      <w:r>
        <w:rPr>
          <w:rFonts w:hint="eastAsia" w:ascii="宋体" w:hAnsi="宋体" w:cs="宋体"/>
          <w:color w:val="auto"/>
          <w:sz w:val="24"/>
          <w:szCs w:val="24"/>
          <w:highlight w:val="none"/>
        </w:rPr>
        <w:br w:type="page"/>
      </w:r>
      <w:r>
        <w:rPr>
          <w:rFonts w:hint="eastAsia" w:ascii="宋体" w:hAnsi="宋体" w:cs="宋体"/>
          <w:b/>
          <w:color w:val="auto"/>
          <w:kern w:val="0"/>
          <w:sz w:val="24"/>
          <w:szCs w:val="24"/>
          <w:highlight w:val="none"/>
          <w:lang w:eastAsia="zh-CN"/>
        </w:rPr>
        <w:t>三</w:t>
      </w:r>
      <w:r>
        <w:rPr>
          <w:rFonts w:hint="eastAsia" w:ascii="宋体" w:hAnsi="宋体" w:cs="宋体"/>
          <w:b/>
          <w:color w:val="auto"/>
          <w:kern w:val="0"/>
          <w:sz w:val="24"/>
          <w:szCs w:val="24"/>
          <w:highlight w:val="none"/>
        </w:rPr>
        <w:t>、资格声明函</w:t>
      </w:r>
    </w:p>
    <w:p w14:paraId="426FE23D">
      <w:pPr>
        <w:spacing w:line="360" w:lineRule="auto"/>
        <w:jc w:val="center"/>
        <w:rPr>
          <w:rFonts w:ascii="宋体" w:hAnsi="宋体" w:cs="宋体"/>
          <w:b/>
          <w:color w:val="auto"/>
          <w:sz w:val="24"/>
          <w:szCs w:val="24"/>
          <w:highlight w:val="none"/>
        </w:rPr>
      </w:pPr>
    </w:p>
    <w:p w14:paraId="58E2B64F">
      <w:pPr>
        <w:spacing w:line="360" w:lineRule="auto"/>
        <w:jc w:val="center"/>
        <w:rPr>
          <w:rFonts w:ascii="宋体" w:hAnsi="宋体" w:cs="宋体"/>
          <w:color w:val="auto"/>
          <w:sz w:val="24"/>
          <w:szCs w:val="24"/>
          <w:highlight w:val="none"/>
        </w:rPr>
      </w:pPr>
    </w:p>
    <w:p w14:paraId="3ABADB5E">
      <w:pPr>
        <w:spacing w:line="360" w:lineRule="auto"/>
        <w:contextualSpacing/>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（采购</w:t>
      </w:r>
      <w:r>
        <w:rPr>
          <w:rFonts w:hint="eastAsia" w:ascii="宋体" w:hAnsi="宋体" w:cs="宋体"/>
          <w:color w:val="auto"/>
          <w:sz w:val="24"/>
          <w:szCs w:val="24"/>
          <w:highlight w:val="none"/>
          <w:u w:val="single"/>
          <w:lang w:eastAsia="zh-CN"/>
        </w:rPr>
        <w:t>人</w:t>
      </w:r>
      <w:r>
        <w:rPr>
          <w:rFonts w:hint="eastAsia" w:ascii="宋体" w:hAnsi="宋体" w:cs="宋体"/>
          <w:color w:val="auto"/>
          <w:sz w:val="24"/>
          <w:szCs w:val="24"/>
          <w:highlight w:val="none"/>
          <w:u w:val="single"/>
        </w:rPr>
        <w:t>名称）</w:t>
      </w:r>
      <w:r>
        <w:rPr>
          <w:rFonts w:hint="eastAsia" w:ascii="宋体" w:hAnsi="宋体" w:cs="宋体"/>
          <w:color w:val="auto"/>
          <w:sz w:val="24"/>
          <w:szCs w:val="24"/>
          <w:highlight w:val="none"/>
        </w:rPr>
        <w:t>：</w:t>
      </w:r>
    </w:p>
    <w:p w14:paraId="56C190E9">
      <w:pPr>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u w:val="single"/>
        </w:rPr>
        <w:t>（供应商名称）</w:t>
      </w:r>
      <w:r>
        <w:rPr>
          <w:rFonts w:hint="eastAsia" w:ascii="宋体" w:hAnsi="宋体" w:cs="宋体"/>
          <w:color w:val="auto"/>
          <w:sz w:val="24"/>
          <w:szCs w:val="24"/>
          <w:highlight w:val="none"/>
        </w:rPr>
        <w:t>系中华人民共和国合法供应商，经营地址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49B8070">
      <w:pPr>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我方愿意参加贵方组织的</w:t>
      </w:r>
      <w:r>
        <w:rPr>
          <w:rFonts w:hint="eastAsia" w:ascii="宋体" w:hAnsi="宋体" w:cs="宋体"/>
          <w:color w:val="auto"/>
          <w:sz w:val="24"/>
          <w:szCs w:val="24"/>
          <w:highlight w:val="none"/>
          <w:u w:val="single"/>
        </w:rPr>
        <w:t>（项目名称）</w:t>
      </w:r>
      <w:r>
        <w:rPr>
          <w:rFonts w:hint="eastAsia" w:ascii="宋体" w:hAnsi="宋体" w:cs="宋体"/>
          <w:color w:val="auto"/>
          <w:sz w:val="24"/>
          <w:szCs w:val="24"/>
          <w:highlight w:val="none"/>
        </w:rPr>
        <w:t>项目的竞标，为便于贵方公正、择优地确定成交供应商及其竞标产品和货物，我方就本次竞标有关事项郑重声明如下：</w:t>
      </w:r>
    </w:p>
    <w:p w14:paraId="511828A9">
      <w:pPr>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1.我方向贵方提交的所有响应文件、资料都是准确的和真实的。</w:t>
      </w:r>
    </w:p>
    <w:p w14:paraId="1554A5A2">
      <w:pPr>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2.我方不是采购人的附属机构；不是为本次采购项目提供整体设计、规范编制或者项目管理、监理、检测等货物的供应商；在获知本项目采购信息后，与采购人聘请的为此项目提供咨询货物的公司及其附属机构没有任何联系。</w:t>
      </w:r>
    </w:p>
    <w:p w14:paraId="6BE196DE">
      <w:pPr>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3.在此，我方宣布同意如下：</w:t>
      </w:r>
    </w:p>
    <w:p w14:paraId="2295B4E7">
      <w:pPr>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（1）将按谈判文件的约定履行合同责任和义务；</w:t>
      </w:r>
    </w:p>
    <w:p w14:paraId="61DBD5A3">
      <w:pPr>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（2）已详细审查全部谈判文件，包括澄清或者更正公告（如有）；</w:t>
      </w:r>
    </w:p>
    <w:p w14:paraId="17A846E9">
      <w:pPr>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（3）同意提供按照贵方可能要求的与谈判有关的一切数据或者资料；</w:t>
      </w:r>
    </w:p>
    <w:p w14:paraId="484B6A0E">
      <w:pPr>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（4）响应谈判文件规定的竞标有效期。</w:t>
      </w:r>
    </w:p>
    <w:p w14:paraId="20711703">
      <w:pPr>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4.我方承诺符合《中华人民共和国政府采购法》第二十二条规定：</w:t>
      </w:r>
    </w:p>
    <w:p w14:paraId="0908A748">
      <w:pPr>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w:t>
      </w:r>
    </w:p>
    <w:p w14:paraId="4A7E9EA5">
      <w:pPr>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（2）具有良好的商业信誉和健全的财务会计制度；</w:t>
      </w:r>
    </w:p>
    <w:p w14:paraId="2BDA245F">
      <w:pPr>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（3）具有履行合同所必需的设备和专业技术能力；</w:t>
      </w:r>
    </w:p>
    <w:p w14:paraId="32ABBD64">
      <w:pPr>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（4）有依法缴纳税收和社会保障资金的良好记录；</w:t>
      </w:r>
    </w:p>
    <w:p w14:paraId="06917440">
      <w:pPr>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（5）参加政府采购活动前三年内，在经营活动中没有重大违法记录；</w:t>
      </w:r>
    </w:p>
    <w:p w14:paraId="39F7916C">
      <w:pPr>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（6）法律、行政法规规定的其他条件。</w:t>
      </w:r>
    </w:p>
    <w:p w14:paraId="5CC2991F">
      <w:pPr>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4918EA4A">
      <w:pPr>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2F8480DD">
      <w:pPr>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□我方本次响应文件</w:t>
      </w:r>
      <w:r>
        <w:rPr>
          <w:rFonts w:hint="eastAsia" w:ascii="宋体" w:hAnsi="宋体" w:cs="宋体"/>
          <w:color w:val="auto"/>
          <w:kern w:val="0"/>
          <w:sz w:val="24"/>
          <w:szCs w:val="24"/>
          <w:highlight w:val="none"/>
        </w:rPr>
        <w:t>内容中</w:t>
      </w:r>
      <w:r>
        <w:rPr>
          <w:rFonts w:hint="eastAsia" w:ascii="宋体" w:hAnsi="宋体" w:cs="宋体"/>
          <w:color w:val="auto"/>
          <w:sz w:val="24"/>
          <w:szCs w:val="24"/>
          <w:highlight w:val="none"/>
        </w:rPr>
        <w:t>未</w:t>
      </w:r>
      <w:r>
        <w:rPr>
          <w:rFonts w:hint="eastAsia" w:ascii="宋体" w:hAnsi="宋体" w:cs="宋体"/>
          <w:color w:val="auto"/>
          <w:kern w:val="0"/>
          <w:sz w:val="24"/>
          <w:szCs w:val="24"/>
          <w:highlight w:val="none"/>
        </w:rPr>
        <w:t>涉及商业秘密；</w:t>
      </w:r>
    </w:p>
    <w:p w14:paraId="7DDBA70C">
      <w:pPr>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□我方本次响应文件</w:t>
      </w:r>
      <w:r>
        <w:rPr>
          <w:rFonts w:hint="eastAsia" w:ascii="宋体" w:hAnsi="宋体" w:cs="宋体"/>
          <w:color w:val="auto"/>
          <w:kern w:val="0"/>
          <w:sz w:val="24"/>
          <w:szCs w:val="24"/>
          <w:highlight w:val="none"/>
        </w:rPr>
        <w:t>涉及商业秘密的内容有：</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4E07BF23">
      <w:pPr>
        <w:pStyle w:val="18"/>
        <w:spacing w:line="360" w:lineRule="auto"/>
        <w:ind w:firstLine="480" w:firstLineChars="200"/>
        <w:contextualSpacing/>
        <w:rPr>
          <w:rFonts w:hAnsi="宋体" w:cs="宋体"/>
          <w:color w:val="auto"/>
          <w:sz w:val="24"/>
          <w:szCs w:val="24"/>
          <w:highlight w:val="none"/>
          <w:u w:val="single"/>
        </w:rPr>
      </w:pPr>
      <w:r>
        <w:rPr>
          <w:rFonts w:hint="eastAsia" w:hAnsi="宋体" w:cs="宋体"/>
          <w:color w:val="auto"/>
          <w:sz w:val="24"/>
          <w:szCs w:val="24"/>
          <w:highlight w:val="none"/>
        </w:rPr>
        <w:t>7.与本谈判有关的一切正式往来信函请寄：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u w:val="single"/>
        </w:rPr>
        <w:t xml:space="preserve">        </w:t>
      </w:r>
    </w:p>
    <w:p w14:paraId="4F587EC4">
      <w:pPr>
        <w:pStyle w:val="18"/>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电子函件：</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12F21286">
      <w:pPr>
        <w:pStyle w:val="16"/>
        <w:tabs>
          <w:tab w:val="left" w:pos="939"/>
        </w:tabs>
        <w:spacing w:line="360" w:lineRule="auto"/>
        <w:ind w:left="141" w:leftChars="67"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开户银行：</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帐号：</w:t>
      </w:r>
      <w:r>
        <w:rPr>
          <w:rFonts w:hint="eastAsia" w:ascii="宋体" w:hAnsi="宋体" w:cs="宋体"/>
          <w:color w:val="auto"/>
          <w:sz w:val="24"/>
          <w:szCs w:val="24"/>
          <w:highlight w:val="none"/>
          <w:u w:val="single"/>
        </w:rPr>
        <w:t xml:space="preserve">                               </w:t>
      </w:r>
    </w:p>
    <w:p w14:paraId="5C60299B">
      <w:pPr>
        <w:pStyle w:val="16"/>
        <w:tabs>
          <w:tab w:val="left" w:pos="939"/>
        </w:tabs>
        <w:spacing w:line="360" w:lineRule="auto"/>
        <w:ind w:left="0" w:lef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8.以上事项如有虚假或者隐瞒，我方愿意承担一切后果，并不再寻求任何旨在减轻或者免除法律责任的辩解。</w:t>
      </w:r>
    </w:p>
    <w:p w14:paraId="4807EBF4">
      <w:pPr>
        <w:pStyle w:val="16"/>
        <w:tabs>
          <w:tab w:val="left" w:pos="939"/>
        </w:tabs>
        <w:spacing w:line="360" w:lineRule="auto"/>
        <w:ind w:left="141" w:leftChars="67"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特此承诺。</w:t>
      </w:r>
    </w:p>
    <w:p w14:paraId="11138B3B">
      <w:pPr>
        <w:pStyle w:val="16"/>
        <w:tabs>
          <w:tab w:val="left" w:pos="939"/>
        </w:tabs>
        <w:spacing w:line="360" w:lineRule="auto"/>
        <w:ind w:left="0" w:lef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注：如为联合体竞标，盖章处须加盖联合体各方公章并由联合体各方法定代表人签署，否则其响应文件按无效响应处理。</w:t>
      </w:r>
    </w:p>
    <w:p w14:paraId="6F049C7D">
      <w:pPr>
        <w:pStyle w:val="16"/>
        <w:tabs>
          <w:tab w:val="left" w:pos="939"/>
        </w:tabs>
        <w:spacing w:line="360" w:lineRule="auto"/>
        <w:ind w:left="0" w:leftChars="0" w:firstLine="480" w:firstLineChars="200"/>
        <w:rPr>
          <w:rFonts w:ascii="宋体" w:hAnsi="宋体" w:cs="宋体"/>
          <w:color w:val="auto"/>
          <w:sz w:val="24"/>
          <w:szCs w:val="24"/>
          <w:highlight w:val="none"/>
        </w:rPr>
      </w:pPr>
    </w:p>
    <w:p w14:paraId="2BDE5854">
      <w:pPr>
        <w:autoSpaceDE w:val="0"/>
        <w:autoSpaceDN w:val="0"/>
        <w:spacing w:line="360" w:lineRule="auto"/>
        <w:ind w:left="4365" w:leftChars="1850" w:hanging="480" w:hangingChars="200"/>
        <w:rPr>
          <w:rFonts w:hint="eastAsia" w:ascii="宋体" w:hAnsi="宋体" w:cs="宋体"/>
          <w:color w:val="auto"/>
          <w:kern w:val="0"/>
          <w:sz w:val="24"/>
          <w:szCs w:val="24"/>
          <w:highlight w:val="none"/>
        </w:rPr>
      </w:pPr>
    </w:p>
    <w:p w14:paraId="60B34A5D">
      <w:pPr>
        <w:autoSpaceDE w:val="0"/>
        <w:autoSpaceDN w:val="0"/>
        <w:spacing w:line="360" w:lineRule="auto"/>
        <w:ind w:left="4365" w:leftChars="1850" w:hanging="480" w:hanging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供应商名称（电子签章）：</w:t>
      </w:r>
    </w:p>
    <w:p w14:paraId="41923A74">
      <w:pPr>
        <w:autoSpaceDE w:val="0"/>
        <w:autoSpaceDN w:val="0"/>
        <w:spacing w:line="360" w:lineRule="auto"/>
        <w:ind w:firstLine="6000" w:firstLineChars="2500"/>
        <w:rPr>
          <w:rFonts w:hint="eastAsia" w:ascii="宋体" w:hAnsi="宋体" w:cs="宋体"/>
          <w:b w:val="0"/>
          <w:bCs w:val="0"/>
          <w:color w:val="auto"/>
          <w:sz w:val="24"/>
          <w:szCs w:val="24"/>
          <w:highlight w:val="none"/>
        </w:rPr>
        <w:sectPr>
          <w:pgSz w:w="11910" w:h="16840"/>
          <w:pgMar w:top="1440" w:right="1080" w:bottom="1440" w:left="1080" w:header="720" w:footer="720" w:gutter="0"/>
          <w:cols w:space="720" w:num="1"/>
        </w:sectPr>
      </w:pPr>
      <w:r>
        <w:rPr>
          <w:rFonts w:hint="eastAsia" w:ascii="宋体" w:hAnsi="宋体" w:cs="宋体"/>
          <w:color w:val="auto"/>
          <w:kern w:val="0"/>
          <w:sz w:val="24"/>
          <w:szCs w:val="24"/>
          <w:highlight w:val="none"/>
          <w:lang w:val="zh-CN"/>
        </w:rPr>
        <w:t>日期：  年  月   日</w:t>
      </w:r>
    </w:p>
    <w:p w14:paraId="6EACC519">
      <w:pPr>
        <w:pStyle w:val="3"/>
        <w:spacing w:before="0" w:after="0" w:line="360" w:lineRule="auto"/>
        <w:jc w:val="center"/>
        <w:rPr>
          <w:rFonts w:ascii="宋体" w:hAnsi="宋体" w:cs="宋体"/>
          <w:b/>
          <w:bCs/>
          <w:color w:val="auto"/>
          <w:sz w:val="24"/>
          <w:szCs w:val="24"/>
          <w:highlight w:val="none"/>
        </w:rPr>
      </w:pPr>
      <w:bookmarkStart w:id="87" w:name="_Toc19505"/>
      <w:r>
        <w:rPr>
          <w:rFonts w:hint="eastAsia" w:ascii="宋体" w:hAnsi="宋体" w:cs="宋体"/>
          <w:b/>
          <w:bCs/>
          <w:color w:val="auto"/>
          <w:sz w:val="24"/>
          <w:szCs w:val="24"/>
          <w:highlight w:val="none"/>
        </w:rPr>
        <w:t>第二节 商务</w:t>
      </w:r>
      <w:r>
        <w:rPr>
          <w:rFonts w:hint="eastAsia" w:ascii="宋体" w:hAnsi="宋体" w:cs="宋体"/>
          <w:b/>
          <w:bCs/>
          <w:color w:val="auto"/>
          <w:sz w:val="24"/>
          <w:szCs w:val="24"/>
          <w:highlight w:val="none"/>
          <w:lang w:val="en-US" w:eastAsia="zh-CN"/>
        </w:rPr>
        <w:t>技术</w:t>
      </w:r>
      <w:r>
        <w:rPr>
          <w:rFonts w:hint="eastAsia" w:ascii="宋体" w:hAnsi="宋体" w:cs="宋体"/>
          <w:b/>
          <w:bCs/>
          <w:color w:val="auto"/>
          <w:sz w:val="24"/>
          <w:szCs w:val="24"/>
          <w:highlight w:val="none"/>
        </w:rPr>
        <w:t>格式</w:t>
      </w:r>
      <w:bookmarkEnd w:id="87"/>
    </w:p>
    <w:p w14:paraId="0102BB46">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4084A065">
      <w:pPr>
        <w:spacing w:line="360" w:lineRule="auto"/>
        <w:rPr>
          <w:rFonts w:ascii="宋体" w:hAnsi="宋体" w:cs="宋体"/>
          <w:color w:val="auto"/>
          <w:sz w:val="24"/>
          <w:szCs w:val="24"/>
          <w:highlight w:val="none"/>
        </w:rPr>
      </w:pPr>
    </w:p>
    <w:p w14:paraId="7E9886A7">
      <w:pPr>
        <w:spacing w:line="360" w:lineRule="auto"/>
        <w:rPr>
          <w:rFonts w:ascii="宋体" w:hAnsi="宋体" w:cs="宋体"/>
          <w:color w:val="auto"/>
          <w:sz w:val="24"/>
          <w:szCs w:val="24"/>
          <w:highlight w:val="none"/>
        </w:rPr>
      </w:pPr>
    </w:p>
    <w:p w14:paraId="588F0022">
      <w:pPr>
        <w:spacing w:line="360" w:lineRule="auto"/>
        <w:rPr>
          <w:rFonts w:ascii="宋体" w:hAnsi="宋体" w:cs="宋体"/>
          <w:color w:val="auto"/>
          <w:sz w:val="24"/>
          <w:szCs w:val="24"/>
          <w:highlight w:val="none"/>
        </w:rPr>
      </w:pPr>
    </w:p>
    <w:p w14:paraId="5AF79B71">
      <w:pPr>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商  务</w:t>
      </w:r>
      <w:r>
        <w:rPr>
          <w:rFonts w:hint="eastAsia" w:ascii="宋体" w:hAnsi="宋体" w:cs="宋体"/>
          <w:bCs/>
          <w:color w:val="auto"/>
          <w:sz w:val="24"/>
          <w:szCs w:val="24"/>
          <w:highlight w:val="none"/>
          <w:lang w:val="en-US" w:eastAsia="zh-CN"/>
        </w:rPr>
        <w:t xml:space="preserve">  技  术</w:t>
      </w:r>
      <w:r>
        <w:rPr>
          <w:rFonts w:hint="eastAsia" w:ascii="宋体" w:hAnsi="宋体" w:cs="宋体"/>
          <w:bCs/>
          <w:color w:val="auto"/>
          <w:sz w:val="24"/>
          <w:szCs w:val="24"/>
          <w:highlight w:val="none"/>
        </w:rPr>
        <w:t xml:space="preserve">  文  件（封面）</w:t>
      </w:r>
    </w:p>
    <w:p w14:paraId="712FE68B">
      <w:pPr>
        <w:spacing w:line="360" w:lineRule="auto"/>
        <w:rPr>
          <w:rFonts w:ascii="宋体" w:hAnsi="宋体" w:cs="宋体"/>
          <w:bCs/>
          <w:color w:val="auto"/>
          <w:sz w:val="24"/>
          <w:szCs w:val="24"/>
          <w:highlight w:val="none"/>
        </w:rPr>
      </w:pPr>
    </w:p>
    <w:p w14:paraId="1D704FFF">
      <w:pPr>
        <w:spacing w:line="360" w:lineRule="auto"/>
        <w:rPr>
          <w:rFonts w:ascii="宋体" w:hAnsi="宋体" w:cs="宋体"/>
          <w:bCs/>
          <w:color w:val="auto"/>
          <w:sz w:val="24"/>
          <w:szCs w:val="24"/>
          <w:highlight w:val="none"/>
        </w:rPr>
      </w:pPr>
    </w:p>
    <w:p w14:paraId="74D4281F">
      <w:pPr>
        <w:spacing w:line="360" w:lineRule="auto"/>
        <w:rPr>
          <w:rFonts w:ascii="宋体" w:hAnsi="宋体" w:cs="宋体"/>
          <w:bCs/>
          <w:color w:val="auto"/>
          <w:sz w:val="24"/>
          <w:szCs w:val="24"/>
          <w:highlight w:val="none"/>
        </w:rPr>
      </w:pPr>
    </w:p>
    <w:p w14:paraId="683BF670">
      <w:pPr>
        <w:spacing w:line="360" w:lineRule="auto"/>
        <w:rPr>
          <w:rFonts w:ascii="宋体" w:hAnsi="宋体" w:cs="宋体"/>
          <w:bCs/>
          <w:color w:val="auto"/>
          <w:sz w:val="24"/>
          <w:szCs w:val="24"/>
          <w:highlight w:val="none"/>
        </w:rPr>
      </w:pPr>
    </w:p>
    <w:p w14:paraId="635525A7">
      <w:pPr>
        <w:spacing w:line="360" w:lineRule="auto"/>
        <w:rPr>
          <w:rFonts w:ascii="宋体" w:hAnsi="宋体" w:cs="宋体"/>
          <w:bCs/>
          <w:color w:val="auto"/>
          <w:sz w:val="24"/>
          <w:szCs w:val="24"/>
          <w:highlight w:val="none"/>
        </w:rPr>
      </w:pPr>
    </w:p>
    <w:p w14:paraId="6189242A">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项目名称：</w:t>
      </w:r>
    </w:p>
    <w:p w14:paraId="5945CBED">
      <w:pPr>
        <w:spacing w:line="360" w:lineRule="auto"/>
        <w:ind w:firstLine="540" w:firstLineChars="225"/>
        <w:rPr>
          <w:rFonts w:ascii="宋体" w:hAnsi="宋体" w:cs="宋体"/>
          <w:bCs/>
          <w:color w:val="auto"/>
          <w:sz w:val="24"/>
          <w:szCs w:val="24"/>
          <w:highlight w:val="none"/>
        </w:rPr>
      </w:pPr>
    </w:p>
    <w:p w14:paraId="57EC385E">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项目编号：</w:t>
      </w:r>
    </w:p>
    <w:p w14:paraId="49094608">
      <w:pPr>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 </w:t>
      </w:r>
    </w:p>
    <w:p w14:paraId="640F9C38">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所竞分标（如有则填写，无分标时填写“无”或者留空）：</w:t>
      </w:r>
    </w:p>
    <w:p w14:paraId="7113AFD9">
      <w:pPr>
        <w:spacing w:line="360" w:lineRule="auto"/>
        <w:ind w:firstLine="540" w:firstLineChars="225"/>
        <w:rPr>
          <w:rFonts w:ascii="宋体" w:hAnsi="宋体" w:cs="宋体"/>
          <w:bCs/>
          <w:color w:val="auto"/>
          <w:sz w:val="24"/>
          <w:szCs w:val="24"/>
          <w:highlight w:val="none"/>
        </w:rPr>
      </w:pPr>
    </w:p>
    <w:p w14:paraId="099AE1FE">
      <w:pPr>
        <w:pStyle w:val="7"/>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供应商名称：</w:t>
      </w:r>
    </w:p>
    <w:p w14:paraId="77B568E3">
      <w:pPr>
        <w:pStyle w:val="7"/>
        <w:spacing w:line="360" w:lineRule="auto"/>
        <w:ind w:firstLine="540" w:firstLineChars="225"/>
        <w:rPr>
          <w:rFonts w:ascii="宋体" w:hAnsi="宋体" w:cs="宋体"/>
          <w:bCs/>
          <w:color w:val="auto"/>
          <w:sz w:val="24"/>
          <w:szCs w:val="24"/>
          <w:highlight w:val="none"/>
        </w:rPr>
      </w:pPr>
    </w:p>
    <w:p w14:paraId="7D5410B1">
      <w:pPr>
        <w:pStyle w:val="7"/>
        <w:spacing w:line="360" w:lineRule="auto"/>
        <w:ind w:firstLine="540" w:firstLineChars="225"/>
        <w:rPr>
          <w:rFonts w:ascii="宋体" w:hAnsi="宋体" w:cs="宋体"/>
          <w:bCs/>
          <w:color w:val="auto"/>
          <w:sz w:val="24"/>
          <w:szCs w:val="24"/>
          <w:highlight w:val="none"/>
        </w:rPr>
      </w:pPr>
    </w:p>
    <w:p w14:paraId="5A0EC3AC">
      <w:pPr>
        <w:pStyle w:val="7"/>
        <w:spacing w:line="360" w:lineRule="auto"/>
        <w:ind w:firstLine="960" w:firstLineChars="400"/>
        <w:rPr>
          <w:rFonts w:ascii="宋体" w:hAnsi="宋体" w:cs="宋体"/>
          <w:bCs/>
          <w:color w:val="auto"/>
          <w:sz w:val="24"/>
          <w:szCs w:val="24"/>
          <w:highlight w:val="none"/>
        </w:rPr>
      </w:pPr>
    </w:p>
    <w:p w14:paraId="4D7A29B5">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    月    日</w:t>
      </w:r>
    </w:p>
    <w:p w14:paraId="17E21912">
      <w:pPr>
        <w:spacing w:line="360" w:lineRule="auto"/>
        <w:jc w:val="center"/>
        <w:rPr>
          <w:rFonts w:ascii="宋体" w:hAnsi="宋体" w:cs="宋体"/>
          <w:b/>
          <w:color w:val="auto"/>
          <w:kern w:val="0"/>
          <w:sz w:val="24"/>
          <w:szCs w:val="24"/>
          <w:highlight w:val="none"/>
        </w:rPr>
      </w:pPr>
      <w:r>
        <w:rPr>
          <w:rFonts w:hint="eastAsia" w:ascii="宋体" w:hAnsi="宋体" w:cs="宋体"/>
          <w:color w:val="auto"/>
          <w:sz w:val="24"/>
          <w:szCs w:val="24"/>
          <w:highlight w:val="none"/>
        </w:rPr>
        <w:br w:type="page"/>
      </w:r>
      <w:r>
        <w:rPr>
          <w:rFonts w:hint="eastAsia" w:ascii="宋体" w:hAnsi="宋体" w:cs="宋体"/>
          <w:b/>
          <w:color w:val="auto"/>
          <w:kern w:val="0"/>
          <w:sz w:val="24"/>
          <w:szCs w:val="24"/>
          <w:highlight w:val="none"/>
        </w:rPr>
        <w:t>商务</w:t>
      </w:r>
      <w:r>
        <w:rPr>
          <w:rFonts w:hint="eastAsia" w:ascii="宋体" w:hAnsi="宋体" w:cs="宋体"/>
          <w:b/>
          <w:color w:val="auto"/>
          <w:kern w:val="0"/>
          <w:sz w:val="24"/>
          <w:szCs w:val="24"/>
          <w:highlight w:val="none"/>
          <w:lang w:val="en-US" w:eastAsia="zh-CN"/>
        </w:rPr>
        <w:t>技术</w:t>
      </w:r>
      <w:r>
        <w:rPr>
          <w:rFonts w:hint="eastAsia" w:ascii="宋体" w:hAnsi="宋体" w:cs="宋体"/>
          <w:b/>
          <w:color w:val="auto"/>
          <w:kern w:val="0"/>
          <w:sz w:val="24"/>
          <w:szCs w:val="24"/>
          <w:highlight w:val="none"/>
        </w:rPr>
        <w:t>文件目录</w:t>
      </w:r>
    </w:p>
    <w:p w14:paraId="1BE35872">
      <w:pPr>
        <w:pStyle w:val="14"/>
        <w:tabs>
          <w:tab w:val="clear" w:pos="4153"/>
          <w:tab w:val="clear" w:pos="8306"/>
        </w:tabs>
        <w:rPr>
          <w:rFonts w:ascii="宋体" w:hAnsi="宋体" w:cs="宋体"/>
          <w:b/>
          <w:color w:val="auto"/>
          <w:kern w:val="0"/>
          <w:sz w:val="24"/>
          <w:szCs w:val="24"/>
          <w:highlight w:val="none"/>
        </w:rPr>
      </w:pPr>
    </w:p>
    <w:p w14:paraId="77C8D744">
      <w:pPr>
        <w:pStyle w:val="5"/>
        <w:rPr>
          <w:color w:val="auto"/>
          <w:sz w:val="24"/>
          <w:szCs w:val="24"/>
          <w:highlight w:val="none"/>
        </w:rPr>
        <w:sectPr>
          <w:footerReference r:id="rId9" w:type="default"/>
          <w:pgSz w:w="11910" w:h="16840"/>
          <w:pgMar w:top="1440" w:right="1080" w:bottom="1440" w:left="1080" w:header="720" w:footer="720" w:gutter="0"/>
          <w:cols w:space="720" w:num="1"/>
        </w:sectPr>
      </w:pPr>
      <w:r>
        <w:rPr>
          <w:rFonts w:hint="eastAsia" w:hAnsi="宋体" w:cs="宋体"/>
          <w:color w:val="auto"/>
          <w:sz w:val="24"/>
          <w:szCs w:val="24"/>
          <w:highlight w:val="none"/>
          <w:lang w:eastAsia="zh-CN"/>
        </w:rPr>
        <w:t>（格式自拟）</w:t>
      </w:r>
    </w:p>
    <w:p w14:paraId="4A89C6BE">
      <w:pPr>
        <w:spacing w:line="360" w:lineRule="auto"/>
        <w:ind w:firstLine="482" w:firstLineChars="200"/>
        <w:jc w:val="center"/>
        <w:rPr>
          <w:rFonts w:ascii="宋体" w:hAnsi="宋体" w:cs="宋体"/>
          <w:color w:val="auto"/>
          <w:sz w:val="24"/>
          <w:szCs w:val="24"/>
          <w:highlight w:val="none"/>
        </w:rPr>
      </w:pPr>
      <w:r>
        <w:rPr>
          <w:rFonts w:hint="eastAsia" w:ascii="宋体" w:hAnsi="宋体" w:cs="宋体"/>
          <w:b/>
          <w:color w:val="auto"/>
          <w:sz w:val="24"/>
          <w:szCs w:val="24"/>
          <w:highlight w:val="none"/>
        </w:rPr>
        <w:t>一、无串通响应行为的承诺函</w:t>
      </w:r>
    </w:p>
    <w:p w14:paraId="2815666E">
      <w:pPr>
        <w:spacing w:line="360" w:lineRule="auto"/>
        <w:ind w:firstLine="482" w:firstLineChars="200"/>
        <w:contextualSpacing/>
        <w:rPr>
          <w:rFonts w:hint="eastAsia" w:ascii="宋体" w:hAnsi="宋体" w:cs="宋体"/>
          <w:b/>
          <w:bCs/>
          <w:color w:val="auto"/>
          <w:sz w:val="24"/>
          <w:szCs w:val="24"/>
          <w:highlight w:val="none"/>
        </w:rPr>
      </w:pPr>
    </w:p>
    <w:p w14:paraId="5C76F9F9">
      <w:pPr>
        <w:keepNext w:val="0"/>
        <w:keepLines w:val="0"/>
        <w:pageBreakBefore w:val="0"/>
        <w:widowControl w:val="0"/>
        <w:kinsoku/>
        <w:wordWrap/>
        <w:overflowPunct/>
        <w:topLinePunct w:val="0"/>
        <w:autoSpaceDE/>
        <w:autoSpaceDN/>
        <w:bidi w:val="0"/>
        <w:spacing w:line="460" w:lineRule="exact"/>
        <w:ind w:firstLine="482" w:firstLineChars="200"/>
        <w:contextualSpacing/>
        <w:rPr>
          <w:rFonts w:ascii="宋体" w:hAnsi="宋体" w:cs="宋体"/>
          <w:b/>
          <w:bCs/>
          <w:color w:val="auto"/>
          <w:sz w:val="24"/>
          <w:szCs w:val="24"/>
          <w:highlight w:val="none"/>
        </w:rPr>
      </w:pPr>
      <w:r>
        <w:rPr>
          <w:rFonts w:hint="eastAsia" w:ascii="宋体" w:hAnsi="宋体" w:cs="宋体"/>
          <w:b/>
          <w:bCs/>
          <w:color w:val="auto"/>
          <w:sz w:val="24"/>
          <w:szCs w:val="24"/>
          <w:highlight w:val="none"/>
        </w:rPr>
        <w:t>一、我方承诺无下列相互串通竞标的情形：</w:t>
      </w:r>
    </w:p>
    <w:p w14:paraId="5774F269">
      <w:pPr>
        <w:keepNext w:val="0"/>
        <w:keepLines w:val="0"/>
        <w:pageBreakBefore w:val="0"/>
        <w:widowControl w:val="0"/>
        <w:kinsoku/>
        <w:wordWrap/>
        <w:overflowPunct/>
        <w:topLinePunct w:val="0"/>
        <w:autoSpaceDE/>
        <w:autoSpaceDN/>
        <w:bidi w:val="0"/>
        <w:spacing w:line="460" w:lineRule="exact"/>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1.不同供应商的响应文件由同一单位或者个人编制；</w:t>
      </w:r>
    </w:p>
    <w:p w14:paraId="6D2F6442">
      <w:pPr>
        <w:keepNext w:val="0"/>
        <w:keepLines w:val="0"/>
        <w:pageBreakBefore w:val="0"/>
        <w:widowControl w:val="0"/>
        <w:kinsoku/>
        <w:wordWrap/>
        <w:overflowPunct/>
        <w:topLinePunct w:val="0"/>
        <w:autoSpaceDE/>
        <w:autoSpaceDN/>
        <w:bidi w:val="0"/>
        <w:spacing w:line="460" w:lineRule="exact"/>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2.不同供应商委托同一单位或者个人办理竞标事宜；</w:t>
      </w:r>
    </w:p>
    <w:p w14:paraId="43840B24">
      <w:pPr>
        <w:keepNext w:val="0"/>
        <w:keepLines w:val="0"/>
        <w:pageBreakBefore w:val="0"/>
        <w:widowControl w:val="0"/>
        <w:kinsoku/>
        <w:wordWrap/>
        <w:overflowPunct/>
        <w:topLinePunct w:val="0"/>
        <w:autoSpaceDE/>
        <w:autoSpaceDN/>
        <w:bidi w:val="0"/>
        <w:spacing w:line="460" w:lineRule="exact"/>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3.不同的供应商的响应文件载明的项目管理员为同一个人；</w:t>
      </w:r>
    </w:p>
    <w:p w14:paraId="35F1BCEE">
      <w:pPr>
        <w:keepNext w:val="0"/>
        <w:keepLines w:val="0"/>
        <w:pageBreakBefore w:val="0"/>
        <w:widowControl w:val="0"/>
        <w:kinsoku/>
        <w:wordWrap/>
        <w:overflowPunct/>
        <w:topLinePunct w:val="0"/>
        <w:autoSpaceDE/>
        <w:autoSpaceDN/>
        <w:bidi w:val="0"/>
        <w:spacing w:line="460" w:lineRule="exact"/>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4.不</w:t>
      </w:r>
      <w:r>
        <w:rPr>
          <w:rFonts w:hint="eastAsia" w:ascii="宋体" w:hAnsi="宋体" w:cs="宋体"/>
          <w:color w:val="auto"/>
          <w:spacing w:val="-6"/>
          <w:sz w:val="24"/>
          <w:szCs w:val="24"/>
          <w:highlight w:val="none"/>
        </w:rPr>
        <w:t>同供应商的响应文件异常一致或者竞标报价呈规律性差异；</w:t>
      </w:r>
    </w:p>
    <w:p w14:paraId="06B6A301">
      <w:pPr>
        <w:keepNext w:val="0"/>
        <w:keepLines w:val="0"/>
        <w:pageBreakBefore w:val="0"/>
        <w:widowControl w:val="0"/>
        <w:kinsoku/>
        <w:wordWrap/>
        <w:overflowPunct/>
        <w:topLinePunct w:val="0"/>
        <w:autoSpaceDE/>
        <w:autoSpaceDN/>
        <w:bidi w:val="0"/>
        <w:spacing w:line="460" w:lineRule="exact"/>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5.不同供应商的响应文件相互混装；</w:t>
      </w:r>
    </w:p>
    <w:p w14:paraId="39421B6B">
      <w:pPr>
        <w:keepNext w:val="0"/>
        <w:keepLines w:val="0"/>
        <w:pageBreakBefore w:val="0"/>
        <w:widowControl w:val="0"/>
        <w:kinsoku/>
        <w:wordWrap/>
        <w:overflowPunct/>
        <w:topLinePunct w:val="0"/>
        <w:autoSpaceDE/>
        <w:autoSpaceDN/>
        <w:bidi w:val="0"/>
        <w:spacing w:line="460" w:lineRule="exact"/>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6.不同供应商的竞标保证金从同一单位或者个人账户转出。</w:t>
      </w:r>
    </w:p>
    <w:p w14:paraId="3FF727B3">
      <w:pPr>
        <w:keepNext w:val="0"/>
        <w:keepLines w:val="0"/>
        <w:pageBreakBefore w:val="0"/>
        <w:widowControl w:val="0"/>
        <w:kinsoku/>
        <w:wordWrap/>
        <w:overflowPunct/>
        <w:topLinePunct w:val="0"/>
        <w:autoSpaceDE/>
        <w:autoSpaceDN/>
        <w:bidi w:val="0"/>
        <w:spacing w:line="460" w:lineRule="exact"/>
        <w:ind w:firstLine="482" w:firstLineChars="200"/>
        <w:contextualSpacing/>
        <w:rPr>
          <w:rFonts w:ascii="宋体" w:hAnsi="宋体" w:cs="宋体"/>
          <w:b/>
          <w:bCs/>
          <w:color w:val="auto"/>
          <w:sz w:val="24"/>
          <w:szCs w:val="24"/>
          <w:highlight w:val="none"/>
        </w:rPr>
      </w:pPr>
      <w:r>
        <w:rPr>
          <w:rFonts w:hint="eastAsia" w:ascii="宋体" w:hAnsi="宋体" w:cs="宋体"/>
          <w:b/>
          <w:bCs/>
          <w:color w:val="auto"/>
          <w:sz w:val="24"/>
          <w:szCs w:val="24"/>
          <w:highlight w:val="none"/>
        </w:rPr>
        <w:t>二、我方承诺无下列恶意串通的情形：</w:t>
      </w:r>
    </w:p>
    <w:p w14:paraId="4D815325">
      <w:pPr>
        <w:keepNext w:val="0"/>
        <w:keepLines w:val="0"/>
        <w:pageBreakBefore w:val="0"/>
        <w:widowControl w:val="0"/>
        <w:kinsoku/>
        <w:wordWrap/>
        <w:overflowPunct/>
        <w:topLinePunct w:val="0"/>
        <w:autoSpaceDE/>
        <w:autoSpaceDN/>
        <w:bidi w:val="0"/>
        <w:spacing w:line="460" w:lineRule="exact"/>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1.供应商直接或者间接从采购人或者采购代理机构处获得其他供应商的相关信息并修改其响应文件；</w:t>
      </w:r>
    </w:p>
    <w:p w14:paraId="0DBFE823">
      <w:pPr>
        <w:keepNext w:val="0"/>
        <w:keepLines w:val="0"/>
        <w:pageBreakBefore w:val="0"/>
        <w:widowControl w:val="0"/>
        <w:kinsoku/>
        <w:wordWrap/>
        <w:overflowPunct/>
        <w:topLinePunct w:val="0"/>
        <w:autoSpaceDE/>
        <w:autoSpaceDN/>
        <w:bidi w:val="0"/>
        <w:spacing w:line="460" w:lineRule="exact"/>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2.供应商按照采购人或者采购代理机构的授意撤换、修改响应文件；</w:t>
      </w:r>
    </w:p>
    <w:p w14:paraId="23480F5F">
      <w:pPr>
        <w:keepNext w:val="0"/>
        <w:keepLines w:val="0"/>
        <w:pageBreakBefore w:val="0"/>
        <w:widowControl w:val="0"/>
        <w:kinsoku/>
        <w:wordWrap/>
        <w:overflowPunct/>
        <w:topLinePunct w:val="0"/>
        <w:autoSpaceDE/>
        <w:autoSpaceDN/>
        <w:bidi w:val="0"/>
        <w:spacing w:line="460" w:lineRule="exact"/>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3.供</w:t>
      </w:r>
      <w:r>
        <w:rPr>
          <w:rFonts w:hint="eastAsia" w:ascii="宋体" w:hAnsi="宋体" w:cs="宋体"/>
          <w:color w:val="auto"/>
          <w:spacing w:val="-6"/>
          <w:sz w:val="24"/>
          <w:szCs w:val="24"/>
          <w:highlight w:val="none"/>
        </w:rPr>
        <w:t>应商之间协商报价、技术方案等响应文件的实质性内容；</w:t>
      </w:r>
    </w:p>
    <w:p w14:paraId="33FE4D9C">
      <w:pPr>
        <w:keepNext w:val="0"/>
        <w:keepLines w:val="0"/>
        <w:pageBreakBefore w:val="0"/>
        <w:widowControl w:val="0"/>
        <w:kinsoku/>
        <w:wordWrap/>
        <w:overflowPunct/>
        <w:topLinePunct w:val="0"/>
        <w:autoSpaceDE/>
        <w:autoSpaceDN/>
        <w:bidi w:val="0"/>
        <w:spacing w:line="460" w:lineRule="exact"/>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4.属于同一集团、协会、商会等组织成员的供应商按照该组织要求协同参加政府采购活动；</w:t>
      </w:r>
    </w:p>
    <w:p w14:paraId="146834EC">
      <w:pPr>
        <w:keepNext w:val="0"/>
        <w:keepLines w:val="0"/>
        <w:pageBreakBefore w:val="0"/>
        <w:widowControl w:val="0"/>
        <w:kinsoku/>
        <w:wordWrap/>
        <w:overflowPunct/>
        <w:topLinePunct w:val="0"/>
        <w:autoSpaceDE/>
        <w:autoSpaceDN/>
        <w:bidi w:val="0"/>
        <w:spacing w:line="460" w:lineRule="exact"/>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5.供应商之间事先约定一致抬高或者压低竞标报价,或者在竞争性谈判项目中事先约定轮流以高价位或者低价位成交,或者事先约定由某一特定供应商成交,然后再参加竞标；</w:t>
      </w:r>
    </w:p>
    <w:p w14:paraId="3C22ED3D">
      <w:pPr>
        <w:keepNext w:val="0"/>
        <w:keepLines w:val="0"/>
        <w:pageBreakBefore w:val="0"/>
        <w:widowControl w:val="0"/>
        <w:kinsoku/>
        <w:wordWrap/>
        <w:overflowPunct/>
        <w:topLinePunct w:val="0"/>
        <w:autoSpaceDE/>
        <w:autoSpaceDN/>
        <w:bidi w:val="0"/>
        <w:spacing w:line="460" w:lineRule="exact"/>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6.供应商之间商定部分供应商放弃参加政府采购活动或者放弃成交；</w:t>
      </w:r>
    </w:p>
    <w:p w14:paraId="1CF4AEF0">
      <w:pPr>
        <w:keepNext w:val="0"/>
        <w:keepLines w:val="0"/>
        <w:pageBreakBefore w:val="0"/>
        <w:widowControl w:val="0"/>
        <w:kinsoku/>
        <w:wordWrap/>
        <w:overflowPunct/>
        <w:topLinePunct w:val="0"/>
        <w:autoSpaceDE/>
        <w:autoSpaceDN/>
        <w:bidi w:val="0"/>
        <w:spacing w:line="460" w:lineRule="exact"/>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7.供应商与采购人或者采购代理机构之间、供应商相互之间，为</w:t>
      </w:r>
      <w:r>
        <w:rPr>
          <w:rFonts w:hint="eastAsia" w:ascii="宋体" w:hAnsi="宋体" w:cs="宋体"/>
          <w:color w:val="auto"/>
          <w:spacing w:val="-6"/>
          <w:sz w:val="24"/>
          <w:szCs w:val="24"/>
          <w:highlight w:val="none"/>
        </w:rPr>
        <w:t>谋求特定供应商成交或者排斥其他供应商的其他串通行为。</w:t>
      </w:r>
    </w:p>
    <w:p w14:paraId="5280AF21">
      <w:pPr>
        <w:keepNext w:val="0"/>
        <w:keepLines w:val="0"/>
        <w:pageBreakBefore w:val="0"/>
        <w:widowControl w:val="0"/>
        <w:kinsoku/>
        <w:wordWrap/>
        <w:overflowPunct/>
        <w:topLinePunct w:val="0"/>
        <w:autoSpaceDE/>
        <w:autoSpaceDN/>
        <w:bidi w:val="0"/>
        <w:spacing w:line="460" w:lineRule="exact"/>
        <w:ind w:firstLine="480" w:firstLineChars="200"/>
        <w:contextualSpacing/>
        <w:rPr>
          <w:rFonts w:ascii="宋体" w:hAnsi="宋体" w:cs="宋体"/>
          <w:color w:val="auto"/>
          <w:sz w:val="24"/>
          <w:szCs w:val="24"/>
          <w:highlight w:val="none"/>
        </w:rPr>
      </w:pPr>
    </w:p>
    <w:p w14:paraId="6DA753F9">
      <w:pPr>
        <w:keepNext w:val="0"/>
        <w:keepLines w:val="0"/>
        <w:pageBreakBefore w:val="0"/>
        <w:widowControl w:val="0"/>
        <w:kinsoku/>
        <w:wordWrap/>
        <w:overflowPunct/>
        <w:topLinePunct w:val="0"/>
        <w:autoSpaceDE/>
        <w:autoSpaceDN/>
        <w:bidi w:val="0"/>
        <w:spacing w:line="460" w:lineRule="exact"/>
        <w:ind w:firstLine="482" w:firstLineChars="200"/>
        <w:contextualSpacing/>
        <w:rPr>
          <w:rFonts w:ascii="宋体" w:hAnsi="宋体" w:cs="宋体"/>
          <w:b/>
          <w:bCs/>
          <w:color w:val="auto"/>
          <w:sz w:val="24"/>
          <w:szCs w:val="24"/>
          <w:highlight w:val="none"/>
        </w:rPr>
      </w:pPr>
      <w:r>
        <w:rPr>
          <w:rFonts w:hint="eastAsia" w:ascii="宋体" w:hAnsi="宋体" w:cs="宋体"/>
          <w:b/>
          <w:bCs/>
          <w:color w:val="auto"/>
          <w:sz w:val="24"/>
          <w:szCs w:val="24"/>
          <w:highlight w:val="none"/>
        </w:rPr>
        <w:t>以上情形一经核查属实，我方愿意承担一切后果，并不再寻求任何旨在减轻或者免除法律责任的辩解。</w:t>
      </w:r>
    </w:p>
    <w:p w14:paraId="17112CC7">
      <w:pPr>
        <w:autoSpaceDE w:val="0"/>
        <w:autoSpaceDN w:val="0"/>
        <w:spacing w:line="360" w:lineRule="auto"/>
        <w:ind w:left="4335" w:leftChars="1950" w:hanging="240" w:hangingChars="100"/>
        <w:rPr>
          <w:rFonts w:hint="eastAsia" w:ascii="宋体" w:hAnsi="宋体" w:cs="宋体"/>
          <w:color w:val="auto"/>
          <w:kern w:val="0"/>
          <w:sz w:val="24"/>
          <w:szCs w:val="24"/>
          <w:highlight w:val="none"/>
        </w:rPr>
      </w:pPr>
    </w:p>
    <w:p w14:paraId="31AC4CEF">
      <w:pPr>
        <w:autoSpaceDE w:val="0"/>
        <w:autoSpaceDN w:val="0"/>
        <w:spacing w:line="360" w:lineRule="auto"/>
        <w:ind w:left="4335" w:leftChars="1950" w:hanging="240" w:hangingChars="100"/>
        <w:rPr>
          <w:rFonts w:hint="eastAsia" w:ascii="宋体" w:hAnsi="宋体" w:cs="宋体"/>
          <w:color w:val="auto"/>
          <w:kern w:val="0"/>
          <w:sz w:val="24"/>
          <w:szCs w:val="24"/>
          <w:highlight w:val="none"/>
        </w:rPr>
      </w:pPr>
    </w:p>
    <w:p w14:paraId="3B0063AB">
      <w:pPr>
        <w:autoSpaceDE w:val="0"/>
        <w:autoSpaceDN w:val="0"/>
        <w:spacing w:line="360" w:lineRule="auto"/>
        <w:ind w:left="4335" w:leftChars="1950" w:hanging="240" w:hangingChars="1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供应商名称（电子签章）：</w:t>
      </w:r>
    </w:p>
    <w:p w14:paraId="0C6DCBE4">
      <w:pPr>
        <w:spacing w:line="360" w:lineRule="auto"/>
        <w:ind w:firstLine="5760" w:firstLineChars="2400"/>
        <w:jc w:val="center"/>
        <w:rPr>
          <w:rFonts w:ascii="宋体" w:hAnsi="宋体" w:cs="宋体"/>
          <w:bCs/>
          <w:color w:val="auto"/>
          <w:sz w:val="24"/>
          <w:szCs w:val="24"/>
          <w:highlight w:val="none"/>
        </w:rPr>
      </w:pPr>
      <w:r>
        <w:rPr>
          <w:rFonts w:hint="eastAsia" w:ascii="宋体" w:hAnsi="宋体" w:cs="宋体"/>
          <w:color w:val="auto"/>
          <w:kern w:val="0"/>
          <w:sz w:val="24"/>
          <w:szCs w:val="24"/>
          <w:highlight w:val="none"/>
          <w:lang w:val="zh-CN"/>
        </w:rPr>
        <w:t xml:space="preserve">日期：  年  月   日        </w:t>
      </w:r>
      <w:r>
        <w:rPr>
          <w:rFonts w:hint="eastAsia" w:ascii="宋体" w:hAnsi="宋体" w:cs="宋体"/>
          <w:b/>
          <w:bCs/>
          <w:color w:val="auto"/>
          <w:sz w:val="24"/>
          <w:szCs w:val="24"/>
          <w:highlight w:val="none"/>
        </w:rPr>
        <w:br w:type="page"/>
      </w:r>
      <w:r>
        <w:rPr>
          <w:rFonts w:hint="eastAsia" w:ascii="宋体" w:hAnsi="宋体" w:cs="宋体"/>
          <w:b/>
          <w:color w:val="auto"/>
          <w:sz w:val="24"/>
          <w:szCs w:val="24"/>
          <w:highlight w:val="none"/>
        </w:rPr>
        <w:t>二、法定代表人身份证明及法定代表人有效身份证正反面复印件</w:t>
      </w:r>
    </w:p>
    <w:p w14:paraId="0BDDA82D">
      <w:pPr>
        <w:spacing w:line="360" w:lineRule="auto"/>
        <w:jc w:val="center"/>
        <w:rPr>
          <w:rFonts w:hint="eastAsia" w:ascii="宋体" w:hAnsi="宋体" w:cs="宋体"/>
          <w:bCs/>
          <w:color w:val="auto"/>
          <w:sz w:val="24"/>
          <w:szCs w:val="24"/>
          <w:highlight w:val="none"/>
        </w:rPr>
      </w:pPr>
    </w:p>
    <w:p w14:paraId="018B6067">
      <w:pPr>
        <w:spacing w:line="360" w:lineRule="auto"/>
        <w:jc w:val="center"/>
        <w:rPr>
          <w:rFonts w:ascii="宋体" w:hAnsi="宋体" w:cs="宋体"/>
          <w:color w:val="auto"/>
          <w:sz w:val="24"/>
          <w:szCs w:val="24"/>
          <w:highlight w:val="none"/>
        </w:rPr>
      </w:pPr>
      <w:r>
        <w:rPr>
          <w:rFonts w:hint="eastAsia" w:ascii="宋体" w:hAnsi="宋体" w:cs="宋体"/>
          <w:bCs/>
          <w:color w:val="auto"/>
          <w:sz w:val="24"/>
          <w:szCs w:val="24"/>
          <w:highlight w:val="none"/>
        </w:rPr>
        <w:t>法定代表人证明书</w:t>
      </w:r>
    </w:p>
    <w:p w14:paraId="2E97D4CC">
      <w:pPr>
        <w:spacing w:line="360" w:lineRule="auto"/>
        <w:ind w:left="540"/>
        <w:contextualSpacing/>
        <w:rPr>
          <w:rFonts w:ascii="宋体" w:hAnsi="宋体" w:cs="宋体"/>
          <w:color w:val="auto"/>
          <w:sz w:val="24"/>
          <w:szCs w:val="24"/>
          <w:highlight w:val="none"/>
        </w:rPr>
      </w:pPr>
    </w:p>
    <w:p w14:paraId="505786EA">
      <w:pPr>
        <w:spacing w:line="360" w:lineRule="auto"/>
        <w:ind w:left="540"/>
        <w:contextualSpacing/>
        <w:rPr>
          <w:rFonts w:ascii="宋体" w:hAnsi="宋体" w:cs="宋体"/>
          <w:color w:val="auto"/>
          <w:sz w:val="24"/>
          <w:szCs w:val="24"/>
          <w:highlight w:val="none"/>
        </w:rPr>
      </w:pPr>
      <w:r>
        <w:rPr>
          <w:rFonts w:hint="eastAsia" w:ascii="宋体" w:hAnsi="宋体" w:cs="宋体"/>
          <w:color w:val="auto"/>
          <w:sz w:val="24"/>
          <w:szCs w:val="24"/>
          <w:highlight w:val="none"/>
        </w:rPr>
        <w:t>供应商名称：</w:t>
      </w:r>
      <w:r>
        <w:rPr>
          <w:rFonts w:hint="eastAsia" w:ascii="宋体" w:hAnsi="宋体" w:cs="宋体"/>
          <w:color w:val="auto"/>
          <w:sz w:val="24"/>
          <w:szCs w:val="24"/>
          <w:highlight w:val="none"/>
          <w:u w:val="single"/>
        </w:rPr>
        <w:t xml:space="preserve">                                                        </w:t>
      </w:r>
    </w:p>
    <w:p w14:paraId="71CA8CB9">
      <w:pPr>
        <w:spacing w:line="360" w:lineRule="auto"/>
        <w:ind w:left="540"/>
        <w:contextualSpacing/>
        <w:rPr>
          <w:rFonts w:ascii="宋体" w:hAnsi="宋体" w:cs="宋体"/>
          <w:color w:val="auto"/>
          <w:sz w:val="24"/>
          <w:szCs w:val="24"/>
          <w:highlight w:val="none"/>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u w:val="single"/>
        </w:rPr>
        <w:t xml:space="preserve">                                                        </w:t>
      </w:r>
    </w:p>
    <w:p w14:paraId="50CAD1A7">
      <w:pPr>
        <w:spacing w:line="360" w:lineRule="auto"/>
        <w:ind w:left="540"/>
        <w:contextualSpacing/>
        <w:rPr>
          <w:rFonts w:ascii="宋体" w:hAnsi="宋体" w:cs="宋体"/>
          <w:color w:val="auto"/>
          <w:sz w:val="24"/>
          <w:szCs w:val="24"/>
          <w:highlight w:val="none"/>
        </w:rPr>
      </w:pPr>
      <w:r>
        <w:rPr>
          <w:rFonts w:hint="eastAsia" w:ascii="宋体" w:hAnsi="宋体" w:cs="宋体"/>
          <w:color w:val="auto"/>
          <w:sz w:val="24"/>
          <w:szCs w:val="24"/>
          <w:highlight w:val="none"/>
        </w:rPr>
        <w:t>姓    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性     别：</w:t>
      </w:r>
      <w:r>
        <w:rPr>
          <w:rFonts w:hint="eastAsia" w:ascii="宋体" w:hAnsi="宋体" w:cs="宋体"/>
          <w:color w:val="auto"/>
          <w:sz w:val="24"/>
          <w:szCs w:val="24"/>
          <w:highlight w:val="none"/>
          <w:u w:val="single"/>
        </w:rPr>
        <w:t xml:space="preserve">                </w:t>
      </w:r>
    </w:p>
    <w:p w14:paraId="044A01FB">
      <w:pPr>
        <w:spacing w:line="360" w:lineRule="auto"/>
        <w:ind w:left="540"/>
        <w:contextualSpacing/>
        <w:rPr>
          <w:rFonts w:ascii="宋体" w:hAnsi="宋体" w:cs="宋体"/>
          <w:color w:val="auto"/>
          <w:sz w:val="24"/>
          <w:szCs w:val="24"/>
          <w:highlight w:val="none"/>
          <w:u w:val="single"/>
        </w:rPr>
      </w:pPr>
      <w:r>
        <w:rPr>
          <w:rFonts w:hint="eastAsia" w:ascii="宋体" w:hAnsi="宋体" w:cs="宋体"/>
          <w:color w:val="auto"/>
          <w:sz w:val="24"/>
          <w:szCs w:val="24"/>
          <w:highlight w:val="none"/>
        </w:rPr>
        <w:t>年    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职     务：</w:t>
      </w:r>
      <w:r>
        <w:rPr>
          <w:rFonts w:hint="eastAsia" w:ascii="宋体" w:hAnsi="宋体" w:cs="宋体"/>
          <w:color w:val="auto"/>
          <w:sz w:val="24"/>
          <w:szCs w:val="24"/>
          <w:highlight w:val="none"/>
          <w:u w:val="single"/>
        </w:rPr>
        <w:t xml:space="preserve">                </w:t>
      </w:r>
    </w:p>
    <w:p w14:paraId="5E44D7F1">
      <w:pPr>
        <w:spacing w:line="360" w:lineRule="auto"/>
        <w:ind w:left="540"/>
        <w:contextualSpacing/>
        <w:rPr>
          <w:rFonts w:ascii="宋体" w:hAnsi="宋体" w:cs="宋体"/>
          <w:color w:val="auto"/>
          <w:sz w:val="24"/>
          <w:szCs w:val="24"/>
          <w:highlight w:val="non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p>
    <w:p w14:paraId="115E1C93">
      <w:pPr>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系</w:t>
      </w:r>
      <w:r>
        <w:rPr>
          <w:rFonts w:hint="eastAsia" w:ascii="宋体" w:hAnsi="宋体" w:cs="宋体"/>
          <w:color w:val="auto"/>
          <w:sz w:val="24"/>
          <w:szCs w:val="24"/>
          <w:highlight w:val="none"/>
          <w:u w:val="single"/>
        </w:rPr>
        <w:t>（供应商名称）</w:t>
      </w:r>
      <w:r>
        <w:rPr>
          <w:rFonts w:hint="eastAsia" w:ascii="宋体" w:hAnsi="宋体" w:cs="宋体"/>
          <w:color w:val="auto"/>
          <w:sz w:val="24"/>
          <w:szCs w:val="24"/>
          <w:highlight w:val="none"/>
        </w:rPr>
        <w:t>的法定代表人。</w:t>
      </w:r>
    </w:p>
    <w:p w14:paraId="1CF45DB3">
      <w:pPr>
        <w:spacing w:line="360" w:lineRule="auto"/>
        <w:ind w:left="540"/>
        <w:contextualSpacing/>
        <w:rPr>
          <w:rFonts w:ascii="宋体" w:hAnsi="宋体" w:cs="宋体"/>
          <w:color w:val="auto"/>
          <w:sz w:val="24"/>
          <w:szCs w:val="24"/>
          <w:highlight w:val="none"/>
        </w:rPr>
      </w:pPr>
      <w:r>
        <w:rPr>
          <w:rFonts w:hint="eastAsia" w:ascii="宋体" w:hAnsi="宋体" w:cs="宋体"/>
          <w:color w:val="auto"/>
          <w:sz w:val="24"/>
          <w:szCs w:val="24"/>
          <w:highlight w:val="none"/>
        </w:rPr>
        <w:t>特此证明。</w:t>
      </w:r>
    </w:p>
    <w:p w14:paraId="2860A545">
      <w:pPr>
        <w:spacing w:line="360" w:lineRule="auto"/>
        <w:ind w:left="540"/>
        <w:contextualSpacing/>
        <w:rPr>
          <w:rFonts w:ascii="宋体" w:hAnsi="宋体" w:cs="宋体"/>
          <w:color w:val="auto"/>
          <w:sz w:val="24"/>
          <w:szCs w:val="24"/>
          <w:highlight w:val="none"/>
        </w:rPr>
      </w:pPr>
    </w:p>
    <w:p w14:paraId="119F46FB">
      <w:pPr>
        <w:spacing w:line="360" w:lineRule="auto"/>
        <w:ind w:left="540"/>
        <w:contextualSpacing/>
        <w:rPr>
          <w:rFonts w:ascii="宋体" w:hAnsi="宋体" w:cs="宋体"/>
          <w:color w:val="auto"/>
          <w:sz w:val="24"/>
          <w:szCs w:val="24"/>
          <w:highlight w:val="none"/>
        </w:rPr>
      </w:pPr>
    </w:p>
    <w:p w14:paraId="4C4AB1BC">
      <w:pPr>
        <w:spacing w:line="360" w:lineRule="auto"/>
        <w:ind w:left="540"/>
        <w:contextualSpacing/>
        <w:rPr>
          <w:rFonts w:ascii="宋体" w:hAnsi="宋体" w:cs="宋体"/>
          <w:color w:val="auto"/>
          <w:sz w:val="24"/>
          <w:szCs w:val="24"/>
          <w:highlight w:val="none"/>
        </w:rPr>
      </w:pPr>
    </w:p>
    <w:p w14:paraId="28868327">
      <w:pPr>
        <w:spacing w:line="360" w:lineRule="auto"/>
        <w:ind w:left="540"/>
        <w:contextualSpacing/>
        <w:rPr>
          <w:rFonts w:ascii="宋体" w:hAnsi="宋体" w:cs="宋体"/>
          <w:color w:val="auto"/>
          <w:sz w:val="24"/>
          <w:szCs w:val="24"/>
          <w:highlight w:val="none"/>
        </w:rPr>
      </w:pPr>
      <w:r>
        <w:rPr>
          <w:rFonts w:hint="eastAsia" w:ascii="宋体" w:hAnsi="宋体" w:cs="宋体"/>
          <w:color w:val="auto"/>
          <w:sz w:val="24"/>
          <w:szCs w:val="24"/>
          <w:highlight w:val="none"/>
        </w:rPr>
        <w:t>附件：法定代表人有效身份证正反面复印件</w:t>
      </w:r>
    </w:p>
    <w:p w14:paraId="2471AD08">
      <w:pPr>
        <w:spacing w:line="360" w:lineRule="auto"/>
        <w:ind w:left="540"/>
        <w:contextualSpacing/>
        <w:rPr>
          <w:rFonts w:ascii="宋体" w:hAnsi="宋体" w:cs="宋体"/>
          <w:color w:val="auto"/>
          <w:sz w:val="24"/>
          <w:szCs w:val="24"/>
          <w:highlight w:val="none"/>
        </w:rPr>
      </w:pPr>
    </w:p>
    <w:p w14:paraId="61D963F2">
      <w:pPr>
        <w:autoSpaceDE w:val="0"/>
        <w:autoSpaceDN w:val="0"/>
        <w:spacing w:line="360" w:lineRule="auto"/>
        <w:ind w:left="4335" w:leftChars="1950" w:hanging="240" w:hangingChars="1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供应商名称（电子签章）：</w:t>
      </w:r>
    </w:p>
    <w:p w14:paraId="5FE031ED">
      <w:pPr>
        <w:spacing w:line="360" w:lineRule="auto"/>
        <w:contextualSpacing/>
        <w:jc w:val="center"/>
        <w:rPr>
          <w:rFonts w:ascii="宋体" w:hAnsi="宋体" w:cs="宋体"/>
          <w:b/>
          <w:color w:val="auto"/>
          <w:sz w:val="24"/>
          <w:szCs w:val="24"/>
          <w:highlight w:val="none"/>
        </w:rPr>
      </w:pPr>
      <w:r>
        <w:rPr>
          <w:rFonts w:hint="eastAsia" w:ascii="宋体" w:hAnsi="宋体" w:cs="宋体"/>
          <w:color w:val="auto"/>
          <w:kern w:val="0"/>
          <w:sz w:val="24"/>
          <w:szCs w:val="24"/>
          <w:highlight w:val="none"/>
          <w:lang w:val="zh-CN"/>
        </w:rPr>
        <w:t xml:space="preserve">                                                   日期：  年  月   日</w:t>
      </w:r>
    </w:p>
    <w:p w14:paraId="2FFA48E3">
      <w:pPr>
        <w:spacing w:line="360" w:lineRule="auto"/>
        <w:contextualSpacing/>
        <w:jc w:val="left"/>
        <w:rPr>
          <w:rFonts w:ascii="宋体" w:hAnsi="宋体" w:cs="宋体"/>
          <w:color w:val="auto"/>
          <w:sz w:val="24"/>
          <w:szCs w:val="24"/>
          <w:highlight w:val="none"/>
        </w:rPr>
      </w:pPr>
    </w:p>
    <w:p w14:paraId="094C1E61">
      <w:pPr>
        <w:spacing w:line="360" w:lineRule="auto"/>
        <w:contextualSpacing/>
        <w:jc w:val="left"/>
        <w:rPr>
          <w:rFonts w:ascii="宋体" w:hAnsi="宋体" w:cs="宋体"/>
          <w:color w:val="auto"/>
          <w:sz w:val="24"/>
          <w:szCs w:val="24"/>
          <w:highlight w:val="none"/>
        </w:rPr>
      </w:pPr>
      <w:r>
        <w:rPr>
          <w:rFonts w:hint="eastAsia" w:ascii="宋体" w:hAnsi="宋体" w:cs="宋体"/>
          <w:color w:val="auto"/>
          <w:sz w:val="24"/>
          <w:szCs w:val="24"/>
          <w:highlight w:val="none"/>
        </w:rPr>
        <w:t>注：1.自然人竞标的无需提供，联合体竞标的只需牵头人出具。</w:t>
      </w:r>
    </w:p>
    <w:p w14:paraId="6631AA5F">
      <w:pPr>
        <w:spacing w:line="360" w:lineRule="auto"/>
        <w:ind w:firstLine="480" w:firstLineChars="200"/>
        <w:contextualSpacing/>
        <w:jc w:val="left"/>
        <w:rPr>
          <w:rFonts w:ascii="宋体" w:hAnsi="宋体" w:cs="宋体"/>
          <w:color w:val="auto"/>
          <w:sz w:val="24"/>
          <w:szCs w:val="24"/>
          <w:highlight w:val="none"/>
        </w:rPr>
        <w:sectPr>
          <w:pgSz w:w="11910" w:h="16840"/>
          <w:pgMar w:top="1440" w:right="1080" w:bottom="1440" w:left="1080" w:header="720" w:footer="720" w:gutter="0"/>
          <w:cols w:space="720" w:num="1"/>
        </w:sectPr>
      </w:pPr>
      <w:r>
        <w:rPr>
          <w:rFonts w:hint="eastAsia" w:ascii="宋体" w:hAnsi="宋体" w:cs="宋体"/>
          <w:color w:val="auto"/>
          <w:sz w:val="24"/>
          <w:szCs w:val="24"/>
          <w:highlight w:val="none"/>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tbl>
      <w:tblPr>
        <w:tblStyle w:val="32"/>
        <w:tblpPr w:leftFromText="180" w:rightFromText="180" w:vertAnchor="text" w:horzAnchor="margin" w:tblpY="1169"/>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19"/>
      </w:tblGrid>
      <w:tr w14:paraId="17D7E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5" w:hRule="atLeast"/>
        </w:trPr>
        <w:tc>
          <w:tcPr>
            <w:tcW w:w="9619" w:type="dxa"/>
            <w:vAlign w:val="top"/>
          </w:tcPr>
          <w:p w14:paraId="24ADF275">
            <w:pPr>
              <w:spacing w:line="360" w:lineRule="auto"/>
              <w:rPr>
                <w:rFonts w:ascii="宋体" w:hAnsi="宋体" w:cs="宋体"/>
                <w:b/>
                <w:color w:val="auto"/>
                <w:sz w:val="24"/>
                <w:szCs w:val="24"/>
                <w:highlight w:val="none"/>
              </w:rPr>
            </w:pPr>
          </w:p>
          <w:p w14:paraId="21EC304C">
            <w:pP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法定代表身份证复印件粘帖处（正、反面）</w:t>
            </w:r>
          </w:p>
        </w:tc>
      </w:tr>
    </w:tbl>
    <w:p w14:paraId="5187DF86">
      <w:pPr>
        <w:spacing w:line="360" w:lineRule="auto"/>
        <w:ind w:firstLine="482" w:firstLineChars="200"/>
        <w:contextualSpacing/>
        <w:jc w:val="left"/>
        <w:rPr>
          <w:rFonts w:ascii="宋体" w:hAnsi="宋体" w:cs="宋体"/>
          <w:b/>
          <w:color w:val="auto"/>
          <w:sz w:val="24"/>
          <w:szCs w:val="24"/>
          <w:highlight w:val="none"/>
        </w:rPr>
      </w:pPr>
      <w:r>
        <w:rPr>
          <w:rFonts w:hint="eastAsia" w:ascii="宋体" w:hAnsi="宋体" w:cs="宋体"/>
          <w:b/>
          <w:color w:val="auto"/>
          <w:sz w:val="24"/>
          <w:szCs w:val="24"/>
          <w:highlight w:val="none"/>
        </w:rPr>
        <w:t>附件：</w:t>
      </w:r>
    </w:p>
    <w:p w14:paraId="4B63542D">
      <w:pPr>
        <w:spacing w:line="360" w:lineRule="auto"/>
        <w:ind w:firstLine="480" w:firstLineChars="200"/>
        <w:jc w:val="center"/>
        <w:rPr>
          <w:rFonts w:ascii="宋体" w:hAnsi="宋体" w:cs="宋体"/>
          <w:bCs/>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b/>
          <w:color w:val="auto"/>
          <w:sz w:val="24"/>
          <w:szCs w:val="24"/>
          <w:highlight w:val="none"/>
        </w:rPr>
        <w:t>三、法定代表人授权委托书</w:t>
      </w:r>
    </w:p>
    <w:p w14:paraId="2157C6ED">
      <w:pPr>
        <w:spacing w:line="360" w:lineRule="auto"/>
        <w:jc w:val="center"/>
        <w:rPr>
          <w:rFonts w:ascii="宋体" w:hAnsi="宋体" w:cs="宋体"/>
          <w:color w:val="auto"/>
          <w:sz w:val="24"/>
          <w:szCs w:val="24"/>
          <w:highlight w:val="none"/>
        </w:rPr>
      </w:pPr>
    </w:p>
    <w:p w14:paraId="1327B710">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授权委托书（非联合体竞标格式）</w:t>
      </w:r>
    </w:p>
    <w:p w14:paraId="2394F513">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（如有委托时）</w:t>
      </w:r>
    </w:p>
    <w:p w14:paraId="59B2B515">
      <w:pPr>
        <w:spacing w:line="360" w:lineRule="auto"/>
        <w:rPr>
          <w:rFonts w:ascii="宋体" w:hAnsi="宋体" w:cs="宋体"/>
          <w:color w:val="auto"/>
          <w:sz w:val="24"/>
          <w:szCs w:val="24"/>
          <w:highlight w:val="none"/>
        </w:rPr>
      </w:pPr>
    </w:p>
    <w:p w14:paraId="6B17B691">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（采购人名称）</w:t>
      </w:r>
      <w:r>
        <w:rPr>
          <w:rFonts w:hint="eastAsia" w:ascii="宋体" w:hAnsi="宋体" w:cs="宋体"/>
          <w:color w:val="auto"/>
          <w:sz w:val="24"/>
          <w:szCs w:val="24"/>
          <w:highlight w:val="none"/>
        </w:rPr>
        <w:t>：</w:t>
      </w:r>
    </w:p>
    <w:p w14:paraId="24E12EA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w:t>
      </w:r>
      <w:r>
        <w:rPr>
          <w:rFonts w:hint="eastAsia" w:ascii="宋体" w:hAnsi="宋体" w:cs="宋体"/>
          <w:color w:val="auto"/>
          <w:sz w:val="24"/>
          <w:szCs w:val="24"/>
          <w:highlight w:val="none"/>
          <w:u w:val="single"/>
        </w:rPr>
        <w:t xml:space="preserve">  （姓名）  </w:t>
      </w:r>
      <w:r>
        <w:rPr>
          <w:rFonts w:hint="eastAsia" w:ascii="宋体" w:hAnsi="宋体" w:cs="宋体"/>
          <w:color w:val="auto"/>
          <w:sz w:val="24"/>
          <w:szCs w:val="24"/>
          <w:highlight w:val="none"/>
        </w:rPr>
        <w:t>系</w:t>
      </w:r>
      <w:r>
        <w:rPr>
          <w:rFonts w:hint="eastAsia" w:ascii="宋体" w:hAnsi="宋体" w:cs="宋体"/>
          <w:color w:val="auto"/>
          <w:sz w:val="24"/>
          <w:szCs w:val="24"/>
          <w:highlight w:val="none"/>
          <w:u w:val="single"/>
        </w:rPr>
        <w:t xml:space="preserve">  （供应商名称）  </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□法定代表人/□负责人/□自然人本人</w:t>
      </w:r>
      <w:r>
        <w:rPr>
          <w:rFonts w:hint="eastAsia" w:ascii="宋体" w:hAnsi="宋体" w:cs="宋体"/>
          <w:color w:val="auto"/>
          <w:sz w:val="24"/>
          <w:szCs w:val="24"/>
          <w:highlight w:val="none"/>
        </w:rPr>
        <w:t>），现授权</w:t>
      </w:r>
      <w:r>
        <w:rPr>
          <w:rFonts w:hint="eastAsia" w:ascii="宋体" w:hAnsi="宋体" w:cs="宋体"/>
          <w:color w:val="auto"/>
          <w:sz w:val="24"/>
          <w:szCs w:val="24"/>
          <w:highlight w:val="none"/>
          <w:u w:val="single"/>
        </w:rPr>
        <w:t xml:space="preserve"> （姓名） </w:t>
      </w:r>
      <w:r>
        <w:rPr>
          <w:rFonts w:hint="eastAsia" w:ascii="宋体" w:hAnsi="宋体" w:cs="宋体"/>
          <w:color w:val="auto"/>
          <w:sz w:val="24"/>
          <w:szCs w:val="24"/>
          <w:highlight w:val="none"/>
        </w:rPr>
        <w:t>以我方的名义参加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项目的竞标活动，并代表我方全权办理针对上述项目的所有采购程序和环节的具体事务和签署相关文件。</w:t>
      </w:r>
    </w:p>
    <w:p w14:paraId="51022D4D">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我方对委托代理人的签字事项负全部责任。</w:t>
      </w:r>
    </w:p>
    <w:p w14:paraId="6A7BEF8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本授权书自签署之日起生效，在撤销授权的书面通知以前，本授权书一直有效。委托代理人在授权书有效期内签署的所有文件不因授权的撤销而失效。</w:t>
      </w:r>
    </w:p>
    <w:p w14:paraId="0B2C8CD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委托代理人无转委托权，特此委托。</w:t>
      </w:r>
    </w:p>
    <w:p w14:paraId="4C6E1C4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附：法定代表人身份证明书及委托代理人有效身份证正反面复印件</w:t>
      </w:r>
    </w:p>
    <w:p w14:paraId="202440B4">
      <w:pPr>
        <w:spacing w:line="360" w:lineRule="auto"/>
        <w:rPr>
          <w:rFonts w:ascii="宋体" w:hAnsi="宋体" w:cs="宋体"/>
          <w:color w:val="auto"/>
          <w:sz w:val="24"/>
          <w:szCs w:val="24"/>
          <w:highlight w:val="none"/>
        </w:rPr>
      </w:pPr>
    </w:p>
    <w:p w14:paraId="11C15D5A">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委托代理人（签字）：                 法定代表人（签字）：                    </w:t>
      </w:r>
    </w:p>
    <w:p w14:paraId="3D96FBD1">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委托代理人身份证号码：                              </w:t>
      </w:r>
    </w:p>
    <w:p w14:paraId="21DB1355">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347E357D">
      <w:pPr>
        <w:spacing w:line="360" w:lineRule="auto"/>
        <w:ind w:firstLine="3840" w:firstLineChars="16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kern w:val="0"/>
          <w:sz w:val="24"/>
          <w:szCs w:val="24"/>
          <w:highlight w:val="none"/>
        </w:rPr>
        <w:t>供应商名称（电子签章）：</w:t>
      </w:r>
    </w:p>
    <w:p w14:paraId="36770323">
      <w:pPr>
        <w:spacing w:line="360" w:lineRule="auto"/>
        <w:contextualSpacing/>
        <w:jc w:val="center"/>
        <w:rPr>
          <w:rFonts w:ascii="宋体" w:hAnsi="宋体" w:cs="宋体"/>
          <w:b/>
          <w:color w:val="auto"/>
          <w:sz w:val="24"/>
          <w:szCs w:val="24"/>
          <w:highlight w:val="none"/>
        </w:rPr>
      </w:pPr>
      <w:r>
        <w:rPr>
          <w:rFonts w:hint="eastAsia" w:ascii="宋体" w:hAnsi="宋体" w:cs="宋体"/>
          <w:color w:val="auto"/>
          <w:kern w:val="0"/>
          <w:sz w:val="24"/>
          <w:szCs w:val="24"/>
          <w:highlight w:val="none"/>
          <w:lang w:val="zh-CN"/>
        </w:rPr>
        <w:t xml:space="preserve">                                                   日期：  年  月   日</w:t>
      </w:r>
    </w:p>
    <w:p w14:paraId="083CD33B">
      <w:pPr>
        <w:spacing w:line="360" w:lineRule="auto"/>
        <w:rPr>
          <w:rFonts w:ascii="宋体" w:hAnsi="宋体" w:cs="宋体"/>
          <w:color w:val="auto"/>
          <w:sz w:val="24"/>
          <w:szCs w:val="24"/>
          <w:highlight w:val="none"/>
        </w:rPr>
      </w:pPr>
    </w:p>
    <w:p w14:paraId="0235A0B5">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注：1. 法定代表人必须在授权委托书上亲笔签字或盖章，委托代理人必须在授权委托书上亲笔签字，</w:t>
      </w:r>
      <w:r>
        <w:rPr>
          <w:rFonts w:hint="eastAsia" w:ascii="宋体" w:hAnsi="宋体" w:cs="宋体"/>
          <w:b/>
          <w:color w:val="auto"/>
          <w:sz w:val="24"/>
          <w:szCs w:val="24"/>
          <w:highlight w:val="none"/>
        </w:rPr>
        <w:t>否则其响应文件按无效响应处理。</w:t>
      </w:r>
    </w:p>
    <w:p w14:paraId="71C93E1B">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09F573F7">
      <w:pPr>
        <w:spacing w:line="360" w:lineRule="auto"/>
        <w:ind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3. 法人、其他组织竞标时“我方”是指“我单位”，自然人竞标时“我方”是指“本人”。</w:t>
      </w:r>
      <w:r>
        <w:rPr>
          <w:rFonts w:hint="eastAsia" w:ascii="宋体" w:hAnsi="宋体" w:cs="宋体"/>
          <w:color w:val="auto"/>
          <w:sz w:val="24"/>
          <w:szCs w:val="24"/>
          <w:highlight w:val="none"/>
        </w:rPr>
        <w:br w:type="page"/>
      </w:r>
      <w:r>
        <w:rPr>
          <w:rFonts w:hint="eastAsia" w:ascii="宋体" w:hAnsi="宋体" w:cs="宋体"/>
          <w:color w:val="auto"/>
          <w:sz w:val="24"/>
          <w:szCs w:val="24"/>
          <w:highlight w:val="none"/>
        </w:rPr>
        <w:t>授权委托书（联合体竞标格式）</w:t>
      </w:r>
    </w:p>
    <w:p w14:paraId="6418EB8E">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（如有委托时）</w:t>
      </w:r>
    </w:p>
    <w:p w14:paraId="386AFA2E">
      <w:pPr>
        <w:spacing w:line="360" w:lineRule="auto"/>
        <w:jc w:val="center"/>
        <w:rPr>
          <w:rFonts w:ascii="宋体" w:hAnsi="宋体" w:cs="宋体"/>
          <w:color w:val="auto"/>
          <w:sz w:val="24"/>
          <w:szCs w:val="24"/>
          <w:highlight w:val="none"/>
        </w:rPr>
      </w:pPr>
    </w:p>
    <w:p w14:paraId="01387E1C">
      <w:pPr>
        <w:spacing w:line="360" w:lineRule="auto"/>
        <w:jc w:val="center"/>
        <w:rPr>
          <w:rFonts w:ascii="宋体" w:hAnsi="宋体" w:cs="宋体"/>
          <w:color w:val="auto"/>
          <w:sz w:val="24"/>
          <w:szCs w:val="24"/>
          <w:highlight w:val="none"/>
        </w:rPr>
      </w:pPr>
    </w:p>
    <w:p w14:paraId="4ECE71A2">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本授权委托书声明：根据</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（牵头人名称）与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（联合体其他成员名称）签订的《联合体竞标协议书》的内容，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（牵头人名称）的法定代表人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（姓名）现授权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（姓名）为联合委托代理人，并代表我方全权办理针对上述项目的所有采购程序和环节的具体事务和签署相关文件。</w:t>
      </w:r>
    </w:p>
    <w:p w14:paraId="4CB8FBA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我方对委托代理人的签字事项负全部责任。</w:t>
      </w:r>
    </w:p>
    <w:p w14:paraId="5BD65BD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本授权书自签署之日起生效，在撤销授权的书面通知以前，本授权书一直有效。委托代理人在授权书有效期内签署的所有文件不因授权的撤销而失效。</w:t>
      </w:r>
    </w:p>
    <w:p w14:paraId="581A4132">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委托代理人无转委托权，特此委托。</w:t>
      </w:r>
    </w:p>
    <w:p w14:paraId="53301F64">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72FDCA50">
      <w:pPr>
        <w:spacing w:line="360" w:lineRule="auto"/>
        <w:ind w:firstLine="1560" w:firstLineChars="650"/>
        <w:rPr>
          <w:rFonts w:ascii="宋体" w:hAnsi="宋体" w:cs="宋体"/>
          <w:color w:val="auto"/>
          <w:sz w:val="24"/>
          <w:szCs w:val="24"/>
          <w:highlight w:val="none"/>
        </w:rPr>
      </w:pPr>
      <w:r>
        <w:rPr>
          <w:rFonts w:hint="eastAsia" w:ascii="宋体" w:hAnsi="宋体" w:cs="宋体"/>
          <w:color w:val="auto"/>
          <w:sz w:val="24"/>
          <w:szCs w:val="24"/>
          <w:highlight w:val="none"/>
        </w:rPr>
        <w:t>牵头人法定代表人（签字或盖章）：</w:t>
      </w:r>
    </w:p>
    <w:p w14:paraId="42D05F1E">
      <w:pPr>
        <w:spacing w:line="360" w:lineRule="auto"/>
        <w:ind w:firstLine="3000" w:firstLineChars="1250"/>
        <w:rPr>
          <w:rFonts w:ascii="宋体" w:hAnsi="宋体" w:cs="宋体"/>
          <w:color w:val="auto"/>
          <w:sz w:val="24"/>
          <w:szCs w:val="24"/>
          <w:highlight w:val="none"/>
        </w:rPr>
      </w:pPr>
      <w:r>
        <w:rPr>
          <w:rFonts w:hint="eastAsia" w:ascii="宋体" w:hAnsi="宋体" w:cs="宋体"/>
          <w:color w:val="auto"/>
          <w:sz w:val="24"/>
          <w:szCs w:val="24"/>
          <w:highlight w:val="none"/>
        </w:rPr>
        <w:t>牵头人（电子签章）：</w:t>
      </w:r>
    </w:p>
    <w:p w14:paraId="08F7EBF6">
      <w:pPr>
        <w:spacing w:line="360" w:lineRule="auto"/>
        <w:ind w:firstLine="3840" w:firstLineChars="1600"/>
        <w:rPr>
          <w:rFonts w:ascii="宋体" w:hAnsi="宋体" w:cs="宋体"/>
          <w:color w:val="auto"/>
          <w:sz w:val="24"/>
          <w:szCs w:val="24"/>
          <w:highlight w:val="none"/>
        </w:rPr>
      </w:pPr>
      <w:r>
        <w:rPr>
          <w:rFonts w:hint="eastAsia" w:ascii="宋体" w:hAnsi="宋体" w:cs="宋体"/>
          <w:color w:val="auto"/>
          <w:sz w:val="24"/>
          <w:szCs w:val="24"/>
          <w:highlight w:val="none"/>
        </w:rPr>
        <w:t>日期：    年   月   日</w:t>
      </w:r>
    </w:p>
    <w:p w14:paraId="65B73BEE">
      <w:pPr>
        <w:spacing w:line="360" w:lineRule="auto"/>
        <w:rPr>
          <w:rFonts w:ascii="宋体" w:hAnsi="宋体" w:cs="宋体"/>
          <w:color w:val="auto"/>
          <w:sz w:val="24"/>
          <w:szCs w:val="24"/>
          <w:highlight w:val="none"/>
        </w:rPr>
      </w:pPr>
    </w:p>
    <w:p w14:paraId="4DAEF6EB">
      <w:pPr>
        <w:spacing w:line="360" w:lineRule="auto"/>
        <w:ind w:firstLine="3120" w:firstLineChars="1300"/>
        <w:rPr>
          <w:rFonts w:ascii="宋体" w:hAnsi="宋体" w:cs="宋体"/>
          <w:color w:val="auto"/>
          <w:sz w:val="24"/>
          <w:szCs w:val="24"/>
          <w:highlight w:val="none"/>
        </w:rPr>
      </w:pPr>
      <w:r>
        <w:rPr>
          <w:rFonts w:hint="eastAsia" w:ascii="宋体" w:hAnsi="宋体" w:cs="宋体"/>
          <w:color w:val="auto"/>
          <w:sz w:val="24"/>
          <w:szCs w:val="24"/>
          <w:highlight w:val="none"/>
        </w:rPr>
        <w:t>被授权人（签字）：</w:t>
      </w:r>
    </w:p>
    <w:p w14:paraId="2801E29F">
      <w:pPr>
        <w:spacing w:line="360" w:lineRule="auto"/>
        <w:ind w:firstLine="3840" w:firstLineChars="1600"/>
        <w:rPr>
          <w:rFonts w:ascii="宋体" w:hAnsi="宋体" w:cs="宋体"/>
          <w:color w:val="auto"/>
          <w:sz w:val="24"/>
          <w:szCs w:val="24"/>
          <w:highlight w:val="none"/>
        </w:rPr>
      </w:pPr>
      <w:r>
        <w:rPr>
          <w:rFonts w:hint="eastAsia" w:ascii="宋体" w:hAnsi="宋体" w:cs="宋体"/>
          <w:color w:val="auto"/>
          <w:sz w:val="24"/>
          <w:szCs w:val="24"/>
          <w:highlight w:val="none"/>
        </w:rPr>
        <w:t>日期：    年   月   日</w:t>
      </w:r>
    </w:p>
    <w:p w14:paraId="1583E182">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注：</w:t>
      </w:r>
    </w:p>
    <w:p w14:paraId="634384A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 法定代表人必须在授权委托书上亲笔签字或盖章，委托代理人必须在授权委托书上亲笔签字，</w:t>
      </w:r>
      <w:r>
        <w:rPr>
          <w:rFonts w:hint="eastAsia" w:ascii="宋体" w:hAnsi="宋体" w:cs="宋体"/>
          <w:b/>
          <w:color w:val="auto"/>
          <w:sz w:val="24"/>
          <w:szCs w:val="24"/>
          <w:highlight w:val="none"/>
        </w:rPr>
        <w:t>否则其响应文件按无效响应处理。</w:t>
      </w:r>
    </w:p>
    <w:p w14:paraId="6ACD1402">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2.本授权委托书应由联合体牵头人的法定代表人按上述规定签署。</w:t>
      </w:r>
    </w:p>
    <w:p w14:paraId="3ACBB05D">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1190A0F2">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4.法人、其他组织竞标时“我方”是指“我单位”，自然人竞标时“我方”是指“本人”。</w:t>
      </w:r>
    </w:p>
    <w:p w14:paraId="5DEDEE35">
      <w:pPr>
        <w:spacing w:line="360" w:lineRule="auto"/>
        <w:jc w:val="center"/>
        <w:rPr>
          <w:rFonts w:ascii="宋体" w:hAnsi="宋体" w:cs="宋体"/>
          <w:b/>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b/>
          <w:color w:val="auto"/>
          <w:sz w:val="24"/>
          <w:szCs w:val="24"/>
          <w:highlight w:val="none"/>
          <w:lang w:val="en-US" w:eastAsia="zh-CN"/>
        </w:rPr>
        <w:t>四</w:t>
      </w:r>
      <w:r>
        <w:rPr>
          <w:rFonts w:hint="eastAsia" w:ascii="宋体" w:hAnsi="宋体" w:cs="宋体"/>
          <w:b/>
          <w:color w:val="auto"/>
          <w:sz w:val="24"/>
          <w:szCs w:val="24"/>
          <w:highlight w:val="none"/>
        </w:rPr>
        <w:t>、货物</w:t>
      </w:r>
      <w:r>
        <w:rPr>
          <w:rFonts w:hint="eastAsia" w:ascii="宋体" w:hAnsi="宋体" w:cs="宋体"/>
          <w:b/>
          <w:color w:val="auto"/>
          <w:sz w:val="24"/>
          <w:szCs w:val="24"/>
          <w:highlight w:val="none"/>
          <w:lang w:val="en-US" w:eastAsia="zh-CN"/>
        </w:rPr>
        <w:t>商务</w:t>
      </w:r>
      <w:r>
        <w:rPr>
          <w:rFonts w:hint="eastAsia" w:ascii="宋体" w:hAnsi="宋体" w:cs="宋体"/>
          <w:b/>
          <w:color w:val="auto"/>
          <w:sz w:val="24"/>
          <w:szCs w:val="24"/>
          <w:highlight w:val="none"/>
        </w:rPr>
        <w:t>需求偏离表</w:t>
      </w:r>
    </w:p>
    <w:p w14:paraId="5CD803A8">
      <w:pPr>
        <w:spacing w:line="360" w:lineRule="auto"/>
        <w:rPr>
          <w:rFonts w:ascii="宋体" w:hAnsi="宋体" w:cs="宋体"/>
          <w:color w:val="auto"/>
          <w:sz w:val="24"/>
          <w:szCs w:val="24"/>
          <w:highlight w:val="none"/>
        </w:rPr>
      </w:pPr>
    </w:p>
    <w:p w14:paraId="48339E4A">
      <w:pPr>
        <w:spacing w:line="360" w:lineRule="auto"/>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采购项目编号：</w:t>
      </w:r>
      <w:r>
        <w:rPr>
          <w:rFonts w:hint="eastAsia" w:ascii="宋体" w:hAnsi="宋体" w:cs="仿宋_GB2312"/>
          <w:color w:val="auto"/>
          <w:sz w:val="24"/>
          <w:highlight w:val="none"/>
          <w:u w:val="single"/>
        </w:rPr>
        <w:t xml:space="preserve">                 </w:t>
      </w:r>
    </w:p>
    <w:p w14:paraId="5541BA46">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采购项目名称：</w:t>
      </w:r>
      <w:r>
        <w:rPr>
          <w:rFonts w:hint="eastAsia" w:ascii="宋体" w:hAnsi="宋体" w:cs="仿宋_GB2312"/>
          <w:color w:val="auto"/>
          <w:sz w:val="24"/>
          <w:highlight w:val="none"/>
          <w:u w:val="single"/>
        </w:rPr>
        <w:t xml:space="preserve">                 </w:t>
      </w:r>
    </w:p>
    <w:tbl>
      <w:tblPr>
        <w:tblStyle w:val="32"/>
        <w:tblpPr w:leftFromText="180" w:rightFromText="180" w:vertAnchor="text" w:horzAnchor="margin" w:tblpY="518"/>
        <w:tblOverlap w:val="never"/>
        <w:tblW w:w="0" w:type="auto"/>
        <w:tblInd w:w="-108"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330"/>
        <w:gridCol w:w="2857"/>
        <w:gridCol w:w="2516"/>
        <w:gridCol w:w="2263"/>
      </w:tblGrid>
      <w:tr w14:paraId="2E11A9A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30" w:type="dxa"/>
            <w:tcBorders>
              <w:top w:val="single" w:color="auto" w:sz="4" w:space="0"/>
              <w:left w:val="single" w:color="auto" w:sz="4" w:space="0"/>
              <w:bottom w:val="single" w:color="auto" w:sz="4" w:space="0"/>
              <w:right w:val="single" w:color="auto" w:sz="4" w:space="0"/>
            </w:tcBorders>
            <w:vAlign w:val="center"/>
          </w:tcPr>
          <w:p w14:paraId="5A95B9E4">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项</w:t>
            </w:r>
            <w:r>
              <w:rPr>
                <w:rFonts w:hint="eastAsia" w:ascii="宋体" w:hAnsi="宋体" w:cs="仿宋_GB2312"/>
                <w:color w:val="auto"/>
                <w:sz w:val="24"/>
                <w:highlight w:val="none"/>
                <w:lang w:val="en-US" w:eastAsia="zh-CN"/>
              </w:rPr>
              <w:t>号</w:t>
            </w:r>
          </w:p>
        </w:tc>
        <w:tc>
          <w:tcPr>
            <w:tcW w:w="2857" w:type="dxa"/>
            <w:tcBorders>
              <w:top w:val="single" w:color="auto" w:sz="4" w:space="0"/>
              <w:left w:val="single" w:color="auto" w:sz="4" w:space="0"/>
              <w:bottom w:val="single" w:color="auto" w:sz="4" w:space="0"/>
              <w:right w:val="single" w:color="auto" w:sz="4" w:space="0"/>
            </w:tcBorders>
            <w:vAlign w:val="center"/>
          </w:tcPr>
          <w:p w14:paraId="6E8C1CB5">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谈判</w:t>
            </w:r>
            <w:r>
              <w:rPr>
                <w:rFonts w:hint="eastAsia" w:ascii="宋体" w:hAnsi="宋体" w:cs="仿宋_GB2312"/>
                <w:color w:val="auto"/>
                <w:sz w:val="24"/>
                <w:highlight w:val="none"/>
              </w:rPr>
              <w:t>文件商务要求</w:t>
            </w:r>
          </w:p>
        </w:tc>
        <w:tc>
          <w:tcPr>
            <w:tcW w:w="2516" w:type="dxa"/>
            <w:tcBorders>
              <w:top w:val="single" w:color="auto" w:sz="4" w:space="0"/>
              <w:left w:val="single" w:color="auto" w:sz="4" w:space="0"/>
              <w:bottom w:val="single" w:color="auto" w:sz="4" w:space="0"/>
              <w:right w:val="single" w:color="auto" w:sz="4" w:space="0"/>
            </w:tcBorders>
            <w:vAlign w:val="center"/>
          </w:tcPr>
          <w:p w14:paraId="0AD9B937">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供应商的响应</w:t>
            </w:r>
          </w:p>
        </w:tc>
        <w:tc>
          <w:tcPr>
            <w:tcW w:w="2263" w:type="dxa"/>
            <w:tcBorders>
              <w:top w:val="single" w:color="auto" w:sz="4" w:space="0"/>
              <w:left w:val="single" w:color="auto" w:sz="4" w:space="0"/>
              <w:bottom w:val="single" w:color="auto" w:sz="4" w:space="0"/>
              <w:right w:val="single" w:color="auto" w:sz="4" w:space="0"/>
            </w:tcBorders>
            <w:vAlign w:val="center"/>
          </w:tcPr>
          <w:p w14:paraId="1601EDEC">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偏离说明</w:t>
            </w:r>
          </w:p>
        </w:tc>
      </w:tr>
      <w:tr w14:paraId="0AE5A1F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30" w:type="dxa"/>
            <w:tcBorders>
              <w:top w:val="single" w:color="auto" w:sz="4" w:space="0"/>
              <w:left w:val="single" w:color="auto" w:sz="4" w:space="0"/>
              <w:bottom w:val="single" w:color="auto" w:sz="4" w:space="0"/>
              <w:right w:val="single" w:color="auto" w:sz="4" w:space="0"/>
            </w:tcBorders>
            <w:vAlign w:val="center"/>
          </w:tcPr>
          <w:p w14:paraId="7581AD5F">
            <w:pPr>
              <w:jc w:val="center"/>
              <w:rPr>
                <w:rFonts w:ascii="宋体" w:hAnsi="宋体"/>
                <w:color w:val="auto"/>
                <w:sz w:val="24"/>
                <w:highlight w:val="none"/>
              </w:rPr>
            </w:pPr>
          </w:p>
        </w:tc>
        <w:tc>
          <w:tcPr>
            <w:tcW w:w="2857" w:type="dxa"/>
            <w:tcBorders>
              <w:top w:val="single" w:color="auto" w:sz="4" w:space="0"/>
              <w:left w:val="single" w:color="auto" w:sz="4" w:space="0"/>
              <w:bottom w:val="single" w:color="auto" w:sz="4" w:space="0"/>
              <w:right w:val="single" w:color="auto" w:sz="4" w:space="0"/>
            </w:tcBorders>
            <w:vAlign w:val="center"/>
          </w:tcPr>
          <w:p w14:paraId="57781FBB">
            <w:pPr>
              <w:spacing w:line="360" w:lineRule="atLeast"/>
              <w:rPr>
                <w:rFonts w:ascii="宋体" w:hAnsi="宋体" w:cs="仿宋_GB2312"/>
                <w:color w:val="auto"/>
                <w:szCs w:val="21"/>
                <w:highlight w:val="none"/>
              </w:rPr>
            </w:pPr>
            <w:r>
              <w:rPr>
                <w:rFonts w:hint="eastAsia" w:ascii="宋体" w:hAnsi="宋体" w:cs="仿宋_GB2312"/>
                <w:color w:val="auto"/>
                <w:szCs w:val="21"/>
                <w:highlight w:val="none"/>
              </w:rPr>
              <w:t>1、……</w:t>
            </w:r>
          </w:p>
          <w:p w14:paraId="2C974933">
            <w:pPr>
              <w:spacing w:line="360" w:lineRule="atLeast"/>
              <w:rPr>
                <w:rFonts w:hint="eastAsia" w:ascii="宋体" w:hAnsi="宋体" w:cs="仿宋_GB2312"/>
                <w:color w:val="auto"/>
                <w:szCs w:val="21"/>
                <w:highlight w:val="none"/>
              </w:rPr>
            </w:pPr>
            <w:r>
              <w:rPr>
                <w:rFonts w:hint="eastAsia" w:ascii="宋体" w:hAnsi="宋体" w:cs="仿宋_GB2312"/>
                <w:color w:val="auto"/>
                <w:szCs w:val="21"/>
                <w:highlight w:val="none"/>
              </w:rPr>
              <w:t>2、……</w:t>
            </w:r>
          </w:p>
          <w:p w14:paraId="675E2002">
            <w:pPr>
              <w:spacing w:line="360" w:lineRule="atLeast"/>
              <w:rPr>
                <w:rFonts w:ascii="宋体" w:hAnsi="宋体" w:cs="仿宋_GB2312"/>
                <w:color w:val="auto"/>
                <w:szCs w:val="21"/>
                <w:highlight w:val="none"/>
              </w:rPr>
            </w:pPr>
            <w:r>
              <w:rPr>
                <w:rFonts w:hint="eastAsia" w:ascii="宋体" w:hAnsi="宋体" w:cs="仿宋_GB2312"/>
                <w:color w:val="auto"/>
                <w:szCs w:val="21"/>
                <w:highlight w:val="none"/>
              </w:rPr>
              <w:t>3、……</w:t>
            </w:r>
          </w:p>
        </w:tc>
        <w:tc>
          <w:tcPr>
            <w:tcW w:w="2516" w:type="dxa"/>
            <w:tcBorders>
              <w:top w:val="single" w:color="auto" w:sz="4" w:space="0"/>
              <w:left w:val="single" w:color="auto" w:sz="4" w:space="0"/>
              <w:bottom w:val="single" w:color="auto" w:sz="4" w:space="0"/>
              <w:right w:val="single" w:color="auto" w:sz="4" w:space="0"/>
            </w:tcBorders>
            <w:vAlign w:val="center"/>
          </w:tcPr>
          <w:p w14:paraId="164FB697">
            <w:pPr>
              <w:spacing w:line="360" w:lineRule="atLeast"/>
              <w:rPr>
                <w:rFonts w:ascii="宋体" w:hAnsi="宋体" w:cs="仿宋_GB2312"/>
                <w:color w:val="auto"/>
                <w:szCs w:val="21"/>
                <w:highlight w:val="none"/>
              </w:rPr>
            </w:pPr>
            <w:r>
              <w:rPr>
                <w:rFonts w:hint="eastAsia" w:ascii="宋体" w:hAnsi="宋体" w:cs="仿宋_GB2312"/>
                <w:color w:val="auto"/>
                <w:szCs w:val="21"/>
                <w:highlight w:val="none"/>
              </w:rPr>
              <w:t>1、……</w:t>
            </w:r>
          </w:p>
          <w:p w14:paraId="74FA6973">
            <w:pPr>
              <w:spacing w:line="360" w:lineRule="atLeast"/>
              <w:rPr>
                <w:rFonts w:hint="eastAsia" w:ascii="宋体" w:hAnsi="宋体" w:cs="仿宋_GB2312"/>
                <w:color w:val="auto"/>
                <w:szCs w:val="21"/>
                <w:highlight w:val="none"/>
              </w:rPr>
            </w:pPr>
            <w:r>
              <w:rPr>
                <w:rFonts w:hint="eastAsia" w:ascii="宋体" w:hAnsi="宋体" w:cs="仿宋_GB2312"/>
                <w:color w:val="auto"/>
                <w:szCs w:val="21"/>
                <w:highlight w:val="none"/>
              </w:rPr>
              <w:t>2、……</w:t>
            </w:r>
          </w:p>
          <w:p w14:paraId="18ADC455">
            <w:pPr>
              <w:spacing w:line="360" w:lineRule="atLeast"/>
              <w:rPr>
                <w:rFonts w:ascii="宋体" w:hAnsi="宋体" w:cs="仿宋_GB2312"/>
                <w:color w:val="auto"/>
                <w:szCs w:val="21"/>
                <w:highlight w:val="none"/>
              </w:rPr>
            </w:pPr>
            <w:r>
              <w:rPr>
                <w:rFonts w:hint="eastAsia" w:ascii="宋体" w:hAnsi="宋体" w:cs="仿宋_GB2312"/>
                <w:color w:val="auto"/>
                <w:szCs w:val="21"/>
                <w:highlight w:val="none"/>
              </w:rPr>
              <w:t>3、……</w:t>
            </w:r>
          </w:p>
        </w:tc>
        <w:tc>
          <w:tcPr>
            <w:tcW w:w="2263" w:type="dxa"/>
            <w:tcBorders>
              <w:top w:val="single" w:color="auto" w:sz="4" w:space="0"/>
              <w:left w:val="single" w:color="auto" w:sz="4" w:space="0"/>
              <w:bottom w:val="single" w:color="auto" w:sz="4" w:space="0"/>
              <w:right w:val="single" w:color="auto" w:sz="4" w:space="0"/>
            </w:tcBorders>
            <w:vAlign w:val="center"/>
          </w:tcPr>
          <w:p w14:paraId="27086030">
            <w:pPr>
              <w:spacing w:line="360" w:lineRule="auto"/>
              <w:contextualSpacing/>
              <w:jc w:val="center"/>
              <w:rPr>
                <w:rFonts w:hint="eastAsia" w:ascii="宋体" w:hAnsi="宋体" w:cs="仿宋_GB2312"/>
                <w:color w:val="auto"/>
                <w:sz w:val="24"/>
                <w:highlight w:val="none"/>
              </w:rPr>
            </w:pPr>
          </w:p>
        </w:tc>
      </w:tr>
      <w:tr w14:paraId="3E0ADE7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30" w:type="dxa"/>
            <w:tcBorders>
              <w:top w:val="single" w:color="auto" w:sz="4" w:space="0"/>
              <w:left w:val="single" w:color="auto" w:sz="4" w:space="0"/>
              <w:bottom w:val="single" w:color="auto" w:sz="4" w:space="0"/>
              <w:right w:val="single" w:color="auto" w:sz="4" w:space="0"/>
            </w:tcBorders>
            <w:vAlign w:val="center"/>
          </w:tcPr>
          <w:p w14:paraId="3227BD66">
            <w:pPr>
              <w:jc w:val="center"/>
              <w:rPr>
                <w:rFonts w:ascii="宋体" w:hAnsi="宋体"/>
                <w:color w:val="auto"/>
                <w:sz w:val="24"/>
                <w:highlight w:val="none"/>
              </w:rPr>
            </w:pPr>
          </w:p>
        </w:tc>
        <w:tc>
          <w:tcPr>
            <w:tcW w:w="2857" w:type="dxa"/>
            <w:tcBorders>
              <w:top w:val="single" w:color="auto" w:sz="4" w:space="0"/>
              <w:left w:val="single" w:color="auto" w:sz="4" w:space="0"/>
              <w:bottom w:val="single" w:color="auto" w:sz="4" w:space="0"/>
              <w:right w:val="single" w:color="auto" w:sz="4" w:space="0"/>
            </w:tcBorders>
            <w:vAlign w:val="center"/>
          </w:tcPr>
          <w:p w14:paraId="658FB341">
            <w:pPr>
              <w:spacing w:line="360" w:lineRule="atLeast"/>
              <w:rPr>
                <w:rFonts w:ascii="宋体" w:hAnsi="宋体" w:cs="仿宋_GB2312"/>
                <w:color w:val="auto"/>
                <w:szCs w:val="21"/>
                <w:highlight w:val="none"/>
              </w:rPr>
            </w:pPr>
            <w:r>
              <w:rPr>
                <w:rFonts w:hint="eastAsia" w:ascii="宋体" w:hAnsi="宋体" w:cs="仿宋_GB2312"/>
                <w:color w:val="auto"/>
                <w:szCs w:val="21"/>
                <w:highlight w:val="none"/>
              </w:rPr>
              <w:t>1、……</w:t>
            </w:r>
          </w:p>
          <w:p w14:paraId="5534725C">
            <w:pPr>
              <w:spacing w:line="360" w:lineRule="atLeast"/>
              <w:rPr>
                <w:rFonts w:hint="eastAsia" w:ascii="宋体" w:hAnsi="宋体" w:cs="仿宋_GB2312"/>
                <w:color w:val="auto"/>
                <w:szCs w:val="21"/>
                <w:highlight w:val="none"/>
              </w:rPr>
            </w:pPr>
            <w:r>
              <w:rPr>
                <w:rFonts w:hint="eastAsia" w:ascii="宋体" w:hAnsi="宋体" w:cs="仿宋_GB2312"/>
                <w:color w:val="auto"/>
                <w:szCs w:val="21"/>
                <w:highlight w:val="none"/>
              </w:rPr>
              <w:t>2、……</w:t>
            </w:r>
          </w:p>
          <w:p w14:paraId="337E9338">
            <w:pPr>
              <w:spacing w:line="360" w:lineRule="atLeast"/>
              <w:rPr>
                <w:rFonts w:ascii="宋体" w:hAnsi="宋体" w:cs="仿宋_GB2312"/>
                <w:color w:val="auto"/>
                <w:szCs w:val="21"/>
                <w:highlight w:val="none"/>
              </w:rPr>
            </w:pPr>
            <w:r>
              <w:rPr>
                <w:rFonts w:hint="eastAsia" w:ascii="宋体" w:hAnsi="宋体" w:cs="仿宋_GB2312"/>
                <w:color w:val="auto"/>
                <w:szCs w:val="21"/>
                <w:highlight w:val="none"/>
              </w:rPr>
              <w:t>3、……</w:t>
            </w:r>
          </w:p>
        </w:tc>
        <w:tc>
          <w:tcPr>
            <w:tcW w:w="2516" w:type="dxa"/>
            <w:tcBorders>
              <w:top w:val="single" w:color="auto" w:sz="4" w:space="0"/>
              <w:left w:val="single" w:color="auto" w:sz="4" w:space="0"/>
              <w:bottom w:val="single" w:color="auto" w:sz="4" w:space="0"/>
              <w:right w:val="single" w:color="auto" w:sz="4" w:space="0"/>
            </w:tcBorders>
            <w:vAlign w:val="center"/>
          </w:tcPr>
          <w:p w14:paraId="1597F22C">
            <w:pPr>
              <w:spacing w:line="360" w:lineRule="atLeast"/>
              <w:rPr>
                <w:rFonts w:ascii="宋体" w:hAnsi="宋体" w:cs="仿宋_GB2312"/>
                <w:color w:val="auto"/>
                <w:szCs w:val="21"/>
                <w:highlight w:val="none"/>
              </w:rPr>
            </w:pPr>
            <w:r>
              <w:rPr>
                <w:rFonts w:hint="eastAsia" w:ascii="宋体" w:hAnsi="宋体" w:cs="仿宋_GB2312"/>
                <w:color w:val="auto"/>
                <w:szCs w:val="21"/>
                <w:highlight w:val="none"/>
              </w:rPr>
              <w:t>1、……</w:t>
            </w:r>
          </w:p>
          <w:p w14:paraId="1D71A16A">
            <w:pPr>
              <w:spacing w:line="360" w:lineRule="atLeast"/>
              <w:rPr>
                <w:rFonts w:hint="eastAsia" w:ascii="宋体" w:hAnsi="宋体" w:cs="仿宋_GB2312"/>
                <w:color w:val="auto"/>
                <w:szCs w:val="21"/>
                <w:highlight w:val="none"/>
              </w:rPr>
            </w:pPr>
            <w:r>
              <w:rPr>
                <w:rFonts w:hint="eastAsia" w:ascii="宋体" w:hAnsi="宋体" w:cs="仿宋_GB2312"/>
                <w:color w:val="auto"/>
                <w:szCs w:val="21"/>
                <w:highlight w:val="none"/>
              </w:rPr>
              <w:t>2、……</w:t>
            </w:r>
          </w:p>
          <w:p w14:paraId="625E0EC7">
            <w:pPr>
              <w:spacing w:line="360" w:lineRule="atLeast"/>
              <w:rPr>
                <w:rFonts w:ascii="宋体" w:hAnsi="宋体" w:cs="仿宋_GB2312"/>
                <w:color w:val="auto"/>
                <w:szCs w:val="21"/>
                <w:highlight w:val="none"/>
              </w:rPr>
            </w:pPr>
            <w:r>
              <w:rPr>
                <w:rFonts w:hint="eastAsia" w:ascii="宋体" w:hAnsi="宋体" w:cs="仿宋_GB2312"/>
                <w:color w:val="auto"/>
                <w:szCs w:val="21"/>
                <w:highlight w:val="none"/>
              </w:rPr>
              <w:t>3、……</w:t>
            </w:r>
          </w:p>
        </w:tc>
        <w:tc>
          <w:tcPr>
            <w:tcW w:w="2263" w:type="dxa"/>
            <w:tcBorders>
              <w:top w:val="single" w:color="auto" w:sz="4" w:space="0"/>
              <w:left w:val="single" w:color="auto" w:sz="4" w:space="0"/>
              <w:bottom w:val="single" w:color="auto" w:sz="4" w:space="0"/>
              <w:right w:val="single" w:color="auto" w:sz="4" w:space="0"/>
            </w:tcBorders>
            <w:vAlign w:val="center"/>
          </w:tcPr>
          <w:p w14:paraId="65ADEFB2">
            <w:pPr>
              <w:spacing w:line="360" w:lineRule="auto"/>
              <w:ind w:left="43"/>
              <w:contextualSpacing/>
              <w:jc w:val="center"/>
              <w:rPr>
                <w:rFonts w:hint="eastAsia" w:ascii="宋体" w:hAnsi="宋体" w:cs="仿宋_GB2312"/>
                <w:color w:val="auto"/>
                <w:sz w:val="24"/>
                <w:highlight w:val="none"/>
              </w:rPr>
            </w:pPr>
          </w:p>
        </w:tc>
      </w:tr>
      <w:tr w14:paraId="2654648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30" w:type="dxa"/>
            <w:tcBorders>
              <w:top w:val="single" w:color="auto" w:sz="4" w:space="0"/>
              <w:left w:val="single" w:color="auto" w:sz="4" w:space="0"/>
              <w:bottom w:val="single" w:color="auto" w:sz="4" w:space="0"/>
              <w:right w:val="single" w:color="auto" w:sz="4" w:space="0"/>
            </w:tcBorders>
            <w:vAlign w:val="center"/>
          </w:tcPr>
          <w:p w14:paraId="24244271">
            <w:pPr>
              <w:jc w:val="center"/>
              <w:rPr>
                <w:rFonts w:ascii="宋体" w:hAnsi="宋体"/>
                <w:color w:val="auto"/>
                <w:sz w:val="24"/>
                <w:highlight w:val="none"/>
              </w:rPr>
            </w:pPr>
          </w:p>
        </w:tc>
        <w:tc>
          <w:tcPr>
            <w:tcW w:w="2857" w:type="dxa"/>
            <w:tcBorders>
              <w:top w:val="single" w:color="auto" w:sz="4" w:space="0"/>
              <w:left w:val="single" w:color="auto" w:sz="4" w:space="0"/>
              <w:bottom w:val="single" w:color="auto" w:sz="4" w:space="0"/>
              <w:right w:val="single" w:color="auto" w:sz="4" w:space="0"/>
            </w:tcBorders>
            <w:vAlign w:val="center"/>
          </w:tcPr>
          <w:p w14:paraId="44BB1612">
            <w:pPr>
              <w:spacing w:line="360" w:lineRule="atLeast"/>
              <w:rPr>
                <w:rFonts w:ascii="宋体" w:hAnsi="宋体" w:cs="仿宋_GB2312"/>
                <w:color w:val="auto"/>
                <w:szCs w:val="21"/>
                <w:highlight w:val="none"/>
              </w:rPr>
            </w:pPr>
            <w:r>
              <w:rPr>
                <w:rFonts w:hint="eastAsia" w:ascii="宋体" w:hAnsi="宋体" w:cs="仿宋_GB2312"/>
                <w:color w:val="auto"/>
                <w:szCs w:val="21"/>
                <w:highlight w:val="none"/>
              </w:rPr>
              <w:t>1、……</w:t>
            </w:r>
          </w:p>
          <w:p w14:paraId="2E1EBDCF">
            <w:pPr>
              <w:spacing w:line="360" w:lineRule="atLeast"/>
              <w:rPr>
                <w:rFonts w:hint="eastAsia" w:ascii="宋体" w:hAnsi="宋体" w:cs="仿宋_GB2312"/>
                <w:color w:val="auto"/>
                <w:szCs w:val="21"/>
                <w:highlight w:val="none"/>
              </w:rPr>
            </w:pPr>
            <w:r>
              <w:rPr>
                <w:rFonts w:hint="eastAsia" w:ascii="宋体" w:hAnsi="宋体" w:cs="仿宋_GB2312"/>
                <w:color w:val="auto"/>
                <w:szCs w:val="21"/>
                <w:highlight w:val="none"/>
              </w:rPr>
              <w:t>2、……</w:t>
            </w:r>
          </w:p>
          <w:p w14:paraId="11BBEAC4">
            <w:pPr>
              <w:spacing w:line="360" w:lineRule="atLeast"/>
              <w:rPr>
                <w:rFonts w:ascii="宋体" w:hAnsi="宋体" w:cs="仿宋_GB2312"/>
                <w:color w:val="auto"/>
                <w:szCs w:val="21"/>
                <w:highlight w:val="none"/>
              </w:rPr>
            </w:pPr>
            <w:r>
              <w:rPr>
                <w:rFonts w:hint="eastAsia" w:ascii="宋体" w:hAnsi="宋体" w:cs="仿宋_GB2312"/>
                <w:color w:val="auto"/>
                <w:szCs w:val="21"/>
                <w:highlight w:val="none"/>
              </w:rPr>
              <w:t>3、……</w:t>
            </w:r>
          </w:p>
        </w:tc>
        <w:tc>
          <w:tcPr>
            <w:tcW w:w="2516" w:type="dxa"/>
            <w:tcBorders>
              <w:top w:val="single" w:color="auto" w:sz="4" w:space="0"/>
              <w:left w:val="single" w:color="auto" w:sz="4" w:space="0"/>
              <w:bottom w:val="single" w:color="auto" w:sz="4" w:space="0"/>
              <w:right w:val="single" w:color="auto" w:sz="4" w:space="0"/>
            </w:tcBorders>
            <w:vAlign w:val="center"/>
          </w:tcPr>
          <w:p w14:paraId="27FF4AF5">
            <w:pPr>
              <w:spacing w:line="360" w:lineRule="atLeast"/>
              <w:rPr>
                <w:rFonts w:ascii="宋体" w:hAnsi="宋体" w:cs="仿宋_GB2312"/>
                <w:color w:val="auto"/>
                <w:szCs w:val="21"/>
                <w:highlight w:val="none"/>
              </w:rPr>
            </w:pPr>
            <w:r>
              <w:rPr>
                <w:rFonts w:hint="eastAsia" w:ascii="宋体" w:hAnsi="宋体" w:cs="仿宋_GB2312"/>
                <w:color w:val="auto"/>
                <w:szCs w:val="21"/>
                <w:highlight w:val="none"/>
              </w:rPr>
              <w:t>1、……</w:t>
            </w:r>
          </w:p>
          <w:p w14:paraId="4DC619C3">
            <w:pPr>
              <w:spacing w:line="360" w:lineRule="atLeast"/>
              <w:rPr>
                <w:rFonts w:hint="eastAsia" w:ascii="宋体" w:hAnsi="宋体" w:cs="仿宋_GB2312"/>
                <w:color w:val="auto"/>
                <w:szCs w:val="21"/>
                <w:highlight w:val="none"/>
              </w:rPr>
            </w:pPr>
            <w:r>
              <w:rPr>
                <w:rFonts w:hint="eastAsia" w:ascii="宋体" w:hAnsi="宋体" w:cs="仿宋_GB2312"/>
                <w:color w:val="auto"/>
                <w:szCs w:val="21"/>
                <w:highlight w:val="none"/>
              </w:rPr>
              <w:t>2、……</w:t>
            </w:r>
          </w:p>
          <w:p w14:paraId="6A374489">
            <w:pPr>
              <w:spacing w:line="360" w:lineRule="atLeast"/>
              <w:rPr>
                <w:rFonts w:ascii="宋体" w:hAnsi="宋体" w:cs="仿宋_GB2312"/>
                <w:color w:val="auto"/>
                <w:szCs w:val="21"/>
                <w:highlight w:val="none"/>
              </w:rPr>
            </w:pPr>
            <w:r>
              <w:rPr>
                <w:rFonts w:hint="eastAsia" w:ascii="宋体" w:hAnsi="宋体" w:cs="仿宋_GB2312"/>
                <w:color w:val="auto"/>
                <w:szCs w:val="21"/>
                <w:highlight w:val="none"/>
              </w:rPr>
              <w:t>3、……</w:t>
            </w:r>
          </w:p>
        </w:tc>
        <w:tc>
          <w:tcPr>
            <w:tcW w:w="2263" w:type="dxa"/>
            <w:tcBorders>
              <w:top w:val="single" w:color="auto" w:sz="4" w:space="0"/>
              <w:left w:val="single" w:color="auto" w:sz="4" w:space="0"/>
              <w:bottom w:val="single" w:color="auto" w:sz="4" w:space="0"/>
              <w:right w:val="single" w:color="auto" w:sz="4" w:space="0"/>
            </w:tcBorders>
            <w:vAlign w:val="center"/>
          </w:tcPr>
          <w:p w14:paraId="624BB562">
            <w:pPr>
              <w:spacing w:line="360" w:lineRule="auto"/>
              <w:ind w:left="43"/>
              <w:contextualSpacing/>
              <w:jc w:val="center"/>
              <w:rPr>
                <w:rFonts w:hint="eastAsia" w:ascii="宋体" w:hAnsi="宋体" w:cs="仿宋_GB2312"/>
                <w:color w:val="auto"/>
                <w:sz w:val="24"/>
                <w:highlight w:val="none"/>
              </w:rPr>
            </w:pPr>
          </w:p>
        </w:tc>
      </w:tr>
      <w:tr w14:paraId="32BCF44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30" w:type="dxa"/>
            <w:tcBorders>
              <w:top w:val="single" w:color="auto" w:sz="4" w:space="0"/>
              <w:left w:val="single" w:color="auto" w:sz="4" w:space="0"/>
              <w:bottom w:val="single" w:color="auto" w:sz="4" w:space="0"/>
              <w:right w:val="single" w:color="auto" w:sz="4" w:space="0"/>
            </w:tcBorders>
            <w:vAlign w:val="center"/>
          </w:tcPr>
          <w:p w14:paraId="09F74555">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w:t>
            </w:r>
            <w:r>
              <w:rPr>
                <w:rFonts w:ascii="宋体" w:hAnsi="宋体" w:cs="仿宋_GB2312"/>
                <w:color w:val="auto"/>
                <w:sz w:val="24"/>
                <w:highlight w:val="none"/>
              </w:rPr>
              <w:t>…</w:t>
            </w:r>
          </w:p>
        </w:tc>
        <w:tc>
          <w:tcPr>
            <w:tcW w:w="2857" w:type="dxa"/>
            <w:tcBorders>
              <w:top w:val="single" w:color="auto" w:sz="4" w:space="0"/>
              <w:left w:val="single" w:color="auto" w:sz="4" w:space="0"/>
              <w:bottom w:val="single" w:color="auto" w:sz="4" w:space="0"/>
              <w:right w:val="single" w:color="auto" w:sz="4" w:space="0"/>
            </w:tcBorders>
            <w:vAlign w:val="center"/>
          </w:tcPr>
          <w:p w14:paraId="1AEB966C">
            <w:pPr>
              <w:spacing w:line="360" w:lineRule="atLeast"/>
              <w:rPr>
                <w:rFonts w:ascii="宋体" w:hAnsi="宋体" w:cs="仿宋_GB2312"/>
                <w:color w:val="auto"/>
                <w:szCs w:val="21"/>
                <w:highlight w:val="none"/>
              </w:rPr>
            </w:pPr>
            <w:r>
              <w:rPr>
                <w:rFonts w:hint="eastAsia" w:ascii="宋体" w:hAnsi="宋体" w:cs="仿宋_GB2312"/>
                <w:color w:val="auto"/>
                <w:szCs w:val="21"/>
                <w:highlight w:val="none"/>
              </w:rPr>
              <w:t>1、……</w:t>
            </w:r>
          </w:p>
          <w:p w14:paraId="67AC4044">
            <w:pPr>
              <w:spacing w:line="360" w:lineRule="atLeast"/>
              <w:rPr>
                <w:rFonts w:hint="eastAsia" w:ascii="宋体" w:hAnsi="宋体" w:cs="仿宋_GB2312"/>
                <w:color w:val="auto"/>
                <w:szCs w:val="21"/>
                <w:highlight w:val="none"/>
              </w:rPr>
            </w:pPr>
            <w:r>
              <w:rPr>
                <w:rFonts w:hint="eastAsia" w:ascii="宋体" w:hAnsi="宋体" w:cs="仿宋_GB2312"/>
                <w:color w:val="auto"/>
                <w:szCs w:val="21"/>
                <w:highlight w:val="none"/>
              </w:rPr>
              <w:t>2、……</w:t>
            </w:r>
          </w:p>
          <w:p w14:paraId="1EF05D8E">
            <w:pPr>
              <w:spacing w:line="360" w:lineRule="atLeast"/>
              <w:rPr>
                <w:rFonts w:ascii="宋体" w:hAnsi="宋体" w:cs="仿宋_GB2312"/>
                <w:color w:val="auto"/>
                <w:szCs w:val="21"/>
                <w:highlight w:val="none"/>
              </w:rPr>
            </w:pPr>
            <w:r>
              <w:rPr>
                <w:rFonts w:hint="eastAsia" w:ascii="宋体" w:hAnsi="宋体" w:cs="仿宋_GB2312"/>
                <w:color w:val="auto"/>
                <w:szCs w:val="21"/>
                <w:highlight w:val="none"/>
              </w:rPr>
              <w:t>3、……</w:t>
            </w:r>
          </w:p>
        </w:tc>
        <w:tc>
          <w:tcPr>
            <w:tcW w:w="2516" w:type="dxa"/>
            <w:tcBorders>
              <w:top w:val="single" w:color="auto" w:sz="4" w:space="0"/>
              <w:left w:val="single" w:color="auto" w:sz="4" w:space="0"/>
              <w:bottom w:val="single" w:color="auto" w:sz="4" w:space="0"/>
              <w:right w:val="single" w:color="auto" w:sz="4" w:space="0"/>
            </w:tcBorders>
            <w:vAlign w:val="center"/>
          </w:tcPr>
          <w:p w14:paraId="79A541F8">
            <w:pPr>
              <w:spacing w:line="360" w:lineRule="atLeast"/>
              <w:rPr>
                <w:rFonts w:ascii="宋体" w:hAnsi="宋体" w:cs="仿宋_GB2312"/>
                <w:color w:val="auto"/>
                <w:szCs w:val="21"/>
                <w:highlight w:val="none"/>
              </w:rPr>
            </w:pPr>
            <w:r>
              <w:rPr>
                <w:rFonts w:hint="eastAsia" w:ascii="宋体" w:hAnsi="宋体" w:cs="仿宋_GB2312"/>
                <w:color w:val="auto"/>
                <w:szCs w:val="21"/>
                <w:highlight w:val="none"/>
              </w:rPr>
              <w:t>1、……</w:t>
            </w:r>
          </w:p>
          <w:p w14:paraId="1DC2EA20">
            <w:pPr>
              <w:spacing w:line="360" w:lineRule="atLeast"/>
              <w:rPr>
                <w:rFonts w:hint="eastAsia" w:ascii="宋体" w:hAnsi="宋体" w:cs="仿宋_GB2312"/>
                <w:color w:val="auto"/>
                <w:szCs w:val="21"/>
                <w:highlight w:val="none"/>
              </w:rPr>
            </w:pPr>
            <w:r>
              <w:rPr>
                <w:rFonts w:hint="eastAsia" w:ascii="宋体" w:hAnsi="宋体" w:cs="仿宋_GB2312"/>
                <w:color w:val="auto"/>
                <w:szCs w:val="21"/>
                <w:highlight w:val="none"/>
              </w:rPr>
              <w:t>2、……</w:t>
            </w:r>
          </w:p>
          <w:p w14:paraId="3DBEAF3A">
            <w:pPr>
              <w:spacing w:line="360" w:lineRule="atLeast"/>
              <w:rPr>
                <w:rFonts w:ascii="宋体" w:hAnsi="宋体" w:cs="仿宋_GB2312"/>
                <w:color w:val="auto"/>
                <w:szCs w:val="21"/>
                <w:highlight w:val="none"/>
              </w:rPr>
            </w:pPr>
            <w:r>
              <w:rPr>
                <w:rFonts w:hint="eastAsia" w:ascii="宋体" w:hAnsi="宋体" w:cs="仿宋_GB2312"/>
                <w:color w:val="auto"/>
                <w:szCs w:val="21"/>
                <w:highlight w:val="none"/>
              </w:rPr>
              <w:t>3、……</w:t>
            </w:r>
          </w:p>
        </w:tc>
        <w:tc>
          <w:tcPr>
            <w:tcW w:w="2263" w:type="dxa"/>
            <w:tcBorders>
              <w:top w:val="single" w:color="auto" w:sz="4" w:space="0"/>
              <w:left w:val="single" w:color="auto" w:sz="4" w:space="0"/>
              <w:bottom w:val="single" w:color="auto" w:sz="4" w:space="0"/>
              <w:right w:val="single" w:color="auto" w:sz="4" w:space="0"/>
            </w:tcBorders>
            <w:vAlign w:val="center"/>
          </w:tcPr>
          <w:p w14:paraId="2FB14B95">
            <w:pPr>
              <w:spacing w:line="360" w:lineRule="auto"/>
              <w:contextualSpacing/>
              <w:jc w:val="center"/>
              <w:rPr>
                <w:rFonts w:hint="eastAsia" w:ascii="宋体" w:hAnsi="宋体" w:cs="仿宋_GB2312"/>
                <w:color w:val="auto"/>
                <w:sz w:val="24"/>
                <w:highlight w:val="none"/>
              </w:rPr>
            </w:pPr>
          </w:p>
        </w:tc>
      </w:tr>
    </w:tbl>
    <w:p w14:paraId="36E8EDD1">
      <w:pPr>
        <w:spacing w:line="360" w:lineRule="auto"/>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分标号（如有）：</w:t>
      </w:r>
      <w:r>
        <w:rPr>
          <w:rFonts w:hint="eastAsia" w:ascii="宋体" w:hAnsi="宋体" w:cs="仿宋_GB2312"/>
          <w:color w:val="auto"/>
          <w:sz w:val="24"/>
          <w:highlight w:val="none"/>
          <w:u w:val="single"/>
        </w:rPr>
        <w:t xml:space="preserve">                       </w:t>
      </w:r>
    </w:p>
    <w:p w14:paraId="73C5D5CD">
      <w:pPr>
        <w:spacing w:line="360" w:lineRule="auto"/>
        <w:contextualSpacing/>
        <w:jc w:val="left"/>
        <w:rPr>
          <w:rFonts w:hint="eastAsia" w:ascii="宋体" w:hAnsi="宋体" w:cs="仿宋_GB2312"/>
          <w:color w:val="auto"/>
          <w:sz w:val="24"/>
          <w:highlight w:val="none"/>
          <w:u w:val="single"/>
        </w:rPr>
      </w:pPr>
    </w:p>
    <w:p w14:paraId="1FE83571">
      <w:pPr>
        <w:pStyle w:val="12"/>
        <w:spacing w:after="0" w:line="360" w:lineRule="auto"/>
        <w:contextualSpacing/>
        <w:rPr>
          <w:rFonts w:hint="eastAsia" w:ascii="宋体" w:hAnsi="宋体"/>
          <w:color w:val="auto"/>
          <w:kern w:val="0"/>
          <w:sz w:val="24"/>
          <w:szCs w:val="24"/>
          <w:highlight w:val="none"/>
        </w:rPr>
      </w:pPr>
      <w:r>
        <w:rPr>
          <w:rFonts w:hint="eastAsia" w:ascii="宋体" w:hAnsi="宋体"/>
          <w:color w:val="auto"/>
          <w:kern w:val="0"/>
          <w:sz w:val="24"/>
          <w:szCs w:val="24"/>
          <w:highlight w:val="none"/>
        </w:rPr>
        <w:t>注：</w:t>
      </w:r>
    </w:p>
    <w:p w14:paraId="37E88847">
      <w:pPr>
        <w:pStyle w:val="12"/>
        <w:spacing w:after="0" w:line="360" w:lineRule="auto"/>
        <w:contextualSpacing/>
        <w:rPr>
          <w:rFonts w:hint="eastAsia" w:ascii="宋体" w:hAnsi="宋体"/>
          <w:color w:val="auto"/>
          <w:kern w:val="0"/>
          <w:sz w:val="24"/>
          <w:szCs w:val="24"/>
          <w:highlight w:val="none"/>
        </w:rPr>
      </w:pPr>
      <w:r>
        <w:rPr>
          <w:rFonts w:hint="eastAsia" w:ascii="宋体" w:hAnsi="宋体"/>
          <w:color w:val="auto"/>
          <w:kern w:val="0"/>
          <w:sz w:val="24"/>
          <w:szCs w:val="24"/>
          <w:highlight w:val="none"/>
        </w:rPr>
        <w:t>1.说明：应对照</w:t>
      </w:r>
      <w:r>
        <w:rPr>
          <w:rFonts w:hint="eastAsia" w:ascii="宋体" w:hAnsi="宋体"/>
          <w:color w:val="auto"/>
          <w:kern w:val="0"/>
          <w:sz w:val="24"/>
          <w:szCs w:val="24"/>
          <w:highlight w:val="none"/>
          <w:lang w:val="en-US" w:eastAsia="zh-CN"/>
        </w:rPr>
        <w:t>谈判</w:t>
      </w:r>
      <w:r>
        <w:rPr>
          <w:rFonts w:hint="eastAsia" w:ascii="宋体" w:hAnsi="宋体"/>
          <w:color w:val="auto"/>
          <w:kern w:val="0"/>
          <w:sz w:val="24"/>
          <w:szCs w:val="24"/>
          <w:highlight w:val="none"/>
        </w:rPr>
        <w:t>文件“第</w:t>
      </w:r>
      <w:r>
        <w:rPr>
          <w:rFonts w:hint="eastAsia" w:ascii="宋体" w:hAnsi="宋体"/>
          <w:color w:val="auto"/>
          <w:kern w:val="0"/>
          <w:sz w:val="24"/>
          <w:szCs w:val="24"/>
          <w:highlight w:val="none"/>
          <w:lang w:val="en-US" w:eastAsia="zh-CN"/>
        </w:rPr>
        <w:t>二</w:t>
      </w:r>
      <w:r>
        <w:rPr>
          <w:rFonts w:hint="eastAsia" w:ascii="宋体" w:hAnsi="宋体"/>
          <w:color w:val="auto"/>
          <w:kern w:val="0"/>
          <w:sz w:val="24"/>
          <w:szCs w:val="24"/>
          <w:highlight w:val="none"/>
        </w:rPr>
        <w:t>章 采购需求”中的“商务要求”逐条作出明确响应，并作出偏离说明。</w:t>
      </w:r>
    </w:p>
    <w:p w14:paraId="2EB172B7">
      <w:pPr>
        <w:spacing w:line="360" w:lineRule="auto"/>
        <w:contextualSpacing/>
        <w:jc w:val="left"/>
        <w:rPr>
          <w:rFonts w:hint="eastAsia" w:ascii="宋体" w:hAnsi="宋体" w:cs="仿宋_GB2312"/>
          <w:color w:val="auto"/>
          <w:sz w:val="24"/>
          <w:highlight w:val="none"/>
          <w:u w:val="single"/>
        </w:rPr>
      </w:pPr>
      <w:r>
        <w:rPr>
          <w:rFonts w:hint="eastAsia" w:ascii="宋体" w:hAnsi="宋体"/>
          <w:color w:val="auto"/>
          <w:kern w:val="0"/>
          <w:sz w:val="24"/>
          <w:highlight w:val="none"/>
        </w:rPr>
        <w:t>2.供应商应根据自身的承诺，对照</w:t>
      </w:r>
      <w:r>
        <w:rPr>
          <w:rFonts w:hint="eastAsia" w:ascii="宋体" w:hAnsi="宋体"/>
          <w:color w:val="auto"/>
          <w:kern w:val="0"/>
          <w:sz w:val="24"/>
          <w:highlight w:val="none"/>
          <w:lang w:val="en-US" w:eastAsia="zh-CN"/>
        </w:rPr>
        <w:t>谈判</w:t>
      </w:r>
      <w:r>
        <w:rPr>
          <w:rFonts w:hint="eastAsia" w:ascii="宋体" w:hAnsi="宋体"/>
          <w:color w:val="auto"/>
          <w:kern w:val="0"/>
          <w:sz w:val="24"/>
          <w:highlight w:val="none"/>
        </w:rPr>
        <w:t>文件要求在“偏离说明”中注明“正偏离”、“负偏离”或者“无偏离”。既不属于“正偏离”也不属于“负偏离”即为“无偏离”。</w:t>
      </w:r>
    </w:p>
    <w:p w14:paraId="54D0CDE4">
      <w:pPr>
        <w:spacing w:line="360" w:lineRule="auto"/>
        <w:ind w:right="-817" w:rightChars="-389"/>
        <w:contextualSpacing/>
        <w:rPr>
          <w:rFonts w:hint="eastAsia" w:ascii="宋体" w:hAnsi="宋体" w:cs="仿宋_GB2312"/>
          <w:color w:val="auto"/>
          <w:sz w:val="24"/>
          <w:highlight w:val="none"/>
        </w:rPr>
      </w:pPr>
    </w:p>
    <w:p w14:paraId="29AC1ADF">
      <w:pPr>
        <w:spacing w:line="360" w:lineRule="auto"/>
        <w:ind w:right="-817" w:rightChars="-389" w:firstLine="2640" w:firstLineChars="1100"/>
        <w:contextualSpacing/>
        <w:rPr>
          <w:rFonts w:ascii="宋体" w:hAnsi="宋体" w:cs="仿宋_GB2312"/>
          <w:color w:val="auto"/>
          <w:sz w:val="24"/>
          <w:highlight w:val="none"/>
        </w:rPr>
      </w:pPr>
    </w:p>
    <w:p w14:paraId="7E42ABBB">
      <w:pPr>
        <w:spacing w:line="360" w:lineRule="auto"/>
        <w:ind w:right="-817" w:rightChars="-389" w:firstLine="4080" w:firstLineChars="170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w:t>
      </w:r>
      <w:r>
        <w:rPr>
          <w:rFonts w:hint="eastAsia" w:ascii="宋体" w:hAnsi="宋体" w:cs="仿宋_GB2312"/>
          <w:color w:val="auto"/>
          <w:sz w:val="24"/>
          <w:highlight w:val="none"/>
          <w:lang w:val="en-US" w:eastAsia="zh-CN"/>
        </w:rPr>
        <w:t>名称</w:t>
      </w:r>
      <w:r>
        <w:rPr>
          <w:rFonts w:hint="eastAsia" w:ascii="宋体" w:hAnsi="宋体" w:cs="仿宋_GB2312"/>
          <w:color w:val="auto"/>
          <w:sz w:val="24"/>
          <w:highlight w:val="none"/>
        </w:rPr>
        <w:t xml:space="preserve">（电子签章）：      </w:t>
      </w:r>
    </w:p>
    <w:p w14:paraId="42882D93">
      <w:pPr>
        <w:spacing w:line="360" w:lineRule="auto"/>
        <w:ind w:right="-817" w:rightChars="-389" w:firstLine="4080" w:firstLineChars="1700"/>
        <w:contextualSpacing/>
        <w:rPr>
          <w:rFonts w:hint="eastAsia" w:ascii="宋体" w:hAnsi="宋体" w:cs="仿宋_GB2312"/>
          <w:color w:val="auto"/>
          <w:sz w:val="24"/>
          <w:highlight w:val="none"/>
        </w:rPr>
      </w:pPr>
      <w:r>
        <w:rPr>
          <w:rFonts w:hint="eastAsia" w:ascii="宋体" w:hAnsi="宋体" w:cs="仿宋_GB2312"/>
          <w:color w:val="auto"/>
          <w:sz w:val="24"/>
          <w:highlight w:val="none"/>
        </w:rPr>
        <w:t>日期：   年   月   日</w:t>
      </w:r>
    </w:p>
    <w:p w14:paraId="6A76A30F">
      <w:pPr>
        <w:pStyle w:val="13"/>
        <w:rPr>
          <w:rFonts w:hint="eastAsia" w:ascii="宋体" w:hAnsi="宋体" w:cs="仿宋_GB2312"/>
          <w:color w:val="auto"/>
          <w:sz w:val="24"/>
          <w:highlight w:val="none"/>
        </w:rPr>
      </w:pPr>
    </w:p>
    <w:p w14:paraId="5207C18A">
      <w:pPr>
        <w:pStyle w:val="14"/>
        <w:tabs>
          <w:tab w:val="clear" w:pos="4153"/>
          <w:tab w:val="clear" w:pos="8306"/>
        </w:tabs>
        <w:rPr>
          <w:rFonts w:hint="eastAsia" w:ascii="宋体" w:hAnsi="宋体" w:cs="仿宋_GB2312"/>
          <w:color w:val="auto"/>
          <w:sz w:val="24"/>
          <w:highlight w:val="none"/>
        </w:rPr>
      </w:pPr>
    </w:p>
    <w:p w14:paraId="68AEB551">
      <w:pPr>
        <w:pStyle w:val="14"/>
        <w:tabs>
          <w:tab w:val="clear" w:pos="4153"/>
          <w:tab w:val="clear" w:pos="8306"/>
        </w:tabs>
        <w:rPr>
          <w:rFonts w:hint="eastAsia" w:ascii="宋体" w:hAnsi="宋体" w:cs="仿宋_GB2312"/>
          <w:color w:val="auto"/>
          <w:sz w:val="24"/>
          <w:highlight w:val="none"/>
        </w:rPr>
      </w:pPr>
    </w:p>
    <w:p w14:paraId="7DF6B33C">
      <w:pPr>
        <w:pStyle w:val="14"/>
        <w:tabs>
          <w:tab w:val="clear" w:pos="4153"/>
          <w:tab w:val="clear" w:pos="8306"/>
        </w:tabs>
        <w:rPr>
          <w:rFonts w:hint="eastAsia" w:ascii="宋体" w:hAnsi="宋体" w:cs="仿宋_GB2312"/>
          <w:color w:val="auto"/>
          <w:sz w:val="24"/>
          <w:highlight w:val="none"/>
        </w:rPr>
      </w:pPr>
    </w:p>
    <w:p w14:paraId="37873F97">
      <w:pPr>
        <w:pStyle w:val="14"/>
        <w:tabs>
          <w:tab w:val="clear" w:pos="4153"/>
          <w:tab w:val="clear" w:pos="8306"/>
        </w:tabs>
        <w:rPr>
          <w:rFonts w:hint="eastAsia" w:ascii="宋体" w:hAnsi="宋体" w:cs="仿宋_GB2312"/>
          <w:color w:val="auto"/>
          <w:sz w:val="24"/>
          <w:highlight w:val="none"/>
        </w:rPr>
      </w:pPr>
    </w:p>
    <w:p w14:paraId="57310E41">
      <w:pPr>
        <w:spacing w:line="360" w:lineRule="auto"/>
        <w:ind w:firstLine="482" w:firstLineChars="200"/>
        <w:jc w:val="center"/>
        <w:rPr>
          <w:rFonts w:ascii="宋体" w:hAnsi="宋体" w:cs="宋体"/>
          <w:color w:val="auto"/>
          <w:sz w:val="24"/>
          <w:szCs w:val="24"/>
          <w:highlight w:val="none"/>
        </w:rPr>
      </w:pPr>
      <w:r>
        <w:rPr>
          <w:rFonts w:hint="eastAsia" w:ascii="宋体" w:hAnsi="宋体" w:cs="宋体"/>
          <w:b/>
          <w:color w:val="auto"/>
          <w:sz w:val="24"/>
          <w:szCs w:val="24"/>
          <w:highlight w:val="none"/>
          <w:lang w:val="en-US" w:eastAsia="zh-CN"/>
        </w:rPr>
        <w:t>五</w:t>
      </w:r>
      <w:r>
        <w:rPr>
          <w:rFonts w:hint="eastAsia" w:ascii="宋体" w:hAnsi="宋体" w:cs="宋体"/>
          <w:b/>
          <w:color w:val="auto"/>
          <w:sz w:val="24"/>
          <w:szCs w:val="24"/>
          <w:highlight w:val="none"/>
        </w:rPr>
        <w:t>、货物</w:t>
      </w:r>
      <w:r>
        <w:rPr>
          <w:rFonts w:hint="eastAsia" w:ascii="宋体" w:hAnsi="宋体" w:cs="宋体"/>
          <w:b/>
          <w:color w:val="auto"/>
          <w:sz w:val="24"/>
          <w:szCs w:val="24"/>
          <w:highlight w:val="none"/>
          <w:lang w:val="en-US" w:eastAsia="zh-CN"/>
        </w:rPr>
        <w:t>技术</w:t>
      </w:r>
      <w:r>
        <w:rPr>
          <w:rFonts w:hint="eastAsia" w:ascii="宋体" w:hAnsi="宋体" w:cs="宋体"/>
          <w:b/>
          <w:color w:val="auto"/>
          <w:sz w:val="24"/>
          <w:szCs w:val="24"/>
          <w:highlight w:val="none"/>
        </w:rPr>
        <w:t>需求偏离表</w:t>
      </w:r>
    </w:p>
    <w:p w14:paraId="73D6E413">
      <w:pPr>
        <w:keepNext w:val="0"/>
        <w:keepLines w:val="0"/>
        <w:pageBreakBefore w:val="0"/>
        <w:kinsoku/>
        <w:wordWrap/>
        <w:overflowPunct/>
        <w:topLinePunct w:val="0"/>
        <w:bidi w:val="0"/>
        <w:spacing w:line="480" w:lineRule="exact"/>
        <w:jc w:val="left"/>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 xml:space="preserve">采购项目编号：                 </w:t>
      </w:r>
    </w:p>
    <w:p w14:paraId="2F61468A">
      <w:pPr>
        <w:keepNext w:val="0"/>
        <w:keepLines w:val="0"/>
        <w:pageBreakBefore w:val="0"/>
        <w:kinsoku/>
        <w:wordWrap/>
        <w:overflowPunct/>
        <w:topLinePunct w:val="0"/>
        <w:bidi w:val="0"/>
        <w:spacing w:line="480" w:lineRule="exact"/>
        <w:jc w:val="left"/>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 xml:space="preserve">采购项目名称：                 </w:t>
      </w:r>
    </w:p>
    <w:p w14:paraId="7511246D">
      <w:pPr>
        <w:keepNext w:val="0"/>
        <w:keepLines w:val="0"/>
        <w:pageBreakBefore w:val="0"/>
        <w:kinsoku/>
        <w:wordWrap/>
        <w:overflowPunct/>
        <w:topLinePunct w:val="0"/>
        <w:bidi w:val="0"/>
        <w:spacing w:line="480" w:lineRule="exact"/>
        <w:jc w:val="left"/>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 xml:space="preserve">分标号（如有）：                    </w:t>
      </w:r>
    </w:p>
    <w:tbl>
      <w:tblPr>
        <w:tblStyle w:val="32"/>
        <w:tblpPr w:leftFromText="180" w:rightFromText="180" w:vertAnchor="text" w:horzAnchor="page" w:tblpX="1470" w:tblpY="371"/>
        <w:tblOverlap w:val="never"/>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4"/>
        <w:gridCol w:w="1395"/>
        <w:gridCol w:w="975"/>
        <w:gridCol w:w="1576"/>
        <w:gridCol w:w="1140"/>
        <w:gridCol w:w="980"/>
        <w:gridCol w:w="1545"/>
        <w:gridCol w:w="833"/>
      </w:tblGrid>
      <w:tr w14:paraId="700B9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8" w:hRule="atLeast"/>
        </w:trPr>
        <w:tc>
          <w:tcPr>
            <w:tcW w:w="754" w:type="dxa"/>
            <w:vMerge w:val="restart"/>
            <w:tcBorders>
              <w:top w:val="single" w:color="auto" w:sz="4" w:space="0"/>
              <w:left w:val="single" w:color="auto" w:sz="4" w:space="0"/>
              <w:bottom w:val="single" w:color="auto" w:sz="4" w:space="0"/>
              <w:right w:val="single" w:color="auto" w:sz="4" w:space="0"/>
            </w:tcBorders>
            <w:vAlign w:val="center"/>
          </w:tcPr>
          <w:p w14:paraId="6AB59F3F">
            <w:pPr>
              <w:keepNext w:val="0"/>
              <w:keepLines w:val="0"/>
              <w:pageBreakBefore w:val="0"/>
              <w:kinsoku/>
              <w:wordWrap/>
              <w:overflowPunct/>
              <w:topLinePunct w:val="0"/>
              <w:bidi w:val="0"/>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项号</w:t>
            </w:r>
          </w:p>
        </w:tc>
        <w:tc>
          <w:tcPr>
            <w:tcW w:w="3946" w:type="dxa"/>
            <w:gridSpan w:val="3"/>
            <w:tcBorders>
              <w:top w:val="single" w:color="auto" w:sz="4" w:space="0"/>
              <w:left w:val="single" w:color="auto" w:sz="4" w:space="0"/>
              <w:bottom w:val="single" w:color="auto" w:sz="4" w:space="0"/>
              <w:right w:val="single" w:color="auto" w:sz="4" w:space="0"/>
            </w:tcBorders>
            <w:vAlign w:val="center"/>
          </w:tcPr>
          <w:p w14:paraId="34CC28EB">
            <w:pPr>
              <w:keepNext w:val="0"/>
              <w:keepLines w:val="0"/>
              <w:pageBreakBefore w:val="0"/>
              <w:kinsoku/>
              <w:wordWrap/>
              <w:overflowPunct/>
              <w:topLinePunct w:val="0"/>
              <w:bidi w:val="0"/>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竞争性谈判采购文件需求</w:t>
            </w:r>
          </w:p>
        </w:tc>
        <w:tc>
          <w:tcPr>
            <w:tcW w:w="3665" w:type="dxa"/>
            <w:gridSpan w:val="3"/>
            <w:tcBorders>
              <w:top w:val="single" w:color="auto" w:sz="4" w:space="0"/>
              <w:left w:val="single" w:color="auto" w:sz="4" w:space="0"/>
              <w:bottom w:val="single" w:color="auto" w:sz="4" w:space="0"/>
              <w:right w:val="single" w:color="auto" w:sz="4" w:space="0"/>
            </w:tcBorders>
            <w:vAlign w:val="center"/>
          </w:tcPr>
          <w:p w14:paraId="56C89EF7">
            <w:pPr>
              <w:keepNext w:val="0"/>
              <w:keepLines w:val="0"/>
              <w:pageBreakBefore w:val="0"/>
              <w:kinsoku/>
              <w:wordWrap/>
              <w:overflowPunct/>
              <w:topLinePunct w:val="0"/>
              <w:bidi w:val="0"/>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响应文件承诺</w:t>
            </w:r>
          </w:p>
        </w:tc>
        <w:tc>
          <w:tcPr>
            <w:tcW w:w="833" w:type="dxa"/>
            <w:vMerge w:val="restart"/>
            <w:tcBorders>
              <w:top w:val="single" w:color="auto" w:sz="4" w:space="0"/>
              <w:left w:val="single" w:color="auto" w:sz="4" w:space="0"/>
              <w:bottom w:val="single" w:color="auto" w:sz="4" w:space="0"/>
              <w:right w:val="single" w:color="auto" w:sz="4" w:space="0"/>
            </w:tcBorders>
            <w:vAlign w:val="center"/>
          </w:tcPr>
          <w:p w14:paraId="6019563D">
            <w:pPr>
              <w:keepNext w:val="0"/>
              <w:keepLines w:val="0"/>
              <w:pageBreakBefore w:val="0"/>
              <w:kinsoku/>
              <w:wordWrap/>
              <w:overflowPunct/>
              <w:topLinePunct w:val="0"/>
              <w:bidi w:val="0"/>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偏离说明</w:t>
            </w:r>
          </w:p>
        </w:tc>
      </w:tr>
      <w:tr w14:paraId="500E3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1" w:hRule="atLeast"/>
        </w:trPr>
        <w:tc>
          <w:tcPr>
            <w:tcW w:w="754" w:type="dxa"/>
            <w:vMerge w:val="continue"/>
            <w:tcBorders>
              <w:top w:val="single" w:color="auto" w:sz="4" w:space="0"/>
              <w:left w:val="single" w:color="auto" w:sz="4" w:space="0"/>
              <w:bottom w:val="single" w:color="auto" w:sz="4" w:space="0"/>
              <w:right w:val="single" w:color="auto" w:sz="4" w:space="0"/>
            </w:tcBorders>
            <w:vAlign w:val="center"/>
          </w:tcPr>
          <w:p w14:paraId="2AFD7499">
            <w:pPr>
              <w:keepNext w:val="0"/>
              <w:keepLines w:val="0"/>
              <w:pageBreakBefore w:val="0"/>
              <w:widowControl/>
              <w:kinsoku/>
              <w:wordWrap/>
              <w:overflowPunct/>
              <w:topLinePunct w:val="0"/>
              <w:bidi w:val="0"/>
              <w:spacing w:line="480" w:lineRule="exact"/>
              <w:jc w:val="left"/>
              <w:rPr>
                <w:rFonts w:ascii="宋体" w:hAnsi="宋体" w:cs="宋体"/>
                <w:color w:val="auto"/>
                <w:sz w:val="24"/>
                <w:szCs w:val="24"/>
                <w:highlight w:val="none"/>
              </w:rPr>
            </w:pPr>
          </w:p>
        </w:tc>
        <w:tc>
          <w:tcPr>
            <w:tcW w:w="1395" w:type="dxa"/>
            <w:tcBorders>
              <w:top w:val="single" w:color="auto" w:sz="4" w:space="0"/>
              <w:left w:val="single" w:color="auto" w:sz="4" w:space="0"/>
              <w:bottom w:val="single" w:color="auto" w:sz="4" w:space="0"/>
              <w:right w:val="single" w:color="auto" w:sz="4" w:space="0"/>
            </w:tcBorders>
            <w:vAlign w:val="center"/>
          </w:tcPr>
          <w:p w14:paraId="2C24E93C">
            <w:pPr>
              <w:keepNext w:val="0"/>
              <w:keepLines w:val="0"/>
              <w:pageBreakBefore w:val="0"/>
              <w:kinsoku/>
              <w:wordWrap/>
              <w:overflowPunct/>
              <w:topLinePunct w:val="0"/>
              <w:bidi w:val="0"/>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货物名称</w:t>
            </w:r>
          </w:p>
        </w:tc>
        <w:tc>
          <w:tcPr>
            <w:tcW w:w="975" w:type="dxa"/>
            <w:tcBorders>
              <w:top w:val="single" w:color="auto" w:sz="4" w:space="0"/>
              <w:left w:val="single" w:color="auto" w:sz="4" w:space="0"/>
              <w:bottom w:val="single" w:color="auto" w:sz="4" w:space="0"/>
              <w:right w:val="single" w:color="auto" w:sz="4" w:space="0"/>
            </w:tcBorders>
            <w:vAlign w:val="center"/>
          </w:tcPr>
          <w:p w14:paraId="5A9CB955">
            <w:pPr>
              <w:keepNext w:val="0"/>
              <w:keepLines w:val="0"/>
              <w:pageBreakBefore w:val="0"/>
              <w:kinsoku/>
              <w:wordWrap/>
              <w:overflowPunct/>
              <w:topLinePunct w:val="0"/>
              <w:bidi w:val="0"/>
              <w:spacing w:line="48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数量</w:t>
            </w:r>
            <w:r>
              <w:rPr>
                <w:rFonts w:hint="eastAsia" w:ascii="宋体" w:hAnsi="宋体" w:cs="宋体"/>
                <w:color w:val="auto"/>
                <w:sz w:val="24"/>
                <w:szCs w:val="24"/>
                <w:highlight w:val="none"/>
                <w:lang w:eastAsia="zh-CN"/>
              </w:rPr>
              <w:t>及单位</w:t>
            </w:r>
          </w:p>
        </w:tc>
        <w:tc>
          <w:tcPr>
            <w:tcW w:w="1576" w:type="dxa"/>
            <w:tcBorders>
              <w:top w:val="single" w:color="auto" w:sz="4" w:space="0"/>
              <w:left w:val="single" w:color="auto" w:sz="4" w:space="0"/>
              <w:bottom w:val="single" w:color="auto" w:sz="4" w:space="0"/>
              <w:right w:val="single" w:color="auto" w:sz="4" w:space="0"/>
            </w:tcBorders>
            <w:vAlign w:val="center"/>
          </w:tcPr>
          <w:p w14:paraId="5EFA4250">
            <w:pPr>
              <w:keepNext w:val="0"/>
              <w:keepLines w:val="0"/>
              <w:pageBreakBefore w:val="0"/>
              <w:kinsoku/>
              <w:wordWrap/>
              <w:overflowPunct/>
              <w:topLinePunct w:val="0"/>
              <w:bidi w:val="0"/>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货物参数要求</w:t>
            </w:r>
          </w:p>
        </w:tc>
        <w:tc>
          <w:tcPr>
            <w:tcW w:w="1140" w:type="dxa"/>
            <w:tcBorders>
              <w:top w:val="single" w:color="auto" w:sz="4" w:space="0"/>
              <w:left w:val="single" w:color="auto" w:sz="4" w:space="0"/>
              <w:bottom w:val="single" w:color="auto" w:sz="4" w:space="0"/>
              <w:right w:val="single" w:color="auto" w:sz="4" w:space="0"/>
            </w:tcBorders>
            <w:vAlign w:val="center"/>
          </w:tcPr>
          <w:p w14:paraId="5E70FF95">
            <w:pPr>
              <w:keepNext w:val="0"/>
              <w:keepLines w:val="0"/>
              <w:pageBreakBefore w:val="0"/>
              <w:kinsoku/>
              <w:wordWrap/>
              <w:overflowPunct/>
              <w:topLinePunct w:val="0"/>
              <w:bidi w:val="0"/>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货物名称</w:t>
            </w:r>
          </w:p>
        </w:tc>
        <w:tc>
          <w:tcPr>
            <w:tcW w:w="980" w:type="dxa"/>
            <w:tcBorders>
              <w:top w:val="single" w:color="auto" w:sz="4" w:space="0"/>
              <w:left w:val="single" w:color="auto" w:sz="4" w:space="0"/>
              <w:bottom w:val="single" w:color="auto" w:sz="4" w:space="0"/>
              <w:right w:val="single" w:color="auto" w:sz="4" w:space="0"/>
            </w:tcBorders>
            <w:vAlign w:val="center"/>
          </w:tcPr>
          <w:p w14:paraId="3E5254D2">
            <w:pPr>
              <w:keepNext w:val="0"/>
              <w:keepLines w:val="0"/>
              <w:pageBreakBefore w:val="0"/>
              <w:kinsoku/>
              <w:wordWrap/>
              <w:overflowPunct/>
              <w:topLinePunct w:val="0"/>
              <w:bidi w:val="0"/>
              <w:spacing w:line="48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数量</w:t>
            </w:r>
            <w:r>
              <w:rPr>
                <w:rFonts w:hint="eastAsia" w:ascii="宋体" w:hAnsi="宋体" w:cs="宋体"/>
                <w:color w:val="auto"/>
                <w:sz w:val="24"/>
                <w:szCs w:val="24"/>
                <w:highlight w:val="none"/>
                <w:lang w:eastAsia="zh-CN"/>
              </w:rPr>
              <w:t>及单位</w:t>
            </w:r>
          </w:p>
        </w:tc>
        <w:tc>
          <w:tcPr>
            <w:tcW w:w="1545" w:type="dxa"/>
            <w:tcBorders>
              <w:top w:val="single" w:color="auto" w:sz="4" w:space="0"/>
              <w:left w:val="single" w:color="auto" w:sz="4" w:space="0"/>
              <w:bottom w:val="single" w:color="auto" w:sz="4" w:space="0"/>
              <w:right w:val="single" w:color="auto" w:sz="4" w:space="0"/>
            </w:tcBorders>
            <w:vAlign w:val="center"/>
          </w:tcPr>
          <w:p w14:paraId="567C812C">
            <w:pPr>
              <w:keepNext w:val="0"/>
              <w:keepLines w:val="0"/>
              <w:pageBreakBefore w:val="0"/>
              <w:kinsoku/>
              <w:wordWrap/>
              <w:overflowPunct/>
              <w:topLinePunct w:val="0"/>
              <w:bidi w:val="0"/>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货物参数</w:t>
            </w:r>
          </w:p>
        </w:tc>
        <w:tc>
          <w:tcPr>
            <w:tcW w:w="833" w:type="dxa"/>
            <w:vMerge w:val="continue"/>
            <w:tcBorders>
              <w:top w:val="single" w:color="auto" w:sz="4" w:space="0"/>
              <w:left w:val="single" w:color="auto" w:sz="4" w:space="0"/>
              <w:bottom w:val="single" w:color="auto" w:sz="4" w:space="0"/>
              <w:right w:val="single" w:color="auto" w:sz="4" w:space="0"/>
            </w:tcBorders>
            <w:vAlign w:val="center"/>
          </w:tcPr>
          <w:p w14:paraId="1B20928A">
            <w:pPr>
              <w:keepNext w:val="0"/>
              <w:keepLines w:val="0"/>
              <w:pageBreakBefore w:val="0"/>
              <w:widowControl/>
              <w:kinsoku/>
              <w:wordWrap/>
              <w:overflowPunct/>
              <w:topLinePunct w:val="0"/>
              <w:bidi w:val="0"/>
              <w:spacing w:line="480" w:lineRule="exact"/>
              <w:jc w:val="left"/>
              <w:rPr>
                <w:rFonts w:ascii="宋体" w:hAnsi="宋体" w:cs="宋体"/>
                <w:color w:val="auto"/>
                <w:sz w:val="24"/>
                <w:szCs w:val="24"/>
                <w:highlight w:val="none"/>
              </w:rPr>
            </w:pPr>
          </w:p>
        </w:tc>
      </w:tr>
      <w:tr w14:paraId="40FAA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3" w:hRule="atLeast"/>
        </w:trPr>
        <w:tc>
          <w:tcPr>
            <w:tcW w:w="754" w:type="dxa"/>
            <w:tcBorders>
              <w:top w:val="single" w:color="auto" w:sz="4" w:space="0"/>
              <w:left w:val="single" w:color="auto" w:sz="4" w:space="0"/>
              <w:bottom w:val="single" w:color="auto" w:sz="4" w:space="0"/>
              <w:right w:val="single" w:color="auto" w:sz="4" w:space="0"/>
            </w:tcBorders>
            <w:vAlign w:val="center"/>
          </w:tcPr>
          <w:p w14:paraId="7019368B">
            <w:pPr>
              <w:keepNext w:val="0"/>
              <w:keepLines w:val="0"/>
              <w:pageBreakBefore w:val="0"/>
              <w:kinsoku/>
              <w:wordWrap/>
              <w:overflowPunct/>
              <w:topLinePunct w:val="0"/>
              <w:bidi w:val="0"/>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395" w:type="dxa"/>
            <w:tcBorders>
              <w:top w:val="single" w:color="auto" w:sz="4" w:space="0"/>
              <w:left w:val="single" w:color="auto" w:sz="4" w:space="0"/>
              <w:bottom w:val="single" w:color="auto" w:sz="4" w:space="0"/>
              <w:right w:val="single" w:color="auto" w:sz="4" w:space="0"/>
            </w:tcBorders>
            <w:vAlign w:val="center"/>
          </w:tcPr>
          <w:p w14:paraId="3AF41912">
            <w:pPr>
              <w:keepNext w:val="0"/>
              <w:keepLines w:val="0"/>
              <w:pageBreakBefore w:val="0"/>
              <w:kinsoku/>
              <w:wordWrap/>
              <w:overflowPunct/>
              <w:topLinePunct w:val="0"/>
              <w:bidi w:val="0"/>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975" w:type="dxa"/>
            <w:tcBorders>
              <w:top w:val="single" w:color="auto" w:sz="4" w:space="0"/>
              <w:left w:val="single" w:color="auto" w:sz="4" w:space="0"/>
              <w:bottom w:val="single" w:color="auto" w:sz="4" w:space="0"/>
              <w:right w:val="single" w:color="auto" w:sz="4" w:space="0"/>
            </w:tcBorders>
            <w:vAlign w:val="center"/>
          </w:tcPr>
          <w:p w14:paraId="602C4E2F">
            <w:pPr>
              <w:keepNext w:val="0"/>
              <w:keepLines w:val="0"/>
              <w:pageBreakBefore w:val="0"/>
              <w:kinsoku/>
              <w:wordWrap/>
              <w:overflowPunct/>
              <w:topLinePunct w:val="0"/>
              <w:bidi w:val="0"/>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1576" w:type="dxa"/>
            <w:tcBorders>
              <w:top w:val="single" w:color="auto" w:sz="4" w:space="0"/>
              <w:left w:val="single" w:color="auto" w:sz="4" w:space="0"/>
              <w:bottom w:val="single" w:color="auto" w:sz="4" w:space="0"/>
              <w:right w:val="single" w:color="auto" w:sz="4" w:space="0"/>
            </w:tcBorders>
            <w:vAlign w:val="center"/>
          </w:tcPr>
          <w:p w14:paraId="19FFA07F">
            <w:pPr>
              <w:keepNext w:val="0"/>
              <w:keepLines w:val="0"/>
              <w:pageBreakBefore w:val="0"/>
              <w:kinsoku/>
              <w:wordWrap/>
              <w:overflowPunct/>
              <w:topLinePunct w:val="0"/>
              <w:bidi w:val="0"/>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1  ……</w:t>
            </w:r>
          </w:p>
          <w:p w14:paraId="45980AE7">
            <w:pPr>
              <w:keepNext w:val="0"/>
              <w:keepLines w:val="0"/>
              <w:pageBreakBefore w:val="0"/>
              <w:kinsoku/>
              <w:wordWrap/>
              <w:overflowPunct/>
              <w:topLinePunct w:val="0"/>
              <w:bidi w:val="0"/>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2  ……</w:t>
            </w:r>
          </w:p>
          <w:p w14:paraId="0B50A3F8">
            <w:pPr>
              <w:keepNext w:val="0"/>
              <w:keepLines w:val="0"/>
              <w:pageBreakBefore w:val="0"/>
              <w:kinsoku/>
              <w:wordWrap/>
              <w:overflowPunct/>
              <w:topLinePunct w:val="0"/>
              <w:bidi w:val="0"/>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3  ……</w:t>
            </w:r>
          </w:p>
          <w:p w14:paraId="69A8755E">
            <w:pPr>
              <w:keepNext w:val="0"/>
              <w:keepLines w:val="0"/>
              <w:pageBreakBefore w:val="0"/>
              <w:kinsoku/>
              <w:wordWrap/>
              <w:overflowPunct/>
              <w:topLinePunct w:val="0"/>
              <w:bidi w:val="0"/>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1140" w:type="dxa"/>
            <w:tcBorders>
              <w:top w:val="single" w:color="auto" w:sz="4" w:space="0"/>
              <w:left w:val="single" w:color="auto" w:sz="4" w:space="0"/>
              <w:bottom w:val="single" w:color="auto" w:sz="4" w:space="0"/>
              <w:right w:val="single" w:color="auto" w:sz="4" w:space="0"/>
            </w:tcBorders>
            <w:vAlign w:val="center"/>
          </w:tcPr>
          <w:p w14:paraId="60B98894">
            <w:pPr>
              <w:keepNext w:val="0"/>
              <w:keepLines w:val="0"/>
              <w:pageBreakBefore w:val="0"/>
              <w:kinsoku/>
              <w:wordWrap/>
              <w:overflowPunct/>
              <w:topLinePunct w:val="0"/>
              <w:bidi w:val="0"/>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980" w:type="dxa"/>
            <w:tcBorders>
              <w:top w:val="single" w:color="auto" w:sz="4" w:space="0"/>
              <w:left w:val="single" w:color="auto" w:sz="4" w:space="0"/>
              <w:bottom w:val="single" w:color="auto" w:sz="4" w:space="0"/>
              <w:right w:val="single" w:color="auto" w:sz="4" w:space="0"/>
            </w:tcBorders>
            <w:vAlign w:val="center"/>
          </w:tcPr>
          <w:p w14:paraId="5C04C14E">
            <w:pPr>
              <w:keepNext w:val="0"/>
              <w:keepLines w:val="0"/>
              <w:pageBreakBefore w:val="0"/>
              <w:kinsoku/>
              <w:wordWrap/>
              <w:overflowPunct/>
              <w:topLinePunct w:val="0"/>
              <w:bidi w:val="0"/>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1545" w:type="dxa"/>
            <w:tcBorders>
              <w:top w:val="single" w:color="auto" w:sz="4" w:space="0"/>
              <w:left w:val="single" w:color="auto" w:sz="4" w:space="0"/>
              <w:bottom w:val="single" w:color="auto" w:sz="4" w:space="0"/>
              <w:right w:val="single" w:color="auto" w:sz="4" w:space="0"/>
            </w:tcBorders>
            <w:vAlign w:val="center"/>
          </w:tcPr>
          <w:p w14:paraId="54BFB15E">
            <w:pPr>
              <w:keepNext w:val="0"/>
              <w:keepLines w:val="0"/>
              <w:pageBreakBefore w:val="0"/>
              <w:kinsoku/>
              <w:wordWrap/>
              <w:overflowPunct/>
              <w:topLinePunct w:val="0"/>
              <w:bidi w:val="0"/>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1  ……</w:t>
            </w:r>
          </w:p>
          <w:p w14:paraId="1569724B">
            <w:pPr>
              <w:keepNext w:val="0"/>
              <w:keepLines w:val="0"/>
              <w:pageBreakBefore w:val="0"/>
              <w:kinsoku/>
              <w:wordWrap/>
              <w:overflowPunct/>
              <w:topLinePunct w:val="0"/>
              <w:bidi w:val="0"/>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2  ……</w:t>
            </w:r>
          </w:p>
          <w:p w14:paraId="69CE0CBB">
            <w:pPr>
              <w:keepNext w:val="0"/>
              <w:keepLines w:val="0"/>
              <w:pageBreakBefore w:val="0"/>
              <w:kinsoku/>
              <w:wordWrap/>
              <w:overflowPunct/>
              <w:topLinePunct w:val="0"/>
              <w:bidi w:val="0"/>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3  ……</w:t>
            </w:r>
          </w:p>
          <w:p w14:paraId="4E480931">
            <w:pPr>
              <w:keepNext w:val="0"/>
              <w:keepLines w:val="0"/>
              <w:pageBreakBefore w:val="0"/>
              <w:kinsoku/>
              <w:wordWrap/>
              <w:overflowPunct/>
              <w:topLinePunct w:val="0"/>
              <w:bidi w:val="0"/>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833" w:type="dxa"/>
            <w:tcBorders>
              <w:top w:val="single" w:color="auto" w:sz="4" w:space="0"/>
              <w:left w:val="single" w:color="auto" w:sz="4" w:space="0"/>
              <w:bottom w:val="single" w:color="auto" w:sz="4" w:space="0"/>
              <w:right w:val="single" w:color="auto" w:sz="4" w:space="0"/>
            </w:tcBorders>
            <w:vAlign w:val="center"/>
          </w:tcPr>
          <w:p w14:paraId="2C1DC173">
            <w:pPr>
              <w:keepNext w:val="0"/>
              <w:keepLines w:val="0"/>
              <w:pageBreakBefore w:val="0"/>
              <w:kinsoku/>
              <w:wordWrap/>
              <w:overflowPunct/>
              <w:topLinePunct w:val="0"/>
              <w:bidi w:val="0"/>
              <w:spacing w:line="480" w:lineRule="exact"/>
              <w:rPr>
                <w:rFonts w:ascii="宋体" w:hAnsi="宋体" w:cs="宋体"/>
                <w:color w:val="auto"/>
                <w:sz w:val="24"/>
                <w:szCs w:val="24"/>
                <w:highlight w:val="none"/>
              </w:rPr>
            </w:pPr>
          </w:p>
        </w:tc>
      </w:tr>
      <w:tr w14:paraId="4DB22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1" w:hRule="atLeast"/>
        </w:trPr>
        <w:tc>
          <w:tcPr>
            <w:tcW w:w="754" w:type="dxa"/>
            <w:tcBorders>
              <w:top w:val="single" w:color="auto" w:sz="4" w:space="0"/>
              <w:left w:val="single" w:color="auto" w:sz="4" w:space="0"/>
              <w:bottom w:val="single" w:color="auto" w:sz="4" w:space="0"/>
              <w:right w:val="single" w:color="auto" w:sz="4" w:space="0"/>
            </w:tcBorders>
            <w:vAlign w:val="center"/>
          </w:tcPr>
          <w:p w14:paraId="48C8F05A">
            <w:pPr>
              <w:keepNext w:val="0"/>
              <w:keepLines w:val="0"/>
              <w:pageBreakBefore w:val="0"/>
              <w:kinsoku/>
              <w:wordWrap/>
              <w:overflowPunct/>
              <w:topLinePunct w:val="0"/>
              <w:bidi w:val="0"/>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1395" w:type="dxa"/>
            <w:tcBorders>
              <w:top w:val="single" w:color="auto" w:sz="4" w:space="0"/>
              <w:left w:val="single" w:color="auto" w:sz="4" w:space="0"/>
              <w:bottom w:val="single" w:color="auto" w:sz="4" w:space="0"/>
              <w:right w:val="single" w:color="auto" w:sz="4" w:space="0"/>
            </w:tcBorders>
            <w:vAlign w:val="center"/>
          </w:tcPr>
          <w:p w14:paraId="73058EF2">
            <w:pPr>
              <w:keepNext w:val="0"/>
              <w:keepLines w:val="0"/>
              <w:pageBreakBefore w:val="0"/>
              <w:kinsoku/>
              <w:wordWrap/>
              <w:overflowPunct/>
              <w:topLinePunct w:val="0"/>
              <w:bidi w:val="0"/>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975" w:type="dxa"/>
            <w:tcBorders>
              <w:top w:val="single" w:color="auto" w:sz="4" w:space="0"/>
              <w:left w:val="single" w:color="auto" w:sz="4" w:space="0"/>
              <w:bottom w:val="single" w:color="auto" w:sz="4" w:space="0"/>
              <w:right w:val="single" w:color="auto" w:sz="4" w:space="0"/>
            </w:tcBorders>
            <w:vAlign w:val="center"/>
          </w:tcPr>
          <w:p w14:paraId="0952A1F6">
            <w:pPr>
              <w:keepNext w:val="0"/>
              <w:keepLines w:val="0"/>
              <w:pageBreakBefore w:val="0"/>
              <w:kinsoku/>
              <w:wordWrap/>
              <w:overflowPunct/>
              <w:topLinePunct w:val="0"/>
              <w:bidi w:val="0"/>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1576" w:type="dxa"/>
            <w:tcBorders>
              <w:top w:val="single" w:color="auto" w:sz="4" w:space="0"/>
              <w:left w:val="single" w:color="auto" w:sz="4" w:space="0"/>
              <w:bottom w:val="single" w:color="auto" w:sz="4" w:space="0"/>
              <w:right w:val="single" w:color="auto" w:sz="4" w:space="0"/>
            </w:tcBorders>
            <w:vAlign w:val="center"/>
          </w:tcPr>
          <w:p w14:paraId="68D84029">
            <w:pPr>
              <w:keepNext w:val="0"/>
              <w:keepLines w:val="0"/>
              <w:pageBreakBefore w:val="0"/>
              <w:kinsoku/>
              <w:wordWrap/>
              <w:overflowPunct/>
              <w:topLinePunct w:val="0"/>
              <w:bidi w:val="0"/>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1  ……</w:t>
            </w:r>
          </w:p>
          <w:p w14:paraId="2E8CCE58">
            <w:pPr>
              <w:keepNext w:val="0"/>
              <w:keepLines w:val="0"/>
              <w:pageBreakBefore w:val="0"/>
              <w:kinsoku/>
              <w:wordWrap/>
              <w:overflowPunct/>
              <w:topLinePunct w:val="0"/>
              <w:bidi w:val="0"/>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2  ……</w:t>
            </w:r>
          </w:p>
          <w:p w14:paraId="1495807C">
            <w:pPr>
              <w:keepNext w:val="0"/>
              <w:keepLines w:val="0"/>
              <w:pageBreakBefore w:val="0"/>
              <w:kinsoku/>
              <w:wordWrap/>
              <w:overflowPunct/>
              <w:topLinePunct w:val="0"/>
              <w:bidi w:val="0"/>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3  ……</w:t>
            </w:r>
          </w:p>
          <w:p w14:paraId="455B3970">
            <w:pPr>
              <w:keepNext w:val="0"/>
              <w:keepLines w:val="0"/>
              <w:pageBreakBefore w:val="0"/>
              <w:kinsoku/>
              <w:wordWrap/>
              <w:overflowPunct/>
              <w:topLinePunct w:val="0"/>
              <w:bidi w:val="0"/>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1140" w:type="dxa"/>
            <w:tcBorders>
              <w:top w:val="single" w:color="auto" w:sz="4" w:space="0"/>
              <w:left w:val="single" w:color="auto" w:sz="4" w:space="0"/>
              <w:bottom w:val="single" w:color="auto" w:sz="4" w:space="0"/>
              <w:right w:val="single" w:color="auto" w:sz="4" w:space="0"/>
            </w:tcBorders>
            <w:vAlign w:val="center"/>
          </w:tcPr>
          <w:p w14:paraId="642FC9D7">
            <w:pPr>
              <w:keepNext w:val="0"/>
              <w:keepLines w:val="0"/>
              <w:pageBreakBefore w:val="0"/>
              <w:kinsoku/>
              <w:wordWrap/>
              <w:overflowPunct/>
              <w:topLinePunct w:val="0"/>
              <w:bidi w:val="0"/>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980" w:type="dxa"/>
            <w:tcBorders>
              <w:top w:val="single" w:color="auto" w:sz="4" w:space="0"/>
              <w:left w:val="single" w:color="auto" w:sz="4" w:space="0"/>
              <w:bottom w:val="single" w:color="auto" w:sz="4" w:space="0"/>
              <w:right w:val="single" w:color="auto" w:sz="4" w:space="0"/>
            </w:tcBorders>
            <w:vAlign w:val="center"/>
          </w:tcPr>
          <w:p w14:paraId="5B95D09B">
            <w:pPr>
              <w:keepNext w:val="0"/>
              <w:keepLines w:val="0"/>
              <w:pageBreakBefore w:val="0"/>
              <w:kinsoku/>
              <w:wordWrap/>
              <w:overflowPunct/>
              <w:topLinePunct w:val="0"/>
              <w:bidi w:val="0"/>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1545" w:type="dxa"/>
            <w:tcBorders>
              <w:top w:val="single" w:color="auto" w:sz="4" w:space="0"/>
              <w:left w:val="single" w:color="auto" w:sz="4" w:space="0"/>
              <w:bottom w:val="single" w:color="auto" w:sz="4" w:space="0"/>
              <w:right w:val="single" w:color="auto" w:sz="4" w:space="0"/>
            </w:tcBorders>
            <w:vAlign w:val="center"/>
          </w:tcPr>
          <w:p w14:paraId="1CAE35B7">
            <w:pPr>
              <w:keepNext w:val="0"/>
              <w:keepLines w:val="0"/>
              <w:pageBreakBefore w:val="0"/>
              <w:kinsoku/>
              <w:wordWrap/>
              <w:overflowPunct/>
              <w:topLinePunct w:val="0"/>
              <w:bidi w:val="0"/>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1  ……</w:t>
            </w:r>
          </w:p>
          <w:p w14:paraId="6C951253">
            <w:pPr>
              <w:keepNext w:val="0"/>
              <w:keepLines w:val="0"/>
              <w:pageBreakBefore w:val="0"/>
              <w:kinsoku/>
              <w:wordWrap/>
              <w:overflowPunct/>
              <w:topLinePunct w:val="0"/>
              <w:bidi w:val="0"/>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2  ……</w:t>
            </w:r>
          </w:p>
          <w:p w14:paraId="5156913F">
            <w:pPr>
              <w:keepNext w:val="0"/>
              <w:keepLines w:val="0"/>
              <w:pageBreakBefore w:val="0"/>
              <w:kinsoku/>
              <w:wordWrap/>
              <w:overflowPunct/>
              <w:topLinePunct w:val="0"/>
              <w:bidi w:val="0"/>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3  ……</w:t>
            </w:r>
          </w:p>
          <w:p w14:paraId="46A6F836">
            <w:pPr>
              <w:keepNext w:val="0"/>
              <w:keepLines w:val="0"/>
              <w:pageBreakBefore w:val="0"/>
              <w:kinsoku/>
              <w:wordWrap/>
              <w:overflowPunct/>
              <w:topLinePunct w:val="0"/>
              <w:bidi w:val="0"/>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833" w:type="dxa"/>
            <w:tcBorders>
              <w:top w:val="single" w:color="auto" w:sz="4" w:space="0"/>
              <w:left w:val="single" w:color="auto" w:sz="4" w:space="0"/>
              <w:bottom w:val="single" w:color="auto" w:sz="4" w:space="0"/>
              <w:right w:val="single" w:color="auto" w:sz="4" w:space="0"/>
            </w:tcBorders>
            <w:vAlign w:val="center"/>
          </w:tcPr>
          <w:p w14:paraId="7231AE93">
            <w:pPr>
              <w:keepNext w:val="0"/>
              <w:keepLines w:val="0"/>
              <w:pageBreakBefore w:val="0"/>
              <w:kinsoku/>
              <w:wordWrap/>
              <w:overflowPunct/>
              <w:topLinePunct w:val="0"/>
              <w:bidi w:val="0"/>
              <w:spacing w:line="480" w:lineRule="exact"/>
              <w:rPr>
                <w:rFonts w:ascii="宋体" w:hAnsi="宋体" w:cs="宋体"/>
                <w:color w:val="auto"/>
                <w:sz w:val="24"/>
                <w:szCs w:val="24"/>
                <w:highlight w:val="none"/>
              </w:rPr>
            </w:pPr>
          </w:p>
        </w:tc>
      </w:tr>
      <w:tr w14:paraId="25868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754" w:type="dxa"/>
            <w:tcBorders>
              <w:top w:val="single" w:color="auto" w:sz="4" w:space="0"/>
              <w:left w:val="single" w:color="auto" w:sz="4" w:space="0"/>
              <w:bottom w:val="single" w:color="auto" w:sz="4" w:space="0"/>
              <w:right w:val="single" w:color="auto" w:sz="4" w:space="0"/>
            </w:tcBorders>
            <w:vAlign w:val="center"/>
          </w:tcPr>
          <w:p w14:paraId="754E87AB">
            <w:pPr>
              <w:keepNext w:val="0"/>
              <w:keepLines w:val="0"/>
              <w:pageBreakBefore w:val="0"/>
              <w:kinsoku/>
              <w:wordWrap/>
              <w:overflowPunct/>
              <w:topLinePunct w:val="0"/>
              <w:bidi w:val="0"/>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1395" w:type="dxa"/>
            <w:tcBorders>
              <w:top w:val="single" w:color="auto" w:sz="4" w:space="0"/>
              <w:left w:val="single" w:color="auto" w:sz="4" w:space="0"/>
              <w:bottom w:val="single" w:color="auto" w:sz="4" w:space="0"/>
              <w:right w:val="single" w:color="auto" w:sz="4" w:space="0"/>
            </w:tcBorders>
            <w:vAlign w:val="center"/>
          </w:tcPr>
          <w:p w14:paraId="2B41DD13">
            <w:pPr>
              <w:keepNext w:val="0"/>
              <w:keepLines w:val="0"/>
              <w:pageBreakBefore w:val="0"/>
              <w:kinsoku/>
              <w:wordWrap/>
              <w:overflowPunct/>
              <w:topLinePunct w:val="0"/>
              <w:bidi w:val="0"/>
              <w:spacing w:line="480" w:lineRule="exact"/>
              <w:rPr>
                <w:rFonts w:ascii="宋体" w:hAnsi="宋体" w:cs="宋体"/>
                <w:color w:val="auto"/>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2B65AE20">
            <w:pPr>
              <w:keepNext w:val="0"/>
              <w:keepLines w:val="0"/>
              <w:pageBreakBefore w:val="0"/>
              <w:kinsoku/>
              <w:wordWrap/>
              <w:overflowPunct/>
              <w:topLinePunct w:val="0"/>
              <w:bidi w:val="0"/>
              <w:spacing w:line="480" w:lineRule="exact"/>
              <w:rPr>
                <w:rFonts w:ascii="宋体" w:hAnsi="宋体" w:cs="宋体"/>
                <w:color w:val="auto"/>
                <w:sz w:val="24"/>
                <w:szCs w:val="24"/>
                <w:highlight w:val="none"/>
              </w:rPr>
            </w:pPr>
          </w:p>
        </w:tc>
        <w:tc>
          <w:tcPr>
            <w:tcW w:w="1576" w:type="dxa"/>
            <w:tcBorders>
              <w:top w:val="single" w:color="auto" w:sz="4" w:space="0"/>
              <w:left w:val="single" w:color="auto" w:sz="4" w:space="0"/>
              <w:bottom w:val="single" w:color="auto" w:sz="4" w:space="0"/>
              <w:right w:val="single" w:color="auto" w:sz="4" w:space="0"/>
            </w:tcBorders>
            <w:vAlign w:val="center"/>
          </w:tcPr>
          <w:p w14:paraId="66C2874A">
            <w:pPr>
              <w:keepNext w:val="0"/>
              <w:keepLines w:val="0"/>
              <w:pageBreakBefore w:val="0"/>
              <w:kinsoku/>
              <w:wordWrap/>
              <w:overflowPunct/>
              <w:topLinePunct w:val="0"/>
              <w:bidi w:val="0"/>
              <w:spacing w:line="480" w:lineRule="exact"/>
              <w:rPr>
                <w:rFonts w:ascii="宋体" w:hAnsi="宋体" w:cs="宋体"/>
                <w:color w:val="auto"/>
                <w:sz w:val="24"/>
                <w:szCs w:val="24"/>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07793171">
            <w:pPr>
              <w:keepNext w:val="0"/>
              <w:keepLines w:val="0"/>
              <w:pageBreakBefore w:val="0"/>
              <w:kinsoku/>
              <w:wordWrap/>
              <w:overflowPunct/>
              <w:topLinePunct w:val="0"/>
              <w:bidi w:val="0"/>
              <w:spacing w:line="480" w:lineRule="exact"/>
              <w:rPr>
                <w:rFonts w:ascii="宋体" w:hAnsi="宋体" w:cs="宋体"/>
                <w:color w:val="auto"/>
                <w:sz w:val="24"/>
                <w:szCs w:val="24"/>
                <w:highlight w:val="none"/>
              </w:rPr>
            </w:pPr>
          </w:p>
        </w:tc>
        <w:tc>
          <w:tcPr>
            <w:tcW w:w="980" w:type="dxa"/>
            <w:tcBorders>
              <w:top w:val="single" w:color="auto" w:sz="4" w:space="0"/>
              <w:left w:val="single" w:color="auto" w:sz="4" w:space="0"/>
              <w:bottom w:val="single" w:color="auto" w:sz="4" w:space="0"/>
              <w:right w:val="single" w:color="auto" w:sz="4" w:space="0"/>
            </w:tcBorders>
            <w:vAlign w:val="center"/>
          </w:tcPr>
          <w:p w14:paraId="685C0E96">
            <w:pPr>
              <w:keepNext w:val="0"/>
              <w:keepLines w:val="0"/>
              <w:pageBreakBefore w:val="0"/>
              <w:kinsoku/>
              <w:wordWrap/>
              <w:overflowPunct/>
              <w:topLinePunct w:val="0"/>
              <w:bidi w:val="0"/>
              <w:spacing w:line="480" w:lineRule="exact"/>
              <w:rPr>
                <w:rFonts w:ascii="宋体" w:hAnsi="宋体" w:cs="宋体"/>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vAlign w:val="center"/>
          </w:tcPr>
          <w:p w14:paraId="262C7174">
            <w:pPr>
              <w:keepNext w:val="0"/>
              <w:keepLines w:val="0"/>
              <w:pageBreakBefore w:val="0"/>
              <w:kinsoku/>
              <w:wordWrap/>
              <w:overflowPunct/>
              <w:topLinePunct w:val="0"/>
              <w:bidi w:val="0"/>
              <w:spacing w:line="480" w:lineRule="exact"/>
              <w:rPr>
                <w:rFonts w:ascii="宋体" w:hAnsi="宋体" w:cs="宋体"/>
                <w:color w:val="auto"/>
                <w:sz w:val="24"/>
                <w:szCs w:val="24"/>
                <w:highlight w:val="none"/>
              </w:rPr>
            </w:pPr>
          </w:p>
        </w:tc>
        <w:tc>
          <w:tcPr>
            <w:tcW w:w="833" w:type="dxa"/>
            <w:tcBorders>
              <w:top w:val="single" w:color="auto" w:sz="4" w:space="0"/>
              <w:left w:val="single" w:color="auto" w:sz="4" w:space="0"/>
              <w:bottom w:val="single" w:color="auto" w:sz="4" w:space="0"/>
              <w:right w:val="single" w:color="auto" w:sz="4" w:space="0"/>
            </w:tcBorders>
            <w:vAlign w:val="center"/>
          </w:tcPr>
          <w:p w14:paraId="215D7AB4">
            <w:pPr>
              <w:keepNext w:val="0"/>
              <w:keepLines w:val="0"/>
              <w:pageBreakBefore w:val="0"/>
              <w:kinsoku/>
              <w:wordWrap/>
              <w:overflowPunct/>
              <w:topLinePunct w:val="0"/>
              <w:bidi w:val="0"/>
              <w:spacing w:line="480" w:lineRule="exact"/>
              <w:rPr>
                <w:rFonts w:ascii="宋体" w:hAnsi="宋体" w:cs="宋体"/>
                <w:color w:val="auto"/>
                <w:sz w:val="24"/>
                <w:szCs w:val="24"/>
                <w:highlight w:val="none"/>
              </w:rPr>
            </w:pPr>
          </w:p>
        </w:tc>
      </w:tr>
    </w:tbl>
    <w:p w14:paraId="5CE2A926">
      <w:pPr>
        <w:keepNext w:val="0"/>
        <w:keepLines w:val="0"/>
        <w:pageBreakBefore w:val="0"/>
        <w:kinsoku/>
        <w:wordWrap/>
        <w:overflowPunct/>
        <w:topLinePunct w:val="0"/>
        <w:bidi w:val="0"/>
        <w:spacing w:line="480" w:lineRule="exact"/>
        <w:rPr>
          <w:rFonts w:ascii="宋体" w:hAnsi="宋体" w:cs="宋体"/>
          <w:color w:val="auto"/>
          <w:sz w:val="24"/>
          <w:szCs w:val="24"/>
          <w:highlight w:val="none"/>
        </w:rPr>
      </w:pPr>
      <w:r>
        <w:rPr>
          <w:rFonts w:hint="eastAsia" w:ascii="宋体" w:hAnsi="宋体" w:cs="宋体"/>
          <w:bCs/>
          <w:color w:val="auto"/>
          <w:sz w:val="24"/>
          <w:szCs w:val="24"/>
          <w:highlight w:val="none"/>
        </w:rPr>
        <w:t>(注：按采购需求具体条款修改)</w:t>
      </w:r>
    </w:p>
    <w:p w14:paraId="0AB3A0EF">
      <w:pPr>
        <w:pStyle w:val="12"/>
        <w:keepNext w:val="0"/>
        <w:keepLines w:val="0"/>
        <w:pageBreakBefore w:val="0"/>
        <w:kinsoku/>
        <w:wordWrap/>
        <w:overflowPunct/>
        <w:topLinePunct w:val="0"/>
        <w:bidi w:val="0"/>
        <w:spacing w:after="0" w:line="480" w:lineRule="exact"/>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w:t>
      </w:r>
    </w:p>
    <w:p w14:paraId="5D7671F5">
      <w:pPr>
        <w:pStyle w:val="12"/>
        <w:keepNext w:val="0"/>
        <w:keepLines w:val="0"/>
        <w:pageBreakBefore w:val="0"/>
        <w:kinsoku/>
        <w:wordWrap/>
        <w:overflowPunct/>
        <w:topLinePunct w:val="0"/>
        <w:bidi w:val="0"/>
        <w:spacing w:after="0" w:line="480" w:lineRule="exact"/>
        <w:ind w:firstLine="480" w:firstLine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1.说明：应对照谈判文件“第二章”中“</w:t>
      </w:r>
      <w:r>
        <w:rPr>
          <w:rFonts w:hint="eastAsia" w:ascii="宋体" w:hAnsi="宋体" w:cs="宋体"/>
          <w:color w:val="auto"/>
          <w:kern w:val="0"/>
          <w:sz w:val="24"/>
          <w:szCs w:val="24"/>
          <w:highlight w:val="none"/>
          <w:lang w:eastAsia="zh-CN"/>
        </w:rPr>
        <w:t>采购</w:t>
      </w:r>
      <w:r>
        <w:rPr>
          <w:rFonts w:hint="eastAsia" w:ascii="宋体" w:hAnsi="宋体" w:cs="宋体"/>
          <w:color w:val="auto"/>
          <w:kern w:val="0"/>
          <w:sz w:val="24"/>
          <w:szCs w:val="24"/>
          <w:highlight w:val="none"/>
        </w:rPr>
        <w:t>需求”的采购清单及技术参数条款逐条作出明确响应，并作出偏离说明。</w:t>
      </w:r>
    </w:p>
    <w:p w14:paraId="5E51D493">
      <w:pPr>
        <w:pStyle w:val="15"/>
        <w:keepNext w:val="0"/>
        <w:keepLines w:val="0"/>
        <w:pageBreakBefore w:val="0"/>
        <w:kinsoku/>
        <w:wordWrap/>
        <w:overflowPunct/>
        <w:topLinePunct w:val="0"/>
        <w:bidi w:val="0"/>
        <w:spacing w:line="480" w:lineRule="exact"/>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2.供应商应根据自身的承诺，对照谈判文件要求，在“偏离说明”中注明“正偏离”、“负偏离”或者“无偏离”。既不属于“正偏离”也不属于“负偏离”即为“无偏离”。 当响应文件的商务内容低于竞争性谈判采购文件要求时，竞标人应当如实写明“负偏离”，否则视为虚假应标</w:t>
      </w:r>
    </w:p>
    <w:p w14:paraId="062307F0">
      <w:pPr>
        <w:keepNext w:val="0"/>
        <w:keepLines w:val="0"/>
        <w:pageBreakBefore w:val="0"/>
        <w:kinsoku/>
        <w:wordWrap/>
        <w:overflowPunct/>
        <w:topLinePunct w:val="0"/>
        <w:bidi w:val="0"/>
        <w:spacing w:line="48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3.表格内容均需按要求填写并盖章，不得留空，否则按竞标无效处理。</w:t>
      </w:r>
    </w:p>
    <w:p w14:paraId="5962EDF2">
      <w:pPr>
        <w:pStyle w:val="15"/>
        <w:keepNext w:val="0"/>
        <w:keepLines w:val="0"/>
        <w:pageBreakBefore w:val="0"/>
        <w:kinsoku/>
        <w:wordWrap/>
        <w:overflowPunct/>
        <w:topLinePunct w:val="0"/>
        <w:bidi w:val="0"/>
        <w:spacing w:line="480" w:lineRule="exact"/>
        <w:ind w:firstLine="480" w:firstLineChars="200"/>
        <w:contextualSpacing/>
        <w:rPr>
          <w:rFonts w:ascii="宋体" w:hAnsi="宋体" w:cs="宋体"/>
          <w:b/>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.如技术偏离表中的竞标响应与佐证材料不一致的，以佐证材料为准。</w:t>
      </w:r>
    </w:p>
    <w:p w14:paraId="6E7249AB">
      <w:pPr>
        <w:keepNext w:val="0"/>
        <w:keepLines w:val="0"/>
        <w:pageBreakBefore w:val="0"/>
        <w:kinsoku/>
        <w:wordWrap/>
        <w:overflowPunct/>
        <w:topLinePunct w:val="0"/>
        <w:autoSpaceDE w:val="0"/>
        <w:autoSpaceDN w:val="0"/>
        <w:bidi w:val="0"/>
        <w:spacing w:line="48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供应商名称（电子签章）：</w:t>
      </w:r>
    </w:p>
    <w:p w14:paraId="004CF3EC">
      <w:pPr>
        <w:keepNext w:val="0"/>
        <w:keepLines w:val="0"/>
        <w:pageBreakBefore w:val="0"/>
        <w:kinsoku/>
        <w:wordWrap/>
        <w:overflowPunct/>
        <w:topLinePunct w:val="0"/>
        <w:autoSpaceDE w:val="0"/>
        <w:autoSpaceDN w:val="0"/>
        <w:bidi w:val="0"/>
        <w:spacing w:line="480" w:lineRule="exact"/>
        <w:ind w:firstLine="5040" w:firstLineChars="2100"/>
        <w:jc w:val="both"/>
        <w:rPr>
          <w:rFonts w:ascii="宋体" w:hAnsi="宋体" w:cs="宋体"/>
          <w:b/>
          <w:bCs/>
          <w:color w:val="auto"/>
          <w:sz w:val="24"/>
          <w:szCs w:val="24"/>
          <w:highlight w:val="none"/>
        </w:rPr>
      </w:pPr>
      <w:r>
        <w:rPr>
          <w:rFonts w:hint="eastAsia" w:ascii="宋体" w:hAnsi="宋体" w:cs="宋体"/>
          <w:color w:val="auto"/>
          <w:kern w:val="0"/>
          <w:sz w:val="24"/>
          <w:szCs w:val="24"/>
          <w:highlight w:val="none"/>
          <w:lang w:val="zh-CN"/>
        </w:rPr>
        <w:t>日期：  年  月   日</w:t>
      </w:r>
    </w:p>
    <w:p w14:paraId="4EC7E800">
      <w:pPr>
        <w:pStyle w:val="3"/>
        <w:spacing w:before="0" w:after="0" w:line="360" w:lineRule="auto"/>
        <w:jc w:val="center"/>
        <w:rPr>
          <w:rFonts w:ascii="宋体" w:hAnsi="宋体" w:cs="宋体"/>
          <w:color w:val="auto"/>
          <w:highlight w:val="none"/>
        </w:rPr>
      </w:pPr>
      <w:bookmarkStart w:id="88" w:name="_Toc16265"/>
      <w:r>
        <w:rPr>
          <w:rFonts w:hint="eastAsia" w:ascii="宋体" w:hAnsi="宋体" w:cs="宋体"/>
          <w:color w:val="auto"/>
          <w:highlight w:val="none"/>
        </w:rPr>
        <w:t>第</w:t>
      </w:r>
      <w:r>
        <w:rPr>
          <w:rFonts w:hint="eastAsia" w:ascii="宋体" w:hAnsi="宋体" w:cs="宋体"/>
          <w:color w:val="auto"/>
          <w:highlight w:val="none"/>
          <w:lang w:val="en-US" w:eastAsia="zh-CN"/>
        </w:rPr>
        <w:t>三</w:t>
      </w:r>
      <w:r>
        <w:rPr>
          <w:rFonts w:hint="eastAsia" w:ascii="宋体" w:hAnsi="宋体" w:cs="宋体"/>
          <w:color w:val="auto"/>
          <w:highlight w:val="none"/>
        </w:rPr>
        <w:t>节 报价文件格式</w:t>
      </w:r>
      <w:bookmarkEnd w:id="88"/>
    </w:p>
    <w:p w14:paraId="2D5A166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3CB33315">
      <w:pPr>
        <w:spacing w:line="360" w:lineRule="auto"/>
        <w:rPr>
          <w:rFonts w:ascii="宋体" w:hAnsi="宋体" w:cs="宋体"/>
          <w:color w:val="auto"/>
          <w:sz w:val="24"/>
          <w:szCs w:val="20"/>
          <w:highlight w:val="none"/>
        </w:rPr>
      </w:pPr>
    </w:p>
    <w:p w14:paraId="5F847FE8">
      <w:pPr>
        <w:spacing w:line="360" w:lineRule="auto"/>
        <w:rPr>
          <w:rFonts w:ascii="宋体" w:hAnsi="宋体" w:cs="宋体"/>
          <w:color w:val="auto"/>
          <w:sz w:val="24"/>
          <w:szCs w:val="20"/>
          <w:highlight w:val="none"/>
        </w:rPr>
      </w:pPr>
    </w:p>
    <w:p w14:paraId="4DE27BB8">
      <w:pPr>
        <w:spacing w:line="360" w:lineRule="auto"/>
        <w:rPr>
          <w:rFonts w:ascii="宋体" w:hAnsi="宋体" w:cs="宋体"/>
          <w:color w:val="auto"/>
          <w:sz w:val="24"/>
          <w:szCs w:val="20"/>
          <w:highlight w:val="none"/>
        </w:rPr>
      </w:pPr>
    </w:p>
    <w:p w14:paraId="1F9F20CC">
      <w:pPr>
        <w:spacing w:line="360" w:lineRule="auto"/>
        <w:jc w:val="center"/>
        <w:rPr>
          <w:rFonts w:ascii="宋体" w:hAnsi="宋体" w:cs="宋体"/>
          <w:bCs/>
          <w:color w:val="auto"/>
          <w:sz w:val="44"/>
          <w:szCs w:val="44"/>
          <w:highlight w:val="none"/>
        </w:rPr>
      </w:pPr>
      <w:r>
        <w:rPr>
          <w:rFonts w:hint="eastAsia" w:ascii="宋体" w:hAnsi="宋体" w:cs="宋体"/>
          <w:bCs/>
          <w:color w:val="auto"/>
          <w:sz w:val="44"/>
          <w:szCs w:val="44"/>
          <w:highlight w:val="none"/>
        </w:rPr>
        <w:t>报  价  文  件（封面）</w:t>
      </w:r>
    </w:p>
    <w:p w14:paraId="3EC1A45E">
      <w:pPr>
        <w:spacing w:line="360" w:lineRule="auto"/>
        <w:rPr>
          <w:rFonts w:ascii="宋体" w:hAnsi="宋体" w:cs="宋体"/>
          <w:bCs/>
          <w:color w:val="auto"/>
          <w:sz w:val="24"/>
          <w:szCs w:val="20"/>
          <w:highlight w:val="none"/>
        </w:rPr>
      </w:pPr>
    </w:p>
    <w:p w14:paraId="1A5BA0EF">
      <w:pPr>
        <w:spacing w:line="360" w:lineRule="auto"/>
        <w:rPr>
          <w:rFonts w:ascii="宋体" w:hAnsi="宋体" w:cs="宋体"/>
          <w:bCs/>
          <w:color w:val="auto"/>
          <w:sz w:val="24"/>
          <w:szCs w:val="20"/>
          <w:highlight w:val="none"/>
        </w:rPr>
      </w:pPr>
    </w:p>
    <w:p w14:paraId="65DC634F">
      <w:pPr>
        <w:spacing w:line="360" w:lineRule="auto"/>
        <w:rPr>
          <w:rFonts w:ascii="宋体" w:hAnsi="宋体" w:cs="宋体"/>
          <w:bCs/>
          <w:color w:val="auto"/>
          <w:sz w:val="24"/>
          <w:szCs w:val="20"/>
          <w:highlight w:val="none"/>
        </w:rPr>
      </w:pPr>
    </w:p>
    <w:p w14:paraId="03982A6F">
      <w:pPr>
        <w:spacing w:line="360" w:lineRule="auto"/>
        <w:rPr>
          <w:rFonts w:ascii="宋体" w:hAnsi="宋体" w:cs="宋体"/>
          <w:bCs/>
          <w:color w:val="auto"/>
          <w:sz w:val="24"/>
          <w:szCs w:val="20"/>
          <w:highlight w:val="none"/>
        </w:rPr>
      </w:pPr>
    </w:p>
    <w:p w14:paraId="5921287F">
      <w:pPr>
        <w:spacing w:line="360" w:lineRule="auto"/>
        <w:rPr>
          <w:rFonts w:ascii="宋体" w:hAnsi="宋体" w:cs="宋体"/>
          <w:bCs/>
          <w:color w:val="auto"/>
          <w:sz w:val="24"/>
          <w:szCs w:val="20"/>
          <w:highlight w:val="none"/>
        </w:rPr>
      </w:pPr>
    </w:p>
    <w:p w14:paraId="170D9645">
      <w:pPr>
        <w:spacing w:line="360" w:lineRule="auto"/>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19AEA614">
      <w:pPr>
        <w:spacing w:line="360" w:lineRule="auto"/>
        <w:ind w:firstLine="720" w:firstLineChars="225"/>
        <w:rPr>
          <w:rFonts w:ascii="宋体" w:hAnsi="宋体" w:cs="宋体"/>
          <w:bCs/>
          <w:color w:val="auto"/>
          <w:sz w:val="32"/>
          <w:szCs w:val="32"/>
          <w:highlight w:val="none"/>
        </w:rPr>
      </w:pPr>
    </w:p>
    <w:p w14:paraId="230DB0D3">
      <w:pPr>
        <w:spacing w:line="360" w:lineRule="auto"/>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298323AE">
      <w:pPr>
        <w:spacing w:line="360" w:lineRule="auto"/>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031E8CA1">
      <w:pPr>
        <w:spacing w:line="360" w:lineRule="auto"/>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7208516C">
      <w:pPr>
        <w:spacing w:line="360" w:lineRule="auto"/>
        <w:ind w:firstLine="720" w:firstLineChars="225"/>
        <w:rPr>
          <w:rFonts w:ascii="宋体" w:hAnsi="宋体" w:cs="宋体"/>
          <w:bCs/>
          <w:color w:val="auto"/>
          <w:sz w:val="32"/>
          <w:szCs w:val="32"/>
          <w:highlight w:val="none"/>
        </w:rPr>
      </w:pPr>
    </w:p>
    <w:p w14:paraId="41EEF830">
      <w:pPr>
        <w:pStyle w:val="7"/>
        <w:spacing w:line="360" w:lineRule="auto"/>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47E39295">
      <w:pPr>
        <w:pStyle w:val="7"/>
        <w:spacing w:line="360" w:lineRule="auto"/>
        <w:ind w:firstLine="720" w:firstLineChars="225"/>
        <w:rPr>
          <w:rFonts w:ascii="宋体" w:hAnsi="宋体" w:cs="宋体"/>
          <w:bCs/>
          <w:color w:val="auto"/>
          <w:sz w:val="32"/>
          <w:szCs w:val="32"/>
          <w:highlight w:val="none"/>
        </w:rPr>
      </w:pPr>
    </w:p>
    <w:p w14:paraId="0F286439">
      <w:pPr>
        <w:pStyle w:val="7"/>
        <w:spacing w:line="360" w:lineRule="auto"/>
        <w:ind w:firstLine="720" w:firstLineChars="225"/>
        <w:rPr>
          <w:rFonts w:ascii="宋体" w:hAnsi="宋体" w:cs="宋体"/>
          <w:bCs/>
          <w:color w:val="auto"/>
          <w:sz w:val="32"/>
          <w:szCs w:val="32"/>
          <w:highlight w:val="none"/>
        </w:rPr>
      </w:pPr>
    </w:p>
    <w:p w14:paraId="02E0A4C4">
      <w:pPr>
        <w:pStyle w:val="7"/>
        <w:spacing w:line="360" w:lineRule="auto"/>
        <w:ind w:firstLine="1280" w:firstLineChars="400"/>
        <w:rPr>
          <w:rFonts w:ascii="宋体" w:hAnsi="宋体" w:cs="宋体"/>
          <w:bCs/>
          <w:color w:val="auto"/>
          <w:sz w:val="32"/>
          <w:szCs w:val="32"/>
          <w:highlight w:val="none"/>
        </w:rPr>
      </w:pPr>
    </w:p>
    <w:p w14:paraId="405FEBBF">
      <w:pPr>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0EA31172">
      <w:pPr>
        <w:spacing w:line="360" w:lineRule="auto"/>
        <w:jc w:val="center"/>
        <w:rPr>
          <w:rFonts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报价文件目录</w:t>
      </w:r>
    </w:p>
    <w:p w14:paraId="6350CDFD">
      <w:pPr>
        <w:spacing w:line="360" w:lineRule="auto"/>
        <w:ind w:left="142" w:firstLine="562" w:firstLineChars="200"/>
        <w:jc w:val="left"/>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lang w:eastAsia="zh-CN"/>
        </w:rPr>
        <w:t>（格式自拟）</w:t>
      </w:r>
    </w:p>
    <w:p w14:paraId="46F5EB2E">
      <w:pPr>
        <w:pStyle w:val="18"/>
        <w:spacing w:line="360" w:lineRule="auto"/>
        <w:ind w:firstLine="480" w:firstLineChars="200"/>
        <w:jc w:val="center"/>
        <w:rPr>
          <w:rFonts w:hAnsi="宋体" w:cs="宋体"/>
          <w:color w:val="auto"/>
          <w:sz w:val="24"/>
          <w:szCs w:val="24"/>
          <w:highlight w:val="none"/>
        </w:rPr>
      </w:pPr>
      <w:r>
        <w:rPr>
          <w:rFonts w:hint="eastAsia" w:hAnsi="宋体" w:cs="宋体"/>
          <w:color w:val="auto"/>
          <w:sz w:val="24"/>
          <w:highlight w:val="none"/>
        </w:rPr>
        <w:br w:type="page"/>
      </w:r>
      <w:r>
        <w:rPr>
          <w:rFonts w:hint="eastAsia" w:hAnsi="宋体" w:cs="宋体"/>
          <w:b/>
          <w:color w:val="auto"/>
          <w:sz w:val="24"/>
          <w:szCs w:val="24"/>
          <w:highlight w:val="none"/>
        </w:rPr>
        <w:t>一、响应函</w:t>
      </w:r>
    </w:p>
    <w:p w14:paraId="001C2E46">
      <w:pPr>
        <w:pStyle w:val="18"/>
        <w:spacing w:line="360" w:lineRule="auto"/>
        <w:rPr>
          <w:rFonts w:hAnsi="宋体" w:cs="宋体"/>
          <w:color w:val="auto"/>
          <w:sz w:val="24"/>
          <w:szCs w:val="24"/>
          <w:highlight w:val="none"/>
        </w:rPr>
      </w:pPr>
    </w:p>
    <w:p w14:paraId="311EEDAE">
      <w:pPr>
        <w:spacing w:line="360" w:lineRule="auto"/>
        <w:contextualSpacing/>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（采购人名称）</w:t>
      </w:r>
      <w:r>
        <w:rPr>
          <w:rFonts w:hint="eastAsia" w:ascii="宋体" w:hAnsi="宋体" w:cs="宋体"/>
          <w:color w:val="auto"/>
          <w:sz w:val="24"/>
          <w:szCs w:val="24"/>
          <w:highlight w:val="none"/>
        </w:rPr>
        <w:t>：</w:t>
      </w:r>
    </w:p>
    <w:p w14:paraId="34B6417E">
      <w:pPr>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我方</w:t>
      </w:r>
      <w:r>
        <w:rPr>
          <w:rFonts w:hint="eastAsia" w:ascii="宋体" w:hAnsi="宋体" w:cs="宋体"/>
          <w:color w:val="auto"/>
          <w:sz w:val="24"/>
          <w:szCs w:val="24"/>
          <w:highlight w:val="none"/>
          <w:u w:val="single"/>
        </w:rPr>
        <w:t>（供应商名称）</w:t>
      </w:r>
      <w:r>
        <w:rPr>
          <w:rFonts w:hint="eastAsia" w:ascii="宋体" w:hAnsi="宋体" w:cs="宋体"/>
          <w:color w:val="auto"/>
          <w:sz w:val="24"/>
          <w:szCs w:val="24"/>
          <w:highlight w:val="none"/>
        </w:rPr>
        <w:t>系中华人民共和国合法供应商，经营地址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7B864B4">
      <w:pPr>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我方愿意参加贵方组织的</w:t>
      </w:r>
      <w:r>
        <w:rPr>
          <w:rFonts w:hint="eastAsia" w:ascii="宋体" w:hAnsi="宋体" w:cs="宋体"/>
          <w:color w:val="auto"/>
          <w:sz w:val="24"/>
          <w:szCs w:val="24"/>
          <w:highlight w:val="none"/>
          <w:u w:val="single"/>
        </w:rPr>
        <w:t>（项目名称）</w:t>
      </w:r>
      <w:r>
        <w:rPr>
          <w:rFonts w:hint="eastAsia" w:ascii="宋体" w:hAnsi="宋体" w:cs="宋体"/>
          <w:color w:val="auto"/>
          <w:sz w:val="24"/>
          <w:szCs w:val="24"/>
          <w:highlight w:val="none"/>
        </w:rPr>
        <w:t>项目的竞标，为便于贵方公正、择优地确定成交供应商及其竞标产品和货物，我方就本次竞标有关事项郑重声明如下：</w:t>
      </w:r>
    </w:p>
    <w:p w14:paraId="2F4E8E91">
      <w:pPr>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1.我方向贵方提交的所有响应文件、资料都是准确的和真实的。</w:t>
      </w:r>
    </w:p>
    <w:p w14:paraId="334C9AD6">
      <w:pPr>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2.我方不是采购人的附属机构；不是为本次采购项目提供整体设计、规范编制或者项目管理、监理、检测等货物的供应商；在获知本项目采购信息后，与采购人聘请的为此项目提供咨询货物的公司及其附属机构没有任何联系。</w:t>
      </w:r>
    </w:p>
    <w:p w14:paraId="49EC858F">
      <w:pPr>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3.在此，我方宣布同意如下：</w:t>
      </w:r>
    </w:p>
    <w:p w14:paraId="17789E3A">
      <w:pPr>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(1)将按谈判文件的约定履行合同责任和义务；</w:t>
      </w:r>
    </w:p>
    <w:p w14:paraId="2865E151">
      <w:pPr>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(2)已详细审查全部谈判文件，包括补遗文件（如有）；</w:t>
      </w:r>
    </w:p>
    <w:p w14:paraId="7F7AA240">
      <w:pPr>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(3)同意提供按照贵方可能要求的与谈判有关的一切数据或者资料；</w:t>
      </w:r>
    </w:p>
    <w:p w14:paraId="1CF5CAEB">
      <w:pPr>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(4)响应谈判文件规定的竞标有效期。</w:t>
      </w:r>
    </w:p>
    <w:p w14:paraId="32012493">
      <w:pPr>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4.我方承诺符合《中华人民共和国政府采购法》第二十二条规定：</w:t>
      </w:r>
    </w:p>
    <w:p w14:paraId="68FC120B">
      <w:pPr>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w:t>
      </w:r>
    </w:p>
    <w:p w14:paraId="1C9C3E6A">
      <w:pPr>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（2）具有良好的商业信誉和健全的财务会计制度；</w:t>
      </w:r>
    </w:p>
    <w:p w14:paraId="10AC1322">
      <w:pPr>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（3）具有履行合同所必需的设备和专业技术能力；</w:t>
      </w:r>
    </w:p>
    <w:p w14:paraId="1875513D">
      <w:pPr>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（4）有依法缴纳税收和社会保障资金的良好记录；</w:t>
      </w:r>
    </w:p>
    <w:p w14:paraId="38298C68">
      <w:pPr>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（5）参加政府采购活动前三年内，在经营活动中没有重大违法记录；</w:t>
      </w:r>
    </w:p>
    <w:p w14:paraId="23C01F33">
      <w:pPr>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（6）法律、行政法规规定的其他条件。</w:t>
      </w:r>
    </w:p>
    <w:p w14:paraId="6E9151EC">
      <w:pPr>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76E5DB2C">
      <w:pPr>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15A7FFC5">
      <w:pPr>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□我方本次响应文件</w:t>
      </w:r>
      <w:r>
        <w:rPr>
          <w:rFonts w:hint="eastAsia" w:ascii="宋体" w:hAnsi="宋体" w:cs="宋体"/>
          <w:color w:val="auto"/>
          <w:kern w:val="0"/>
          <w:sz w:val="24"/>
          <w:szCs w:val="24"/>
          <w:highlight w:val="none"/>
        </w:rPr>
        <w:t>内容中</w:t>
      </w:r>
      <w:r>
        <w:rPr>
          <w:rFonts w:hint="eastAsia" w:ascii="宋体" w:hAnsi="宋体" w:cs="宋体"/>
          <w:color w:val="auto"/>
          <w:sz w:val="24"/>
          <w:szCs w:val="24"/>
          <w:highlight w:val="none"/>
        </w:rPr>
        <w:t>未</w:t>
      </w:r>
      <w:r>
        <w:rPr>
          <w:rFonts w:hint="eastAsia" w:ascii="宋体" w:hAnsi="宋体" w:cs="宋体"/>
          <w:color w:val="auto"/>
          <w:kern w:val="0"/>
          <w:sz w:val="24"/>
          <w:szCs w:val="24"/>
          <w:highlight w:val="none"/>
        </w:rPr>
        <w:t>涉及商业秘密；</w:t>
      </w:r>
    </w:p>
    <w:p w14:paraId="6A1DF8EA">
      <w:pPr>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□我方本次响应文件</w:t>
      </w:r>
      <w:r>
        <w:rPr>
          <w:rFonts w:hint="eastAsia" w:ascii="宋体" w:hAnsi="宋体" w:cs="宋体"/>
          <w:color w:val="auto"/>
          <w:kern w:val="0"/>
          <w:sz w:val="24"/>
          <w:szCs w:val="24"/>
          <w:highlight w:val="none"/>
        </w:rPr>
        <w:t>涉及商业秘密的内容有：</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528DE7F0">
      <w:pPr>
        <w:pStyle w:val="18"/>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7.以上事项如有虚假或者隐瞒，我方愿意承担一切后果，并不再寻求任何旨在减轻或者免除法律责任的辩解。</w:t>
      </w:r>
    </w:p>
    <w:p w14:paraId="7D192310">
      <w:pPr>
        <w:pStyle w:val="18"/>
        <w:spacing w:line="360" w:lineRule="auto"/>
        <w:ind w:firstLine="420"/>
        <w:rPr>
          <w:rFonts w:hAnsi="宋体" w:cs="宋体"/>
          <w:color w:val="auto"/>
          <w:sz w:val="24"/>
          <w:szCs w:val="24"/>
          <w:highlight w:val="none"/>
        </w:rPr>
      </w:pPr>
      <w:r>
        <w:rPr>
          <w:rFonts w:hint="eastAsia" w:hAnsi="宋体" w:cs="宋体"/>
          <w:color w:val="auto"/>
          <w:sz w:val="24"/>
          <w:szCs w:val="24"/>
          <w:highlight w:val="none"/>
        </w:rPr>
        <w:t>8.与本谈判有关的一切正式往来信函请寄：</w:t>
      </w:r>
    </w:p>
    <w:p w14:paraId="2B2F769D">
      <w:pPr>
        <w:pStyle w:val="18"/>
        <w:spacing w:line="360" w:lineRule="auto"/>
        <w:ind w:firstLine="420"/>
        <w:rPr>
          <w:rFonts w:hAnsi="宋体" w:cs="宋体"/>
          <w:color w:val="auto"/>
          <w:sz w:val="24"/>
          <w:szCs w:val="24"/>
          <w:highlight w:val="none"/>
        </w:rPr>
      </w:pPr>
      <w:r>
        <w:rPr>
          <w:rFonts w:hint="eastAsia" w:hAnsi="宋体" w:cs="宋体"/>
          <w:color w:val="auto"/>
          <w:sz w:val="24"/>
          <w:szCs w:val="24"/>
          <w:highlight w:val="none"/>
        </w:rPr>
        <w:t>地址：</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74BEA705">
      <w:pPr>
        <w:pStyle w:val="18"/>
        <w:spacing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电话：</w:t>
      </w:r>
      <w:r>
        <w:rPr>
          <w:rFonts w:hint="eastAsia" w:hAnsi="宋体" w:cs="宋体"/>
          <w:color w:val="auto"/>
          <w:sz w:val="24"/>
          <w:szCs w:val="24"/>
          <w:highlight w:val="none"/>
          <w:u w:val="single"/>
        </w:rPr>
        <w:t xml:space="preserve">                                      　　　　　　　　　</w:t>
      </w:r>
    </w:p>
    <w:p w14:paraId="0C2FB583">
      <w:pPr>
        <w:pStyle w:val="18"/>
        <w:spacing w:line="360" w:lineRule="auto"/>
        <w:ind w:firstLine="420"/>
        <w:rPr>
          <w:rFonts w:hAnsi="宋体" w:cs="宋体"/>
          <w:color w:val="auto"/>
          <w:sz w:val="24"/>
          <w:szCs w:val="24"/>
          <w:highlight w:val="none"/>
        </w:rPr>
      </w:pPr>
      <w:r>
        <w:rPr>
          <w:rFonts w:hint="eastAsia" w:hAnsi="宋体" w:cs="宋体"/>
          <w:color w:val="auto"/>
          <w:sz w:val="24"/>
          <w:szCs w:val="24"/>
          <w:highlight w:val="none"/>
        </w:rPr>
        <w:t>传真：</w:t>
      </w:r>
      <w:r>
        <w:rPr>
          <w:rFonts w:hint="eastAsia" w:hAnsi="宋体" w:cs="宋体"/>
          <w:color w:val="auto"/>
          <w:sz w:val="24"/>
          <w:szCs w:val="24"/>
          <w:highlight w:val="none"/>
          <w:u w:val="single"/>
        </w:rPr>
        <w:t>　　　　　　　　　　　　　　　　　　　　　　　　　　　　</w:t>
      </w:r>
    </w:p>
    <w:p w14:paraId="7EFBA5CF">
      <w:pPr>
        <w:pStyle w:val="18"/>
        <w:spacing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邮政编码：</w:t>
      </w:r>
      <w:r>
        <w:rPr>
          <w:rFonts w:hint="eastAsia" w:hAnsi="宋体" w:cs="宋体"/>
          <w:color w:val="auto"/>
          <w:sz w:val="24"/>
          <w:szCs w:val="24"/>
          <w:highlight w:val="none"/>
          <w:u w:val="single"/>
        </w:rPr>
        <w:t xml:space="preserve">                                                    </w:t>
      </w:r>
    </w:p>
    <w:p w14:paraId="2C7C76E0">
      <w:pPr>
        <w:pStyle w:val="18"/>
        <w:spacing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开户名称：</w:t>
      </w:r>
      <w:r>
        <w:rPr>
          <w:rFonts w:hint="eastAsia" w:hAnsi="宋体" w:cs="宋体"/>
          <w:color w:val="auto"/>
          <w:sz w:val="24"/>
          <w:szCs w:val="24"/>
          <w:highlight w:val="none"/>
          <w:u w:val="single"/>
        </w:rPr>
        <w:t xml:space="preserve">                                                    </w:t>
      </w:r>
    </w:p>
    <w:p w14:paraId="2E5A17D7">
      <w:pPr>
        <w:pStyle w:val="18"/>
        <w:spacing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开户银行：</w:t>
      </w:r>
      <w:r>
        <w:rPr>
          <w:rFonts w:hint="eastAsia" w:hAnsi="宋体" w:cs="宋体"/>
          <w:color w:val="auto"/>
          <w:sz w:val="24"/>
          <w:szCs w:val="24"/>
          <w:highlight w:val="none"/>
          <w:u w:val="single"/>
        </w:rPr>
        <w:t xml:space="preserve">                                                    </w:t>
      </w:r>
    </w:p>
    <w:p w14:paraId="4B2DC348">
      <w:pPr>
        <w:pStyle w:val="18"/>
        <w:spacing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银行账号：</w:t>
      </w:r>
      <w:r>
        <w:rPr>
          <w:rFonts w:hint="eastAsia" w:hAnsi="宋体" w:cs="宋体"/>
          <w:color w:val="auto"/>
          <w:sz w:val="24"/>
          <w:szCs w:val="24"/>
          <w:highlight w:val="none"/>
          <w:u w:val="single"/>
        </w:rPr>
        <w:t xml:space="preserve">                                                    </w:t>
      </w:r>
    </w:p>
    <w:p w14:paraId="35376577">
      <w:pPr>
        <w:pStyle w:val="16"/>
        <w:tabs>
          <w:tab w:val="left" w:pos="939"/>
        </w:tabs>
        <w:spacing w:line="360" w:lineRule="auto"/>
        <w:ind w:left="141" w:leftChars="67"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特此承诺。</w:t>
      </w:r>
    </w:p>
    <w:p w14:paraId="62DB2138">
      <w:pPr>
        <w:spacing w:line="360" w:lineRule="auto"/>
        <w:contextualSpacing/>
        <w:jc w:val="left"/>
        <w:rPr>
          <w:rFonts w:ascii="宋体" w:hAnsi="宋体" w:cs="宋体"/>
          <w:color w:val="auto"/>
          <w:sz w:val="24"/>
          <w:szCs w:val="24"/>
          <w:highlight w:val="none"/>
        </w:rPr>
      </w:pPr>
    </w:p>
    <w:p w14:paraId="37E8429C">
      <w:pPr>
        <w:autoSpaceDE w:val="0"/>
        <w:autoSpaceDN w:val="0"/>
        <w:spacing w:line="360" w:lineRule="auto"/>
        <w:ind w:left="4335" w:leftChars="1950" w:hanging="240" w:hangingChars="1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供应商名称（电子签章）：</w:t>
      </w:r>
    </w:p>
    <w:p w14:paraId="6592FB5E">
      <w:pPr>
        <w:autoSpaceDE w:val="0"/>
        <w:autoSpaceDN w:val="0"/>
        <w:spacing w:line="360" w:lineRule="auto"/>
        <w:ind w:firstLine="5760" w:firstLineChars="24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日期：  年  月   日</w:t>
      </w:r>
    </w:p>
    <w:p w14:paraId="36B974D5">
      <w:pPr>
        <w:pStyle w:val="18"/>
        <w:spacing w:line="360" w:lineRule="auto"/>
        <w:ind w:firstLine="420"/>
        <w:rPr>
          <w:rFonts w:hAnsi="宋体" w:cs="宋体"/>
          <w:color w:val="auto"/>
          <w:sz w:val="24"/>
          <w:szCs w:val="24"/>
          <w:highlight w:val="none"/>
        </w:rPr>
      </w:pPr>
    </w:p>
    <w:p w14:paraId="4B71416C">
      <w:pPr>
        <w:spacing w:line="360" w:lineRule="auto"/>
        <w:ind w:firstLine="480" w:firstLineChars="200"/>
        <w:rPr>
          <w:rFonts w:ascii="宋体" w:hAnsi="宋体" w:cs="宋体"/>
          <w:color w:val="auto"/>
          <w:sz w:val="24"/>
          <w:szCs w:val="24"/>
          <w:highlight w:val="none"/>
        </w:rPr>
        <w:sectPr>
          <w:pgSz w:w="11910" w:h="16840"/>
          <w:pgMar w:top="1440" w:right="1080" w:bottom="1440" w:left="1080" w:header="720" w:footer="720" w:gutter="0"/>
          <w:cols w:space="720" w:num="1"/>
        </w:sectPr>
      </w:pPr>
    </w:p>
    <w:p w14:paraId="27FCEC7B">
      <w:pPr>
        <w:pStyle w:val="18"/>
        <w:spacing w:line="360" w:lineRule="auto"/>
        <w:ind w:firstLine="482" w:firstLineChars="200"/>
        <w:jc w:val="center"/>
        <w:rPr>
          <w:rFonts w:hAnsi="宋体" w:cs="宋体"/>
          <w:b/>
          <w:color w:val="auto"/>
          <w:sz w:val="24"/>
          <w:szCs w:val="24"/>
          <w:highlight w:val="none"/>
        </w:rPr>
      </w:pPr>
      <w:r>
        <w:rPr>
          <w:rFonts w:hint="eastAsia" w:hAnsi="宋体" w:cs="宋体"/>
          <w:b/>
          <w:color w:val="auto"/>
          <w:sz w:val="24"/>
          <w:szCs w:val="24"/>
          <w:highlight w:val="none"/>
        </w:rPr>
        <w:t>二、响应报价表</w:t>
      </w:r>
    </w:p>
    <w:p w14:paraId="60F33B45">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2C3BEB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FBB7E39">
      <w:pPr>
        <w:spacing w:line="360" w:lineRule="auto"/>
        <w:rPr>
          <w:rFonts w:hint="eastAsia" w:ascii="宋体" w:hAnsi="宋体" w:cs="宋体"/>
          <w:b/>
          <w:color w:val="auto"/>
          <w:sz w:val="24"/>
          <w:szCs w:val="24"/>
          <w:highlight w:val="none"/>
          <w:u w:val="single"/>
        </w:rPr>
      </w:pPr>
      <w:r>
        <w:rPr>
          <w:rFonts w:hint="eastAsia" w:ascii="宋体" w:hAnsi="宋体" w:cs="宋体"/>
          <w:b/>
          <w:color w:val="auto"/>
          <w:sz w:val="24"/>
          <w:szCs w:val="24"/>
          <w:highlight w:val="none"/>
        </w:rPr>
        <w:t>分标</w:t>
      </w:r>
      <w:r>
        <w:rPr>
          <w:rFonts w:hint="eastAsia" w:ascii="宋体" w:hAnsi="宋体" w:cs="宋体"/>
          <w:b/>
          <w:color w:val="auto"/>
          <w:sz w:val="24"/>
          <w:szCs w:val="24"/>
          <w:highlight w:val="none"/>
          <w:u w:val="single"/>
        </w:rPr>
        <w:t xml:space="preserve">      </w:t>
      </w:r>
    </w:p>
    <w:tbl>
      <w:tblPr>
        <w:tblStyle w:val="32"/>
        <w:tblpPr w:leftFromText="180" w:rightFromText="180" w:vertAnchor="text" w:horzAnchor="page" w:tblpX="1189" w:tblpY="128"/>
        <w:tblOverlap w:val="never"/>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2"/>
        <w:gridCol w:w="2896"/>
        <w:gridCol w:w="2112"/>
        <w:gridCol w:w="3558"/>
      </w:tblGrid>
      <w:tr w14:paraId="7CB52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797" w:hRule="atLeast"/>
        </w:trPr>
        <w:tc>
          <w:tcPr>
            <w:tcW w:w="872" w:type="dxa"/>
            <w:tcBorders>
              <w:top w:val="single" w:color="auto" w:sz="4" w:space="0"/>
              <w:left w:val="single" w:color="auto" w:sz="4" w:space="0"/>
              <w:bottom w:val="single" w:color="auto" w:sz="4" w:space="0"/>
              <w:right w:val="single" w:color="auto" w:sz="4" w:space="0"/>
            </w:tcBorders>
            <w:vAlign w:val="center"/>
          </w:tcPr>
          <w:p w14:paraId="04B761EA">
            <w:pPr>
              <w:spacing w:line="360" w:lineRule="auto"/>
              <w:contextualSpacing/>
              <w:jc w:val="center"/>
              <w:rPr>
                <w:rFonts w:ascii="宋体" w:hAnsi="宋体" w:cs="仿宋_GB2312"/>
                <w:color w:val="auto"/>
                <w:sz w:val="24"/>
                <w:szCs w:val="24"/>
                <w:highlight w:val="none"/>
              </w:rPr>
            </w:pPr>
            <w:r>
              <w:rPr>
                <w:rFonts w:hint="eastAsia" w:ascii="宋体" w:hAnsi="宋体" w:cs="宋体"/>
                <w:color w:val="auto"/>
                <w:sz w:val="24"/>
                <w:szCs w:val="24"/>
                <w:highlight w:val="none"/>
              </w:rPr>
              <w:t xml:space="preserve"> </w:t>
            </w:r>
            <w:r>
              <w:rPr>
                <w:rFonts w:ascii="宋体" w:hAnsi="宋体" w:cs="仿宋_GB2312"/>
                <w:color w:val="auto"/>
                <w:sz w:val="24"/>
                <w:szCs w:val="24"/>
                <w:highlight w:val="none"/>
              </w:rPr>
              <w:t>序号</w:t>
            </w:r>
          </w:p>
        </w:tc>
        <w:tc>
          <w:tcPr>
            <w:tcW w:w="2896" w:type="dxa"/>
            <w:tcBorders>
              <w:top w:val="single" w:color="auto" w:sz="4" w:space="0"/>
              <w:left w:val="single" w:color="auto" w:sz="4" w:space="0"/>
              <w:bottom w:val="single" w:color="auto" w:sz="4" w:space="0"/>
              <w:right w:val="single" w:color="auto" w:sz="4" w:space="0"/>
            </w:tcBorders>
            <w:vAlign w:val="center"/>
          </w:tcPr>
          <w:p w14:paraId="677BC4DF">
            <w:pPr>
              <w:spacing w:line="360" w:lineRule="auto"/>
              <w:contextualSpacing/>
              <w:jc w:val="center"/>
              <w:rPr>
                <w:rFonts w:ascii="宋体" w:hAnsi="宋体" w:cs="仿宋_GB2312"/>
                <w:color w:val="auto"/>
                <w:sz w:val="24"/>
                <w:szCs w:val="24"/>
                <w:highlight w:val="none"/>
              </w:rPr>
            </w:pPr>
            <w:r>
              <w:rPr>
                <w:rFonts w:hint="eastAsia" w:ascii="宋体" w:hAnsi="宋体" w:cs="仿宋_GB2312"/>
                <w:color w:val="auto"/>
                <w:sz w:val="24"/>
                <w:szCs w:val="24"/>
                <w:highlight w:val="none"/>
              </w:rPr>
              <w:t>标的的名称</w:t>
            </w:r>
          </w:p>
        </w:tc>
        <w:tc>
          <w:tcPr>
            <w:tcW w:w="2112" w:type="dxa"/>
            <w:tcBorders>
              <w:top w:val="single" w:color="auto" w:sz="4" w:space="0"/>
              <w:left w:val="single" w:color="auto" w:sz="4" w:space="0"/>
              <w:bottom w:val="single" w:color="auto" w:sz="4" w:space="0"/>
              <w:right w:val="single" w:color="auto" w:sz="4" w:space="0"/>
            </w:tcBorders>
            <w:vAlign w:val="center"/>
          </w:tcPr>
          <w:p w14:paraId="363E7B9A">
            <w:pPr>
              <w:spacing w:line="360" w:lineRule="auto"/>
              <w:contextualSpacing/>
              <w:jc w:val="center"/>
              <w:rPr>
                <w:rFonts w:ascii="宋体" w:hAnsi="宋体" w:cs="仿宋_GB2312"/>
                <w:color w:val="auto"/>
                <w:sz w:val="24"/>
                <w:szCs w:val="24"/>
                <w:highlight w:val="none"/>
              </w:rPr>
            </w:pPr>
            <w:r>
              <w:rPr>
                <w:rFonts w:hint="eastAsia" w:ascii="宋体" w:hAnsi="宋体" w:cs="仿宋_GB2312"/>
                <w:color w:val="auto"/>
                <w:sz w:val="24"/>
                <w:szCs w:val="24"/>
                <w:highlight w:val="none"/>
              </w:rPr>
              <w:t>数量及单位</w:t>
            </w:r>
          </w:p>
        </w:tc>
        <w:tc>
          <w:tcPr>
            <w:tcW w:w="3558" w:type="dxa"/>
            <w:tcBorders>
              <w:top w:val="single" w:color="auto" w:sz="4" w:space="0"/>
              <w:left w:val="single" w:color="auto" w:sz="4" w:space="0"/>
              <w:bottom w:val="single" w:color="auto" w:sz="4" w:space="0"/>
              <w:right w:val="single" w:color="auto" w:sz="4" w:space="0"/>
            </w:tcBorders>
            <w:vAlign w:val="center"/>
          </w:tcPr>
          <w:p w14:paraId="724C1033">
            <w:pPr>
              <w:spacing w:line="360" w:lineRule="auto"/>
              <w:contextualSpacing/>
              <w:jc w:val="center"/>
              <w:rPr>
                <w:rFonts w:ascii="宋体" w:hAnsi="宋体" w:cs="仿宋_GB2312"/>
                <w:color w:val="auto"/>
                <w:sz w:val="24"/>
                <w:szCs w:val="24"/>
                <w:highlight w:val="none"/>
              </w:rPr>
            </w:pPr>
            <w:r>
              <w:rPr>
                <w:rFonts w:hint="eastAsia" w:ascii="宋体" w:hAnsi="宋体" w:cs="仿宋_GB2312"/>
                <w:b/>
                <w:bCs/>
                <w:color w:val="auto"/>
                <w:sz w:val="24"/>
                <w:szCs w:val="24"/>
                <w:highlight w:val="none"/>
              </w:rPr>
              <w:t>折扣率</w:t>
            </w:r>
          </w:p>
        </w:tc>
      </w:tr>
      <w:tr w14:paraId="44EE3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04" w:hRule="atLeast"/>
        </w:trPr>
        <w:tc>
          <w:tcPr>
            <w:tcW w:w="872" w:type="dxa"/>
            <w:tcBorders>
              <w:top w:val="single" w:color="auto" w:sz="4" w:space="0"/>
              <w:left w:val="single" w:color="auto" w:sz="4" w:space="0"/>
              <w:right w:val="single" w:color="auto" w:sz="4" w:space="0"/>
            </w:tcBorders>
            <w:vAlign w:val="center"/>
          </w:tcPr>
          <w:p w14:paraId="0856E073">
            <w:pPr>
              <w:spacing w:line="360" w:lineRule="auto"/>
              <w:contextualSpacing/>
              <w:jc w:val="center"/>
              <w:rPr>
                <w:rFonts w:ascii="宋体" w:hAnsi="宋体" w:cs="仿宋_GB2312"/>
                <w:color w:val="auto"/>
                <w:sz w:val="24"/>
                <w:szCs w:val="24"/>
                <w:highlight w:val="none"/>
              </w:rPr>
            </w:pPr>
            <w:r>
              <w:rPr>
                <w:rFonts w:hint="eastAsia" w:ascii="宋体" w:hAnsi="宋体" w:cs="仿宋_GB2312"/>
                <w:color w:val="auto"/>
                <w:sz w:val="24"/>
                <w:szCs w:val="24"/>
                <w:highlight w:val="none"/>
              </w:rPr>
              <w:t>1</w:t>
            </w:r>
          </w:p>
        </w:tc>
        <w:tc>
          <w:tcPr>
            <w:tcW w:w="2896" w:type="dxa"/>
            <w:tcBorders>
              <w:top w:val="single" w:color="auto" w:sz="4" w:space="0"/>
              <w:left w:val="single" w:color="auto" w:sz="4" w:space="0"/>
              <w:right w:val="single" w:color="auto" w:sz="4" w:space="0"/>
            </w:tcBorders>
            <w:vAlign w:val="center"/>
          </w:tcPr>
          <w:p w14:paraId="60AE25FD">
            <w:pPr>
              <w:spacing w:line="276" w:lineRule="auto"/>
              <w:jc w:val="center"/>
              <w:rPr>
                <w:rFonts w:ascii="宋体" w:hAnsi="宋体" w:cs="仿宋_GB2312"/>
                <w:color w:val="auto"/>
                <w:sz w:val="24"/>
                <w:szCs w:val="24"/>
                <w:highlight w:val="none"/>
              </w:rPr>
            </w:pPr>
          </w:p>
        </w:tc>
        <w:tc>
          <w:tcPr>
            <w:tcW w:w="2112" w:type="dxa"/>
            <w:tcBorders>
              <w:top w:val="single" w:color="auto" w:sz="4" w:space="0"/>
              <w:left w:val="single" w:color="auto" w:sz="4" w:space="0"/>
              <w:right w:val="single" w:color="auto" w:sz="4" w:space="0"/>
            </w:tcBorders>
            <w:vAlign w:val="center"/>
          </w:tcPr>
          <w:p w14:paraId="62B1EACD">
            <w:pPr>
              <w:spacing w:line="276" w:lineRule="auto"/>
              <w:jc w:val="center"/>
              <w:rPr>
                <w:rFonts w:ascii="宋体" w:hAnsi="宋体" w:cs="仿宋_GB2312"/>
                <w:color w:val="auto"/>
                <w:sz w:val="24"/>
                <w:szCs w:val="24"/>
                <w:highlight w:val="none"/>
              </w:rPr>
            </w:pPr>
          </w:p>
        </w:tc>
        <w:tc>
          <w:tcPr>
            <w:tcW w:w="3558" w:type="dxa"/>
            <w:tcBorders>
              <w:top w:val="single" w:color="auto" w:sz="4" w:space="0"/>
              <w:left w:val="single" w:color="auto" w:sz="4" w:space="0"/>
              <w:right w:val="single" w:color="auto" w:sz="4" w:space="0"/>
            </w:tcBorders>
            <w:vAlign w:val="center"/>
          </w:tcPr>
          <w:p w14:paraId="3B4B4DAE">
            <w:pPr>
              <w:spacing w:line="360" w:lineRule="auto"/>
              <w:contextualSpacing/>
              <w:jc w:val="center"/>
              <w:rPr>
                <w:rFonts w:ascii="宋体" w:hAnsi="宋体" w:cs="仿宋_GB2312"/>
                <w:color w:val="auto"/>
                <w:sz w:val="24"/>
                <w:szCs w:val="24"/>
                <w:highlight w:val="none"/>
              </w:rPr>
            </w:pPr>
            <w:r>
              <w:rPr>
                <w:rFonts w:hint="eastAsia" w:ascii="宋体" w:hAnsi="宋体" w:cs="仿宋_GB2312"/>
                <w:b/>
                <w:bCs/>
                <w:color w:val="auto"/>
                <w:sz w:val="24"/>
                <w:szCs w:val="24"/>
                <w:highlight w:val="none"/>
              </w:rPr>
              <w:t>%</w:t>
            </w:r>
          </w:p>
        </w:tc>
      </w:tr>
      <w:tr w14:paraId="7B942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97" w:hRule="atLeast"/>
        </w:trPr>
        <w:tc>
          <w:tcPr>
            <w:tcW w:w="9438" w:type="dxa"/>
            <w:gridSpan w:val="4"/>
            <w:tcBorders>
              <w:top w:val="single" w:color="auto" w:sz="4" w:space="0"/>
              <w:left w:val="single" w:color="auto" w:sz="4" w:space="0"/>
              <w:bottom w:val="single" w:color="auto" w:sz="4" w:space="0"/>
              <w:right w:val="single" w:color="auto" w:sz="4" w:space="0"/>
            </w:tcBorders>
            <w:vAlign w:val="center"/>
          </w:tcPr>
          <w:p w14:paraId="03B5ED7C">
            <w:pPr>
              <w:pStyle w:val="18"/>
              <w:spacing w:line="360" w:lineRule="auto"/>
              <w:rPr>
                <w:rFonts w:hint="eastAsia" w:ascii="宋体" w:hAnsi="宋体"/>
                <w:strike/>
                <w:color w:val="auto"/>
                <w:kern w:val="0"/>
                <w:sz w:val="24"/>
                <w:szCs w:val="24"/>
                <w:highlight w:val="none"/>
              </w:rPr>
            </w:pPr>
            <w:r>
              <w:rPr>
                <w:rFonts w:hint="eastAsia" w:ascii="宋体" w:hAnsi="宋体" w:cs="仿宋_GB2312"/>
                <w:b/>
                <w:bCs/>
                <w:color w:val="auto"/>
                <w:sz w:val="24"/>
                <w:szCs w:val="24"/>
                <w:highlight w:val="none"/>
              </w:rPr>
              <w:t>备注：</w:t>
            </w:r>
            <w:r>
              <w:rPr>
                <w:rFonts w:hint="eastAsia" w:ascii="宋体" w:hAnsi="宋体"/>
                <w:color w:val="auto"/>
                <w:kern w:val="0"/>
                <w:sz w:val="24"/>
                <w:szCs w:val="24"/>
                <w:highlight w:val="none"/>
                <w:lang w:val="en-US" w:eastAsia="zh-CN"/>
              </w:rPr>
              <w:t>合同供货</w:t>
            </w:r>
            <w:r>
              <w:rPr>
                <w:rFonts w:hint="eastAsia" w:ascii="宋体" w:hAnsi="宋体"/>
                <w:color w:val="auto"/>
                <w:kern w:val="0"/>
                <w:sz w:val="24"/>
                <w:szCs w:val="24"/>
                <w:highlight w:val="none"/>
              </w:rPr>
              <w:t>时间内所有图书采购均按</w:t>
            </w:r>
            <w:r>
              <w:rPr>
                <w:rFonts w:hint="eastAsia" w:ascii="宋体" w:hAnsi="宋体"/>
                <w:color w:val="auto"/>
                <w:kern w:val="0"/>
                <w:sz w:val="24"/>
                <w:szCs w:val="24"/>
                <w:highlight w:val="none"/>
                <w:lang w:val="en-US" w:eastAsia="zh-CN"/>
              </w:rPr>
              <w:t>最终结算价</w:t>
            </w:r>
            <w:r>
              <w:rPr>
                <w:rFonts w:hint="eastAsia" w:ascii="宋体" w:hAnsi="宋体"/>
                <w:color w:val="auto"/>
                <w:kern w:val="0"/>
                <w:sz w:val="24"/>
                <w:szCs w:val="24"/>
                <w:highlight w:val="none"/>
              </w:rPr>
              <w:t>付款，图书出版的标价为码洋价</w:t>
            </w:r>
            <w:r>
              <w:rPr>
                <w:rFonts w:hint="eastAsia" w:ascii="宋体" w:hAnsi="宋体"/>
                <w:color w:val="auto"/>
                <w:kern w:val="0"/>
                <w:sz w:val="24"/>
                <w:szCs w:val="24"/>
                <w:highlight w:val="none"/>
                <w:lang w:eastAsia="zh-CN"/>
              </w:rPr>
              <w:t>。</w:t>
            </w:r>
          </w:p>
          <w:p w14:paraId="0FBA63DC">
            <w:pPr>
              <w:pStyle w:val="18"/>
              <w:spacing w:line="360" w:lineRule="auto"/>
              <w:rPr>
                <w:rFonts w:hAnsi="宋体" w:cs="宋体"/>
                <w:b/>
                <w:bCs w:val="0"/>
                <w:color w:val="auto"/>
                <w:sz w:val="24"/>
                <w:szCs w:val="24"/>
                <w:highlight w:val="none"/>
              </w:rPr>
            </w:pPr>
            <w:r>
              <w:rPr>
                <w:rFonts w:hint="eastAsia" w:hAnsi="宋体" w:cs="宋体"/>
                <w:b/>
                <w:bCs w:val="0"/>
                <w:color w:val="auto"/>
                <w:sz w:val="24"/>
                <w:szCs w:val="24"/>
                <w:highlight w:val="none"/>
              </w:rPr>
              <w:t>最终</w:t>
            </w:r>
            <w:r>
              <w:rPr>
                <w:rFonts w:hAnsi="宋体" w:cs="宋体"/>
                <w:b/>
                <w:bCs w:val="0"/>
                <w:color w:val="auto"/>
                <w:sz w:val="24"/>
                <w:szCs w:val="24"/>
                <w:highlight w:val="none"/>
              </w:rPr>
              <w:t>结算</w:t>
            </w:r>
            <w:r>
              <w:rPr>
                <w:rFonts w:hint="eastAsia" w:hAnsi="宋体" w:cs="宋体"/>
                <w:b/>
                <w:bCs w:val="0"/>
                <w:color w:val="auto"/>
                <w:sz w:val="24"/>
                <w:szCs w:val="24"/>
                <w:highlight w:val="none"/>
                <w:lang w:val="en-US" w:eastAsia="zh-CN"/>
              </w:rPr>
              <w:t>价</w:t>
            </w:r>
            <w:r>
              <w:rPr>
                <w:rFonts w:hint="eastAsia" w:hAnsi="宋体" w:cs="宋体"/>
                <w:b/>
                <w:bCs w:val="0"/>
                <w:color w:val="auto"/>
                <w:sz w:val="24"/>
                <w:szCs w:val="24"/>
                <w:highlight w:val="none"/>
              </w:rPr>
              <w:t>款</w:t>
            </w:r>
            <w:r>
              <w:rPr>
                <w:rFonts w:hAnsi="宋体" w:cs="宋体"/>
                <w:b/>
                <w:bCs w:val="0"/>
                <w:color w:val="auto"/>
                <w:sz w:val="24"/>
                <w:szCs w:val="24"/>
                <w:highlight w:val="none"/>
              </w:rPr>
              <w:t>=</w:t>
            </w:r>
            <w:r>
              <w:rPr>
                <w:rFonts w:hint="eastAsia" w:hAnsi="宋体" w:cs="宋体"/>
                <w:b/>
                <w:bCs w:val="0"/>
                <w:color w:val="auto"/>
                <w:sz w:val="24"/>
                <w:szCs w:val="24"/>
                <w:highlight w:val="none"/>
              </w:rPr>
              <w:t>实际</w:t>
            </w:r>
            <w:r>
              <w:rPr>
                <w:rFonts w:hAnsi="宋体" w:cs="宋体"/>
                <w:b/>
                <w:bCs w:val="0"/>
                <w:color w:val="auto"/>
                <w:sz w:val="24"/>
                <w:szCs w:val="24"/>
                <w:highlight w:val="none"/>
              </w:rPr>
              <w:t>订购图书码洋</w:t>
            </w:r>
            <w:r>
              <w:rPr>
                <w:rFonts w:hint="eastAsia" w:hAnsi="宋体" w:cs="宋体"/>
                <w:b/>
                <w:bCs w:val="0"/>
                <w:color w:val="auto"/>
                <w:sz w:val="24"/>
                <w:szCs w:val="24"/>
                <w:highlight w:val="none"/>
              </w:rPr>
              <w:t>总额*折扣</w:t>
            </w:r>
            <w:r>
              <w:rPr>
                <w:rFonts w:hAnsi="宋体" w:cs="宋体"/>
                <w:b/>
                <w:bCs w:val="0"/>
                <w:color w:val="auto"/>
                <w:sz w:val="24"/>
                <w:szCs w:val="24"/>
                <w:highlight w:val="none"/>
              </w:rPr>
              <w:t>率</w:t>
            </w:r>
          </w:p>
          <w:p w14:paraId="42D7909D">
            <w:pPr>
              <w:spacing w:line="360" w:lineRule="auto"/>
              <w:contextualSpacing/>
              <w:rPr>
                <w:rFonts w:hint="eastAsia" w:ascii="宋体" w:hAnsi="宋体" w:cs="仿宋_GB2312"/>
                <w:b/>
                <w:bCs/>
                <w:color w:val="auto"/>
                <w:sz w:val="24"/>
                <w:szCs w:val="24"/>
                <w:highlight w:val="none"/>
              </w:rPr>
            </w:pPr>
            <w:r>
              <w:rPr>
                <w:rFonts w:hint="eastAsia" w:hAnsi="宋体"/>
                <w:b/>
                <w:bCs w:val="0"/>
                <w:color w:val="auto"/>
                <w:sz w:val="24"/>
                <w:szCs w:val="24"/>
                <w:highlight w:val="none"/>
              </w:rPr>
              <w:t>折扣率是指按原价的若干成计价</w:t>
            </w:r>
            <w:r>
              <w:rPr>
                <w:rFonts w:hint="eastAsia" w:hAnsi="宋体"/>
                <w:b/>
                <w:bCs w:val="0"/>
                <w:color w:val="auto"/>
                <w:sz w:val="24"/>
                <w:szCs w:val="24"/>
                <w:highlight w:val="none"/>
                <w:lang w:eastAsia="zh-CN"/>
              </w:rPr>
              <w:t>，</w:t>
            </w:r>
            <w:r>
              <w:rPr>
                <w:rFonts w:hint="eastAsia" w:hAnsi="宋体"/>
                <w:b/>
                <w:bCs w:val="0"/>
                <w:color w:val="auto"/>
                <w:sz w:val="24"/>
                <w:szCs w:val="24"/>
                <w:highlight w:val="none"/>
                <w:lang w:val="en-US" w:eastAsia="zh-CN"/>
              </w:rPr>
              <w:t>例</w:t>
            </w:r>
            <w:r>
              <w:rPr>
                <w:rFonts w:hint="eastAsia" w:hAnsi="宋体"/>
                <w:b/>
                <w:bCs w:val="0"/>
                <w:color w:val="auto"/>
                <w:sz w:val="24"/>
                <w:szCs w:val="24"/>
                <w:highlight w:val="none"/>
              </w:rPr>
              <w:t>如</w:t>
            </w:r>
            <w:r>
              <w:rPr>
                <w:rFonts w:hint="eastAsia" w:hAnsi="宋体"/>
                <w:b/>
                <w:bCs w:val="0"/>
                <w:color w:val="auto"/>
                <w:sz w:val="24"/>
                <w:szCs w:val="24"/>
                <w:highlight w:val="none"/>
                <w:lang w:val="en-US" w:eastAsia="zh-CN"/>
              </w:rPr>
              <w:t>成交</w:t>
            </w:r>
            <w:r>
              <w:rPr>
                <w:rFonts w:hint="eastAsia" w:hAnsi="宋体"/>
                <w:b/>
                <w:bCs w:val="0"/>
                <w:color w:val="auto"/>
                <w:sz w:val="24"/>
                <w:szCs w:val="24"/>
                <w:highlight w:val="none"/>
                <w:lang w:eastAsia="zh-CN"/>
              </w:rPr>
              <w:t>折扣率</w:t>
            </w:r>
            <w:r>
              <w:rPr>
                <w:rFonts w:hint="eastAsia" w:hAnsi="宋体"/>
                <w:b/>
                <w:bCs w:val="0"/>
                <w:color w:val="auto"/>
                <w:sz w:val="24"/>
                <w:szCs w:val="24"/>
                <w:highlight w:val="none"/>
                <w:lang w:val="en-US" w:eastAsia="zh-CN"/>
              </w:rPr>
              <w:t>为</w:t>
            </w:r>
            <w:r>
              <w:rPr>
                <w:rFonts w:hint="eastAsia" w:hAnsi="宋体"/>
                <w:b/>
                <w:bCs w:val="0"/>
                <w:color w:val="auto"/>
                <w:sz w:val="24"/>
                <w:szCs w:val="24"/>
                <w:highlight w:val="none"/>
              </w:rPr>
              <w:t>80%，</w:t>
            </w:r>
            <w:r>
              <w:rPr>
                <w:rFonts w:hint="eastAsia" w:hAnsi="宋体"/>
                <w:b/>
                <w:bCs w:val="0"/>
                <w:color w:val="auto"/>
                <w:sz w:val="24"/>
                <w:szCs w:val="24"/>
                <w:highlight w:val="none"/>
                <w:lang w:val="en-US" w:eastAsia="zh-CN"/>
              </w:rPr>
              <w:t>则：</w:t>
            </w:r>
            <w:r>
              <w:rPr>
                <w:rFonts w:hint="eastAsia" w:hAnsi="宋体" w:cs="宋体"/>
                <w:b/>
                <w:bCs w:val="0"/>
                <w:color w:val="auto"/>
                <w:sz w:val="24"/>
                <w:szCs w:val="24"/>
                <w:highlight w:val="none"/>
              </w:rPr>
              <w:t>最终</w:t>
            </w:r>
            <w:r>
              <w:rPr>
                <w:rFonts w:hAnsi="宋体" w:cs="宋体"/>
                <w:b/>
                <w:bCs w:val="0"/>
                <w:color w:val="auto"/>
                <w:sz w:val="24"/>
                <w:szCs w:val="24"/>
                <w:highlight w:val="none"/>
              </w:rPr>
              <w:t>结算</w:t>
            </w:r>
            <w:r>
              <w:rPr>
                <w:rFonts w:hint="eastAsia" w:hAnsi="宋体" w:cs="宋体"/>
                <w:b/>
                <w:bCs w:val="0"/>
                <w:color w:val="auto"/>
                <w:sz w:val="24"/>
                <w:szCs w:val="24"/>
                <w:highlight w:val="none"/>
                <w:lang w:val="en-US" w:eastAsia="zh-CN"/>
              </w:rPr>
              <w:t>价</w:t>
            </w:r>
            <w:r>
              <w:rPr>
                <w:rFonts w:hint="eastAsia" w:hAnsi="宋体" w:cs="宋体"/>
                <w:b/>
                <w:bCs w:val="0"/>
                <w:color w:val="auto"/>
                <w:sz w:val="24"/>
                <w:szCs w:val="24"/>
                <w:highlight w:val="none"/>
              </w:rPr>
              <w:t>款</w:t>
            </w:r>
            <w:r>
              <w:rPr>
                <w:rFonts w:hint="eastAsia" w:hAnsi="宋体" w:cs="宋体"/>
                <w:b/>
                <w:bCs w:val="0"/>
                <w:color w:val="auto"/>
                <w:sz w:val="24"/>
                <w:szCs w:val="24"/>
                <w:highlight w:val="none"/>
                <w:lang w:val="en-US" w:eastAsia="zh-CN"/>
              </w:rPr>
              <w:t>(</w:t>
            </w:r>
            <w:r>
              <w:rPr>
                <w:rFonts w:hint="eastAsia" w:hAnsi="宋体"/>
                <w:b/>
                <w:bCs w:val="0"/>
                <w:color w:val="auto"/>
                <w:sz w:val="24"/>
                <w:szCs w:val="24"/>
                <w:highlight w:val="none"/>
              </w:rPr>
              <w:t>成交价格</w:t>
            </w:r>
            <w:r>
              <w:rPr>
                <w:rFonts w:hint="eastAsia" w:hAnsi="宋体"/>
                <w:b/>
                <w:bCs w:val="0"/>
                <w:color w:val="auto"/>
                <w:sz w:val="24"/>
                <w:szCs w:val="24"/>
                <w:highlight w:val="none"/>
                <w:lang w:val="en-US" w:eastAsia="zh-CN"/>
              </w:rPr>
              <w:t>)</w:t>
            </w:r>
            <w:r>
              <w:rPr>
                <w:rFonts w:hint="eastAsia" w:hAnsi="宋体"/>
                <w:b/>
                <w:bCs w:val="0"/>
                <w:color w:val="auto"/>
                <w:sz w:val="24"/>
                <w:szCs w:val="24"/>
                <w:highlight w:val="none"/>
              </w:rPr>
              <w:t>=</w:t>
            </w:r>
            <w:r>
              <w:rPr>
                <w:rFonts w:hAnsi="宋体" w:cs="宋体"/>
                <w:b/>
                <w:bCs w:val="0"/>
                <w:color w:val="auto"/>
                <w:sz w:val="24"/>
                <w:szCs w:val="24"/>
                <w:highlight w:val="none"/>
              </w:rPr>
              <w:t>图书码洋</w:t>
            </w:r>
            <w:r>
              <w:rPr>
                <w:rFonts w:hint="eastAsia" w:hAnsi="宋体" w:cs="宋体"/>
                <w:b/>
                <w:bCs w:val="0"/>
                <w:color w:val="auto"/>
                <w:sz w:val="24"/>
                <w:szCs w:val="24"/>
                <w:highlight w:val="none"/>
              </w:rPr>
              <w:t>总额</w:t>
            </w:r>
            <w:r>
              <w:rPr>
                <w:rFonts w:hint="eastAsia" w:hAnsi="宋体"/>
                <w:b/>
                <w:bCs w:val="0"/>
                <w:color w:val="auto"/>
                <w:sz w:val="24"/>
                <w:szCs w:val="24"/>
                <w:highlight w:val="none"/>
              </w:rPr>
              <w:t>×80%。</w:t>
            </w:r>
          </w:p>
        </w:tc>
      </w:tr>
    </w:tbl>
    <w:p w14:paraId="21972555">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p>
    <w:p w14:paraId="1743B52B">
      <w:pPr>
        <w:keepNext w:val="0"/>
        <w:keepLines w:val="0"/>
        <w:pageBreakBefore w:val="0"/>
        <w:widowControl w:val="0"/>
        <w:kinsoku/>
        <w:wordWrap/>
        <w:overflowPunct/>
        <w:topLinePunct w:val="0"/>
        <w:bidi w:val="0"/>
        <w:spacing w:line="440" w:lineRule="exact"/>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注： </w:t>
      </w:r>
    </w:p>
    <w:p w14:paraId="68F46866">
      <w:pPr>
        <w:keepNext w:val="0"/>
        <w:keepLines w:val="0"/>
        <w:pageBreakBefore w:val="0"/>
        <w:widowControl w:val="0"/>
        <w:kinsoku/>
        <w:wordWrap/>
        <w:overflowPunct/>
        <w:topLinePunct w:val="0"/>
        <w:bidi w:val="0"/>
        <w:spacing w:line="440" w:lineRule="exact"/>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rPr>
        <w:t>供应商需按本表格式填写，不得自行更改，也不得留空, 如有多分标，按分标分别提供响应报价表</w:t>
      </w:r>
      <w:r>
        <w:rPr>
          <w:rFonts w:hint="eastAsia" w:ascii="宋体" w:hAnsi="宋体" w:eastAsia="宋体" w:cs="宋体"/>
          <w:b/>
          <w:color w:val="auto"/>
          <w:kern w:val="0"/>
          <w:sz w:val="24"/>
          <w:szCs w:val="24"/>
          <w:highlight w:val="none"/>
          <w:lang w:val="zh-CN"/>
        </w:rPr>
        <w:t>。</w:t>
      </w:r>
    </w:p>
    <w:p w14:paraId="7C26FF12">
      <w:pPr>
        <w:keepNext w:val="0"/>
        <w:keepLines w:val="0"/>
        <w:pageBreakBefore w:val="0"/>
        <w:widowControl w:val="0"/>
        <w:kinsoku/>
        <w:wordWrap/>
        <w:overflowPunct/>
        <w:topLinePunct w:val="0"/>
        <w:bidi w:val="0"/>
        <w:spacing w:line="440" w:lineRule="exact"/>
        <w:ind w:firstLine="480" w:firstLineChars="200"/>
        <w:jc w:val="left"/>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lang w:val="zh-CN"/>
        </w:rPr>
        <w:t>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rPr>
        <w:t>如为联合体响应的，“供应商名称”处必须列明联合体各方名称，并标注联合体牵头人名称，且盖章处须加盖联合体各方公章，</w:t>
      </w:r>
      <w:r>
        <w:rPr>
          <w:rFonts w:hint="eastAsia" w:ascii="宋体" w:hAnsi="宋体" w:eastAsia="宋体" w:cs="宋体"/>
          <w:b/>
          <w:color w:val="auto"/>
          <w:kern w:val="0"/>
          <w:sz w:val="24"/>
          <w:szCs w:val="24"/>
          <w:highlight w:val="none"/>
          <w:lang w:val="zh-CN"/>
        </w:rPr>
        <w:t>否则其响应作无效响应处理。</w:t>
      </w:r>
    </w:p>
    <w:p w14:paraId="74927B44">
      <w:pPr>
        <w:keepNext w:val="0"/>
        <w:keepLines w:val="0"/>
        <w:pageBreakBefore w:val="0"/>
        <w:widowControl w:val="0"/>
        <w:kinsoku/>
        <w:wordWrap/>
        <w:overflowPunct/>
        <w:topLinePunct w:val="0"/>
        <w:bidi w:val="0"/>
        <w:spacing w:line="440" w:lineRule="exact"/>
        <w:ind w:firstLine="480" w:firstLineChars="200"/>
        <w:jc w:val="left"/>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lang w:val="zh-CN"/>
        </w:rPr>
        <w:t>3</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rPr>
        <w:t>以上表格要求细分项目及报价，在“规格型号”一栏中，填写规格型号，</w:t>
      </w:r>
      <w:r>
        <w:rPr>
          <w:rFonts w:hint="eastAsia" w:ascii="宋体" w:hAnsi="宋体" w:eastAsia="宋体" w:cs="宋体"/>
          <w:b/>
          <w:color w:val="auto"/>
          <w:kern w:val="0"/>
          <w:sz w:val="24"/>
          <w:szCs w:val="24"/>
          <w:highlight w:val="none"/>
          <w:lang w:val="zh-CN"/>
        </w:rPr>
        <w:t>否则其响应作无效响应处理。</w:t>
      </w:r>
    </w:p>
    <w:p w14:paraId="5B23336D">
      <w:pPr>
        <w:keepNext w:val="0"/>
        <w:keepLines w:val="0"/>
        <w:pageBreakBefore w:val="0"/>
        <w:widowControl w:val="0"/>
        <w:kinsoku/>
        <w:wordWrap/>
        <w:overflowPunct/>
        <w:topLinePunct w:val="0"/>
        <w:bidi w:val="0"/>
        <w:spacing w:line="440" w:lineRule="exact"/>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rPr>
        <w:t>特别提示：采购机构将对项目名称和项目编号，成交供应商名称、地址和成交金额，主要成交标的的名称、规格型号、数量、单价、货物要求等予以公示。</w:t>
      </w:r>
    </w:p>
    <w:p w14:paraId="63D49DD8">
      <w:pPr>
        <w:keepNext w:val="0"/>
        <w:keepLines w:val="0"/>
        <w:pageBreakBefore w:val="0"/>
        <w:widowControl w:val="0"/>
        <w:kinsoku/>
        <w:wordWrap/>
        <w:overflowPunct/>
        <w:topLinePunct w:val="0"/>
        <w:autoSpaceDE w:val="0"/>
        <w:autoSpaceDN w:val="0"/>
        <w:bidi w:val="0"/>
        <w:spacing w:line="440" w:lineRule="exact"/>
        <w:ind w:left="4335" w:leftChars="1950" w:hanging="240" w:hangingChars="100"/>
        <w:rPr>
          <w:rFonts w:hint="eastAsia" w:ascii="宋体" w:hAnsi="宋体" w:eastAsia="宋体" w:cs="宋体"/>
          <w:color w:val="auto"/>
          <w:kern w:val="0"/>
          <w:sz w:val="24"/>
          <w:szCs w:val="24"/>
          <w:highlight w:val="none"/>
        </w:rPr>
      </w:pPr>
    </w:p>
    <w:p w14:paraId="13D49C5B">
      <w:pPr>
        <w:pStyle w:val="5"/>
        <w:rPr>
          <w:rFonts w:hint="eastAsia"/>
          <w:color w:val="auto"/>
          <w:sz w:val="24"/>
          <w:szCs w:val="24"/>
          <w:highlight w:val="none"/>
        </w:rPr>
      </w:pPr>
    </w:p>
    <w:p w14:paraId="25D158D4">
      <w:pPr>
        <w:keepNext w:val="0"/>
        <w:keepLines w:val="0"/>
        <w:pageBreakBefore w:val="0"/>
        <w:widowControl w:val="0"/>
        <w:kinsoku/>
        <w:wordWrap/>
        <w:overflowPunct/>
        <w:topLinePunct w:val="0"/>
        <w:autoSpaceDE w:val="0"/>
        <w:autoSpaceDN w:val="0"/>
        <w:bidi w:val="0"/>
        <w:spacing w:line="440" w:lineRule="exact"/>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供应商名称（电子签章）：</w:t>
      </w:r>
    </w:p>
    <w:p w14:paraId="2B08CBF3">
      <w:pPr>
        <w:keepNext w:val="0"/>
        <w:keepLines w:val="0"/>
        <w:pageBreakBefore w:val="0"/>
        <w:widowControl w:val="0"/>
        <w:kinsoku/>
        <w:wordWrap/>
        <w:overflowPunct/>
        <w:topLinePunct w:val="0"/>
        <w:autoSpaceDE w:val="0"/>
        <w:autoSpaceDN w:val="0"/>
        <w:bidi w:val="0"/>
        <w:spacing w:line="440" w:lineRule="exact"/>
        <w:ind w:firstLine="5760" w:firstLineChars="2400"/>
        <w:rPr>
          <w:rFonts w:hint="eastAsia" w:ascii="宋体" w:hAnsi="宋体" w:eastAsia="宋体" w:cs="宋体"/>
          <w:color w:val="auto"/>
          <w:kern w:val="0"/>
          <w:sz w:val="24"/>
          <w:szCs w:val="24"/>
          <w:highlight w:val="none"/>
          <w:lang w:val="zh-CN"/>
        </w:rPr>
      </w:pPr>
    </w:p>
    <w:p w14:paraId="3CC30B95">
      <w:pPr>
        <w:keepNext w:val="0"/>
        <w:keepLines w:val="0"/>
        <w:pageBreakBefore w:val="0"/>
        <w:widowControl w:val="0"/>
        <w:kinsoku/>
        <w:wordWrap/>
        <w:overflowPunct/>
        <w:topLinePunct w:val="0"/>
        <w:autoSpaceDE w:val="0"/>
        <w:autoSpaceDN w:val="0"/>
        <w:bidi w:val="0"/>
        <w:spacing w:line="440" w:lineRule="exact"/>
        <w:ind w:firstLine="5760" w:firstLineChars="24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14:paraId="7101762A">
      <w:pPr>
        <w:pStyle w:val="18"/>
        <w:spacing w:line="360" w:lineRule="auto"/>
        <w:jc w:val="center"/>
        <w:rPr>
          <w:rFonts w:hint="eastAsia" w:ascii="宋体" w:hAnsi="宋体" w:eastAsia="宋体" w:cs="宋体"/>
          <w:color w:val="auto"/>
          <w:sz w:val="24"/>
          <w:szCs w:val="24"/>
          <w:highlight w:val="none"/>
        </w:rPr>
      </w:pPr>
      <w:r>
        <w:rPr>
          <w:rFonts w:hint="eastAsia" w:hAnsi="宋体" w:cs="宋体"/>
          <w:color w:val="auto"/>
          <w:sz w:val="24"/>
          <w:szCs w:val="24"/>
          <w:highlight w:val="none"/>
        </w:rPr>
        <w:br w:type="page"/>
      </w:r>
      <w:r>
        <w:rPr>
          <w:rFonts w:hint="eastAsia" w:hAnsi="宋体" w:cs="宋体"/>
          <w:b/>
          <w:bCs/>
          <w:color w:val="auto"/>
          <w:sz w:val="44"/>
          <w:szCs w:val="44"/>
          <w:highlight w:val="none"/>
          <w:lang w:eastAsia="zh-CN"/>
        </w:rPr>
        <w:t>三</w:t>
      </w:r>
      <w:r>
        <w:rPr>
          <w:rFonts w:hint="eastAsia" w:ascii="宋体" w:hAnsi="宋体" w:eastAsia="宋体" w:cs="宋体"/>
          <w:b/>
          <w:bCs/>
          <w:color w:val="auto"/>
          <w:sz w:val="44"/>
          <w:szCs w:val="44"/>
          <w:highlight w:val="none"/>
        </w:rPr>
        <w:t>、</w:t>
      </w:r>
      <w:r>
        <w:rPr>
          <w:rFonts w:hint="eastAsia" w:ascii="宋体" w:hAnsi="宋体" w:eastAsia="宋体" w:cs="宋体"/>
          <w:b/>
          <w:color w:val="auto"/>
          <w:sz w:val="44"/>
          <w:szCs w:val="44"/>
          <w:highlight w:val="none"/>
        </w:rPr>
        <w:t>中小企业声明函</w:t>
      </w:r>
    </w:p>
    <w:p w14:paraId="1506C8FB">
      <w:pPr>
        <w:pStyle w:val="15"/>
        <w:ind w:firstLine="739"/>
        <w:rPr>
          <w:rFonts w:hAnsi="宋体"/>
          <w:color w:val="auto"/>
          <w:sz w:val="21"/>
          <w:szCs w:val="21"/>
          <w:highlight w:val="none"/>
        </w:rPr>
      </w:pPr>
      <w:r>
        <w:rPr>
          <w:rFonts w:hint="eastAsia" w:hAnsi="宋体"/>
          <w:color w:val="auto"/>
          <w:sz w:val="21"/>
          <w:szCs w:val="21"/>
          <w:highlight w:val="none"/>
        </w:rPr>
        <w:t>说明：</w:t>
      </w:r>
    </w:p>
    <w:p w14:paraId="106DF67D">
      <w:pPr>
        <w:pStyle w:val="15"/>
        <w:ind w:firstLine="420" w:firstLineChars="200"/>
        <w:rPr>
          <w:rFonts w:hAnsi="宋体"/>
          <w:color w:val="auto"/>
          <w:sz w:val="21"/>
          <w:szCs w:val="21"/>
          <w:highlight w:val="none"/>
        </w:rPr>
      </w:pPr>
      <w:r>
        <w:rPr>
          <w:rFonts w:hAnsi="宋体"/>
          <w:color w:val="auto"/>
          <w:sz w:val="21"/>
          <w:szCs w:val="21"/>
          <w:highlight w:val="none"/>
        </w:rPr>
        <w:t>1</w:t>
      </w:r>
      <w:r>
        <w:rPr>
          <w:rFonts w:hint="eastAsia" w:hAnsi="宋体"/>
          <w:color w:val="auto"/>
          <w:sz w:val="21"/>
          <w:szCs w:val="21"/>
          <w:highlight w:val="none"/>
        </w:rPr>
        <w:t>、本声明函主要供参加政府采购活动的中小企业填写，非中小企业无需填写。</w:t>
      </w:r>
    </w:p>
    <w:p w14:paraId="2B99C7AA">
      <w:pPr>
        <w:pStyle w:val="15"/>
        <w:ind w:firstLine="420" w:firstLineChars="200"/>
        <w:rPr>
          <w:rFonts w:hAnsi="宋体"/>
          <w:color w:val="auto"/>
          <w:sz w:val="21"/>
          <w:szCs w:val="21"/>
          <w:highlight w:val="none"/>
        </w:rPr>
      </w:pPr>
      <w:r>
        <w:rPr>
          <w:rFonts w:hAnsi="宋体"/>
          <w:color w:val="auto"/>
          <w:sz w:val="21"/>
          <w:szCs w:val="21"/>
          <w:highlight w:val="none"/>
        </w:rPr>
        <w:t>2</w:t>
      </w:r>
      <w:r>
        <w:rPr>
          <w:rFonts w:hint="eastAsia" w:hAnsi="宋体"/>
          <w:color w:val="auto"/>
          <w:sz w:val="21"/>
          <w:szCs w:val="21"/>
          <w:highlight w:val="none"/>
        </w:rPr>
        <w:t>、小型、微型企业提供中型企业提供的货物的，视同为中型企业。</w:t>
      </w:r>
    </w:p>
    <w:p w14:paraId="06A70275">
      <w:pPr>
        <w:pStyle w:val="13"/>
        <w:spacing w:after="0" w:line="360" w:lineRule="auto"/>
        <w:ind w:left="-426" w:right="142" w:firstLine="640"/>
        <w:contextualSpacing/>
        <w:rPr>
          <w:rFonts w:hint="eastAsia" w:ascii="宋体" w:hAnsi="宋体" w:eastAsia="宋体" w:cs="宋体"/>
          <w:color w:val="auto"/>
          <w:sz w:val="24"/>
          <w:szCs w:val="24"/>
          <w:highlight w:val="none"/>
        </w:rPr>
      </w:pPr>
    </w:p>
    <w:p w14:paraId="1A0EA272">
      <w:pPr>
        <w:pStyle w:val="13"/>
        <w:spacing w:after="0" w:line="360" w:lineRule="auto"/>
        <w:ind w:left="-426" w:right="142" w:firstLine="64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采购活动，提供的货物全部由符合政策要求的中小企业制造。相关企业（含联合体中的中小企业、签订分包意向协议的中小企业）的具体情况如下：</w:t>
      </w:r>
    </w:p>
    <w:p w14:paraId="097BE451">
      <w:pPr>
        <w:tabs>
          <w:tab w:val="left" w:pos="1384"/>
          <w:tab w:val="left" w:pos="4562"/>
          <w:tab w:val="left" w:pos="6803"/>
        </w:tabs>
        <w:spacing w:line="360" w:lineRule="auto"/>
        <w:ind w:left="-426" w:right="-58" w:firstLine="655"/>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1F54D3EB">
      <w:pPr>
        <w:tabs>
          <w:tab w:val="left" w:pos="1065"/>
          <w:tab w:val="left" w:pos="6477"/>
        </w:tabs>
        <w:spacing w:line="360" w:lineRule="auto"/>
        <w:ind w:left="-426" w:right="-58" w:firstLine="655"/>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2AEB67AD">
      <w:pPr>
        <w:pStyle w:val="13"/>
        <w:spacing w:after="0" w:line="360" w:lineRule="auto"/>
        <w:ind w:left="142" w:right="142"/>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1FB4F76">
      <w:pPr>
        <w:pStyle w:val="13"/>
        <w:spacing w:after="0" w:line="360" w:lineRule="auto"/>
        <w:ind w:left="-405" w:leftChars="-193" w:right="142" w:firstLine="453" w:firstLineChars="189"/>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6773BDF9">
      <w:pPr>
        <w:pStyle w:val="13"/>
        <w:spacing w:after="0" w:line="360" w:lineRule="auto"/>
        <w:ind w:left="-426" w:right="142" w:firstLine="56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410630D1">
      <w:pPr>
        <w:pStyle w:val="13"/>
        <w:spacing w:after="0" w:line="360" w:lineRule="auto"/>
        <w:ind w:left="3960" w:right="1808"/>
        <w:contextualSpacing/>
        <w:rPr>
          <w:rFonts w:hint="eastAsia" w:ascii="宋体" w:hAnsi="宋体" w:eastAsia="宋体" w:cs="宋体"/>
          <w:color w:val="auto"/>
          <w:sz w:val="24"/>
          <w:szCs w:val="24"/>
          <w:highlight w:val="none"/>
        </w:rPr>
      </w:pPr>
    </w:p>
    <w:p w14:paraId="4D1136BB">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供应商名称（电子签章）：</w:t>
      </w:r>
    </w:p>
    <w:p w14:paraId="6967A2A3">
      <w:pPr>
        <w:autoSpaceDE w:val="0"/>
        <w:autoSpaceDN w:val="0"/>
        <w:spacing w:line="360" w:lineRule="auto"/>
        <w:ind w:firstLine="5760" w:firstLineChars="24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14:paraId="115ABDB6">
      <w:pPr>
        <w:pStyle w:val="13"/>
        <w:spacing w:after="0" w:line="360" w:lineRule="auto"/>
        <w:ind w:left="3960" w:right="1808"/>
        <w:contextualSpacing/>
        <w:rPr>
          <w:rFonts w:hint="eastAsia" w:ascii="宋体" w:hAnsi="宋体" w:eastAsia="宋体" w:cs="宋体"/>
          <w:color w:val="auto"/>
          <w:sz w:val="24"/>
          <w:szCs w:val="24"/>
          <w:highlight w:val="none"/>
        </w:rPr>
      </w:pPr>
    </w:p>
    <w:p w14:paraId="52B2E377">
      <w:pPr>
        <w:spacing w:line="360" w:lineRule="auto"/>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4F45906A">
      <w:pPr>
        <w:pStyle w:val="7"/>
        <w:overflowPunct w:val="0"/>
        <w:spacing w:line="360" w:lineRule="auto"/>
        <w:ind w:firstLine="0"/>
        <w:rPr>
          <w:rFonts w:hint="eastAsia" w:ascii="宋体" w:hAnsi="宋体" w:eastAsia="宋体" w:cs="宋体"/>
          <w:b/>
          <w:color w:val="auto"/>
          <w:kern w:val="0"/>
          <w:sz w:val="24"/>
          <w:szCs w:val="24"/>
          <w:highlight w:val="none"/>
        </w:rPr>
        <w:sectPr>
          <w:pgSz w:w="11910" w:h="16840"/>
          <w:pgMar w:top="1440" w:right="1080" w:bottom="1440" w:left="1080" w:header="720" w:footer="720" w:gutter="0"/>
          <w:cols w:space="720" w:num="1"/>
        </w:sectPr>
      </w:pPr>
    </w:p>
    <w:p w14:paraId="017EAE91">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四、</w:t>
      </w:r>
      <w:r>
        <w:rPr>
          <w:rFonts w:hint="eastAsia" w:ascii="宋体" w:hAnsi="宋体" w:eastAsia="宋体" w:cs="宋体"/>
          <w:b/>
          <w:bCs/>
          <w:color w:val="auto"/>
          <w:sz w:val="24"/>
          <w:szCs w:val="24"/>
          <w:highlight w:val="none"/>
        </w:rPr>
        <w:t>残疾人福利性单位声明函</w:t>
      </w:r>
    </w:p>
    <w:p w14:paraId="386CC614">
      <w:pPr>
        <w:spacing w:line="360" w:lineRule="auto"/>
        <w:rPr>
          <w:rFonts w:hint="eastAsia" w:ascii="宋体" w:hAnsi="宋体" w:eastAsia="宋体" w:cs="宋体"/>
          <w:color w:val="auto"/>
          <w:sz w:val="24"/>
          <w:szCs w:val="24"/>
          <w:highlight w:val="none"/>
        </w:rPr>
      </w:pPr>
    </w:p>
    <w:p w14:paraId="4ECCC114">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6B047C77">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6464E536">
      <w:pPr>
        <w:spacing w:line="360" w:lineRule="auto"/>
        <w:contextualSpacing/>
        <w:rPr>
          <w:rFonts w:hint="eastAsia" w:ascii="宋体" w:hAnsi="宋体" w:eastAsia="宋体" w:cs="宋体"/>
          <w:color w:val="auto"/>
          <w:sz w:val="24"/>
          <w:szCs w:val="24"/>
          <w:highlight w:val="none"/>
        </w:rPr>
      </w:pPr>
    </w:p>
    <w:p w14:paraId="737A5E3D">
      <w:pPr>
        <w:spacing w:line="360" w:lineRule="auto"/>
        <w:contextualSpacing/>
        <w:rPr>
          <w:rFonts w:hint="eastAsia" w:ascii="宋体" w:hAnsi="宋体" w:eastAsia="宋体" w:cs="宋体"/>
          <w:color w:val="auto"/>
          <w:sz w:val="24"/>
          <w:szCs w:val="24"/>
          <w:highlight w:val="none"/>
        </w:rPr>
      </w:pPr>
    </w:p>
    <w:p w14:paraId="21B3BD12">
      <w:pPr>
        <w:spacing w:line="360" w:lineRule="auto"/>
        <w:contextualSpacing/>
        <w:rPr>
          <w:rFonts w:hint="eastAsia" w:ascii="宋体" w:hAnsi="宋体" w:eastAsia="宋体" w:cs="宋体"/>
          <w:color w:val="auto"/>
          <w:sz w:val="24"/>
          <w:szCs w:val="24"/>
          <w:highlight w:val="none"/>
        </w:rPr>
      </w:pPr>
    </w:p>
    <w:p w14:paraId="15279477">
      <w:pPr>
        <w:spacing w:line="360" w:lineRule="auto"/>
        <w:ind w:firstLine="2400" w:firstLineChars="10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供应商名称（电子签章）：</w:t>
      </w:r>
    </w:p>
    <w:p w14:paraId="6BA80FA0">
      <w:pPr>
        <w:spacing w:line="360" w:lineRule="auto"/>
        <w:ind w:firstLine="4320" w:firstLineChars="18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p w14:paraId="7AC03F7C">
      <w:pPr>
        <w:spacing w:line="360" w:lineRule="auto"/>
        <w:contextualSpacing/>
        <w:rPr>
          <w:rFonts w:hint="eastAsia" w:ascii="宋体" w:hAnsi="宋体" w:eastAsia="宋体" w:cs="宋体"/>
          <w:color w:val="auto"/>
          <w:sz w:val="24"/>
          <w:szCs w:val="24"/>
          <w:highlight w:val="none"/>
        </w:rPr>
      </w:pPr>
    </w:p>
    <w:p w14:paraId="27603600">
      <w:pPr>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4E2BFF38">
      <w:pPr>
        <w:spacing w:line="360" w:lineRule="auto"/>
        <w:jc w:val="center"/>
        <w:rPr>
          <w:rFonts w:ascii="宋体" w:hAnsi="宋体" w:cs="宋体"/>
          <w:color w:val="auto"/>
          <w:sz w:val="24"/>
          <w:szCs w:val="24"/>
          <w:highlight w:val="none"/>
        </w:rPr>
      </w:pPr>
    </w:p>
    <w:p w14:paraId="39EC0B10">
      <w:pPr>
        <w:spacing w:line="360" w:lineRule="auto"/>
        <w:jc w:val="center"/>
        <w:rPr>
          <w:rFonts w:ascii="宋体" w:hAnsi="宋体" w:cs="宋体"/>
          <w:color w:val="auto"/>
          <w:sz w:val="24"/>
          <w:szCs w:val="24"/>
          <w:highlight w:val="none"/>
        </w:rPr>
      </w:pPr>
    </w:p>
    <w:p w14:paraId="1E2D3582">
      <w:pPr>
        <w:spacing w:line="360" w:lineRule="auto"/>
        <w:jc w:val="center"/>
        <w:rPr>
          <w:rFonts w:ascii="宋体" w:hAnsi="宋体" w:cs="宋体"/>
          <w:color w:val="auto"/>
          <w:sz w:val="24"/>
          <w:szCs w:val="24"/>
          <w:highlight w:val="none"/>
        </w:rPr>
      </w:pPr>
    </w:p>
    <w:p w14:paraId="2F462CE2">
      <w:pPr>
        <w:spacing w:line="360" w:lineRule="auto"/>
        <w:jc w:val="center"/>
        <w:rPr>
          <w:rFonts w:ascii="宋体" w:hAnsi="宋体" w:cs="宋体"/>
          <w:color w:val="auto"/>
          <w:sz w:val="24"/>
          <w:szCs w:val="24"/>
          <w:highlight w:val="none"/>
        </w:rPr>
      </w:pPr>
    </w:p>
    <w:p w14:paraId="64C9E078">
      <w:pPr>
        <w:spacing w:line="360" w:lineRule="auto"/>
        <w:rPr>
          <w:rFonts w:ascii="宋体" w:hAnsi="宋体" w:cs="宋体"/>
          <w:color w:val="auto"/>
          <w:sz w:val="24"/>
          <w:szCs w:val="24"/>
          <w:highlight w:val="none"/>
        </w:rPr>
      </w:pPr>
    </w:p>
    <w:p w14:paraId="6E9A5A8F">
      <w:pPr>
        <w:spacing w:line="360" w:lineRule="auto"/>
        <w:jc w:val="center"/>
        <w:rPr>
          <w:rFonts w:ascii="宋体" w:hAnsi="宋体" w:cs="宋体"/>
          <w:color w:val="auto"/>
          <w:sz w:val="24"/>
          <w:szCs w:val="24"/>
          <w:highlight w:val="none"/>
        </w:rPr>
      </w:pPr>
    </w:p>
    <w:p w14:paraId="67F76D94">
      <w:pPr>
        <w:spacing w:line="360" w:lineRule="auto"/>
        <w:jc w:val="center"/>
        <w:rPr>
          <w:rFonts w:ascii="宋体" w:hAnsi="宋体" w:cs="宋体"/>
          <w:color w:val="auto"/>
          <w:sz w:val="24"/>
          <w:szCs w:val="24"/>
          <w:highlight w:val="none"/>
        </w:rPr>
      </w:pPr>
    </w:p>
    <w:p w14:paraId="1E432114">
      <w:pPr>
        <w:pStyle w:val="2"/>
        <w:jc w:val="center"/>
        <w:rPr>
          <w:rFonts w:hint="eastAsia"/>
          <w:color w:val="auto"/>
          <w:sz w:val="24"/>
          <w:szCs w:val="24"/>
          <w:highlight w:val="none"/>
        </w:rPr>
      </w:pPr>
      <w:bookmarkStart w:id="89" w:name="_Toc74323461"/>
    </w:p>
    <w:p w14:paraId="40B05CB4">
      <w:pPr>
        <w:pStyle w:val="2"/>
        <w:jc w:val="center"/>
        <w:rPr>
          <w:color w:val="auto"/>
          <w:sz w:val="44"/>
          <w:szCs w:val="44"/>
          <w:highlight w:val="none"/>
        </w:rPr>
      </w:pPr>
      <w:bookmarkStart w:id="90" w:name="_Toc31558"/>
      <w:r>
        <w:rPr>
          <w:rFonts w:hint="eastAsia"/>
          <w:color w:val="auto"/>
          <w:sz w:val="44"/>
          <w:szCs w:val="44"/>
          <w:highlight w:val="none"/>
        </w:rPr>
        <w:t>第六章 合同文本</w:t>
      </w:r>
      <w:bookmarkEnd w:id="89"/>
      <w:bookmarkEnd w:id="90"/>
    </w:p>
    <w:p w14:paraId="6B401AFC">
      <w:pPr>
        <w:jc w:val="center"/>
        <w:rPr>
          <w:rFonts w:hint="eastAsia" w:ascii="宋体" w:hAnsi="宋体" w:eastAsia="宋体" w:cs="宋体"/>
          <w:b/>
          <w:color w:val="auto"/>
          <w:sz w:val="30"/>
          <w:szCs w:val="30"/>
          <w:highlight w:val="none"/>
          <w:lang w:bidi="ar"/>
        </w:rPr>
      </w:pPr>
    </w:p>
    <w:p w14:paraId="76E0DD06">
      <w:pPr>
        <w:jc w:val="center"/>
        <w:rPr>
          <w:rFonts w:hint="eastAsia" w:ascii="宋体" w:hAnsi="宋体" w:eastAsia="宋体" w:cs="宋体"/>
          <w:b/>
          <w:color w:val="auto"/>
          <w:sz w:val="30"/>
          <w:szCs w:val="30"/>
          <w:highlight w:val="none"/>
          <w:lang w:bidi="ar"/>
        </w:rPr>
      </w:pPr>
      <w:r>
        <w:rPr>
          <w:rFonts w:hint="eastAsia" w:ascii="宋体" w:hAnsi="宋体" w:eastAsia="宋体" w:cs="宋体"/>
          <w:b/>
          <w:color w:val="auto"/>
          <w:sz w:val="30"/>
          <w:szCs w:val="30"/>
          <w:highlight w:val="none"/>
          <w:lang w:bidi="ar"/>
        </w:rPr>
        <w:t>目  录</w:t>
      </w:r>
    </w:p>
    <w:p w14:paraId="7BE753F8">
      <w:pPr>
        <w:jc w:val="center"/>
        <w:rPr>
          <w:rFonts w:hint="eastAsia" w:ascii="宋体" w:hAnsi="宋体" w:eastAsia="宋体" w:cs="宋体"/>
          <w:b/>
          <w:color w:val="auto"/>
          <w:sz w:val="30"/>
          <w:szCs w:val="30"/>
          <w:highlight w:val="none"/>
          <w:lang w:bidi="ar"/>
        </w:rPr>
      </w:pPr>
    </w:p>
    <w:p w14:paraId="53CBA638">
      <w:pPr>
        <w:rPr>
          <w:rFonts w:hint="eastAsia" w:ascii="宋体" w:hAnsi="宋体" w:cs="宋体"/>
          <w:b/>
          <w:color w:val="auto"/>
          <w:sz w:val="30"/>
          <w:szCs w:val="30"/>
          <w:highlight w:val="none"/>
        </w:rPr>
      </w:pPr>
      <w:r>
        <w:rPr>
          <w:rFonts w:hint="eastAsia" w:ascii="宋体" w:hAnsi="宋体" w:cs="宋体"/>
          <w:b/>
          <w:color w:val="auto"/>
          <w:sz w:val="30"/>
          <w:szCs w:val="30"/>
          <w:highlight w:val="none"/>
          <w:lang w:bidi="ar"/>
        </w:rPr>
        <w:t xml:space="preserve">一、采购合同书 </w:t>
      </w:r>
    </w:p>
    <w:p w14:paraId="5B190457">
      <w:pPr>
        <w:rPr>
          <w:rFonts w:hint="eastAsia" w:ascii="宋体" w:hAnsi="宋体" w:cs="宋体"/>
          <w:b/>
          <w:color w:val="auto"/>
          <w:sz w:val="30"/>
          <w:szCs w:val="30"/>
          <w:highlight w:val="none"/>
        </w:rPr>
      </w:pPr>
      <w:r>
        <w:rPr>
          <w:rFonts w:hint="eastAsia" w:ascii="宋体" w:hAnsi="宋体" w:cs="宋体"/>
          <w:b/>
          <w:color w:val="auto"/>
          <w:sz w:val="30"/>
          <w:szCs w:val="30"/>
          <w:highlight w:val="none"/>
          <w:lang w:bidi="ar"/>
        </w:rPr>
        <w:t>二、合同附件</w:t>
      </w:r>
    </w:p>
    <w:p w14:paraId="069FC4DB">
      <w:pPr>
        <w:spacing w:line="6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sz w:val="24"/>
          <w:szCs w:val="24"/>
          <w:highlight w:val="none"/>
        </w:rPr>
        <w:t>1、成交通知书</w:t>
      </w:r>
    </w:p>
    <w:p w14:paraId="4CC7233D">
      <w:pPr>
        <w:spacing w:line="6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2、项目采购需求</w:t>
      </w:r>
    </w:p>
    <w:p w14:paraId="43F57472">
      <w:pPr>
        <w:spacing w:line="6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3、</w:t>
      </w:r>
      <w:r>
        <w:rPr>
          <w:rFonts w:hint="eastAsia" w:ascii="宋体" w:hAnsi="宋体" w:cs="宋体"/>
          <w:color w:val="auto"/>
          <w:sz w:val="24"/>
          <w:szCs w:val="24"/>
          <w:highlight w:val="none"/>
          <w:lang w:eastAsia="zh-CN" w:bidi="ar"/>
        </w:rPr>
        <w:t>谈判</w:t>
      </w:r>
      <w:r>
        <w:rPr>
          <w:rFonts w:hint="eastAsia" w:ascii="宋体" w:hAnsi="宋体" w:cs="宋体"/>
          <w:color w:val="auto"/>
          <w:sz w:val="24"/>
          <w:szCs w:val="24"/>
          <w:highlight w:val="none"/>
          <w:lang w:bidi="ar"/>
        </w:rPr>
        <w:t>书</w:t>
      </w:r>
    </w:p>
    <w:p w14:paraId="202EADDC">
      <w:pPr>
        <w:spacing w:line="6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4、首次报价</w:t>
      </w:r>
    </w:p>
    <w:p w14:paraId="4200EFAF">
      <w:pPr>
        <w:spacing w:line="6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5、需求响应表</w:t>
      </w:r>
    </w:p>
    <w:p w14:paraId="1697BDB0">
      <w:pPr>
        <w:widowControl/>
        <w:spacing w:line="6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6、竞争性</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采购活动记录</w:t>
      </w:r>
    </w:p>
    <w:p w14:paraId="1CD9BCE3">
      <w:pPr>
        <w:widowControl/>
        <w:spacing w:line="6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7、竞争性</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应答文件</w:t>
      </w:r>
    </w:p>
    <w:p w14:paraId="2D7B2BCA">
      <w:pPr>
        <w:spacing w:line="6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8、最后报价</w:t>
      </w:r>
    </w:p>
    <w:p w14:paraId="3180DDC7">
      <w:pPr>
        <w:spacing w:line="6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9、售后服务承诺</w:t>
      </w:r>
    </w:p>
    <w:p w14:paraId="65315D56">
      <w:pPr>
        <w:spacing w:line="36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xml:space="preserve"> </w:t>
      </w:r>
    </w:p>
    <w:p w14:paraId="173C2A77">
      <w:pPr>
        <w:pStyle w:val="2"/>
        <w:jc w:val="center"/>
        <w:rPr>
          <w:rFonts w:ascii="宋体" w:hAnsi="宋体"/>
          <w:color w:val="auto"/>
          <w:sz w:val="24"/>
          <w:szCs w:val="24"/>
          <w:highlight w:val="none"/>
        </w:rPr>
      </w:pPr>
      <w:r>
        <w:rPr>
          <w:rFonts w:hint="eastAsia" w:ascii="宋体" w:hAnsi="宋体" w:cs="宋体"/>
          <w:b w:val="0"/>
          <w:bCs w:val="0"/>
          <w:color w:val="auto"/>
          <w:sz w:val="24"/>
          <w:szCs w:val="24"/>
          <w:highlight w:val="none"/>
        </w:rPr>
        <w:br w:type="page"/>
      </w:r>
      <w:bookmarkStart w:id="91" w:name="_Toc5171"/>
      <w:r>
        <w:rPr>
          <w:rFonts w:hint="eastAsia" w:ascii="宋体" w:hAnsi="宋体"/>
          <w:color w:val="auto"/>
          <w:sz w:val="44"/>
          <w:szCs w:val="44"/>
          <w:highlight w:val="none"/>
        </w:rPr>
        <w:t>合同文本</w:t>
      </w:r>
      <w:bookmarkEnd w:id="91"/>
    </w:p>
    <w:p w14:paraId="3D00BEDF">
      <w:pPr>
        <w:spacing w:line="360" w:lineRule="auto"/>
        <w:ind w:right="480"/>
        <w:rPr>
          <w:rFonts w:hint="eastAsia" w:ascii="宋体" w:hAnsi="宋体"/>
          <w:bCs/>
          <w:color w:val="auto"/>
          <w:sz w:val="24"/>
          <w:szCs w:val="24"/>
          <w:highlight w:val="none"/>
          <w:u w:val="single"/>
        </w:rPr>
      </w:pPr>
      <w:r>
        <w:rPr>
          <w:rFonts w:hint="eastAsia" w:ascii="宋体" w:hAnsi="宋体"/>
          <w:bCs/>
          <w:color w:val="auto"/>
          <w:sz w:val="24"/>
          <w:szCs w:val="24"/>
          <w:highlight w:val="none"/>
        </w:rPr>
        <w:t>合同编号：</w:t>
      </w:r>
      <w:r>
        <w:rPr>
          <w:rFonts w:hint="eastAsia" w:ascii="宋体" w:hAnsi="宋体"/>
          <w:bCs/>
          <w:color w:val="auto"/>
          <w:sz w:val="24"/>
          <w:szCs w:val="24"/>
          <w:highlight w:val="none"/>
          <w:u w:val="single"/>
        </w:rPr>
        <w:t xml:space="preserve">                                       </w:t>
      </w:r>
    </w:p>
    <w:p w14:paraId="56885036">
      <w:pPr>
        <w:spacing w:line="360" w:lineRule="auto"/>
        <w:rPr>
          <w:rFonts w:ascii="宋体" w:hAnsi="宋体"/>
          <w:color w:val="auto"/>
          <w:sz w:val="24"/>
          <w:szCs w:val="24"/>
          <w:highlight w:val="none"/>
          <w:u w:val="single"/>
        </w:rPr>
      </w:pPr>
      <w:r>
        <w:rPr>
          <w:rFonts w:hint="eastAsia" w:ascii="宋体" w:hAnsi="宋体"/>
          <w:color w:val="auto"/>
          <w:sz w:val="24"/>
          <w:szCs w:val="24"/>
          <w:highlight w:val="none"/>
        </w:rPr>
        <w:t>采购人（甲方）：</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14:paraId="54141CE5">
      <w:pPr>
        <w:spacing w:line="360" w:lineRule="auto"/>
        <w:rPr>
          <w:rFonts w:ascii="宋体" w:hAnsi="宋体"/>
          <w:color w:val="auto"/>
          <w:sz w:val="24"/>
          <w:szCs w:val="24"/>
          <w:highlight w:val="none"/>
        </w:rPr>
      </w:pPr>
      <w:r>
        <w:rPr>
          <w:rFonts w:hint="eastAsia" w:ascii="宋体" w:hAnsi="宋体"/>
          <w:color w:val="auto"/>
          <w:sz w:val="24"/>
          <w:szCs w:val="24"/>
          <w:highlight w:val="none"/>
        </w:rPr>
        <w:t>供应商（乙方）：</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采购项目名称和</w:t>
      </w:r>
      <w:r>
        <w:rPr>
          <w:rFonts w:hint="eastAsia" w:ascii="宋体" w:hAnsi="宋体"/>
          <w:color w:val="auto"/>
          <w:spacing w:val="-20"/>
          <w:sz w:val="24"/>
          <w:szCs w:val="24"/>
          <w:highlight w:val="none"/>
        </w:rPr>
        <w:t>编号：</w:t>
      </w:r>
      <w:r>
        <w:rPr>
          <w:rFonts w:hint="eastAsia" w:ascii="宋体" w:hAnsi="宋体"/>
          <w:color w:val="auto"/>
          <w:sz w:val="24"/>
          <w:szCs w:val="24"/>
          <w:highlight w:val="none"/>
          <w:u w:val="single"/>
        </w:rPr>
        <w:t xml:space="preserve">                  </w:t>
      </w:r>
    </w:p>
    <w:p w14:paraId="6E55E484">
      <w:pPr>
        <w:spacing w:line="360" w:lineRule="auto"/>
        <w:rPr>
          <w:rFonts w:ascii="宋体" w:hAnsi="宋体"/>
          <w:color w:val="auto"/>
          <w:sz w:val="24"/>
          <w:szCs w:val="24"/>
          <w:highlight w:val="none"/>
          <w:u w:val="single"/>
        </w:rPr>
      </w:pPr>
      <w:r>
        <w:rPr>
          <w:rFonts w:hint="eastAsia" w:ascii="宋体" w:hAnsi="宋体"/>
          <w:color w:val="auto"/>
          <w:sz w:val="24"/>
          <w:szCs w:val="24"/>
          <w:highlight w:val="none"/>
        </w:rPr>
        <w:t>签  订  地  点：</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签 订 时 间：</w:t>
      </w:r>
      <w:r>
        <w:rPr>
          <w:rFonts w:hint="eastAsia" w:ascii="宋体" w:hAnsi="宋体"/>
          <w:color w:val="auto"/>
          <w:sz w:val="24"/>
          <w:szCs w:val="24"/>
          <w:highlight w:val="none"/>
          <w:u w:val="single"/>
        </w:rPr>
        <w:t xml:space="preserve">                        </w:t>
      </w:r>
    </w:p>
    <w:p w14:paraId="07DF6ECE">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根据《中华人民共和国政府采购法》、《中华人民共和国民法典》等法律、法规规定，按照竞争性谈判文件（以下简称“</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文件”）规定条款和成交供应商竞争性</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响应文件（以下简称“响应文件”）及其承诺，甲乙双方签订本合同。</w:t>
      </w:r>
    </w:p>
    <w:p w14:paraId="6CA2E70D">
      <w:pP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第一条　合同标的</w:t>
      </w:r>
    </w:p>
    <w:p w14:paraId="3F88F4CF">
      <w:pPr>
        <w:spacing w:line="360" w:lineRule="auto"/>
        <w:ind w:firstLine="723" w:firstLineChars="300"/>
        <w:rPr>
          <w:rFonts w:hint="eastAsia" w:ascii="宋体" w:hAnsi="宋体" w:cs="宋体"/>
          <w:b/>
          <w:color w:val="auto"/>
          <w:sz w:val="24"/>
          <w:szCs w:val="24"/>
          <w:highlight w:val="none"/>
          <w:u w:val="single"/>
        </w:rPr>
      </w:pPr>
      <w:r>
        <w:rPr>
          <w:rFonts w:hint="eastAsia" w:ascii="宋体" w:hAnsi="宋体" w:cs="宋体"/>
          <w:b/>
          <w:color w:val="auto"/>
          <w:sz w:val="24"/>
          <w:szCs w:val="24"/>
          <w:highlight w:val="none"/>
        </w:rPr>
        <w:t>分标</w:t>
      </w:r>
      <w:r>
        <w:rPr>
          <w:rFonts w:hint="eastAsia" w:ascii="宋体" w:hAnsi="宋体" w:cs="宋体"/>
          <w:b/>
          <w:color w:val="auto"/>
          <w:sz w:val="24"/>
          <w:szCs w:val="24"/>
          <w:highlight w:val="none"/>
          <w:u w:val="single"/>
        </w:rPr>
        <w:t xml:space="preserve">      </w:t>
      </w:r>
    </w:p>
    <w:tbl>
      <w:tblPr>
        <w:tblStyle w:val="3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0"/>
        <w:gridCol w:w="2896"/>
        <w:gridCol w:w="2110"/>
        <w:gridCol w:w="3562"/>
      </w:tblGrid>
      <w:tr w14:paraId="08FE3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97"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1121EAAB">
            <w:pPr>
              <w:spacing w:line="360" w:lineRule="auto"/>
              <w:contextualSpacing/>
              <w:jc w:val="center"/>
              <w:rPr>
                <w:rFonts w:ascii="宋体" w:hAnsi="宋体" w:cs="仿宋_GB2312"/>
                <w:color w:val="auto"/>
                <w:sz w:val="24"/>
                <w:szCs w:val="24"/>
                <w:highlight w:val="none"/>
              </w:rPr>
            </w:pPr>
            <w:r>
              <w:rPr>
                <w:rFonts w:hint="eastAsia" w:ascii="宋体" w:hAnsi="宋体" w:cs="宋体"/>
                <w:color w:val="auto"/>
                <w:sz w:val="24"/>
                <w:szCs w:val="24"/>
                <w:highlight w:val="none"/>
              </w:rPr>
              <w:t xml:space="preserve"> </w:t>
            </w:r>
            <w:r>
              <w:rPr>
                <w:rFonts w:ascii="宋体" w:hAnsi="宋体" w:cs="仿宋_GB2312"/>
                <w:color w:val="auto"/>
                <w:sz w:val="24"/>
                <w:szCs w:val="24"/>
                <w:highlight w:val="none"/>
              </w:rPr>
              <w:t>序号</w:t>
            </w:r>
          </w:p>
        </w:tc>
        <w:tc>
          <w:tcPr>
            <w:tcW w:w="2896" w:type="dxa"/>
            <w:tcBorders>
              <w:top w:val="single" w:color="auto" w:sz="4" w:space="0"/>
              <w:left w:val="single" w:color="auto" w:sz="4" w:space="0"/>
              <w:bottom w:val="single" w:color="auto" w:sz="4" w:space="0"/>
              <w:right w:val="single" w:color="auto" w:sz="4" w:space="0"/>
            </w:tcBorders>
            <w:vAlign w:val="center"/>
          </w:tcPr>
          <w:p w14:paraId="0A3AF70C">
            <w:pPr>
              <w:spacing w:line="360" w:lineRule="auto"/>
              <w:contextualSpacing/>
              <w:jc w:val="center"/>
              <w:rPr>
                <w:rFonts w:ascii="宋体" w:hAnsi="宋体" w:cs="仿宋_GB2312"/>
                <w:color w:val="auto"/>
                <w:sz w:val="24"/>
                <w:szCs w:val="24"/>
                <w:highlight w:val="none"/>
              </w:rPr>
            </w:pPr>
            <w:r>
              <w:rPr>
                <w:rFonts w:hint="eastAsia" w:ascii="宋体" w:hAnsi="宋体" w:cs="仿宋_GB2312"/>
                <w:color w:val="auto"/>
                <w:sz w:val="24"/>
                <w:szCs w:val="24"/>
                <w:highlight w:val="none"/>
              </w:rPr>
              <w:t>标的的名称</w:t>
            </w:r>
          </w:p>
        </w:tc>
        <w:tc>
          <w:tcPr>
            <w:tcW w:w="2110" w:type="dxa"/>
            <w:tcBorders>
              <w:top w:val="single" w:color="auto" w:sz="4" w:space="0"/>
              <w:left w:val="single" w:color="auto" w:sz="4" w:space="0"/>
              <w:bottom w:val="single" w:color="auto" w:sz="4" w:space="0"/>
              <w:right w:val="single" w:color="auto" w:sz="4" w:space="0"/>
            </w:tcBorders>
            <w:vAlign w:val="center"/>
          </w:tcPr>
          <w:p w14:paraId="10934423">
            <w:pPr>
              <w:spacing w:line="360" w:lineRule="auto"/>
              <w:contextualSpacing/>
              <w:jc w:val="center"/>
              <w:rPr>
                <w:rFonts w:ascii="宋体" w:hAnsi="宋体" w:cs="仿宋_GB2312"/>
                <w:color w:val="auto"/>
                <w:sz w:val="24"/>
                <w:szCs w:val="24"/>
                <w:highlight w:val="none"/>
              </w:rPr>
            </w:pPr>
            <w:r>
              <w:rPr>
                <w:rFonts w:hint="eastAsia" w:ascii="宋体" w:hAnsi="宋体" w:cs="仿宋_GB2312"/>
                <w:color w:val="auto"/>
                <w:sz w:val="24"/>
                <w:szCs w:val="24"/>
                <w:highlight w:val="none"/>
              </w:rPr>
              <w:t>数量及单位</w:t>
            </w:r>
          </w:p>
        </w:tc>
        <w:tc>
          <w:tcPr>
            <w:tcW w:w="3562" w:type="dxa"/>
            <w:tcBorders>
              <w:top w:val="single" w:color="auto" w:sz="4" w:space="0"/>
              <w:left w:val="single" w:color="auto" w:sz="4" w:space="0"/>
              <w:bottom w:val="single" w:color="auto" w:sz="4" w:space="0"/>
              <w:right w:val="single" w:color="auto" w:sz="4" w:space="0"/>
            </w:tcBorders>
            <w:vAlign w:val="center"/>
          </w:tcPr>
          <w:p w14:paraId="2E793732">
            <w:pPr>
              <w:spacing w:line="360" w:lineRule="auto"/>
              <w:contextualSpacing/>
              <w:jc w:val="center"/>
              <w:rPr>
                <w:rFonts w:ascii="宋体" w:hAnsi="宋体" w:cs="仿宋_GB2312"/>
                <w:color w:val="auto"/>
                <w:sz w:val="24"/>
                <w:szCs w:val="24"/>
                <w:highlight w:val="none"/>
              </w:rPr>
            </w:pPr>
            <w:r>
              <w:rPr>
                <w:rFonts w:hint="eastAsia" w:ascii="宋体" w:hAnsi="宋体" w:cs="仿宋_GB2312"/>
                <w:color w:val="auto"/>
                <w:sz w:val="24"/>
                <w:szCs w:val="24"/>
                <w:highlight w:val="none"/>
              </w:rPr>
              <w:t>折扣率</w:t>
            </w:r>
          </w:p>
        </w:tc>
      </w:tr>
      <w:tr w14:paraId="13DD0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49" w:hRule="atLeast"/>
          <w:jc w:val="center"/>
        </w:trPr>
        <w:tc>
          <w:tcPr>
            <w:tcW w:w="870" w:type="dxa"/>
            <w:tcBorders>
              <w:top w:val="single" w:color="auto" w:sz="4" w:space="0"/>
              <w:left w:val="single" w:color="auto" w:sz="4" w:space="0"/>
              <w:right w:val="single" w:color="auto" w:sz="4" w:space="0"/>
            </w:tcBorders>
            <w:vAlign w:val="center"/>
          </w:tcPr>
          <w:p w14:paraId="7F613B7A">
            <w:pPr>
              <w:spacing w:line="360" w:lineRule="auto"/>
              <w:contextualSpacing/>
              <w:jc w:val="center"/>
              <w:rPr>
                <w:rFonts w:ascii="宋体" w:hAnsi="宋体" w:cs="仿宋_GB2312"/>
                <w:color w:val="auto"/>
                <w:sz w:val="24"/>
                <w:szCs w:val="24"/>
                <w:highlight w:val="none"/>
              </w:rPr>
            </w:pPr>
            <w:r>
              <w:rPr>
                <w:rFonts w:hint="eastAsia" w:ascii="宋体" w:hAnsi="宋体" w:cs="仿宋_GB2312"/>
                <w:color w:val="auto"/>
                <w:sz w:val="24"/>
                <w:szCs w:val="24"/>
                <w:highlight w:val="none"/>
              </w:rPr>
              <w:t>1</w:t>
            </w:r>
          </w:p>
        </w:tc>
        <w:tc>
          <w:tcPr>
            <w:tcW w:w="2896" w:type="dxa"/>
            <w:tcBorders>
              <w:top w:val="single" w:color="auto" w:sz="4" w:space="0"/>
              <w:left w:val="single" w:color="auto" w:sz="4" w:space="0"/>
              <w:right w:val="single" w:color="auto" w:sz="4" w:space="0"/>
            </w:tcBorders>
            <w:vAlign w:val="center"/>
          </w:tcPr>
          <w:p w14:paraId="1F15ABDA">
            <w:pPr>
              <w:spacing w:line="276" w:lineRule="auto"/>
              <w:jc w:val="center"/>
              <w:rPr>
                <w:rFonts w:ascii="宋体" w:hAnsi="宋体" w:cs="仿宋_GB2312"/>
                <w:color w:val="auto"/>
                <w:sz w:val="24"/>
                <w:szCs w:val="24"/>
                <w:highlight w:val="none"/>
              </w:rPr>
            </w:pPr>
          </w:p>
        </w:tc>
        <w:tc>
          <w:tcPr>
            <w:tcW w:w="2110" w:type="dxa"/>
            <w:tcBorders>
              <w:top w:val="single" w:color="auto" w:sz="4" w:space="0"/>
              <w:left w:val="single" w:color="auto" w:sz="4" w:space="0"/>
              <w:right w:val="single" w:color="auto" w:sz="4" w:space="0"/>
            </w:tcBorders>
            <w:vAlign w:val="center"/>
          </w:tcPr>
          <w:p w14:paraId="35E155F3">
            <w:pPr>
              <w:spacing w:line="276" w:lineRule="auto"/>
              <w:jc w:val="center"/>
              <w:rPr>
                <w:rFonts w:ascii="宋体" w:hAnsi="宋体" w:cs="仿宋_GB2312"/>
                <w:color w:val="auto"/>
                <w:sz w:val="24"/>
                <w:szCs w:val="24"/>
                <w:highlight w:val="none"/>
              </w:rPr>
            </w:pPr>
          </w:p>
        </w:tc>
        <w:tc>
          <w:tcPr>
            <w:tcW w:w="3562" w:type="dxa"/>
            <w:tcBorders>
              <w:top w:val="single" w:color="auto" w:sz="4" w:space="0"/>
              <w:left w:val="single" w:color="auto" w:sz="4" w:space="0"/>
              <w:right w:val="single" w:color="auto" w:sz="4" w:space="0"/>
            </w:tcBorders>
            <w:vAlign w:val="center"/>
          </w:tcPr>
          <w:p w14:paraId="639BFBE7">
            <w:pPr>
              <w:spacing w:line="360" w:lineRule="auto"/>
              <w:contextualSpacing/>
              <w:jc w:val="center"/>
              <w:rPr>
                <w:rFonts w:ascii="宋体" w:hAnsi="宋体" w:cs="仿宋_GB2312"/>
                <w:color w:val="auto"/>
                <w:sz w:val="24"/>
                <w:szCs w:val="24"/>
                <w:highlight w:val="none"/>
              </w:rPr>
            </w:pPr>
            <w:r>
              <w:rPr>
                <w:rFonts w:hint="eastAsia" w:ascii="宋体" w:hAnsi="宋体" w:cs="仿宋_GB2312"/>
                <w:color w:val="auto"/>
                <w:sz w:val="24"/>
                <w:szCs w:val="24"/>
                <w:highlight w:val="none"/>
              </w:rPr>
              <w:t>%</w:t>
            </w:r>
          </w:p>
        </w:tc>
      </w:tr>
      <w:tr w14:paraId="0C916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97" w:hRule="atLeast"/>
          <w:jc w:val="center"/>
        </w:trPr>
        <w:tc>
          <w:tcPr>
            <w:tcW w:w="9438" w:type="dxa"/>
            <w:gridSpan w:val="4"/>
            <w:tcBorders>
              <w:top w:val="single" w:color="auto" w:sz="4" w:space="0"/>
              <w:left w:val="single" w:color="auto" w:sz="4" w:space="0"/>
              <w:bottom w:val="single" w:color="auto" w:sz="4" w:space="0"/>
              <w:right w:val="single" w:color="auto" w:sz="4" w:space="0"/>
            </w:tcBorders>
            <w:vAlign w:val="center"/>
          </w:tcPr>
          <w:p w14:paraId="33E921DF">
            <w:pPr>
              <w:pStyle w:val="18"/>
              <w:spacing w:line="360" w:lineRule="auto"/>
              <w:rPr>
                <w:rFonts w:hint="eastAsia" w:ascii="宋体" w:hAnsi="宋体"/>
                <w:strike/>
                <w:color w:val="auto"/>
                <w:kern w:val="0"/>
                <w:sz w:val="24"/>
                <w:szCs w:val="24"/>
                <w:highlight w:val="none"/>
              </w:rPr>
            </w:pPr>
            <w:r>
              <w:rPr>
                <w:rFonts w:hint="eastAsia" w:ascii="宋体" w:hAnsi="宋体" w:cs="仿宋_GB2312"/>
                <w:b/>
                <w:bCs/>
                <w:color w:val="auto"/>
                <w:sz w:val="24"/>
                <w:szCs w:val="24"/>
                <w:highlight w:val="none"/>
              </w:rPr>
              <w:t>备注：</w:t>
            </w:r>
            <w:r>
              <w:rPr>
                <w:rFonts w:hint="eastAsia" w:ascii="宋体" w:hAnsi="宋体"/>
                <w:color w:val="auto"/>
                <w:kern w:val="0"/>
                <w:sz w:val="24"/>
                <w:szCs w:val="24"/>
                <w:highlight w:val="none"/>
                <w:lang w:val="en-US" w:eastAsia="zh-CN"/>
              </w:rPr>
              <w:t>合同供货</w:t>
            </w:r>
            <w:r>
              <w:rPr>
                <w:rFonts w:hint="eastAsia" w:ascii="宋体" w:hAnsi="宋体"/>
                <w:color w:val="auto"/>
                <w:kern w:val="0"/>
                <w:sz w:val="24"/>
                <w:szCs w:val="24"/>
                <w:highlight w:val="none"/>
              </w:rPr>
              <w:t>时间内所有图书采购均按</w:t>
            </w:r>
            <w:r>
              <w:rPr>
                <w:rFonts w:hint="eastAsia" w:ascii="宋体" w:hAnsi="宋体"/>
                <w:color w:val="auto"/>
                <w:kern w:val="0"/>
                <w:sz w:val="24"/>
                <w:szCs w:val="24"/>
                <w:highlight w:val="none"/>
                <w:lang w:val="en-US" w:eastAsia="zh-CN"/>
              </w:rPr>
              <w:t>最终结算价</w:t>
            </w:r>
            <w:r>
              <w:rPr>
                <w:rFonts w:hint="eastAsia" w:ascii="宋体" w:hAnsi="宋体"/>
                <w:color w:val="auto"/>
                <w:kern w:val="0"/>
                <w:sz w:val="24"/>
                <w:szCs w:val="24"/>
                <w:highlight w:val="none"/>
              </w:rPr>
              <w:t>付款，图书出版的标价为码洋价</w:t>
            </w:r>
            <w:r>
              <w:rPr>
                <w:rFonts w:hint="eastAsia" w:ascii="宋体" w:hAnsi="宋体"/>
                <w:color w:val="auto"/>
                <w:kern w:val="0"/>
                <w:sz w:val="24"/>
                <w:szCs w:val="24"/>
                <w:highlight w:val="none"/>
                <w:lang w:eastAsia="zh-CN"/>
              </w:rPr>
              <w:t>。</w:t>
            </w:r>
          </w:p>
          <w:p w14:paraId="7D069833">
            <w:pPr>
              <w:pStyle w:val="18"/>
              <w:spacing w:line="360" w:lineRule="auto"/>
              <w:rPr>
                <w:rFonts w:hAnsi="宋体" w:cs="宋体"/>
                <w:b/>
                <w:bCs w:val="0"/>
                <w:color w:val="auto"/>
                <w:sz w:val="24"/>
                <w:szCs w:val="24"/>
                <w:highlight w:val="none"/>
              </w:rPr>
            </w:pPr>
            <w:r>
              <w:rPr>
                <w:rFonts w:hint="eastAsia" w:hAnsi="宋体" w:cs="宋体"/>
                <w:b/>
                <w:bCs w:val="0"/>
                <w:color w:val="auto"/>
                <w:sz w:val="24"/>
                <w:szCs w:val="24"/>
                <w:highlight w:val="none"/>
              </w:rPr>
              <w:t>最终</w:t>
            </w:r>
            <w:r>
              <w:rPr>
                <w:rFonts w:hAnsi="宋体" w:cs="宋体"/>
                <w:b/>
                <w:bCs w:val="0"/>
                <w:color w:val="auto"/>
                <w:sz w:val="24"/>
                <w:szCs w:val="24"/>
                <w:highlight w:val="none"/>
              </w:rPr>
              <w:t>结算</w:t>
            </w:r>
            <w:r>
              <w:rPr>
                <w:rFonts w:hint="eastAsia" w:hAnsi="宋体" w:cs="宋体"/>
                <w:b/>
                <w:bCs w:val="0"/>
                <w:color w:val="auto"/>
                <w:sz w:val="24"/>
                <w:szCs w:val="24"/>
                <w:highlight w:val="none"/>
                <w:lang w:val="en-US" w:eastAsia="zh-CN"/>
              </w:rPr>
              <w:t>价</w:t>
            </w:r>
            <w:r>
              <w:rPr>
                <w:rFonts w:hint="eastAsia" w:hAnsi="宋体" w:cs="宋体"/>
                <w:b/>
                <w:bCs w:val="0"/>
                <w:color w:val="auto"/>
                <w:sz w:val="24"/>
                <w:szCs w:val="24"/>
                <w:highlight w:val="none"/>
              </w:rPr>
              <w:t>款</w:t>
            </w:r>
            <w:r>
              <w:rPr>
                <w:rFonts w:hAnsi="宋体" w:cs="宋体"/>
                <w:b/>
                <w:bCs w:val="0"/>
                <w:color w:val="auto"/>
                <w:sz w:val="24"/>
                <w:szCs w:val="24"/>
                <w:highlight w:val="none"/>
              </w:rPr>
              <w:t>=</w:t>
            </w:r>
            <w:r>
              <w:rPr>
                <w:rFonts w:hint="eastAsia" w:hAnsi="宋体" w:cs="宋体"/>
                <w:b/>
                <w:bCs w:val="0"/>
                <w:color w:val="auto"/>
                <w:sz w:val="24"/>
                <w:szCs w:val="24"/>
                <w:highlight w:val="none"/>
              </w:rPr>
              <w:t>实际</w:t>
            </w:r>
            <w:r>
              <w:rPr>
                <w:rFonts w:hAnsi="宋体" w:cs="宋体"/>
                <w:b/>
                <w:bCs w:val="0"/>
                <w:color w:val="auto"/>
                <w:sz w:val="24"/>
                <w:szCs w:val="24"/>
                <w:highlight w:val="none"/>
              </w:rPr>
              <w:t>订购图书码洋</w:t>
            </w:r>
            <w:r>
              <w:rPr>
                <w:rFonts w:hint="eastAsia" w:hAnsi="宋体" w:cs="宋体"/>
                <w:b/>
                <w:bCs w:val="0"/>
                <w:color w:val="auto"/>
                <w:sz w:val="24"/>
                <w:szCs w:val="24"/>
                <w:highlight w:val="none"/>
              </w:rPr>
              <w:t>总额*折扣</w:t>
            </w:r>
            <w:r>
              <w:rPr>
                <w:rFonts w:hAnsi="宋体" w:cs="宋体"/>
                <w:b/>
                <w:bCs w:val="0"/>
                <w:color w:val="auto"/>
                <w:sz w:val="24"/>
                <w:szCs w:val="24"/>
                <w:highlight w:val="none"/>
              </w:rPr>
              <w:t>率</w:t>
            </w:r>
          </w:p>
          <w:p w14:paraId="4955B5D7">
            <w:pPr>
              <w:spacing w:line="360" w:lineRule="auto"/>
              <w:contextualSpacing/>
              <w:rPr>
                <w:rFonts w:hint="eastAsia" w:ascii="宋体" w:hAnsi="宋体" w:cs="仿宋_GB2312"/>
                <w:b/>
                <w:bCs/>
                <w:color w:val="auto"/>
                <w:sz w:val="24"/>
                <w:szCs w:val="24"/>
                <w:highlight w:val="none"/>
              </w:rPr>
            </w:pPr>
            <w:r>
              <w:rPr>
                <w:rFonts w:hint="eastAsia" w:hAnsi="宋体"/>
                <w:b/>
                <w:bCs w:val="0"/>
                <w:color w:val="auto"/>
                <w:sz w:val="24"/>
                <w:szCs w:val="24"/>
                <w:highlight w:val="none"/>
              </w:rPr>
              <w:t>折扣率是指按原价的若干成计价</w:t>
            </w:r>
            <w:r>
              <w:rPr>
                <w:rFonts w:hint="eastAsia" w:hAnsi="宋体"/>
                <w:b/>
                <w:bCs w:val="0"/>
                <w:color w:val="auto"/>
                <w:sz w:val="24"/>
                <w:szCs w:val="24"/>
                <w:highlight w:val="none"/>
                <w:lang w:eastAsia="zh-CN"/>
              </w:rPr>
              <w:t>，</w:t>
            </w:r>
            <w:r>
              <w:rPr>
                <w:rFonts w:hint="eastAsia" w:hAnsi="宋体"/>
                <w:b/>
                <w:bCs w:val="0"/>
                <w:color w:val="auto"/>
                <w:sz w:val="24"/>
                <w:szCs w:val="24"/>
                <w:highlight w:val="none"/>
                <w:lang w:val="en-US" w:eastAsia="zh-CN"/>
              </w:rPr>
              <w:t>例</w:t>
            </w:r>
            <w:r>
              <w:rPr>
                <w:rFonts w:hint="eastAsia" w:hAnsi="宋体"/>
                <w:b/>
                <w:bCs w:val="0"/>
                <w:color w:val="auto"/>
                <w:sz w:val="24"/>
                <w:szCs w:val="24"/>
                <w:highlight w:val="none"/>
              </w:rPr>
              <w:t>如</w:t>
            </w:r>
            <w:r>
              <w:rPr>
                <w:rFonts w:hint="eastAsia" w:hAnsi="宋体"/>
                <w:b/>
                <w:bCs w:val="0"/>
                <w:color w:val="auto"/>
                <w:sz w:val="24"/>
                <w:szCs w:val="24"/>
                <w:highlight w:val="none"/>
                <w:lang w:val="en-US" w:eastAsia="zh-CN"/>
              </w:rPr>
              <w:t>成交</w:t>
            </w:r>
            <w:r>
              <w:rPr>
                <w:rFonts w:hint="eastAsia" w:hAnsi="宋体"/>
                <w:b/>
                <w:bCs w:val="0"/>
                <w:color w:val="auto"/>
                <w:sz w:val="24"/>
                <w:szCs w:val="24"/>
                <w:highlight w:val="none"/>
                <w:lang w:eastAsia="zh-CN"/>
              </w:rPr>
              <w:t>折扣率</w:t>
            </w:r>
            <w:r>
              <w:rPr>
                <w:rFonts w:hint="eastAsia" w:hAnsi="宋体"/>
                <w:b/>
                <w:bCs w:val="0"/>
                <w:color w:val="auto"/>
                <w:sz w:val="24"/>
                <w:szCs w:val="24"/>
                <w:highlight w:val="none"/>
                <w:lang w:val="en-US" w:eastAsia="zh-CN"/>
              </w:rPr>
              <w:t>为</w:t>
            </w:r>
            <w:r>
              <w:rPr>
                <w:rFonts w:hint="eastAsia" w:hAnsi="宋体"/>
                <w:b/>
                <w:bCs w:val="0"/>
                <w:color w:val="auto"/>
                <w:sz w:val="24"/>
                <w:szCs w:val="24"/>
                <w:highlight w:val="none"/>
              </w:rPr>
              <w:t>80%，</w:t>
            </w:r>
            <w:r>
              <w:rPr>
                <w:rFonts w:hint="eastAsia" w:hAnsi="宋体"/>
                <w:b/>
                <w:bCs w:val="0"/>
                <w:color w:val="auto"/>
                <w:sz w:val="24"/>
                <w:szCs w:val="24"/>
                <w:highlight w:val="none"/>
                <w:lang w:val="en-US" w:eastAsia="zh-CN"/>
              </w:rPr>
              <w:t>则：</w:t>
            </w:r>
            <w:r>
              <w:rPr>
                <w:rFonts w:hint="eastAsia" w:hAnsi="宋体" w:cs="宋体"/>
                <w:b/>
                <w:bCs w:val="0"/>
                <w:color w:val="auto"/>
                <w:sz w:val="24"/>
                <w:szCs w:val="24"/>
                <w:highlight w:val="none"/>
              </w:rPr>
              <w:t>最终</w:t>
            </w:r>
            <w:r>
              <w:rPr>
                <w:rFonts w:hAnsi="宋体" w:cs="宋体"/>
                <w:b/>
                <w:bCs w:val="0"/>
                <w:color w:val="auto"/>
                <w:sz w:val="24"/>
                <w:szCs w:val="24"/>
                <w:highlight w:val="none"/>
              </w:rPr>
              <w:t>结算</w:t>
            </w:r>
            <w:r>
              <w:rPr>
                <w:rFonts w:hint="eastAsia" w:hAnsi="宋体" w:cs="宋体"/>
                <w:b/>
                <w:bCs w:val="0"/>
                <w:color w:val="auto"/>
                <w:sz w:val="24"/>
                <w:szCs w:val="24"/>
                <w:highlight w:val="none"/>
                <w:lang w:val="en-US" w:eastAsia="zh-CN"/>
              </w:rPr>
              <w:t>价</w:t>
            </w:r>
            <w:r>
              <w:rPr>
                <w:rFonts w:hint="eastAsia" w:hAnsi="宋体" w:cs="宋体"/>
                <w:b/>
                <w:bCs w:val="0"/>
                <w:color w:val="auto"/>
                <w:sz w:val="24"/>
                <w:szCs w:val="24"/>
                <w:highlight w:val="none"/>
              </w:rPr>
              <w:t>款</w:t>
            </w:r>
            <w:r>
              <w:rPr>
                <w:rFonts w:hint="eastAsia" w:hAnsi="宋体" w:cs="宋体"/>
                <w:b/>
                <w:bCs w:val="0"/>
                <w:color w:val="auto"/>
                <w:sz w:val="24"/>
                <w:szCs w:val="24"/>
                <w:highlight w:val="none"/>
                <w:lang w:val="en-US" w:eastAsia="zh-CN"/>
              </w:rPr>
              <w:t>(</w:t>
            </w:r>
            <w:r>
              <w:rPr>
                <w:rFonts w:hint="eastAsia" w:hAnsi="宋体"/>
                <w:b/>
                <w:bCs w:val="0"/>
                <w:color w:val="auto"/>
                <w:sz w:val="24"/>
                <w:szCs w:val="24"/>
                <w:highlight w:val="none"/>
              </w:rPr>
              <w:t>成交价格</w:t>
            </w:r>
            <w:r>
              <w:rPr>
                <w:rFonts w:hint="eastAsia" w:hAnsi="宋体"/>
                <w:b/>
                <w:bCs w:val="0"/>
                <w:color w:val="auto"/>
                <w:sz w:val="24"/>
                <w:szCs w:val="24"/>
                <w:highlight w:val="none"/>
                <w:lang w:val="en-US" w:eastAsia="zh-CN"/>
              </w:rPr>
              <w:t>)</w:t>
            </w:r>
            <w:r>
              <w:rPr>
                <w:rFonts w:hint="eastAsia" w:hAnsi="宋体"/>
                <w:b/>
                <w:bCs w:val="0"/>
                <w:color w:val="auto"/>
                <w:sz w:val="24"/>
                <w:szCs w:val="24"/>
                <w:highlight w:val="none"/>
              </w:rPr>
              <w:t>=</w:t>
            </w:r>
            <w:r>
              <w:rPr>
                <w:rFonts w:hAnsi="宋体" w:cs="宋体"/>
                <w:b/>
                <w:bCs w:val="0"/>
                <w:color w:val="auto"/>
                <w:sz w:val="24"/>
                <w:szCs w:val="24"/>
                <w:highlight w:val="none"/>
              </w:rPr>
              <w:t>图书码洋</w:t>
            </w:r>
            <w:r>
              <w:rPr>
                <w:rFonts w:hint="eastAsia" w:hAnsi="宋体" w:cs="宋体"/>
                <w:b/>
                <w:bCs w:val="0"/>
                <w:color w:val="auto"/>
                <w:sz w:val="24"/>
                <w:szCs w:val="24"/>
                <w:highlight w:val="none"/>
              </w:rPr>
              <w:t>总额</w:t>
            </w:r>
            <w:r>
              <w:rPr>
                <w:rFonts w:hint="eastAsia" w:hAnsi="宋体"/>
                <w:b/>
                <w:bCs w:val="0"/>
                <w:color w:val="auto"/>
                <w:sz w:val="24"/>
                <w:szCs w:val="24"/>
                <w:highlight w:val="none"/>
              </w:rPr>
              <w:t>×80%。</w:t>
            </w:r>
          </w:p>
        </w:tc>
      </w:tr>
    </w:tbl>
    <w:p w14:paraId="794BE0A1">
      <w:pPr>
        <w:spacing w:line="360" w:lineRule="auto"/>
        <w:ind w:firstLine="480" w:firstLineChars="200"/>
        <w:rPr>
          <w:rFonts w:ascii="宋体" w:hAnsi="宋体" w:cs="宋体"/>
          <w:color w:val="auto"/>
          <w:sz w:val="24"/>
          <w:szCs w:val="24"/>
          <w:highlight w:val="none"/>
        </w:rPr>
      </w:pPr>
    </w:p>
    <w:p w14:paraId="1D206F40">
      <w:pPr>
        <w:spacing w:line="360" w:lineRule="auto"/>
        <w:rPr>
          <w:rFonts w:ascii="宋体" w:hAnsi="宋体"/>
          <w:b/>
          <w:color w:val="auto"/>
          <w:sz w:val="24"/>
          <w:szCs w:val="24"/>
          <w:highlight w:val="none"/>
        </w:rPr>
      </w:pPr>
      <w:r>
        <w:rPr>
          <w:rFonts w:hint="eastAsia" w:ascii="宋体" w:hAnsi="宋体"/>
          <w:color w:val="auto"/>
          <w:sz w:val="24"/>
          <w:szCs w:val="24"/>
          <w:highlight w:val="none"/>
        </w:rPr>
        <w:t xml:space="preserve"> </w:t>
      </w:r>
      <w:r>
        <w:rPr>
          <w:rFonts w:hint="eastAsia" w:ascii="宋体" w:hAnsi="宋体"/>
          <w:b/>
          <w:color w:val="auto"/>
          <w:sz w:val="24"/>
          <w:szCs w:val="24"/>
          <w:highlight w:val="none"/>
        </w:rPr>
        <w:t>第二条 质量保证</w:t>
      </w:r>
    </w:p>
    <w:p w14:paraId="450E7F8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、乙方所提供的货物型号、技术规格、技术参数等质量必须与竞争性</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采购文件及响应文件承诺相一致。乙方提供的节能和环保产品必须是列入政府采购清单的产品。</w:t>
      </w:r>
    </w:p>
    <w:p w14:paraId="3B54580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、乙方所提供的货物必须是全新、未使用的原装产品，且在正常安装、使用和保养条件下，其使用寿命期内各项指标均达到质量要求。</w:t>
      </w:r>
    </w:p>
    <w:p w14:paraId="1F87E07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乙方提供货物的质量保证期按交货验收合格之日起计（期限见《项目需求》要求）。在保证期内因货物本身的质量问题发生故障，乙方应负责免费修理、更换零部件或者更换新的货物。对达不到技术要求者，根据实际情况，经双方协商，可按以下办法处理：</w:t>
      </w:r>
    </w:p>
    <w:p w14:paraId="482D86A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⑴更换：由乙方承担所发生的全部费用。</w:t>
      </w:r>
    </w:p>
    <w:p w14:paraId="1220848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⑵贬值处理：由甲乙双方合议定价。</w:t>
      </w:r>
    </w:p>
    <w:p w14:paraId="59E56971">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⑶退货处理：乙方应退还甲方支付的货物款，同时应承担该货物的直接费用(运输、保险、检验、货款利息及银行手续费等)。</w:t>
      </w:r>
    </w:p>
    <w:p w14:paraId="758E95CE">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、如在使用过程中发生质量问题，乙方在接到甲方通知后</w:t>
      </w:r>
      <w:r>
        <w:rPr>
          <w:rFonts w:hint="eastAsia" w:ascii="宋体" w:hAnsi="宋体" w:cs="宋体"/>
          <w:color w:val="auto"/>
          <w:sz w:val="24"/>
          <w:szCs w:val="24"/>
          <w:highlight w:val="none"/>
          <w:u w:val="single"/>
        </w:rPr>
        <w:t>4</w:t>
      </w:r>
      <w:r>
        <w:rPr>
          <w:rFonts w:hint="eastAsia" w:ascii="宋体" w:hAnsi="宋体" w:cs="宋体"/>
          <w:color w:val="auto"/>
          <w:sz w:val="24"/>
          <w:szCs w:val="24"/>
          <w:highlight w:val="none"/>
        </w:rPr>
        <w:t>小时内到达甲方现场（项目需求另有规定的按项目需求的规定执行）。</w:t>
      </w:r>
    </w:p>
    <w:p w14:paraId="37B98B28">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、在质保期内，乙方应对货物出现的质量及安全问题负责处理解决，所发生的一切费用由乙方承担。</w:t>
      </w:r>
    </w:p>
    <w:p w14:paraId="45DABEE6">
      <w:pPr>
        <w:spacing w:line="360" w:lineRule="auto"/>
        <w:rPr>
          <w:rFonts w:ascii="宋体" w:hAnsi="宋体"/>
          <w:b/>
          <w:color w:val="auto"/>
          <w:sz w:val="24"/>
          <w:szCs w:val="24"/>
          <w:highlight w:val="none"/>
        </w:rPr>
      </w:pPr>
      <w:r>
        <w:rPr>
          <w:rFonts w:hint="eastAsia" w:ascii="宋体" w:hAnsi="宋体"/>
          <w:color w:val="auto"/>
          <w:sz w:val="24"/>
          <w:szCs w:val="24"/>
          <w:highlight w:val="none"/>
        </w:rPr>
        <w:t xml:space="preserve">    </w:t>
      </w:r>
      <w:r>
        <w:rPr>
          <w:rFonts w:hint="eastAsia" w:ascii="宋体" w:hAnsi="宋体"/>
          <w:b/>
          <w:color w:val="auto"/>
          <w:sz w:val="24"/>
          <w:szCs w:val="24"/>
          <w:highlight w:val="none"/>
        </w:rPr>
        <w:t>第三条 权利保证</w:t>
      </w:r>
    </w:p>
    <w:p w14:paraId="41A6F7FC">
      <w:pPr>
        <w:spacing w:line="360" w:lineRule="auto"/>
        <w:rPr>
          <w:rFonts w:ascii="宋体" w:hAnsi="宋体"/>
          <w:color w:val="auto"/>
          <w:sz w:val="24"/>
          <w:szCs w:val="24"/>
          <w:highlight w:val="none"/>
        </w:rPr>
      </w:pPr>
      <w:r>
        <w:rPr>
          <w:rFonts w:hint="eastAsia" w:ascii="宋体" w:hAnsi="宋体"/>
          <w:b/>
          <w:color w:val="auto"/>
          <w:sz w:val="24"/>
          <w:szCs w:val="24"/>
          <w:highlight w:val="none"/>
        </w:rPr>
        <w:t xml:space="preserve">    </w:t>
      </w:r>
      <w:r>
        <w:rPr>
          <w:rFonts w:hint="eastAsia" w:ascii="宋体" w:hAnsi="宋体"/>
          <w:bCs/>
          <w:color w:val="auto"/>
          <w:sz w:val="24"/>
          <w:szCs w:val="24"/>
          <w:highlight w:val="none"/>
        </w:rPr>
        <w:t>1、</w:t>
      </w:r>
      <w:r>
        <w:rPr>
          <w:rFonts w:hint="eastAsia" w:ascii="宋体" w:hAnsi="宋体"/>
          <w:color w:val="auto"/>
          <w:sz w:val="24"/>
          <w:szCs w:val="24"/>
          <w:highlight w:val="none"/>
        </w:rPr>
        <w:t>乙方应保证所提供货物在使用时不会侵犯任何第三方的专利权、商标权、工业设计权或其他权利。</w:t>
      </w:r>
    </w:p>
    <w:p w14:paraId="157ADE9A">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2、乙方应按招标文件规定的时间向甲方提供使用货物的有关技术资料。</w:t>
      </w:r>
    </w:p>
    <w:p w14:paraId="21F6ACC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5632980">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4、乙方保证所交付的货物的所有权完全属于乙方且无任何抵押、质押、查封等产权瑕疵。</w:t>
      </w:r>
    </w:p>
    <w:p w14:paraId="5B78B1D7">
      <w:pPr>
        <w:spacing w:line="360" w:lineRule="auto"/>
        <w:rPr>
          <w:rFonts w:ascii="宋体" w:hAnsi="宋体"/>
          <w:b/>
          <w:color w:val="auto"/>
          <w:sz w:val="24"/>
          <w:szCs w:val="24"/>
          <w:highlight w:val="none"/>
        </w:rPr>
      </w:pPr>
      <w:r>
        <w:rPr>
          <w:rFonts w:hint="eastAsia" w:ascii="宋体" w:hAnsi="宋体"/>
          <w:color w:val="auto"/>
          <w:sz w:val="24"/>
          <w:szCs w:val="24"/>
          <w:highlight w:val="none"/>
        </w:rPr>
        <w:t xml:space="preserve">    </w:t>
      </w:r>
      <w:r>
        <w:rPr>
          <w:rFonts w:hint="eastAsia" w:ascii="宋体" w:hAnsi="宋体"/>
          <w:b/>
          <w:color w:val="auto"/>
          <w:sz w:val="24"/>
          <w:szCs w:val="24"/>
          <w:highlight w:val="none"/>
        </w:rPr>
        <w:t>第四条 包装和运输</w:t>
      </w:r>
    </w:p>
    <w:p w14:paraId="161225F9">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1、乙方提供的货物均应按竞争</w:t>
      </w:r>
      <w:r>
        <w:rPr>
          <w:rFonts w:hint="eastAsia" w:ascii="宋体" w:hAnsi="宋体"/>
          <w:color w:val="auto"/>
          <w:sz w:val="24"/>
          <w:szCs w:val="24"/>
          <w:highlight w:val="none"/>
          <w:lang w:eastAsia="zh-CN"/>
        </w:rPr>
        <w:t>性谈判</w:t>
      </w:r>
      <w:r>
        <w:rPr>
          <w:rFonts w:hint="eastAsia" w:ascii="宋体" w:hAnsi="宋体"/>
          <w:color w:val="auto"/>
          <w:sz w:val="24"/>
          <w:szCs w:val="24"/>
          <w:highlight w:val="none"/>
        </w:rPr>
        <w:t>采购文件及响应文件要求的包装材料、包装标准、包装方式进行包装，每一包装单元内应附详细的装箱清单和质量合格证。</w:t>
      </w:r>
    </w:p>
    <w:p w14:paraId="02E7E7CE">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2、乙方应在货物发运前对其进行满足运输距离、防潮、防破损装卸等要求包装，以保证货物安全运达甲方指定地点。</w:t>
      </w:r>
    </w:p>
    <w:p w14:paraId="3DDE5A83">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3、乙方在货物发运手续办理完毕后二十四小时内或货到甲方四十八小时前通知甲方，以准备接货。</w:t>
      </w:r>
    </w:p>
    <w:p w14:paraId="24F4C13B">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4、乙方负责将货物安全运送到甲方指定地点，不另收任何费用。</w:t>
      </w:r>
    </w:p>
    <w:p w14:paraId="188D02DE">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5、货物在交付甲方前发生的风险均由乙方负责。</w:t>
      </w:r>
    </w:p>
    <w:p w14:paraId="00591AE8">
      <w:pPr>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6、货物在规定的交付期限内由乙方送达甲方指定的地点视为交付，乙方同时需通知甲方货物已送达。</w:t>
      </w:r>
    </w:p>
    <w:p w14:paraId="73EB5B69">
      <w:pPr>
        <w:spacing w:line="360" w:lineRule="auto"/>
        <w:ind w:firstLine="480" w:firstLineChars="200"/>
        <w:jc w:val="left"/>
        <w:rPr>
          <w:rFonts w:ascii="宋体" w:hAnsi="宋体"/>
          <w:color w:val="auto"/>
          <w:sz w:val="24"/>
          <w:szCs w:val="24"/>
          <w:highlight w:val="none"/>
          <w:lang w:val="en-US" w:eastAsia="zh-CN"/>
        </w:rPr>
      </w:pPr>
      <w:r>
        <w:rPr>
          <w:rFonts w:hint="eastAsia" w:ascii="宋体" w:hAnsi="宋体"/>
          <w:color w:val="auto"/>
          <w:sz w:val="24"/>
          <w:szCs w:val="24"/>
          <w:highlight w:val="none"/>
          <w:lang w:val="en-US" w:eastAsia="zh-CN"/>
        </w:rPr>
        <w:t>7、合同未详尽之处，按中标响应文件承诺执行；</w:t>
      </w:r>
    </w:p>
    <w:p w14:paraId="2CC8233F">
      <w:pPr>
        <w:pStyle w:val="13"/>
        <w:rPr>
          <w:rFonts w:hint="eastAsia"/>
          <w:color w:val="auto"/>
          <w:highlight w:val="none"/>
          <w:lang w:val="en-US" w:eastAsia="zh-CN"/>
        </w:rPr>
      </w:pPr>
    </w:p>
    <w:p w14:paraId="38E6F1CE">
      <w:pPr>
        <w:spacing w:line="360" w:lineRule="auto"/>
        <w:rPr>
          <w:rFonts w:ascii="宋体" w:hAnsi="宋体"/>
          <w:b/>
          <w:color w:val="auto"/>
          <w:sz w:val="24"/>
          <w:szCs w:val="24"/>
          <w:highlight w:val="none"/>
        </w:rPr>
      </w:pPr>
      <w:r>
        <w:rPr>
          <w:rFonts w:hint="eastAsia" w:ascii="宋体" w:hAnsi="宋体"/>
          <w:color w:val="auto"/>
          <w:sz w:val="24"/>
          <w:szCs w:val="24"/>
          <w:highlight w:val="none"/>
        </w:rPr>
        <w:t xml:space="preserve">    </w:t>
      </w:r>
      <w:r>
        <w:rPr>
          <w:rFonts w:hint="eastAsia" w:ascii="宋体" w:hAnsi="宋体"/>
          <w:b/>
          <w:color w:val="auto"/>
          <w:sz w:val="24"/>
          <w:szCs w:val="24"/>
          <w:highlight w:val="none"/>
        </w:rPr>
        <w:t>第五条 交付和验收</w:t>
      </w:r>
    </w:p>
    <w:p w14:paraId="4B969D3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1、交付时间：</w:t>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hint="eastAsia" w:ascii="宋体" w:hAnsi="宋体"/>
          <w:color w:val="auto"/>
          <w:sz w:val="24"/>
          <w:szCs w:val="24"/>
          <w:highlight w:val="none"/>
        </w:rPr>
        <w:t>。</w:t>
      </w:r>
    </w:p>
    <w:p w14:paraId="7A1FD35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2、乙方提供不符合竞争性</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采购文件及响应文件和本合同规定的货物，甲方有权拒绝接受。</w:t>
      </w:r>
    </w:p>
    <w:p w14:paraId="3224B30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3、乙方应将所提供货物的装箱清单、备件等交付给甲方，如有缺失应及时补齐，否则视为逾期交货。</w:t>
      </w:r>
    </w:p>
    <w:p w14:paraId="57477D7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乙方交货前应对产品作出全面检查和对验收文件进行整理，并列出清单，作为甲方收货验收和使用的技术条件依据，检验的结果应随货物交甲方。乙方不能完整交付货物及本款规定的单证和工具的，必须负责补齐，否则视为未按合同约定交货。</w:t>
      </w:r>
    </w:p>
    <w:p w14:paraId="5237C070">
      <w:pPr>
        <w:keepNext w:val="0"/>
        <w:keepLines w:val="0"/>
        <w:pageBreakBefore w:val="0"/>
        <w:widowControl w:val="0"/>
        <w:kinsoku/>
        <w:wordWrap/>
        <w:overflowPunct/>
        <w:topLinePunct w:val="0"/>
        <w:autoSpaceDE/>
        <w:autoSpaceDN/>
        <w:bidi w:val="0"/>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验收标准：</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eastAsia="zh-CN"/>
        </w:rPr>
        <w:t>）</w:t>
      </w:r>
      <w:r>
        <w:rPr>
          <w:rFonts w:hint="eastAsia" w:ascii="宋体" w:hAnsi="宋体"/>
          <w:color w:val="auto"/>
          <w:sz w:val="24"/>
          <w:szCs w:val="24"/>
          <w:highlight w:val="none"/>
        </w:rPr>
        <w:t>采购人根据到货情况进行分批验收，验收标准为采购文件及成交供应商响应文件承诺的条款。在验收前，成交供应商须提交相关纸质或者电子版证明材料（核查报告、数据表格等）给采购人作为验收依据，如所提供相关产品不符合要求或项目验收不合格，由成交供应商在截止交货期限（2025年12月1日）内进行整改，有关返工、再行验收给采购单位造成的损失等费用均由成交供应商承担。拒不按规定时间，规定要求整改，或连续两次项目验收不合格的，或发现成交供应商在响应文件中有弄虚作假的行为，采购单位将终止合同或不予验收，并追究成交供应商的责任，由此带来的一切损失由成交供应商自行承担。</w:t>
      </w:r>
    </w:p>
    <w:p w14:paraId="2EBAF788">
      <w:pPr>
        <w:keepNext w:val="0"/>
        <w:keepLines w:val="0"/>
        <w:pageBreakBefore w:val="0"/>
        <w:widowControl w:val="0"/>
        <w:kinsoku/>
        <w:wordWrap/>
        <w:overflowPunct/>
        <w:topLinePunct w:val="0"/>
        <w:autoSpaceDE/>
        <w:autoSpaceDN/>
        <w:bidi w:val="0"/>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eastAsia="zh-CN"/>
        </w:rPr>
        <w:t>）</w:t>
      </w:r>
      <w:r>
        <w:rPr>
          <w:rFonts w:hint="eastAsia" w:ascii="宋体" w:hAnsi="宋体"/>
          <w:color w:val="auto"/>
          <w:sz w:val="24"/>
          <w:szCs w:val="24"/>
          <w:highlight w:val="none"/>
        </w:rPr>
        <w:t>其他未尽事宜应严格按照《关于印发广西壮族自治区政府采购项目履约验收管理办法的通知》[桂财采〔2015〕22号]以及《财政部关于进一步加强政府采购需求和履约验收管理的指导意见》[财库〔2016〕205号]规定执行。</w:t>
      </w:r>
    </w:p>
    <w:p w14:paraId="0FB2664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、验收时乙方必须在现场，验收完毕后作出验收结果报告（验收书）；验收费用由乙方负责。费用标准参照国家或自治区有关规定执行。</w:t>
      </w:r>
    </w:p>
    <w:p w14:paraId="54E3016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、其他未尽事宜应严格按照《关于印发广西壮族自治区政府采购项目履约验收管理办法的通知》[桂财采〔2015〕22 号]以及《财政部关于进一步加强政府采购需求和履约验收管理的指导意见》[财库〔2016〕205号]规定执行。</w:t>
      </w:r>
    </w:p>
    <w:p w14:paraId="0EE52FA5">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 </w:t>
      </w:r>
      <w:r>
        <w:rPr>
          <w:rFonts w:hint="eastAsia" w:ascii="宋体" w:hAnsi="宋体"/>
          <w:color w:val="auto"/>
          <w:sz w:val="24"/>
          <w:szCs w:val="24"/>
          <w:highlight w:val="none"/>
          <w:lang w:val="en-US" w:eastAsia="zh-CN"/>
        </w:rPr>
        <w:t>8、合同未详尽之处，按中标响应文件承诺执行。</w:t>
      </w:r>
    </w:p>
    <w:p w14:paraId="18026C85">
      <w:pPr>
        <w:spacing w:line="360" w:lineRule="auto"/>
        <w:rPr>
          <w:rFonts w:ascii="宋体" w:hAnsi="宋体"/>
          <w:b/>
          <w:color w:val="auto"/>
          <w:sz w:val="24"/>
          <w:szCs w:val="24"/>
          <w:highlight w:val="none"/>
        </w:rPr>
      </w:pPr>
      <w:r>
        <w:rPr>
          <w:rFonts w:hint="eastAsia" w:ascii="宋体" w:hAnsi="宋体"/>
          <w:color w:val="auto"/>
          <w:sz w:val="24"/>
          <w:szCs w:val="24"/>
          <w:highlight w:val="none"/>
        </w:rPr>
        <w:t xml:space="preserve">    </w:t>
      </w:r>
      <w:r>
        <w:rPr>
          <w:rFonts w:hint="eastAsia" w:ascii="宋体" w:hAnsi="宋体"/>
          <w:b/>
          <w:color w:val="auto"/>
          <w:sz w:val="24"/>
          <w:szCs w:val="24"/>
          <w:highlight w:val="none"/>
        </w:rPr>
        <w:t>第</w:t>
      </w:r>
      <w:r>
        <w:rPr>
          <w:rFonts w:hint="eastAsia" w:ascii="宋体" w:hAnsi="宋体"/>
          <w:b/>
          <w:color w:val="auto"/>
          <w:sz w:val="24"/>
          <w:szCs w:val="24"/>
          <w:highlight w:val="none"/>
          <w:lang w:val="en-US" w:eastAsia="zh-CN"/>
        </w:rPr>
        <w:t>六</w:t>
      </w:r>
      <w:r>
        <w:rPr>
          <w:rFonts w:hint="eastAsia" w:ascii="宋体" w:hAnsi="宋体"/>
          <w:b/>
          <w:color w:val="auto"/>
          <w:sz w:val="24"/>
          <w:szCs w:val="24"/>
          <w:highlight w:val="none"/>
        </w:rPr>
        <w:t>条  售后服务</w:t>
      </w:r>
    </w:p>
    <w:p w14:paraId="194E43F8">
      <w:pPr>
        <w:spacing w:line="360" w:lineRule="auto"/>
        <w:jc w:val="left"/>
        <w:rPr>
          <w:rFonts w:hint="eastAsia" w:ascii="宋体" w:hAnsi="宋体"/>
          <w:b w:val="0"/>
          <w:bCs/>
          <w:color w:val="auto"/>
          <w:sz w:val="24"/>
          <w:szCs w:val="24"/>
          <w:highlight w:val="none"/>
        </w:rPr>
      </w:pPr>
      <w:r>
        <w:rPr>
          <w:rFonts w:hint="eastAsia" w:ascii="宋体" w:hAnsi="宋体"/>
          <w:b/>
          <w:color w:val="auto"/>
          <w:sz w:val="24"/>
          <w:szCs w:val="24"/>
          <w:highlight w:val="none"/>
        </w:rPr>
        <w:t xml:space="preserve">   </w:t>
      </w:r>
      <w:r>
        <w:rPr>
          <w:rFonts w:hint="eastAsia" w:ascii="宋体" w:hAnsi="宋体"/>
          <w:b w:val="0"/>
          <w:bCs/>
          <w:color w:val="auto"/>
          <w:sz w:val="24"/>
          <w:szCs w:val="24"/>
          <w:highlight w:val="none"/>
        </w:rPr>
        <w:t xml:space="preserve"> 1、上述的图书免费保修期为</w:t>
      </w:r>
      <w:r>
        <w:rPr>
          <w:rFonts w:hint="eastAsia" w:ascii="宋体" w:hAnsi="宋体"/>
          <w:b w:val="0"/>
          <w:bCs/>
          <w:color w:val="auto"/>
          <w:sz w:val="24"/>
          <w:szCs w:val="24"/>
          <w:highlight w:val="none"/>
          <w:u w:val="single"/>
        </w:rPr>
        <w:t xml:space="preserve">     </w:t>
      </w:r>
      <w:r>
        <w:rPr>
          <w:rFonts w:hint="eastAsia" w:ascii="宋体" w:hAnsi="宋体"/>
          <w:b w:val="0"/>
          <w:bCs/>
          <w:color w:val="auto"/>
          <w:sz w:val="24"/>
          <w:szCs w:val="24"/>
          <w:highlight w:val="none"/>
        </w:rPr>
        <w:t>年，因人为因素出现的损坏不在免费保修范围内。</w:t>
      </w:r>
    </w:p>
    <w:p w14:paraId="75F6F014">
      <w:pPr>
        <w:spacing w:line="360" w:lineRule="auto"/>
        <w:ind w:firstLine="482" w:firstLineChars="200"/>
        <w:jc w:val="left"/>
        <w:rPr>
          <w:rFonts w:ascii="宋体" w:hAnsi="宋体"/>
          <w:color w:val="auto"/>
          <w:sz w:val="24"/>
          <w:szCs w:val="24"/>
          <w:highlight w:val="none"/>
        </w:rPr>
      </w:pPr>
      <w:r>
        <w:rPr>
          <w:rFonts w:hint="eastAsia" w:ascii="宋体" w:hAnsi="宋体"/>
          <w:b/>
          <w:color w:val="auto"/>
          <w:sz w:val="24"/>
          <w:szCs w:val="24"/>
          <w:highlight w:val="none"/>
          <w:lang w:val="en-US" w:eastAsia="zh-CN"/>
        </w:rPr>
        <w:t>2</w:t>
      </w:r>
      <w:r>
        <w:rPr>
          <w:rFonts w:hint="eastAsia" w:ascii="宋体" w:hAnsi="宋体"/>
          <w:color w:val="auto"/>
          <w:sz w:val="24"/>
          <w:szCs w:val="24"/>
          <w:highlight w:val="none"/>
        </w:rPr>
        <w:t>、乙方应按照国家有关法律法规和“三包”规定以及竞争性</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采购文件及响应文件和本合同所附的《服务承诺》为甲方提供售后服务。</w:t>
      </w:r>
    </w:p>
    <w:p w14:paraId="122C1EC0">
      <w:pPr>
        <w:spacing w:line="360" w:lineRule="auto"/>
        <w:rPr>
          <w:rFonts w:ascii="宋体" w:hAnsi="宋体"/>
          <w:b/>
          <w:color w:val="auto"/>
          <w:sz w:val="24"/>
          <w:szCs w:val="24"/>
          <w:highlight w:val="none"/>
        </w:rPr>
      </w:pPr>
      <w:r>
        <w:rPr>
          <w:rFonts w:hint="eastAsia" w:ascii="宋体" w:hAnsi="宋体"/>
          <w:color w:val="auto"/>
          <w:sz w:val="24"/>
          <w:szCs w:val="24"/>
          <w:highlight w:val="none"/>
        </w:rPr>
        <w:t xml:space="preserve">    </w:t>
      </w:r>
      <w:r>
        <w:rPr>
          <w:rFonts w:hint="eastAsia" w:ascii="宋体" w:hAnsi="宋体"/>
          <w:b/>
          <w:color w:val="auto"/>
          <w:sz w:val="24"/>
          <w:szCs w:val="24"/>
          <w:highlight w:val="none"/>
        </w:rPr>
        <w:t>第</w:t>
      </w:r>
      <w:r>
        <w:rPr>
          <w:rFonts w:hint="eastAsia" w:ascii="宋体" w:hAnsi="宋体"/>
          <w:b/>
          <w:color w:val="auto"/>
          <w:sz w:val="24"/>
          <w:szCs w:val="24"/>
          <w:highlight w:val="none"/>
          <w:lang w:val="en-US" w:eastAsia="zh-CN"/>
        </w:rPr>
        <w:t>七</w:t>
      </w:r>
      <w:r>
        <w:rPr>
          <w:rFonts w:hint="eastAsia" w:ascii="宋体" w:hAnsi="宋体"/>
          <w:b/>
          <w:color w:val="auto"/>
          <w:sz w:val="24"/>
          <w:szCs w:val="24"/>
          <w:highlight w:val="none"/>
        </w:rPr>
        <w:t>条 付款方式</w:t>
      </w:r>
    </w:p>
    <w:p w14:paraId="31A1A8C5">
      <w:pPr>
        <w:spacing w:line="360" w:lineRule="auto"/>
        <w:rPr>
          <w:rFonts w:ascii="宋体" w:hAnsi="宋体"/>
          <w:b/>
          <w:color w:val="auto"/>
          <w:sz w:val="24"/>
          <w:szCs w:val="24"/>
          <w:highlight w:val="none"/>
        </w:rPr>
      </w:pPr>
      <w:r>
        <w:rPr>
          <w:rFonts w:hint="eastAsia" w:ascii="宋体" w:hAnsi="宋体"/>
          <w:b/>
          <w:color w:val="auto"/>
          <w:sz w:val="24"/>
          <w:szCs w:val="24"/>
          <w:highlight w:val="none"/>
        </w:rPr>
        <w:t xml:space="preserve">   </w:t>
      </w:r>
      <w:r>
        <w:rPr>
          <w:rFonts w:hint="eastAsia" w:ascii="宋体" w:hAnsi="宋体"/>
          <w:color w:val="auto"/>
          <w:sz w:val="24"/>
          <w:szCs w:val="24"/>
          <w:highlight w:val="none"/>
        </w:rPr>
        <w:t xml:space="preserve"> 1、资金性质：</w:t>
      </w:r>
      <w:r>
        <w:rPr>
          <w:rFonts w:hint="eastAsia" w:ascii="宋体" w:hAnsi="宋体"/>
          <w:color w:val="auto"/>
          <w:sz w:val="24"/>
          <w:szCs w:val="24"/>
          <w:highlight w:val="none"/>
          <w:u w:val="single"/>
        </w:rPr>
        <w:t xml:space="preserve">  </w:t>
      </w:r>
      <w:r>
        <w:rPr>
          <w:rFonts w:hint="eastAsia" w:ascii="宋体" w:hAnsi="宋体"/>
          <w:b/>
          <w:color w:val="auto"/>
          <w:sz w:val="24"/>
          <w:szCs w:val="24"/>
          <w:highlight w:val="none"/>
          <w:u w:val="single"/>
        </w:rPr>
        <w:t xml:space="preserve">财政性资金  </w:t>
      </w:r>
      <w:r>
        <w:rPr>
          <w:rFonts w:hint="eastAsia" w:ascii="宋体" w:hAnsi="宋体"/>
          <w:b/>
          <w:color w:val="auto"/>
          <w:sz w:val="24"/>
          <w:szCs w:val="24"/>
          <w:highlight w:val="none"/>
        </w:rPr>
        <w:t>。</w:t>
      </w:r>
    </w:p>
    <w:p w14:paraId="30E07B7A">
      <w:pPr>
        <w:spacing w:line="360" w:lineRule="auto"/>
        <w:ind w:firstLine="421"/>
        <w:rPr>
          <w:rFonts w:ascii="宋体" w:hAnsi="宋体"/>
          <w:color w:val="auto"/>
          <w:sz w:val="24"/>
          <w:szCs w:val="24"/>
          <w:highlight w:val="none"/>
        </w:rPr>
      </w:pPr>
      <w:r>
        <w:rPr>
          <w:rFonts w:hint="eastAsia" w:ascii="宋体" w:hAnsi="宋体"/>
          <w:color w:val="auto"/>
          <w:sz w:val="24"/>
          <w:szCs w:val="24"/>
          <w:highlight w:val="none"/>
        </w:rPr>
        <w:t>2、付款方式：</w:t>
      </w:r>
      <w:r>
        <w:rPr>
          <w:rFonts w:hint="eastAsia" w:ascii="宋体" w:hAnsi="宋体"/>
          <w:color w:val="auto"/>
          <w:sz w:val="24"/>
          <w:szCs w:val="24"/>
          <w:highlight w:val="none"/>
          <w:u w:val="single"/>
        </w:rPr>
        <w:t>本项目无预付款，成交人在安装完毕并通过验收合格后三个工作日内将增值税专用发票开具给采购人，采购人在收到增值税专用发票后三十个工作日内一次性付清成交人的全部货款。</w:t>
      </w:r>
    </w:p>
    <w:p w14:paraId="0B9B97F7">
      <w:pPr>
        <w:spacing w:line="360" w:lineRule="auto"/>
        <w:rPr>
          <w:rFonts w:ascii="宋体" w:hAnsi="宋体" w:cs="Courier New"/>
          <w:color w:val="auto"/>
          <w:sz w:val="24"/>
          <w:szCs w:val="24"/>
          <w:highlight w:val="none"/>
        </w:rPr>
      </w:pPr>
      <w:r>
        <w:rPr>
          <w:rFonts w:hint="eastAsia" w:ascii="宋体" w:hAnsi="宋体" w:cs="Courier New"/>
          <w:color w:val="auto"/>
          <w:sz w:val="24"/>
          <w:szCs w:val="24"/>
          <w:highlight w:val="none"/>
        </w:rPr>
        <w:t xml:space="preserve">    3、若甲方根据实际情况提出减少合同标的数量时，合同的最终结算金额按实际供货数量乘以中标单价进行计算。</w:t>
      </w:r>
    </w:p>
    <w:p w14:paraId="46C32CA3">
      <w:pPr>
        <w:spacing w:line="360" w:lineRule="auto"/>
        <w:ind w:left="-61" w:leftChars="-29" w:firstLine="590" w:firstLineChars="245"/>
        <w:rPr>
          <w:rFonts w:ascii="宋体" w:hAnsi="宋体" w:cs="Courier New"/>
          <w:b/>
          <w:color w:val="auto"/>
          <w:sz w:val="24"/>
          <w:szCs w:val="24"/>
          <w:highlight w:val="none"/>
        </w:rPr>
      </w:pPr>
      <w:r>
        <w:rPr>
          <w:rFonts w:hint="eastAsia" w:ascii="宋体" w:hAnsi="宋体" w:cs="Courier New"/>
          <w:b/>
          <w:color w:val="auto"/>
          <w:sz w:val="24"/>
          <w:szCs w:val="24"/>
          <w:highlight w:val="none"/>
        </w:rPr>
        <w:t>第</w:t>
      </w:r>
      <w:r>
        <w:rPr>
          <w:rFonts w:hint="eastAsia" w:ascii="宋体" w:hAnsi="宋体" w:cs="Courier New"/>
          <w:b/>
          <w:color w:val="auto"/>
          <w:sz w:val="24"/>
          <w:szCs w:val="24"/>
          <w:highlight w:val="none"/>
          <w:lang w:val="en-US" w:eastAsia="zh-CN"/>
        </w:rPr>
        <w:t>八</w:t>
      </w:r>
      <w:r>
        <w:rPr>
          <w:rFonts w:hint="eastAsia" w:ascii="宋体" w:hAnsi="宋体" w:cs="Courier New"/>
          <w:b/>
          <w:color w:val="auto"/>
          <w:sz w:val="24"/>
          <w:szCs w:val="24"/>
          <w:highlight w:val="none"/>
        </w:rPr>
        <w:t>条  履约保证金</w:t>
      </w:r>
    </w:p>
    <w:p w14:paraId="7A6FA7BB">
      <w:pPr>
        <w:spacing w:line="360" w:lineRule="auto"/>
        <w:ind w:left="-61" w:leftChars="-29" w:firstLine="588" w:firstLineChars="245"/>
        <w:jc w:val="left"/>
        <w:rPr>
          <w:rFonts w:ascii="宋体" w:hAnsi="宋体"/>
          <w:color w:val="auto"/>
          <w:sz w:val="24"/>
          <w:szCs w:val="24"/>
          <w:highlight w:val="none"/>
        </w:rPr>
      </w:pPr>
      <w:r>
        <w:rPr>
          <w:rFonts w:hint="eastAsia" w:ascii="宋体" w:hAnsi="宋体"/>
          <w:color w:val="auto"/>
          <w:sz w:val="24"/>
          <w:szCs w:val="24"/>
          <w:highlight w:val="none"/>
        </w:rPr>
        <w:t>1、本项目收取履约保证金，具体规定如下：</w:t>
      </w:r>
    </w:p>
    <w:p w14:paraId="0DD3FDD8">
      <w:pPr>
        <w:spacing w:line="360" w:lineRule="auto"/>
        <w:ind w:left="-61" w:leftChars="-29" w:firstLine="588" w:firstLineChars="245"/>
        <w:jc w:val="left"/>
        <w:rPr>
          <w:rFonts w:ascii="宋体" w:hAnsi="宋体"/>
          <w:color w:val="auto"/>
          <w:sz w:val="24"/>
          <w:szCs w:val="24"/>
          <w:highlight w:val="none"/>
        </w:rPr>
      </w:pPr>
      <w:r>
        <w:rPr>
          <w:rFonts w:hint="eastAsia" w:ascii="宋体" w:hAnsi="宋体"/>
          <w:color w:val="auto"/>
          <w:sz w:val="24"/>
          <w:szCs w:val="24"/>
          <w:highlight w:val="none"/>
        </w:rPr>
        <w:t>履约保证金金额：</w:t>
      </w:r>
      <w:r>
        <w:rPr>
          <w:rFonts w:hint="eastAsia" w:ascii="宋体" w:hAnsi="宋体" w:cs="宋体"/>
          <w:color w:val="auto"/>
          <w:sz w:val="24"/>
          <w:szCs w:val="24"/>
          <w:highlight w:val="none"/>
        </w:rPr>
        <w:t>按预算金额的</w:t>
      </w:r>
      <w:r>
        <w:rPr>
          <w:rFonts w:hint="eastAsia" w:ascii="宋体" w:hAnsi="宋体" w:cs="宋体"/>
          <w:color w:val="auto"/>
          <w:sz w:val="24"/>
          <w:szCs w:val="24"/>
          <w:highlight w:val="none"/>
          <w:u w:val="single"/>
        </w:rPr>
        <w:t xml:space="preserve"> 5 </w:t>
      </w:r>
      <w:r>
        <w:rPr>
          <w:rFonts w:hint="eastAsia" w:ascii="宋体" w:hAnsi="宋体" w:cs="宋体"/>
          <w:color w:val="auto"/>
          <w:sz w:val="24"/>
          <w:szCs w:val="24"/>
          <w:highlight w:val="none"/>
        </w:rPr>
        <w:t>%收取（中小企业履约保证金为预算金额的2%）</w:t>
      </w:r>
    </w:p>
    <w:p w14:paraId="0794C203">
      <w:pPr>
        <w:spacing w:line="360" w:lineRule="auto"/>
        <w:ind w:left="-61" w:leftChars="-29" w:firstLine="588" w:firstLineChars="245"/>
        <w:jc w:val="left"/>
        <w:rPr>
          <w:rFonts w:ascii="宋体" w:hAnsi="宋体"/>
          <w:color w:val="auto"/>
          <w:sz w:val="24"/>
          <w:szCs w:val="24"/>
          <w:highlight w:val="none"/>
        </w:rPr>
      </w:pPr>
      <w:r>
        <w:rPr>
          <w:rFonts w:hint="eastAsia" w:ascii="宋体" w:hAnsi="宋体"/>
          <w:color w:val="auto"/>
          <w:sz w:val="24"/>
          <w:szCs w:val="24"/>
          <w:highlight w:val="none"/>
        </w:rPr>
        <w:t>签订合同前交至采购人指定账户，否则不予签订合同。</w:t>
      </w:r>
    </w:p>
    <w:p w14:paraId="676BD440">
      <w:pPr>
        <w:spacing w:line="360" w:lineRule="auto"/>
        <w:ind w:left="-61" w:leftChars="-29" w:firstLine="588" w:firstLineChars="245"/>
        <w:jc w:val="left"/>
        <w:rPr>
          <w:rFonts w:ascii="宋体" w:hAnsi="宋体"/>
          <w:color w:val="auto"/>
          <w:sz w:val="24"/>
          <w:szCs w:val="24"/>
          <w:highlight w:val="none"/>
        </w:rPr>
      </w:pPr>
      <w:r>
        <w:rPr>
          <w:rFonts w:hint="eastAsia" w:ascii="宋体" w:hAnsi="宋体"/>
          <w:color w:val="auto"/>
          <w:sz w:val="24"/>
          <w:szCs w:val="24"/>
          <w:highlight w:val="none"/>
        </w:rPr>
        <w:t>履约保证金递交方式：银行转账、保函或电汇。</w:t>
      </w:r>
    </w:p>
    <w:p w14:paraId="09B2F83C">
      <w:pPr>
        <w:spacing w:line="360" w:lineRule="auto"/>
        <w:ind w:left="-61" w:leftChars="-29" w:firstLine="588" w:firstLineChars="245"/>
        <w:jc w:val="left"/>
        <w:rPr>
          <w:rFonts w:ascii="宋体" w:hAnsi="宋体"/>
          <w:color w:val="auto"/>
          <w:sz w:val="24"/>
          <w:szCs w:val="24"/>
          <w:highlight w:val="none"/>
        </w:rPr>
      </w:pPr>
      <w:r>
        <w:rPr>
          <w:rFonts w:hint="eastAsia" w:ascii="宋体" w:hAnsi="宋体"/>
          <w:color w:val="auto"/>
          <w:sz w:val="24"/>
          <w:szCs w:val="24"/>
          <w:highlight w:val="none"/>
        </w:rPr>
        <w:t>履约保证金退付方式、时间及条件：</w:t>
      </w:r>
      <w:r>
        <w:rPr>
          <w:rFonts w:hint="eastAsia" w:ascii="宋体" w:hAnsi="宋体"/>
          <w:color w:val="auto"/>
          <w:sz w:val="24"/>
          <w:szCs w:val="24"/>
          <w:highlight w:val="none"/>
          <w:lang w:val="en-US" w:eastAsia="zh-CN"/>
        </w:rPr>
        <w:t>验收合格且</w:t>
      </w:r>
      <w:r>
        <w:rPr>
          <w:rFonts w:hint="eastAsia" w:ascii="宋体" w:hAnsi="宋体"/>
          <w:color w:val="auto"/>
          <w:sz w:val="24"/>
          <w:szCs w:val="24"/>
          <w:highlight w:val="none"/>
        </w:rPr>
        <w:t>履行完合同全部义务后无息退付。由成交人向履约保证金收取单位提供《广西壮族自治区政府采购项目合同验收书》（详见桂财采〔2015〕22 号）及《政府采购项目履约保证金退付意见书》，保证金收取单位在收到合格材料后五个工作日内办理退付手续（不计息）。</w:t>
      </w:r>
    </w:p>
    <w:p w14:paraId="1448CB02">
      <w:pPr>
        <w:spacing w:line="360" w:lineRule="auto"/>
        <w:ind w:left="-61" w:leftChars="-29" w:firstLine="588" w:firstLineChars="245"/>
        <w:jc w:val="left"/>
        <w:rPr>
          <w:rFonts w:ascii="宋体" w:hAnsi="宋体"/>
          <w:color w:val="auto"/>
          <w:sz w:val="24"/>
          <w:szCs w:val="24"/>
          <w:highlight w:val="none"/>
        </w:rPr>
      </w:pPr>
      <w:r>
        <w:rPr>
          <w:rFonts w:hint="eastAsia" w:ascii="宋体" w:hAnsi="宋体"/>
          <w:color w:val="auto"/>
          <w:sz w:val="24"/>
          <w:szCs w:val="24"/>
          <w:highlight w:val="none"/>
        </w:rPr>
        <w:t>履约保证金指定账户：</w:t>
      </w:r>
    </w:p>
    <w:p w14:paraId="21A349CA">
      <w:pPr>
        <w:spacing w:line="360" w:lineRule="auto"/>
        <w:ind w:left="-61" w:leftChars="-29" w:firstLine="588" w:firstLineChars="245"/>
        <w:jc w:val="left"/>
        <w:rPr>
          <w:rFonts w:ascii="宋体" w:hAnsi="宋体"/>
          <w:color w:val="auto"/>
          <w:sz w:val="24"/>
          <w:szCs w:val="24"/>
          <w:highlight w:val="none"/>
        </w:rPr>
      </w:pPr>
      <w:r>
        <w:rPr>
          <w:rFonts w:hint="eastAsia" w:ascii="宋体" w:hAnsi="宋体"/>
          <w:color w:val="auto"/>
          <w:sz w:val="24"/>
          <w:szCs w:val="24"/>
          <w:highlight w:val="none"/>
        </w:rPr>
        <w:t>全 称：广西生态工程职业技术学院</w:t>
      </w:r>
    </w:p>
    <w:p w14:paraId="615BD9C9">
      <w:pPr>
        <w:spacing w:line="360" w:lineRule="auto"/>
        <w:ind w:left="-61" w:leftChars="-29" w:firstLine="588" w:firstLineChars="245"/>
        <w:jc w:val="left"/>
        <w:rPr>
          <w:rFonts w:ascii="宋体" w:hAnsi="宋体"/>
          <w:color w:val="auto"/>
          <w:sz w:val="24"/>
          <w:szCs w:val="24"/>
          <w:highlight w:val="none"/>
        </w:rPr>
      </w:pPr>
      <w:r>
        <w:rPr>
          <w:rFonts w:hint="eastAsia" w:ascii="宋体" w:hAnsi="宋体"/>
          <w:color w:val="auto"/>
          <w:sz w:val="24"/>
          <w:szCs w:val="24"/>
          <w:highlight w:val="none"/>
        </w:rPr>
        <w:t>账 号： 45001625059050702021</w:t>
      </w:r>
    </w:p>
    <w:p w14:paraId="34490959">
      <w:pPr>
        <w:spacing w:line="360" w:lineRule="auto"/>
        <w:ind w:left="-61" w:leftChars="-29" w:firstLine="588" w:firstLineChars="245"/>
        <w:jc w:val="left"/>
        <w:rPr>
          <w:rFonts w:ascii="宋体" w:hAnsi="宋体"/>
          <w:color w:val="auto"/>
          <w:sz w:val="24"/>
          <w:szCs w:val="24"/>
          <w:highlight w:val="none"/>
        </w:rPr>
      </w:pPr>
      <w:r>
        <w:rPr>
          <w:rFonts w:hint="eastAsia" w:ascii="宋体" w:hAnsi="宋体"/>
          <w:color w:val="auto"/>
          <w:sz w:val="24"/>
          <w:szCs w:val="24"/>
          <w:highlight w:val="none"/>
        </w:rPr>
        <w:t>开户银行：建行柳州柳南支行</w:t>
      </w:r>
    </w:p>
    <w:p w14:paraId="5942DD38">
      <w:pPr>
        <w:spacing w:line="360" w:lineRule="auto"/>
        <w:ind w:left="-61" w:leftChars="-29" w:firstLine="588" w:firstLineChars="245"/>
        <w:jc w:val="left"/>
        <w:rPr>
          <w:rFonts w:ascii="宋体" w:hAnsi="宋体"/>
          <w:color w:val="auto"/>
          <w:sz w:val="24"/>
          <w:szCs w:val="24"/>
          <w:highlight w:val="none"/>
        </w:rPr>
      </w:pPr>
      <w:r>
        <w:rPr>
          <w:rFonts w:hint="eastAsia" w:ascii="宋体" w:hAnsi="宋体"/>
          <w:color w:val="auto"/>
          <w:sz w:val="24"/>
          <w:szCs w:val="24"/>
          <w:highlight w:val="none"/>
        </w:rPr>
        <w:t>转帐时注明：××××项目，项目编号××××履约保证金</w:t>
      </w:r>
    </w:p>
    <w:p w14:paraId="407755DD">
      <w:pPr>
        <w:spacing w:line="360" w:lineRule="auto"/>
        <w:ind w:left="-61" w:leftChars="-29" w:firstLine="588" w:firstLineChars="245"/>
        <w:jc w:val="left"/>
        <w:rPr>
          <w:rFonts w:ascii="宋体" w:hAnsi="宋体"/>
          <w:color w:val="auto"/>
          <w:sz w:val="24"/>
          <w:szCs w:val="24"/>
          <w:highlight w:val="none"/>
        </w:rPr>
      </w:pPr>
      <w:r>
        <w:rPr>
          <w:rFonts w:hint="eastAsia" w:ascii="宋体" w:hAnsi="宋体"/>
          <w:color w:val="auto"/>
          <w:sz w:val="24"/>
          <w:szCs w:val="24"/>
          <w:highlight w:val="none"/>
        </w:rPr>
        <w:t>电汇、转帐的持银行回执复印件（非电汇、转账的出具其他保证金递交证明文件）、中标（成交）通知书及合同到广西生态工程职业技术学院签定合同。</w:t>
      </w:r>
    </w:p>
    <w:p w14:paraId="497D2654">
      <w:pPr>
        <w:spacing w:line="360" w:lineRule="auto"/>
        <w:ind w:left="-61" w:leftChars="-29" w:firstLine="588" w:firstLineChars="245"/>
        <w:jc w:val="left"/>
        <w:rPr>
          <w:rFonts w:ascii="宋体" w:hAnsi="宋体"/>
          <w:color w:val="auto"/>
          <w:sz w:val="24"/>
          <w:szCs w:val="24"/>
          <w:highlight w:val="none"/>
        </w:rPr>
      </w:pPr>
      <w:r>
        <w:rPr>
          <w:rFonts w:hint="eastAsia" w:ascii="宋体" w:hAnsi="宋体"/>
          <w:color w:val="auto"/>
          <w:sz w:val="24"/>
          <w:szCs w:val="24"/>
          <w:highlight w:val="none"/>
        </w:rPr>
        <w:t>2、乙方有下列情况之一的，甲方向乙方出具书面通知，乙方未能及时解决的，甲方可没收其全部履约保证金，并视具体情况按合同第二条、第十一条处理：</w:t>
      </w:r>
    </w:p>
    <w:p w14:paraId="10D29945">
      <w:pPr>
        <w:spacing w:line="360" w:lineRule="auto"/>
        <w:ind w:left="-61" w:leftChars="-29" w:firstLine="588" w:firstLineChars="245"/>
        <w:jc w:val="left"/>
        <w:rPr>
          <w:rFonts w:ascii="宋体" w:hAnsi="宋体"/>
          <w:color w:val="auto"/>
          <w:sz w:val="24"/>
          <w:szCs w:val="24"/>
          <w:highlight w:val="none"/>
        </w:rPr>
      </w:pPr>
      <w:r>
        <w:rPr>
          <w:rFonts w:hint="eastAsia" w:ascii="宋体" w:hAnsi="宋体"/>
          <w:color w:val="auto"/>
          <w:sz w:val="24"/>
          <w:szCs w:val="24"/>
          <w:highlight w:val="none"/>
        </w:rPr>
        <w:t>⑴乙方提供的货物规格、技术标准、材料未达到其响应文件所承诺的，导致无法通过验收交付使用的；</w:t>
      </w:r>
    </w:p>
    <w:p w14:paraId="0FABE460">
      <w:pPr>
        <w:spacing w:line="360" w:lineRule="auto"/>
        <w:ind w:left="-61" w:leftChars="-29" w:firstLine="588" w:firstLineChars="245"/>
        <w:jc w:val="left"/>
        <w:rPr>
          <w:rFonts w:ascii="宋体" w:hAnsi="宋体"/>
          <w:color w:val="auto"/>
          <w:sz w:val="24"/>
          <w:szCs w:val="24"/>
          <w:highlight w:val="none"/>
        </w:rPr>
      </w:pPr>
      <w:r>
        <w:rPr>
          <w:rFonts w:hint="eastAsia" w:ascii="宋体" w:hAnsi="宋体"/>
          <w:color w:val="auto"/>
          <w:sz w:val="24"/>
          <w:szCs w:val="24"/>
          <w:highlight w:val="none"/>
        </w:rPr>
        <w:t>⑵乙方提供的货物经查证无法得到生产厂家正规售后服务的；</w:t>
      </w:r>
    </w:p>
    <w:p w14:paraId="0F9DCCA9">
      <w:pPr>
        <w:spacing w:line="360" w:lineRule="auto"/>
        <w:ind w:left="-61" w:leftChars="-29" w:firstLine="588" w:firstLineChars="245"/>
        <w:jc w:val="left"/>
        <w:rPr>
          <w:rFonts w:ascii="宋体" w:hAnsi="宋体"/>
          <w:color w:val="auto"/>
          <w:sz w:val="24"/>
          <w:szCs w:val="24"/>
          <w:highlight w:val="none"/>
        </w:rPr>
      </w:pPr>
      <w:r>
        <w:rPr>
          <w:rFonts w:hint="eastAsia" w:ascii="宋体" w:hAnsi="宋体"/>
          <w:color w:val="auto"/>
          <w:sz w:val="24"/>
          <w:szCs w:val="24"/>
          <w:highlight w:val="none"/>
        </w:rPr>
        <w:t>⑶乙方提供的货物未经正规合法经销渠道的；</w:t>
      </w:r>
    </w:p>
    <w:p w14:paraId="37B3BB93">
      <w:pPr>
        <w:spacing w:line="360" w:lineRule="auto"/>
        <w:ind w:left="-61" w:leftChars="-29" w:firstLine="588" w:firstLineChars="245"/>
        <w:jc w:val="left"/>
        <w:rPr>
          <w:rFonts w:ascii="宋体" w:hAnsi="宋体"/>
          <w:color w:val="auto"/>
          <w:sz w:val="24"/>
          <w:szCs w:val="24"/>
          <w:highlight w:val="none"/>
        </w:rPr>
      </w:pPr>
      <w:r>
        <w:rPr>
          <w:rFonts w:hint="eastAsia" w:ascii="宋体" w:hAnsi="宋体"/>
          <w:color w:val="auto"/>
          <w:sz w:val="24"/>
          <w:szCs w:val="24"/>
          <w:highlight w:val="none"/>
        </w:rPr>
        <w:t>⑷乙方提供的货物侵犯了第三方合法权益而引发了纠纷或诉讼，导致无法按期交付使用的；</w:t>
      </w:r>
    </w:p>
    <w:p w14:paraId="336DCE93">
      <w:pPr>
        <w:spacing w:line="360" w:lineRule="auto"/>
        <w:ind w:left="-61" w:leftChars="-29" w:firstLine="588" w:firstLineChars="245"/>
        <w:rPr>
          <w:rFonts w:ascii="宋体" w:hAnsi="宋体"/>
          <w:b/>
          <w:color w:val="auto"/>
          <w:sz w:val="24"/>
          <w:szCs w:val="24"/>
          <w:highlight w:val="none"/>
        </w:rPr>
      </w:pPr>
      <w:r>
        <w:rPr>
          <w:rFonts w:hint="eastAsia" w:ascii="宋体" w:hAnsi="宋体"/>
          <w:color w:val="auto"/>
          <w:sz w:val="24"/>
          <w:szCs w:val="24"/>
          <w:highlight w:val="none"/>
        </w:rPr>
        <w:t>⑸在货物试</w:t>
      </w:r>
      <w:r>
        <w:rPr>
          <w:rFonts w:hint="eastAsia" w:ascii="宋体" w:hAnsi="宋体"/>
          <w:color w:val="auto"/>
          <w:sz w:val="24"/>
          <w:szCs w:val="24"/>
          <w:highlight w:val="none"/>
          <w:lang w:val="en-US" w:eastAsia="zh-CN"/>
        </w:rPr>
        <w:t>用</w:t>
      </w:r>
      <w:r>
        <w:rPr>
          <w:rFonts w:hint="eastAsia" w:ascii="宋体" w:hAnsi="宋体"/>
          <w:color w:val="auto"/>
          <w:sz w:val="24"/>
          <w:szCs w:val="24"/>
          <w:highlight w:val="none"/>
        </w:rPr>
        <w:t>期间，故障率在10%及以上的。</w:t>
      </w:r>
    </w:p>
    <w:p w14:paraId="5C826D13">
      <w:pPr>
        <w:spacing w:line="360" w:lineRule="auto"/>
        <w:ind w:left="-61" w:leftChars="-29" w:firstLine="590" w:firstLineChars="245"/>
        <w:rPr>
          <w:rFonts w:ascii="宋体" w:hAnsi="宋体"/>
          <w:b/>
          <w:color w:val="auto"/>
          <w:sz w:val="24"/>
          <w:szCs w:val="24"/>
          <w:highlight w:val="none"/>
        </w:rPr>
      </w:pPr>
      <w:r>
        <w:rPr>
          <w:rFonts w:hint="eastAsia" w:ascii="宋体" w:hAnsi="宋体"/>
          <w:b/>
          <w:color w:val="auto"/>
          <w:sz w:val="24"/>
          <w:szCs w:val="24"/>
          <w:highlight w:val="none"/>
        </w:rPr>
        <w:t>第</w:t>
      </w:r>
      <w:r>
        <w:rPr>
          <w:rFonts w:hint="eastAsia" w:ascii="宋体" w:hAnsi="宋体"/>
          <w:b/>
          <w:color w:val="auto"/>
          <w:sz w:val="24"/>
          <w:szCs w:val="24"/>
          <w:highlight w:val="none"/>
          <w:lang w:val="en-US" w:eastAsia="zh-CN"/>
        </w:rPr>
        <w:t>九</w:t>
      </w:r>
      <w:r>
        <w:rPr>
          <w:rFonts w:hint="eastAsia" w:ascii="宋体" w:hAnsi="宋体"/>
          <w:b/>
          <w:color w:val="auto"/>
          <w:sz w:val="24"/>
          <w:szCs w:val="24"/>
          <w:highlight w:val="none"/>
        </w:rPr>
        <w:t>条  税费</w:t>
      </w:r>
    </w:p>
    <w:p w14:paraId="2F75EB47">
      <w:pPr>
        <w:spacing w:line="360" w:lineRule="auto"/>
        <w:ind w:left="-61" w:leftChars="-29" w:firstLine="588" w:firstLineChars="245"/>
        <w:rPr>
          <w:rFonts w:ascii="宋体" w:hAnsi="宋体"/>
          <w:color w:val="auto"/>
          <w:sz w:val="24"/>
          <w:szCs w:val="24"/>
          <w:highlight w:val="none"/>
        </w:rPr>
      </w:pPr>
      <w:r>
        <w:rPr>
          <w:rFonts w:hint="eastAsia" w:ascii="宋体" w:hAnsi="宋体"/>
          <w:color w:val="auto"/>
          <w:sz w:val="24"/>
          <w:szCs w:val="24"/>
          <w:highlight w:val="none"/>
        </w:rPr>
        <w:t>本合同执行中相关的一切税费均由乙方负担，合同另有约定的除外。</w:t>
      </w:r>
    </w:p>
    <w:p w14:paraId="7CE9A7B5">
      <w:pPr>
        <w:spacing w:line="360" w:lineRule="auto"/>
        <w:rPr>
          <w:rFonts w:ascii="宋体" w:hAnsi="宋体"/>
          <w:b/>
          <w:color w:val="auto"/>
          <w:sz w:val="24"/>
          <w:szCs w:val="24"/>
          <w:highlight w:val="none"/>
        </w:rPr>
      </w:pPr>
      <w:r>
        <w:rPr>
          <w:rFonts w:hint="eastAsia" w:ascii="宋体" w:hAnsi="宋体"/>
          <w:b/>
          <w:color w:val="auto"/>
          <w:sz w:val="24"/>
          <w:szCs w:val="24"/>
          <w:highlight w:val="none"/>
        </w:rPr>
        <w:t xml:space="preserve">    第十条  违约责任</w:t>
      </w:r>
    </w:p>
    <w:p w14:paraId="67AD32EE">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 xml:space="preserve">    1、乙方所提供的货物规格、技术标准、材料等质量不合格的，应及时更换，更换不及时的按逾期交货处罚；因质量问题甲方不同意接收的或特殊情况甲方不同意接收的，乙方应向甲方支付违约货款额20％违约金并赔偿甲方经济损失。</w:t>
      </w:r>
    </w:p>
    <w:p w14:paraId="32B13A06">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2、乙方提供的货物如侵犯了第三方合法权益而引发的任何纠纷或诉讼，均由乙方负责交涉并承担全部责任。</w:t>
      </w:r>
    </w:p>
    <w:p w14:paraId="2CCC6D8E">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3、因包装、运输引起的货物损坏，按质量不合格处理。</w:t>
      </w:r>
    </w:p>
    <w:p w14:paraId="2011A7E0">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4、甲方无故延期接收货物、乙方逾期交货的，每天向对方偿付合同总价3%违约金， 违约金不设上限，直至扣完合同价款为止，超过 15 天对方有权解除合同，违约方承担因此给对方造成的经济损失；甲方延期付货款的，每天向乙方偿付合同总价3%滞纳金，但滞纳金累计不得超过合同总价30%。</w:t>
      </w:r>
    </w:p>
    <w:p w14:paraId="6EE75C26">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5、乙方未按本合同和响应文件中规定的服务承诺提供售后服务的，每出现一次，乙方应向甲方支付 2000 元违约金，违约金由甲方从乙方缴纳的履约保证金中扣除。</w:t>
      </w:r>
    </w:p>
    <w:p w14:paraId="672089BB">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6、乙方提供的货物在质量保证期内，因设计、工艺或材料的缺陷和其它质量原因造成的问题，由乙方负责，费用从质量保证金中扣除， 履约保证金不足以支付的，由乙方另行支付。</w:t>
      </w:r>
    </w:p>
    <w:p w14:paraId="3786FE3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7、其它违约行为按违约货款额 5％收取违约金并赔偿经济损失。</w:t>
      </w:r>
    </w:p>
    <w:p w14:paraId="601CBBD7">
      <w:pPr>
        <w:spacing w:line="360" w:lineRule="auto"/>
        <w:rPr>
          <w:rFonts w:ascii="宋体" w:hAnsi="宋体"/>
          <w:b/>
          <w:color w:val="auto"/>
          <w:sz w:val="24"/>
          <w:szCs w:val="24"/>
          <w:highlight w:val="none"/>
        </w:rPr>
      </w:pPr>
      <w:r>
        <w:rPr>
          <w:rFonts w:hint="eastAsia" w:ascii="宋体" w:hAnsi="宋体"/>
          <w:b/>
          <w:color w:val="auto"/>
          <w:sz w:val="24"/>
          <w:szCs w:val="24"/>
          <w:highlight w:val="none"/>
        </w:rPr>
        <w:t xml:space="preserve">    第十</w:t>
      </w:r>
      <w:r>
        <w:rPr>
          <w:rFonts w:hint="eastAsia" w:ascii="宋体" w:hAnsi="宋体"/>
          <w:b/>
          <w:color w:val="auto"/>
          <w:sz w:val="24"/>
          <w:szCs w:val="24"/>
          <w:highlight w:val="none"/>
          <w:lang w:val="en-US" w:eastAsia="zh-CN"/>
        </w:rPr>
        <w:t>一</w:t>
      </w:r>
      <w:r>
        <w:rPr>
          <w:rFonts w:hint="eastAsia" w:ascii="宋体" w:hAnsi="宋体"/>
          <w:b/>
          <w:color w:val="auto"/>
          <w:sz w:val="24"/>
          <w:szCs w:val="24"/>
          <w:highlight w:val="none"/>
        </w:rPr>
        <w:t>条  不可抗力事件处理</w:t>
      </w:r>
    </w:p>
    <w:p w14:paraId="4CF934DC">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 xml:space="preserve">    1、在合同有效期内，任何一方因不可抗力事件导致不能履行合同，则合同履行期可延长，其延长期与不可抗力影响期相同。</w:t>
      </w:r>
    </w:p>
    <w:p w14:paraId="31858E5A">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2、不可抗力事件发生后，应立即通知对方，并寄送有关权威机构出具的证明。</w:t>
      </w:r>
    </w:p>
    <w:p w14:paraId="771E0084">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3、不可抗力事件延续一百二十天以上，双方应通过友好协商，确定是否继续履行合同。</w:t>
      </w:r>
    </w:p>
    <w:p w14:paraId="53FDA6CA">
      <w:pPr>
        <w:spacing w:line="360" w:lineRule="auto"/>
        <w:rPr>
          <w:rFonts w:ascii="宋体" w:hAnsi="宋体"/>
          <w:b/>
          <w:color w:val="auto"/>
          <w:sz w:val="24"/>
          <w:szCs w:val="24"/>
          <w:highlight w:val="none"/>
        </w:rPr>
      </w:pPr>
      <w:r>
        <w:rPr>
          <w:rFonts w:hint="eastAsia" w:ascii="宋体" w:hAnsi="宋体"/>
          <w:b/>
          <w:color w:val="auto"/>
          <w:sz w:val="24"/>
          <w:szCs w:val="24"/>
          <w:highlight w:val="none"/>
        </w:rPr>
        <w:t xml:space="preserve">    第十</w:t>
      </w:r>
      <w:r>
        <w:rPr>
          <w:rFonts w:hint="eastAsia" w:ascii="宋体" w:hAnsi="宋体"/>
          <w:b/>
          <w:color w:val="auto"/>
          <w:sz w:val="24"/>
          <w:szCs w:val="24"/>
          <w:highlight w:val="none"/>
          <w:lang w:val="en-US" w:eastAsia="zh-CN"/>
        </w:rPr>
        <w:t>二</w:t>
      </w:r>
      <w:r>
        <w:rPr>
          <w:rFonts w:hint="eastAsia" w:ascii="宋体" w:hAnsi="宋体"/>
          <w:b/>
          <w:color w:val="auto"/>
          <w:sz w:val="24"/>
          <w:szCs w:val="24"/>
          <w:highlight w:val="none"/>
        </w:rPr>
        <w:t>条  合同争议解决</w:t>
      </w:r>
    </w:p>
    <w:p w14:paraId="0CB94A2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1、因货物质量问题发生争议的，应邀请国家认可的质量检测机构对货物质量进行鉴定。货物符合标准的，鉴定费由甲方承担；货物不符合标准的，鉴定费由乙方承担。</w:t>
      </w:r>
    </w:p>
    <w:p w14:paraId="60E7258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2、因履行本合同引起的或与本合同有关的争议，甲乙双方应首先通过友好协商解决，如果协商不能解决，向甲方所在地人民法院提起诉讼。</w:t>
      </w:r>
    </w:p>
    <w:p w14:paraId="2FC8273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3、诉讼期间，本合同继续履行。</w:t>
      </w:r>
    </w:p>
    <w:p w14:paraId="411F2635">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第十</w:t>
      </w:r>
      <w:r>
        <w:rPr>
          <w:rFonts w:hint="eastAsia" w:ascii="宋体" w:hAnsi="宋体"/>
          <w:b/>
          <w:color w:val="auto"/>
          <w:sz w:val="24"/>
          <w:szCs w:val="24"/>
          <w:highlight w:val="none"/>
          <w:lang w:val="en-US" w:eastAsia="zh-CN"/>
        </w:rPr>
        <w:t>三</w:t>
      </w:r>
      <w:r>
        <w:rPr>
          <w:rFonts w:hint="eastAsia" w:ascii="宋体" w:hAnsi="宋体"/>
          <w:b/>
          <w:color w:val="auto"/>
          <w:sz w:val="24"/>
          <w:szCs w:val="24"/>
          <w:highlight w:val="none"/>
        </w:rPr>
        <w:t>条  合同生效及其它</w:t>
      </w:r>
    </w:p>
    <w:p w14:paraId="4B02660D">
      <w:pPr>
        <w:spacing w:line="360" w:lineRule="auto"/>
        <w:ind w:firstLine="482" w:firstLineChars="200"/>
        <w:jc w:val="left"/>
        <w:rPr>
          <w:rFonts w:ascii="宋体" w:hAnsi="宋体"/>
          <w:b/>
          <w:color w:val="auto"/>
          <w:sz w:val="24"/>
          <w:szCs w:val="24"/>
          <w:highlight w:val="none"/>
        </w:rPr>
      </w:pPr>
      <w:r>
        <w:rPr>
          <w:rFonts w:hint="eastAsia" w:ascii="宋体" w:hAnsi="宋体"/>
          <w:b/>
          <w:color w:val="auto"/>
          <w:sz w:val="24"/>
          <w:szCs w:val="24"/>
          <w:highlight w:val="none"/>
        </w:rPr>
        <w:t>1、合同经双方法定代表人或委托代理人签字并加盖单位公章后生效（委托代理人签字的需后附授权委托书，格式自拟）。</w:t>
      </w:r>
    </w:p>
    <w:p w14:paraId="128A6A08">
      <w:pPr>
        <w:spacing w:line="360" w:lineRule="auto"/>
        <w:ind w:firstLine="482" w:firstLineChars="200"/>
        <w:jc w:val="left"/>
        <w:rPr>
          <w:rFonts w:ascii="宋体" w:hAnsi="宋体"/>
          <w:b/>
          <w:color w:val="auto"/>
          <w:sz w:val="24"/>
          <w:szCs w:val="24"/>
          <w:highlight w:val="none"/>
        </w:rPr>
      </w:pPr>
      <w:r>
        <w:rPr>
          <w:rFonts w:hint="eastAsia" w:ascii="宋体" w:hAnsi="宋体"/>
          <w:b/>
          <w:color w:val="auto"/>
          <w:sz w:val="24"/>
          <w:szCs w:val="24"/>
          <w:highlight w:val="none"/>
        </w:rPr>
        <w:t>2、合同执行中涉及采购资金和采购内容修改或补充的，须经财政部门审批，并签书面补充协议报财政部门备案，方可作为主合同不可分割的一部分。</w:t>
      </w:r>
    </w:p>
    <w:p w14:paraId="3BEEF7E3">
      <w:pPr>
        <w:spacing w:line="360" w:lineRule="auto"/>
        <w:ind w:firstLine="482" w:firstLineChars="200"/>
        <w:jc w:val="left"/>
        <w:rPr>
          <w:rFonts w:ascii="宋体" w:hAnsi="宋体"/>
          <w:b/>
          <w:color w:val="auto"/>
          <w:sz w:val="24"/>
          <w:szCs w:val="24"/>
          <w:highlight w:val="none"/>
        </w:rPr>
      </w:pPr>
      <w:r>
        <w:rPr>
          <w:rFonts w:hint="eastAsia" w:ascii="宋体" w:hAnsi="宋体"/>
          <w:b/>
          <w:color w:val="auto"/>
          <w:sz w:val="24"/>
          <w:szCs w:val="24"/>
          <w:highlight w:val="none"/>
        </w:rPr>
        <w:t>3、本合同未尽事宜，遵照《中华人民共和国民法典》有关条文执行。</w:t>
      </w:r>
    </w:p>
    <w:p w14:paraId="5B3B18C2">
      <w:pPr>
        <w:spacing w:line="360" w:lineRule="auto"/>
        <w:ind w:firstLine="482" w:firstLineChars="200"/>
        <w:jc w:val="left"/>
        <w:rPr>
          <w:rFonts w:ascii="宋体" w:hAnsi="宋体"/>
          <w:b/>
          <w:color w:val="auto"/>
          <w:sz w:val="24"/>
          <w:szCs w:val="24"/>
          <w:highlight w:val="none"/>
        </w:rPr>
      </w:pPr>
      <w:r>
        <w:rPr>
          <w:rFonts w:hint="eastAsia" w:ascii="宋体" w:hAnsi="宋体"/>
          <w:b/>
          <w:color w:val="auto"/>
          <w:sz w:val="24"/>
          <w:szCs w:val="24"/>
          <w:highlight w:val="none"/>
        </w:rPr>
        <w:t>4、双方确认本合同落款通讯地址作为文书送达地址，该通讯地址适用于包括双方合同履行过程中的各类通知、协议等文件以及就合同发生争议进入民事诉讼程序后的一审、二审、 再审和执行程序等阶段法律文书的送达。通讯地址需要变更时应当提前 15 个工作日书面通知对方。因提供或者确认的通讯地址不准确、通讯地址变更后未及时依程序告知对方或受送达方拒绝签收等原因，导致文书未能被实际接收的，邮寄送达的，以文书退回之日视为送达之日。</w:t>
      </w:r>
    </w:p>
    <w:p w14:paraId="6117A965">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第十</w:t>
      </w:r>
      <w:r>
        <w:rPr>
          <w:rFonts w:hint="eastAsia" w:ascii="宋体" w:hAnsi="宋体"/>
          <w:b/>
          <w:color w:val="auto"/>
          <w:sz w:val="24"/>
          <w:szCs w:val="24"/>
          <w:highlight w:val="none"/>
          <w:lang w:val="en-US" w:eastAsia="zh-CN"/>
        </w:rPr>
        <w:t>四</w:t>
      </w:r>
      <w:r>
        <w:rPr>
          <w:rFonts w:hint="eastAsia" w:ascii="宋体" w:hAnsi="宋体"/>
          <w:b/>
          <w:color w:val="auto"/>
          <w:sz w:val="24"/>
          <w:szCs w:val="24"/>
          <w:highlight w:val="none"/>
        </w:rPr>
        <w:t>条 合同的变更、终止与转让</w:t>
      </w:r>
    </w:p>
    <w:p w14:paraId="7E72A450">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1、除《中华人民共和国政府采购法》第五十条规定的情形外，本合同一经签订，甲乙双方不得擅自变更、中止或终止。</w:t>
      </w:r>
    </w:p>
    <w:p w14:paraId="0B9B7D9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2、乙方不得擅自转让（无进口资格的供应商委托进口货物除外）其应履行的合同义务。</w:t>
      </w:r>
    </w:p>
    <w:p w14:paraId="13841B4E">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第十</w:t>
      </w:r>
      <w:r>
        <w:rPr>
          <w:rFonts w:hint="eastAsia" w:ascii="宋体" w:hAnsi="宋体" w:cs="宋体"/>
          <w:b/>
          <w:color w:val="auto"/>
          <w:sz w:val="24"/>
          <w:szCs w:val="24"/>
          <w:highlight w:val="none"/>
          <w:lang w:val="en-US" w:eastAsia="zh-CN"/>
        </w:rPr>
        <w:t>五</w:t>
      </w:r>
      <w:r>
        <w:rPr>
          <w:rFonts w:hint="eastAsia" w:ascii="宋体" w:hAnsi="宋体" w:cs="宋体"/>
          <w:b/>
          <w:color w:val="auto"/>
          <w:sz w:val="24"/>
          <w:szCs w:val="24"/>
          <w:highlight w:val="none"/>
        </w:rPr>
        <w:t>条　签订本合同依据</w:t>
      </w:r>
    </w:p>
    <w:p w14:paraId="5AB91C2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1、采购文件；</w:t>
      </w:r>
    </w:p>
    <w:p w14:paraId="0EBF6852">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2、乙方提供的响应文件；</w:t>
      </w:r>
    </w:p>
    <w:p w14:paraId="71B85A2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olor w:val="auto"/>
          <w:sz w:val="24"/>
          <w:szCs w:val="24"/>
          <w:highlight w:val="none"/>
          <w:lang w:eastAsia="zh-CN"/>
        </w:rPr>
        <w:t>谈判</w:t>
      </w:r>
      <w:r>
        <w:rPr>
          <w:rFonts w:hint="eastAsia" w:ascii="宋体" w:hAnsi="宋体" w:cs="宋体"/>
          <w:color w:val="auto"/>
          <w:sz w:val="24"/>
          <w:szCs w:val="24"/>
          <w:highlight w:val="none"/>
        </w:rPr>
        <w:t>声明书；</w:t>
      </w:r>
    </w:p>
    <w:p w14:paraId="0C19B15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4、成交通知书。</w:t>
      </w:r>
    </w:p>
    <w:p w14:paraId="7FC92C7B">
      <w:pPr>
        <w:spacing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第十</w:t>
      </w:r>
      <w:r>
        <w:rPr>
          <w:rFonts w:hint="eastAsia" w:ascii="宋体" w:hAnsi="宋体" w:cs="宋体"/>
          <w:b/>
          <w:color w:val="auto"/>
          <w:sz w:val="24"/>
          <w:szCs w:val="24"/>
          <w:highlight w:val="none"/>
          <w:lang w:val="en-US" w:eastAsia="zh-CN"/>
        </w:rPr>
        <w:t>六</w:t>
      </w:r>
      <w:r>
        <w:rPr>
          <w:rFonts w:hint="eastAsia" w:ascii="宋体" w:hAnsi="宋体" w:cs="宋体"/>
          <w:b/>
          <w:color w:val="auto"/>
          <w:sz w:val="24"/>
          <w:szCs w:val="24"/>
          <w:highlight w:val="none"/>
        </w:rPr>
        <w:t>条　</w:t>
      </w:r>
      <w:r>
        <w:rPr>
          <w:rFonts w:hint="eastAsia" w:ascii="宋体" w:hAnsi="宋体" w:cs="宋体"/>
          <w:color w:val="auto"/>
          <w:sz w:val="24"/>
          <w:szCs w:val="24"/>
          <w:highlight w:val="none"/>
        </w:rPr>
        <w:t>本合同一式八份，具有同等法律效力，</w:t>
      </w:r>
      <w:r>
        <w:rPr>
          <w:rFonts w:hint="eastAsia" w:ascii="宋体" w:hAnsi="宋体" w:cs="宋体"/>
          <w:color w:val="auto"/>
          <w:spacing w:val="4"/>
          <w:sz w:val="24"/>
          <w:szCs w:val="24"/>
          <w:highlight w:val="none"/>
        </w:rPr>
        <w:t>采购代理机构</w:t>
      </w:r>
      <w:r>
        <w:rPr>
          <w:rFonts w:hint="eastAsia" w:ascii="宋体" w:hAnsi="宋体" w:cs="宋体"/>
          <w:color w:val="auto"/>
          <w:sz w:val="24"/>
          <w:szCs w:val="24"/>
          <w:highlight w:val="none"/>
        </w:rPr>
        <w:t>一份，甲方五份，乙方二份</w:t>
      </w:r>
      <w:r>
        <w:rPr>
          <w:rFonts w:hint="eastAsia" w:ascii="宋体" w:hAnsi="宋体"/>
          <w:color w:val="auto"/>
          <w:sz w:val="24"/>
          <w:szCs w:val="24"/>
          <w:highlight w:val="none"/>
        </w:rPr>
        <w:t>（可根据需要另增加）</w:t>
      </w:r>
      <w:r>
        <w:rPr>
          <w:rFonts w:hint="eastAsia" w:ascii="宋体" w:hAnsi="宋体" w:cs="宋体"/>
          <w:color w:val="auto"/>
          <w:sz w:val="24"/>
          <w:szCs w:val="24"/>
          <w:highlight w:val="none"/>
        </w:rPr>
        <w:t>。</w:t>
      </w:r>
    </w:p>
    <w:tbl>
      <w:tblPr>
        <w:tblStyle w:val="3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68"/>
        <w:gridCol w:w="4826"/>
      </w:tblGrid>
      <w:tr w14:paraId="65633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9" w:hRule="atLeast"/>
          <w:jc w:val="center"/>
        </w:trPr>
        <w:tc>
          <w:tcPr>
            <w:tcW w:w="4568" w:type="dxa"/>
            <w:vAlign w:val="top"/>
          </w:tcPr>
          <w:p w14:paraId="5B54D7CE">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甲方（章）           </w:t>
            </w:r>
          </w:p>
          <w:p w14:paraId="79F69549">
            <w:pPr>
              <w:spacing w:line="360" w:lineRule="auto"/>
              <w:rPr>
                <w:rFonts w:ascii="宋体" w:hAnsi="宋体"/>
                <w:color w:val="auto"/>
                <w:sz w:val="24"/>
                <w:szCs w:val="24"/>
                <w:highlight w:val="none"/>
              </w:rPr>
            </w:pPr>
          </w:p>
          <w:p w14:paraId="42874774">
            <w:pPr>
              <w:spacing w:line="360" w:lineRule="auto"/>
              <w:ind w:firstLine="1080" w:firstLineChars="450"/>
              <w:rPr>
                <w:rFonts w:ascii="宋体" w:hAnsi="宋体"/>
                <w:color w:val="auto"/>
                <w:sz w:val="24"/>
                <w:szCs w:val="24"/>
                <w:highlight w:val="none"/>
              </w:rPr>
            </w:pPr>
            <w:r>
              <w:rPr>
                <w:rFonts w:hint="eastAsia" w:ascii="宋体" w:hAnsi="宋体"/>
                <w:color w:val="auto"/>
                <w:sz w:val="24"/>
                <w:szCs w:val="24"/>
                <w:highlight w:val="none"/>
              </w:rPr>
              <w:t xml:space="preserve">              年   月   日</w:t>
            </w:r>
          </w:p>
        </w:tc>
        <w:tc>
          <w:tcPr>
            <w:tcW w:w="4826" w:type="dxa"/>
            <w:vAlign w:val="top"/>
          </w:tcPr>
          <w:p w14:paraId="4704011C">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乙方（章）              </w:t>
            </w:r>
          </w:p>
          <w:p w14:paraId="0DF5E59A">
            <w:pPr>
              <w:spacing w:line="360" w:lineRule="auto"/>
              <w:rPr>
                <w:rFonts w:ascii="宋体" w:hAnsi="宋体"/>
                <w:color w:val="auto"/>
                <w:sz w:val="24"/>
                <w:szCs w:val="24"/>
                <w:highlight w:val="none"/>
              </w:rPr>
            </w:pPr>
          </w:p>
          <w:p w14:paraId="6145A36C">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年   月   日</w:t>
            </w:r>
          </w:p>
        </w:tc>
      </w:tr>
      <w:tr w14:paraId="30251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64" w:hRule="atLeast"/>
          <w:jc w:val="center"/>
        </w:trPr>
        <w:tc>
          <w:tcPr>
            <w:tcW w:w="4568" w:type="dxa"/>
            <w:vAlign w:val="top"/>
          </w:tcPr>
          <w:p w14:paraId="7025C35E">
            <w:pPr>
              <w:spacing w:line="360" w:lineRule="auto"/>
              <w:rPr>
                <w:rFonts w:ascii="宋体" w:hAnsi="宋体"/>
                <w:color w:val="auto"/>
                <w:sz w:val="24"/>
                <w:szCs w:val="24"/>
                <w:highlight w:val="none"/>
              </w:rPr>
            </w:pPr>
            <w:r>
              <w:rPr>
                <w:rFonts w:hint="eastAsia" w:ascii="宋体" w:hAnsi="宋体"/>
                <w:color w:val="auto"/>
                <w:sz w:val="24"/>
                <w:szCs w:val="24"/>
                <w:highlight w:val="none"/>
              </w:rPr>
              <w:t>单位地址：</w:t>
            </w:r>
          </w:p>
        </w:tc>
        <w:tc>
          <w:tcPr>
            <w:tcW w:w="4826" w:type="dxa"/>
            <w:vAlign w:val="top"/>
          </w:tcPr>
          <w:p w14:paraId="411A6D56">
            <w:pPr>
              <w:spacing w:line="360" w:lineRule="auto"/>
              <w:rPr>
                <w:rFonts w:ascii="宋体" w:hAnsi="宋体"/>
                <w:color w:val="auto"/>
                <w:sz w:val="24"/>
                <w:szCs w:val="24"/>
                <w:highlight w:val="none"/>
              </w:rPr>
            </w:pPr>
            <w:r>
              <w:rPr>
                <w:rFonts w:hint="eastAsia" w:ascii="宋体" w:hAnsi="宋体"/>
                <w:color w:val="auto"/>
                <w:sz w:val="24"/>
                <w:szCs w:val="24"/>
                <w:highlight w:val="none"/>
              </w:rPr>
              <w:t>单位地址：</w:t>
            </w:r>
          </w:p>
        </w:tc>
      </w:tr>
      <w:tr w14:paraId="51B37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4" w:hRule="atLeast"/>
          <w:jc w:val="center"/>
        </w:trPr>
        <w:tc>
          <w:tcPr>
            <w:tcW w:w="4568" w:type="dxa"/>
            <w:vAlign w:val="top"/>
          </w:tcPr>
          <w:p w14:paraId="2ABA3C51">
            <w:pPr>
              <w:spacing w:line="360" w:lineRule="auto"/>
              <w:rPr>
                <w:rFonts w:ascii="宋体" w:hAnsi="宋体"/>
                <w:color w:val="auto"/>
                <w:sz w:val="24"/>
                <w:szCs w:val="24"/>
                <w:highlight w:val="none"/>
              </w:rPr>
            </w:pPr>
            <w:r>
              <w:rPr>
                <w:rFonts w:hint="eastAsia" w:ascii="宋体" w:hAnsi="宋体"/>
                <w:color w:val="auto"/>
                <w:sz w:val="24"/>
                <w:szCs w:val="24"/>
                <w:highlight w:val="none"/>
              </w:rPr>
              <w:t>法定代表人(负责人)：</w:t>
            </w:r>
          </w:p>
        </w:tc>
        <w:tc>
          <w:tcPr>
            <w:tcW w:w="4826" w:type="dxa"/>
            <w:vAlign w:val="top"/>
          </w:tcPr>
          <w:p w14:paraId="70AC018E">
            <w:pPr>
              <w:spacing w:line="360" w:lineRule="auto"/>
              <w:rPr>
                <w:rFonts w:ascii="宋体" w:hAnsi="宋体"/>
                <w:color w:val="auto"/>
                <w:sz w:val="24"/>
                <w:szCs w:val="24"/>
                <w:highlight w:val="none"/>
              </w:rPr>
            </w:pPr>
            <w:r>
              <w:rPr>
                <w:rFonts w:hint="eastAsia" w:ascii="宋体" w:hAnsi="宋体"/>
                <w:color w:val="auto"/>
                <w:sz w:val="24"/>
                <w:szCs w:val="24"/>
                <w:highlight w:val="none"/>
              </w:rPr>
              <w:t>法定代表人(负责人)：</w:t>
            </w:r>
          </w:p>
        </w:tc>
      </w:tr>
      <w:tr w14:paraId="7B51C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0" w:hRule="atLeast"/>
          <w:jc w:val="center"/>
        </w:trPr>
        <w:tc>
          <w:tcPr>
            <w:tcW w:w="4568" w:type="dxa"/>
            <w:vAlign w:val="top"/>
          </w:tcPr>
          <w:p w14:paraId="5F9D142C">
            <w:pPr>
              <w:spacing w:line="360" w:lineRule="auto"/>
              <w:rPr>
                <w:rFonts w:ascii="宋体" w:hAnsi="宋体"/>
                <w:color w:val="auto"/>
                <w:sz w:val="24"/>
                <w:szCs w:val="24"/>
                <w:highlight w:val="none"/>
              </w:rPr>
            </w:pPr>
            <w:r>
              <w:rPr>
                <w:rFonts w:hint="eastAsia" w:ascii="宋体" w:hAnsi="宋体"/>
                <w:color w:val="auto"/>
                <w:sz w:val="24"/>
                <w:szCs w:val="24"/>
                <w:highlight w:val="none"/>
              </w:rPr>
              <w:t>委托代理人：</w:t>
            </w:r>
          </w:p>
        </w:tc>
        <w:tc>
          <w:tcPr>
            <w:tcW w:w="4826" w:type="dxa"/>
            <w:vAlign w:val="top"/>
          </w:tcPr>
          <w:p w14:paraId="6F946FF0">
            <w:pPr>
              <w:spacing w:line="360" w:lineRule="auto"/>
              <w:rPr>
                <w:rFonts w:ascii="宋体" w:hAnsi="宋体"/>
                <w:color w:val="auto"/>
                <w:sz w:val="24"/>
                <w:szCs w:val="24"/>
                <w:highlight w:val="none"/>
              </w:rPr>
            </w:pPr>
            <w:r>
              <w:rPr>
                <w:rFonts w:hint="eastAsia" w:ascii="宋体" w:hAnsi="宋体"/>
                <w:color w:val="auto"/>
                <w:sz w:val="24"/>
                <w:szCs w:val="24"/>
                <w:highlight w:val="none"/>
              </w:rPr>
              <w:t>委托代理人：</w:t>
            </w:r>
          </w:p>
        </w:tc>
      </w:tr>
      <w:tr w14:paraId="2CCC7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90" w:hRule="atLeast"/>
          <w:jc w:val="center"/>
        </w:trPr>
        <w:tc>
          <w:tcPr>
            <w:tcW w:w="4568" w:type="dxa"/>
            <w:vAlign w:val="top"/>
          </w:tcPr>
          <w:p w14:paraId="53D938F3">
            <w:pPr>
              <w:spacing w:line="360" w:lineRule="auto"/>
              <w:rPr>
                <w:rFonts w:ascii="宋体" w:hAnsi="宋体"/>
                <w:color w:val="auto"/>
                <w:sz w:val="24"/>
                <w:szCs w:val="24"/>
                <w:highlight w:val="none"/>
              </w:rPr>
            </w:pPr>
            <w:r>
              <w:rPr>
                <w:rFonts w:hint="eastAsia" w:ascii="宋体" w:hAnsi="宋体"/>
                <w:color w:val="auto"/>
                <w:sz w:val="24"/>
                <w:szCs w:val="24"/>
                <w:highlight w:val="none"/>
              </w:rPr>
              <w:t>电话：</w:t>
            </w:r>
          </w:p>
        </w:tc>
        <w:tc>
          <w:tcPr>
            <w:tcW w:w="4826" w:type="dxa"/>
            <w:vAlign w:val="top"/>
          </w:tcPr>
          <w:p w14:paraId="64878D7D">
            <w:pPr>
              <w:spacing w:line="360" w:lineRule="auto"/>
              <w:rPr>
                <w:rFonts w:ascii="宋体" w:hAnsi="宋体"/>
                <w:color w:val="auto"/>
                <w:sz w:val="24"/>
                <w:szCs w:val="24"/>
                <w:highlight w:val="none"/>
              </w:rPr>
            </w:pPr>
            <w:r>
              <w:rPr>
                <w:rFonts w:hint="eastAsia" w:ascii="宋体" w:hAnsi="宋体"/>
                <w:color w:val="auto"/>
                <w:sz w:val="24"/>
                <w:szCs w:val="24"/>
                <w:highlight w:val="none"/>
              </w:rPr>
              <w:t>电话：</w:t>
            </w:r>
          </w:p>
        </w:tc>
      </w:tr>
      <w:tr w14:paraId="78A08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752" w:hRule="atLeast"/>
          <w:jc w:val="center"/>
        </w:trPr>
        <w:tc>
          <w:tcPr>
            <w:tcW w:w="4568" w:type="dxa"/>
            <w:vAlign w:val="top"/>
          </w:tcPr>
          <w:p w14:paraId="56B4C99C">
            <w:pPr>
              <w:spacing w:line="360" w:lineRule="auto"/>
              <w:rPr>
                <w:rFonts w:ascii="宋体" w:hAnsi="宋体"/>
                <w:color w:val="auto"/>
                <w:sz w:val="24"/>
                <w:szCs w:val="24"/>
                <w:highlight w:val="none"/>
              </w:rPr>
            </w:pPr>
            <w:r>
              <w:rPr>
                <w:rFonts w:hint="eastAsia" w:ascii="宋体" w:hAnsi="宋体"/>
                <w:color w:val="auto"/>
                <w:sz w:val="24"/>
                <w:szCs w:val="24"/>
                <w:highlight w:val="none"/>
              </w:rPr>
              <w:t>电子邮箱：</w:t>
            </w:r>
          </w:p>
        </w:tc>
        <w:tc>
          <w:tcPr>
            <w:tcW w:w="4826" w:type="dxa"/>
            <w:vAlign w:val="top"/>
          </w:tcPr>
          <w:p w14:paraId="12151326">
            <w:pPr>
              <w:spacing w:line="360" w:lineRule="auto"/>
              <w:rPr>
                <w:rFonts w:ascii="宋体" w:hAnsi="宋体"/>
                <w:color w:val="auto"/>
                <w:sz w:val="24"/>
                <w:szCs w:val="24"/>
                <w:highlight w:val="none"/>
              </w:rPr>
            </w:pPr>
            <w:r>
              <w:rPr>
                <w:rFonts w:hint="eastAsia" w:ascii="宋体" w:hAnsi="宋体"/>
                <w:color w:val="auto"/>
                <w:sz w:val="24"/>
                <w:szCs w:val="24"/>
                <w:highlight w:val="none"/>
              </w:rPr>
              <w:t>电子邮箱：</w:t>
            </w:r>
          </w:p>
        </w:tc>
      </w:tr>
      <w:tr w14:paraId="1ACF1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79" w:hRule="atLeast"/>
          <w:jc w:val="center"/>
        </w:trPr>
        <w:tc>
          <w:tcPr>
            <w:tcW w:w="4568" w:type="dxa"/>
            <w:vAlign w:val="top"/>
          </w:tcPr>
          <w:p w14:paraId="6A11F9B2">
            <w:pPr>
              <w:spacing w:line="360" w:lineRule="auto"/>
              <w:rPr>
                <w:rFonts w:ascii="宋体" w:hAnsi="宋体"/>
                <w:color w:val="auto"/>
                <w:sz w:val="24"/>
                <w:szCs w:val="24"/>
                <w:highlight w:val="none"/>
              </w:rPr>
            </w:pPr>
            <w:r>
              <w:rPr>
                <w:rFonts w:hint="eastAsia" w:ascii="宋体" w:hAnsi="宋体"/>
                <w:color w:val="auto"/>
                <w:sz w:val="24"/>
                <w:szCs w:val="24"/>
                <w:highlight w:val="none"/>
              </w:rPr>
              <w:t>开户银行：</w:t>
            </w:r>
          </w:p>
        </w:tc>
        <w:tc>
          <w:tcPr>
            <w:tcW w:w="4826" w:type="dxa"/>
            <w:vAlign w:val="top"/>
          </w:tcPr>
          <w:p w14:paraId="53DD638C">
            <w:pPr>
              <w:spacing w:line="360" w:lineRule="auto"/>
              <w:rPr>
                <w:rFonts w:ascii="宋体" w:hAnsi="宋体"/>
                <w:color w:val="auto"/>
                <w:sz w:val="24"/>
                <w:szCs w:val="24"/>
                <w:highlight w:val="none"/>
              </w:rPr>
            </w:pPr>
            <w:r>
              <w:rPr>
                <w:rFonts w:hint="eastAsia" w:ascii="宋体" w:hAnsi="宋体"/>
                <w:color w:val="auto"/>
                <w:sz w:val="24"/>
                <w:szCs w:val="24"/>
                <w:highlight w:val="none"/>
              </w:rPr>
              <w:t>开户银行：</w:t>
            </w:r>
          </w:p>
        </w:tc>
      </w:tr>
      <w:tr w14:paraId="7B2EC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2" w:hRule="atLeast"/>
          <w:jc w:val="center"/>
        </w:trPr>
        <w:tc>
          <w:tcPr>
            <w:tcW w:w="4568" w:type="dxa"/>
            <w:vAlign w:val="top"/>
          </w:tcPr>
          <w:p w14:paraId="36851AC2">
            <w:pPr>
              <w:spacing w:line="360" w:lineRule="auto"/>
              <w:rPr>
                <w:rFonts w:ascii="宋体" w:hAnsi="宋体"/>
                <w:color w:val="auto"/>
                <w:sz w:val="24"/>
                <w:szCs w:val="24"/>
                <w:highlight w:val="none"/>
              </w:rPr>
            </w:pPr>
            <w:r>
              <w:rPr>
                <w:rFonts w:hint="eastAsia" w:ascii="宋体" w:hAnsi="宋体"/>
                <w:color w:val="auto"/>
                <w:sz w:val="24"/>
                <w:szCs w:val="24"/>
                <w:highlight w:val="none"/>
              </w:rPr>
              <w:t>账号：</w:t>
            </w:r>
          </w:p>
        </w:tc>
        <w:tc>
          <w:tcPr>
            <w:tcW w:w="4826" w:type="dxa"/>
            <w:vAlign w:val="top"/>
          </w:tcPr>
          <w:p w14:paraId="1F89FC84">
            <w:pPr>
              <w:spacing w:line="360" w:lineRule="auto"/>
              <w:rPr>
                <w:rFonts w:ascii="宋体" w:hAnsi="宋体"/>
                <w:color w:val="auto"/>
                <w:sz w:val="24"/>
                <w:szCs w:val="24"/>
                <w:highlight w:val="none"/>
              </w:rPr>
            </w:pPr>
            <w:r>
              <w:rPr>
                <w:rFonts w:hint="eastAsia" w:ascii="宋体" w:hAnsi="宋体"/>
                <w:color w:val="auto"/>
                <w:sz w:val="24"/>
                <w:szCs w:val="24"/>
                <w:highlight w:val="none"/>
              </w:rPr>
              <w:t>账号：</w:t>
            </w:r>
          </w:p>
        </w:tc>
      </w:tr>
      <w:tr w14:paraId="50768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691" w:hRule="atLeast"/>
          <w:jc w:val="center"/>
        </w:trPr>
        <w:tc>
          <w:tcPr>
            <w:tcW w:w="4568" w:type="dxa"/>
            <w:vAlign w:val="top"/>
          </w:tcPr>
          <w:p w14:paraId="61FCFD1B">
            <w:pPr>
              <w:spacing w:line="360" w:lineRule="auto"/>
              <w:rPr>
                <w:rFonts w:ascii="宋体" w:hAnsi="宋体"/>
                <w:color w:val="auto"/>
                <w:sz w:val="24"/>
                <w:szCs w:val="24"/>
                <w:highlight w:val="none"/>
              </w:rPr>
            </w:pPr>
            <w:r>
              <w:rPr>
                <w:rFonts w:hint="eastAsia" w:ascii="宋体" w:hAnsi="宋体"/>
                <w:color w:val="auto"/>
                <w:sz w:val="24"/>
                <w:szCs w:val="24"/>
                <w:highlight w:val="none"/>
              </w:rPr>
              <w:t>邮政编码：</w:t>
            </w:r>
          </w:p>
        </w:tc>
        <w:tc>
          <w:tcPr>
            <w:tcW w:w="4826" w:type="dxa"/>
            <w:vAlign w:val="top"/>
          </w:tcPr>
          <w:p w14:paraId="182F5F69">
            <w:pPr>
              <w:spacing w:line="360" w:lineRule="auto"/>
              <w:rPr>
                <w:rFonts w:ascii="宋体" w:hAnsi="宋体"/>
                <w:color w:val="auto"/>
                <w:sz w:val="24"/>
                <w:szCs w:val="24"/>
                <w:highlight w:val="none"/>
              </w:rPr>
            </w:pPr>
            <w:r>
              <w:rPr>
                <w:rFonts w:hint="eastAsia" w:ascii="宋体" w:hAnsi="宋体"/>
                <w:color w:val="auto"/>
                <w:sz w:val="24"/>
                <w:szCs w:val="24"/>
                <w:highlight w:val="none"/>
              </w:rPr>
              <w:t>邮政编码：</w:t>
            </w:r>
          </w:p>
        </w:tc>
      </w:tr>
      <w:tr w14:paraId="40B62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8" w:hRule="atLeast"/>
          <w:jc w:val="center"/>
        </w:trPr>
        <w:tc>
          <w:tcPr>
            <w:tcW w:w="9394" w:type="dxa"/>
            <w:gridSpan w:val="2"/>
            <w:vAlign w:val="top"/>
          </w:tcPr>
          <w:p w14:paraId="0246BFAB">
            <w:pPr>
              <w:spacing w:line="360" w:lineRule="auto"/>
              <w:rPr>
                <w:rFonts w:ascii="宋体" w:hAnsi="宋体"/>
                <w:color w:val="auto"/>
                <w:sz w:val="24"/>
                <w:szCs w:val="24"/>
                <w:highlight w:val="none"/>
              </w:rPr>
            </w:pPr>
            <w:r>
              <w:rPr>
                <w:rFonts w:hint="eastAsia" w:ascii="宋体" w:hAnsi="宋体"/>
                <w:color w:val="auto"/>
                <w:sz w:val="24"/>
                <w:szCs w:val="24"/>
                <w:highlight w:val="none"/>
              </w:rPr>
              <w:t>经办人：</w:t>
            </w:r>
          </w:p>
          <w:p w14:paraId="7EBFE8DC">
            <w:pPr>
              <w:spacing w:line="360" w:lineRule="auto"/>
              <w:ind w:firstLine="720" w:firstLineChars="300"/>
              <w:jc w:val="right"/>
              <w:rPr>
                <w:rFonts w:ascii="宋体" w:hAnsi="宋体"/>
                <w:color w:val="auto"/>
                <w:sz w:val="24"/>
                <w:szCs w:val="24"/>
                <w:highlight w:val="none"/>
              </w:rPr>
            </w:pPr>
            <w:r>
              <w:rPr>
                <w:rFonts w:hint="eastAsia" w:ascii="宋体" w:hAnsi="宋体"/>
                <w:color w:val="auto"/>
                <w:sz w:val="24"/>
                <w:szCs w:val="24"/>
                <w:highlight w:val="none"/>
              </w:rPr>
              <w:t>年    月    日</w:t>
            </w:r>
          </w:p>
        </w:tc>
      </w:tr>
    </w:tbl>
    <w:p w14:paraId="02AF8A39">
      <w:pPr>
        <w:pStyle w:val="77"/>
        <w:ind w:left="0" w:leftChars="0" w:firstLine="0" w:firstLineChars="0"/>
        <w:rPr>
          <w:rFonts w:hint="eastAsia" w:ascii="宋体" w:hAnsi="宋体" w:cs="宋体"/>
          <w:b w:val="0"/>
          <w:color w:val="auto"/>
          <w:highlight w:val="none"/>
        </w:rPr>
      </w:pPr>
    </w:p>
    <w:p w14:paraId="63D8E0D0">
      <w:pPr>
        <w:rPr>
          <w:rFonts w:hint="eastAsia"/>
          <w:color w:val="auto"/>
          <w:highlight w:val="none"/>
        </w:rPr>
      </w:pPr>
    </w:p>
    <w:p w14:paraId="6344C6BA">
      <w:pPr>
        <w:pStyle w:val="13"/>
        <w:rPr>
          <w:rFonts w:hint="eastAsia"/>
          <w:color w:val="auto"/>
          <w:highlight w:val="none"/>
        </w:rPr>
      </w:pPr>
    </w:p>
    <w:p w14:paraId="68384EEB">
      <w:pPr>
        <w:pStyle w:val="14"/>
        <w:tabs>
          <w:tab w:val="clear" w:pos="4153"/>
          <w:tab w:val="clear" w:pos="8306"/>
        </w:tabs>
        <w:rPr>
          <w:rFonts w:hint="eastAsia"/>
          <w:color w:val="auto"/>
          <w:highlight w:val="none"/>
        </w:rPr>
      </w:pPr>
    </w:p>
    <w:p w14:paraId="05AC0FEB">
      <w:pPr>
        <w:pStyle w:val="14"/>
        <w:tabs>
          <w:tab w:val="clear" w:pos="4153"/>
          <w:tab w:val="clear" w:pos="8306"/>
        </w:tabs>
        <w:rPr>
          <w:rFonts w:hint="eastAsia"/>
          <w:color w:val="auto"/>
          <w:highlight w:val="none"/>
        </w:rPr>
      </w:pPr>
    </w:p>
    <w:p w14:paraId="3DB5F0CD">
      <w:pPr>
        <w:pStyle w:val="14"/>
        <w:tabs>
          <w:tab w:val="clear" w:pos="4153"/>
          <w:tab w:val="clear" w:pos="8306"/>
        </w:tabs>
        <w:rPr>
          <w:rFonts w:hint="eastAsia"/>
          <w:color w:val="auto"/>
          <w:highlight w:val="none"/>
        </w:rPr>
      </w:pPr>
    </w:p>
    <w:p w14:paraId="45F79468">
      <w:pPr>
        <w:pStyle w:val="14"/>
        <w:tabs>
          <w:tab w:val="clear" w:pos="4153"/>
          <w:tab w:val="clear" w:pos="8306"/>
        </w:tabs>
        <w:rPr>
          <w:rFonts w:hint="eastAsia"/>
          <w:color w:val="auto"/>
          <w:highlight w:val="none"/>
        </w:rPr>
      </w:pPr>
    </w:p>
    <w:p w14:paraId="767C157A">
      <w:pPr>
        <w:pStyle w:val="14"/>
        <w:tabs>
          <w:tab w:val="clear" w:pos="4153"/>
          <w:tab w:val="clear" w:pos="8306"/>
        </w:tabs>
        <w:rPr>
          <w:rFonts w:hint="eastAsia"/>
          <w:color w:val="auto"/>
          <w:highlight w:val="none"/>
        </w:rPr>
      </w:pPr>
    </w:p>
    <w:p w14:paraId="51365B68">
      <w:pPr>
        <w:pStyle w:val="14"/>
        <w:tabs>
          <w:tab w:val="clear" w:pos="4153"/>
          <w:tab w:val="clear" w:pos="8306"/>
        </w:tabs>
        <w:rPr>
          <w:rFonts w:hint="eastAsia"/>
          <w:color w:val="auto"/>
          <w:highlight w:val="none"/>
        </w:rPr>
      </w:pPr>
    </w:p>
    <w:p w14:paraId="11345595">
      <w:pPr>
        <w:pStyle w:val="14"/>
        <w:tabs>
          <w:tab w:val="clear" w:pos="4153"/>
          <w:tab w:val="clear" w:pos="8306"/>
        </w:tabs>
        <w:rPr>
          <w:rFonts w:hint="eastAsia"/>
          <w:color w:val="auto"/>
          <w:highlight w:val="none"/>
        </w:rPr>
      </w:pPr>
    </w:p>
    <w:p w14:paraId="0A9976BA">
      <w:pPr>
        <w:pStyle w:val="14"/>
        <w:tabs>
          <w:tab w:val="clear" w:pos="4153"/>
          <w:tab w:val="clear" w:pos="8306"/>
        </w:tabs>
        <w:rPr>
          <w:rFonts w:hint="eastAsia"/>
          <w:color w:val="auto"/>
          <w:highlight w:val="none"/>
        </w:rPr>
      </w:pPr>
    </w:p>
    <w:p w14:paraId="6B02B001">
      <w:pPr>
        <w:pStyle w:val="14"/>
        <w:tabs>
          <w:tab w:val="clear" w:pos="4153"/>
          <w:tab w:val="clear" w:pos="8306"/>
        </w:tabs>
        <w:rPr>
          <w:rFonts w:hint="eastAsia"/>
          <w:color w:val="auto"/>
          <w:highlight w:val="none"/>
        </w:rPr>
      </w:pPr>
    </w:p>
    <w:p w14:paraId="728F72B4">
      <w:pPr>
        <w:pStyle w:val="14"/>
        <w:tabs>
          <w:tab w:val="clear" w:pos="4153"/>
          <w:tab w:val="clear" w:pos="8306"/>
        </w:tabs>
        <w:rPr>
          <w:rFonts w:hint="eastAsia"/>
          <w:color w:val="auto"/>
          <w:highlight w:val="none"/>
        </w:rPr>
      </w:pPr>
    </w:p>
    <w:p w14:paraId="7051DED7">
      <w:pPr>
        <w:pStyle w:val="14"/>
        <w:tabs>
          <w:tab w:val="clear" w:pos="4153"/>
          <w:tab w:val="clear" w:pos="8306"/>
        </w:tabs>
        <w:rPr>
          <w:rFonts w:hint="eastAsia"/>
          <w:color w:val="auto"/>
          <w:highlight w:val="none"/>
        </w:rPr>
      </w:pPr>
    </w:p>
    <w:p w14:paraId="2325940A">
      <w:pPr>
        <w:pStyle w:val="14"/>
        <w:tabs>
          <w:tab w:val="clear" w:pos="4153"/>
          <w:tab w:val="clear" w:pos="8306"/>
        </w:tabs>
        <w:rPr>
          <w:rFonts w:hint="eastAsia"/>
          <w:color w:val="auto"/>
          <w:highlight w:val="none"/>
        </w:rPr>
      </w:pPr>
    </w:p>
    <w:p w14:paraId="682F8701">
      <w:pPr>
        <w:pStyle w:val="14"/>
        <w:tabs>
          <w:tab w:val="clear" w:pos="4153"/>
          <w:tab w:val="clear" w:pos="8306"/>
        </w:tabs>
        <w:rPr>
          <w:rFonts w:hint="eastAsia"/>
          <w:color w:val="auto"/>
          <w:highlight w:val="none"/>
        </w:rPr>
      </w:pPr>
    </w:p>
    <w:p w14:paraId="2E1474AE">
      <w:pPr>
        <w:pStyle w:val="14"/>
        <w:tabs>
          <w:tab w:val="clear" w:pos="4153"/>
          <w:tab w:val="clear" w:pos="8306"/>
        </w:tabs>
        <w:rPr>
          <w:rFonts w:hint="eastAsia"/>
          <w:color w:val="auto"/>
          <w:highlight w:val="none"/>
        </w:rPr>
      </w:pPr>
    </w:p>
    <w:p w14:paraId="6EC2554E">
      <w:pPr>
        <w:pStyle w:val="14"/>
        <w:tabs>
          <w:tab w:val="clear" w:pos="4153"/>
          <w:tab w:val="clear" w:pos="8306"/>
        </w:tabs>
        <w:rPr>
          <w:rFonts w:hint="eastAsia"/>
          <w:color w:val="auto"/>
          <w:highlight w:val="none"/>
        </w:rPr>
      </w:pPr>
    </w:p>
    <w:p w14:paraId="4E931323">
      <w:pPr>
        <w:pStyle w:val="14"/>
        <w:tabs>
          <w:tab w:val="clear" w:pos="4153"/>
          <w:tab w:val="clear" w:pos="8306"/>
        </w:tabs>
        <w:rPr>
          <w:rFonts w:hint="eastAsia"/>
          <w:color w:val="auto"/>
          <w:highlight w:val="none"/>
        </w:rPr>
      </w:pPr>
    </w:p>
    <w:p w14:paraId="3C1CC4B1">
      <w:pPr>
        <w:pStyle w:val="14"/>
        <w:tabs>
          <w:tab w:val="clear" w:pos="4153"/>
          <w:tab w:val="clear" w:pos="8306"/>
        </w:tabs>
        <w:rPr>
          <w:rFonts w:hint="eastAsia"/>
          <w:color w:val="auto"/>
          <w:highlight w:val="none"/>
        </w:rPr>
      </w:pPr>
    </w:p>
    <w:p w14:paraId="313F4F13">
      <w:pPr>
        <w:pStyle w:val="14"/>
        <w:tabs>
          <w:tab w:val="clear" w:pos="4153"/>
          <w:tab w:val="clear" w:pos="8306"/>
        </w:tabs>
        <w:rPr>
          <w:rFonts w:hint="eastAsia"/>
          <w:color w:val="auto"/>
          <w:highlight w:val="none"/>
        </w:rPr>
      </w:pPr>
    </w:p>
    <w:p w14:paraId="26171F65">
      <w:pPr>
        <w:pStyle w:val="14"/>
        <w:tabs>
          <w:tab w:val="clear" w:pos="4153"/>
          <w:tab w:val="clear" w:pos="8306"/>
        </w:tabs>
        <w:rPr>
          <w:rFonts w:hint="eastAsia"/>
          <w:color w:val="auto"/>
          <w:highlight w:val="none"/>
        </w:rPr>
      </w:pPr>
    </w:p>
    <w:p w14:paraId="078014C1">
      <w:pPr>
        <w:pStyle w:val="14"/>
        <w:tabs>
          <w:tab w:val="clear" w:pos="4153"/>
          <w:tab w:val="clear" w:pos="8306"/>
        </w:tabs>
        <w:rPr>
          <w:rFonts w:hint="eastAsia"/>
          <w:color w:val="auto"/>
          <w:highlight w:val="none"/>
        </w:rPr>
      </w:pPr>
    </w:p>
    <w:p w14:paraId="617D841B">
      <w:pPr>
        <w:pStyle w:val="14"/>
        <w:tabs>
          <w:tab w:val="clear" w:pos="4153"/>
          <w:tab w:val="clear" w:pos="8306"/>
        </w:tabs>
        <w:rPr>
          <w:rFonts w:hint="eastAsia"/>
          <w:color w:val="auto"/>
          <w:highlight w:val="none"/>
        </w:rPr>
      </w:pPr>
    </w:p>
    <w:p w14:paraId="2ABC9632">
      <w:pPr>
        <w:pStyle w:val="14"/>
        <w:tabs>
          <w:tab w:val="clear" w:pos="4153"/>
          <w:tab w:val="clear" w:pos="8306"/>
        </w:tabs>
        <w:rPr>
          <w:rFonts w:hint="eastAsia"/>
          <w:color w:val="auto"/>
          <w:highlight w:val="none"/>
        </w:rPr>
      </w:pPr>
    </w:p>
    <w:p w14:paraId="31EBAD31">
      <w:pPr>
        <w:pStyle w:val="14"/>
        <w:tabs>
          <w:tab w:val="clear" w:pos="4153"/>
          <w:tab w:val="clear" w:pos="8306"/>
        </w:tabs>
        <w:rPr>
          <w:rFonts w:hint="eastAsia"/>
          <w:color w:val="auto"/>
          <w:highlight w:val="none"/>
        </w:rPr>
      </w:pPr>
    </w:p>
    <w:p w14:paraId="5EFBE5A5">
      <w:pPr>
        <w:pStyle w:val="14"/>
        <w:tabs>
          <w:tab w:val="clear" w:pos="4153"/>
          <w:tab w:val="clear" w:pos="8306"/>
        </w:tabs>
        <w:rPr>
          <w:rFonts w:hint="eastAsia"/>
          <w:color w:val="auto"/>
          <w:highlight w:val="none"/>
        </w:rPr>
      </w:pPr>
    </w:p>
    <w:p w14:paraId="3054476C">
      <w:pPr>
        <w:pStyle w:val="14"/>
        <w:tabs>
          <w:tab w:val="clear" w:pos="4153"/>
          <w:tab w:val="clear" w:pos="8306"/>
        </w:tabs>
        <w:rPr>
          <w:rFonts w:hint="eastAsia"/>
          <w:color w:val="auto"/>
          <w:highlight w:val="none"/>
        </w:rPr>
      </w:pPr>
    </w:p>
    <w:p w14:paraId="5D7D14D5">
      <w:pPr>
        <w:pStyle w:val="14"/>
        <w:tabs>
          <w:tab w:val="clear" w:pos="4153"/>
          <w:tab w:val="clear" w:pos="8306"/>
        </w:tabs>
        <w:rPr>
          <w:rFonts w:hint="eastAsia"/>
          <w:color w:val="auto"/>
          <w:highlight w:val="none"/>
        </w:rPr>
      </w:pPr>
    </w:p>
    <w:p w14:paraId="0131A8C4">
      <w:pPr>
        <w:pStyle w:val="14"/>
        <w:tabs>
          <w:tab w:val="clear" w:pos="4153"/>
          <w:tab w:val="clear" w:pos="8306"/>
        </w:tabs>
        <w:rPr>
          <w:rFonts w:hint="eastAsia"/>
          <w:color w:val="auto"/>
          <w:highlight w:val="none"/>
        </w:rPr>
      </w:pPr>
    </w:p>
    <w:p w14:paraId="2D35F32F">
      <w:pPr>
        <w:pStyle w:val="14"/>
        <w:tabs>
          <w:tab w:val="clear" w:pos="4153"/>
          <w:tab w:val="clear" w:pos="8306"/>
        </w:tabs>
        <w:rPr>
          <w:rFonts w:hint="eastAsia"/>
          <w:color w:val="auto"/>
          <w:highlight w:val="none"/>
        </w:rPr>
      </w:pPr>
    </w:p>
    <w:p w14:paraId="5FD7B1AD">
      <w:pPr>
        <w:pStyle w:val="14"/>
        <w:tabs>
          <w:tab w:val="clear" w:pos="4153"/>
          <w:tab w:val="clear" w:pos="8306"/>
        </w:tabs>
        <w:rPr>
          <w:rFonts w:hint="eastAsia"/>
          <w:color w:val="auto"/>
          <w:highlight w:val="none"/>
        </w:rPr>
      </w:pPr>
    </w:p>
    <w:p w14:paraId="678DA2EA">
      <w:pPr>
        <w:pStyle w:val="14"/>
        <w:tabs>
          <w:tab w:val="clear" w:pos="4153"/>
          <w:tab w:val="clear" w:pos="8306"/>
        </w:tabs>
        <w:rPr>
          <w:rFonts w:hint="eastAsia"/>
          <w:color w:val="auto"/>
          <w:highlight w:val="none"/>
        </w:rPr>
      </w:pPr>
    </w:p>
    <w:p w14:paraId="12864AF4">
      <w:pPr>
        <w:pStyle w:val="14"/>
        <w:tabs>
          <w:tab w:val="clear" w:pos="4153"/>
          <w:tab w:val="clear" w:pos="8306"/>
        </w:tabs>
        <w:rPr>
          <w:rFonts w:hint="eastAsia"/>
          <w:color w:val="auto"/>
          <w:highlight w:val="none"/>
        </w:rPr>
      </w:pPr>
    </w:p>
    <w:p w14:paraId="160847BE">
      <w:pPr>
        <w:pStyle w:val="14"/>
        <w:tabs>
          <w:tab w:val="clear" w:pos="4153"/>
          <w:tab w:val="clear" w:pos="8306"/>
        </w:tabs>
        <w:rPr>
          <w:rFonts w:hint="eastAsia"/>
          <w:color w:val="auto"/>
          <w:highlight w:val="none"/>
        </w:rPr>
      </w:pPr>
    </w:p>
    <w:p w14:paraId="1BF0771F">
      <w:pPr>
        <w:pStyle w:val="14"/>
        <w:tabs>
          <w:tab w:val="clear" w:pos="4153"/>
          <w:tab w:val="clear" w:pos="8306"/>
        </w:tabs>
        <w:rPr>
          <w:rFonts w:hint="eastAsia"/>
          <w:color w:val="auto"/>
          <w:highlight w:val="none"/>
        </w:rPr>
      </w:pPr>
    </w:p>
    <w:p w14:paraId="12C3DFA4">
      <w:pPr>
        <w:pStyle w:val="14"/>
        <w:tabs>
          <w:tab w:val="clear" w:pos="4153"/>
          <w:tab w:val="clear" w:pos="8306"/>
        </w:tabs>
        <w:rPr>
          <w:rFonts w:hint="eastAsia"/>
          <w:color w:val="auto"/>
          <w:highlight w:val="none"/>
        </w:rPr>
      </w:pPr>
    </w:p>
    <w:p w14:paraId="1E521485">
      <w:pPr>
        <w:pStyle w:val="14"/>
        <w:tabs>
          <w:tab w:val="clear" w:pos="4153"/>
          <w:tab w:val="clear" w:pos="8306"/>
        </w:tabs>
        <w:rPr>
          <w:rFonts w:hint="eastAsia"/>
          <w:color w:val="auto"/>
          <w:highlight w:val="none"/>
        </w:rPr>
      </w:pPr>
    </w:p>
    <w:p w14:paraId="7554764F">
      <w:pPr>
        <w:pStyle w:val="14"/>
        <w:tabs>
          <w:tab w:val="clear" w:pos="4153"/>
          <w:tab w:val="clear" w:pos="8306"/>
        </w:tabs>
        <w:rPr>
          <w:rFonts w:hint="eastAsia"/>
          <w:color w:val="auto"/>
          <w:highlight w:val="none"/>
        </w:rPr>
      </w:pPr>
    </w:p>
    <w:p w14:paraId="5CDFFCD9">
      <w:pPr>
        <w:pStyle w:val="14"/>
        <w:tabs>
          <w:tab w:val="clear" w:pos="4153"/>
          <w:tab w:val="clear" w:pos="8306"/>
        </w:tabs>
        <w:rPr>
          <w:rFonts w:hint="eastAsia"/>
          <w:color w:val="auto"/>
          <w:highlight w:val="none"/>
        </w:rPr>
      </w:pPr>
    </w:p>
    <w:p w14:paraId="75A098C0">
      <w:pPr>
        <w:pStyle w:val="14"/>
        <w:tabs>
          <w:tab w:val="clear" w:pos="4153"/>
          <w:tab w:val="clear" w:pos="8306"/>
        </w:tabs>
        <w:rPr>
          <w:rFonts w:hint="eastAsia"/>
          <w:color w:val="auto"/>
          <w:highlight w:val="none"/>
        </w:rPr>
      </w:pPr>
    </w:p>
    <w:p w14:paraId="097F33CF">
      <w:pPr>
        <w:pStyle w:val="2"/>
        <w:spacing w:before="0" w:after="0" w:line="360" w:lineRule="auto"/>
        <w:jc w:val="center"/>
        <w:rPr>
          <w:rFonts w:ascii="宋体" w:hAnsi="宋体" w:cs="宋体"/>
          <w:color w:val="auto"/>
          <w:highlight w:val="none"/>
        </w:rPr>
        <w:sectPr>
          <w:headerReference r:id="rId10" w:type="default"/>
          <w:footerReference r:id="rId11" w:type="default"/>
          <w:pgSz w:w="11910" w:h="16840"/>
          <w:pgMar w:top="1440" w:right="1080" w:bottom="1440" w:left="1080" w:header="720" w:footer="720" w:gutter="0"/>
          <w:cols w:space="720" w:num="1"/>
        </w:sectPr>
      </w:pPr>
      <w:bookmarkStart w:id="92" w:name="_Toc31925"/>
      <w:r>
        <w:rPr>
          <w:rFonts w:hint="eastAsia" w:ascii="宋体" w:hAnsi="宋体" w:cs="宋体"/>
          <w:b w:val="0"/>
          <w:color w:val="auto"/>
          <w:highlight w:val="none"/>
        </w:rPr>
        <w:t>第七章 质疑、投诉材料格式</w:t>
      </w:r>
      <w:bookmarkEnd w:id="92"/>
    </w:p>
    <w:p w14:paraId="4566A0C1">
      <w:pP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质疑函（格式）</w:t>
      </w:r>
    </w:p>
    <w:p w14:paraId="0E37A047">
      <w:pPr>
        <w:pStyle w:val="18"/>
        <w:spacing w:line="360" w:lineRule="auto"/>
        <w:ind w:firstLine="482" w:firstLineChars="200"/>
        <w:contextualSpacing/>
        <w:rPr>
          <w:rFonts w:hAnsi="宋体" w:cs="宋体"/>
          <w:b/>
          <w:bCs/>
          <w:color w:val="auto"/>
          <w:sz w:val="24"/>
          <w:szCs w:val="24"/>
          <w:highlight w:val="none"/>
        </w:rPr>
      </w:pPr>
      <w:r>
        <w:rPr>
          <w:rFonts w:hint="eastAsia" w:hAnsi="宋体" w:cs="宋体"/>
          <w:b/>
          <w:bCs/>
          <w:color w:val="auto"/>
          <w:sz w:val="24"/>
          <w:szCs w:val="24"/>
          <w:highlight w:val="none"/>
        </w:rPr>
        <w:t>一、质疑供应商基本信息：</w:t>
      </w:r>
    </w:p>
    <w:p w14:paraId="1BD03055">
      <w:pPr>
        <w:pStyle w:val="18"/>
        <w:spacing w:line="360" w:lineRule="auto"/>
        <w:ind w:firstLine="480" w:firstLineChars="200"/>
        <w:contextualSpacing/>
        <w:rPr>
          <w:rFonts w:hAnsi="宋体" w:cs="宋体"/>
          <w:bCs/>
          <w:color w:val="auto"/>
          <w:sz w:val="24"/>
          <w:szCs w:val="24"/>
          <w:highlight w:val="none"/>
          <w:u w:val="single"/>
        </w:rPr>
      </w:pPr>
      <w:r>
        <w:rPr>
          <w:rFonts w:hint="eastAsia" w:hAnsi="宋体" w:cs="宋体"/>
          <w:bCs/>
          <w:color w:val="auto"/>
          <w:sz w:val="24"/>
          <w:szCs w:val="24"/>
          <w:highlight w:val="none"/>
        </w:rPr>
        <w:t>质疑供应商：</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0D28E105">
      <w:pPr>
        <w:pStyle w:val="18"/>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082AD1F8">
      <w:pPr>
        <w:pStyle w:val="18"/>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3BBDFC8C">
      <w:pPr>
        <w:pStyle w:val="18"/>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授权代表：</w:t>
      </w:r>
      <w:r>
        <w:rPr>
          <w:rFonts w:hint="eastAsia" w:hAnsi="宋体" w:cs="宋体"/>
          <w:bCs/>
          <w:color w:val="auto"/>
          <w:sz w:val="24"/>
          <w:szCs w:val="24"/>
          <w:highlight w:val="none"/>
          <w:u w:val="single"/>
        </w:rPr>
        <w:t xml:space="preserve">                      </w:t>
      </w:r>
    </w:p>
    <w:p w14:paraId="1C883005">
      <w:pPr>
        <w:pStyle w:val="18"/>
        <w:spacing w:line="360" w:lineRule="auto"/>
        <w:ind w:firstLine="480" w:firstLineChars="200"/>
        <w:contextualSpacing/>
        <w:rPr>
          <w:rFonts w:hAnsi="宋体" w:cs="宋体"/>
          <w:bCs/>
          <w:color w:val="auto"/>
          <w:sz w:val="24"/>
          <w:szCs w:val="24"/>
          <w:highlight w:val="none"/>
          <w:u w:val="singl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0C7FA59D">
      <w:pPr>
        <w:pStyle w:val="18"/>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113F25AD">
      <w:pPr>
        <w:pStyle w:val="18"/>
        <w:spacing w:line="360" w:lineRule="auto"/>
        <w:ind w:firstLine="482" w:firstLineChars="200"/>
        <w:contextualSpacing/>
        <w:rPr>
          <w:rFonts w:hAnsi="宋体" w:cs="宋体"/>
          <w:b/>
          <w:bCs/>
          <w:color w:val="auto"/>
          <w:sz w:val="24"/>
          <w:szCs w:val="24"/>
          <w:highlight w:val="none"/>
        </w:rPr>
      </w:pPr>
      <w:r>
        <w:rPr>
          <w:rFonts w:hint="eastAsia" w:hAnsi="宋体" w:cs="宋体"/>
          <w:b/>
          <w:bCs/>
          <w:color w:val="auto"/>
          <w:sz w:val="24"/>
          <w:szCs w:val="24"/>
          <w:highlight w:val="none"/>
        </w:rPr>
        <w:t>二、质疑项目基本情况：</w:t>
      </w:r>
    </w:p>
    <w:p w14:paraId="254A15C5">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项目的名称：</w:t>
      </w:r>
      <w:r>
        <w:rPr>
          <w:rFonts w:hint="eastAsia" w:hAnsi="宋体" w:cs="宋体"/>
          <w:bCs/>
          <w:color w:val="auto"/>
          <w:sz w:val="24"/>
          <w:szCs w:val="24"/>
          <w:highlight w:val="none"/>
          <w:u w:val="single"/>
        </w:rPr>
        <w:t xml:space="preserve">                                     </w:t>
      </w:r>
    </w:p>
    <w:p w14:paraId="3F84BD27">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项目的编号：</w:t>
      </w:r>
      <w:r>
        <w:rPr>
          <w:rFonts w:hint="eastAsia" w:hAnsi="宋体" w:cs="宋体"/>
          <w:bCs/>
          <w:color w:val="auto"/>
          <w:sz w:val="24"/>
          <w:szCs w:val="24"/>
          <w:highlight w:val="none"/>
          <w:u w:val="single"/>
        </w:rPr>
        <w:t xml:space="preserve">                                     </w:t>
      </w:r>
    </w:p>
    <w:p w14:paraId="5C874B4A">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采购人名称：</w:t>
      </w:r>
      <w:r>
        <w:rPr>
          <w:rFonts w:hint="eastAsia" w:hAnsi="宋体" w:cs="宋体"/>
          <w:bCs/>
          <w:color w:val="auto"/>
          <w:sz w:val="24"/>
          <w:szCs w:val="24"/>
          <w:highlight w:val="none"/>
          <w:u w:val="single"/>
        </w:rPr>
        <w:t xml:space="preserve">                                         </w:t>
      </w:r>
    </w:p>
    <w:p w14:paraId="21A35271">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w:t>
      </w:r>
    </w:p>
    <w:p w14:paraId="6A4514D6">
      <w:pPr>
        <w:pStyle w:val="18"/>
        <w:spacing w:line="360" w:lineRule="auto"/>
        <w:ind w:left="25" w:leftChars="12" w:firstLine="352" w:firstLineChars="147"/>
        <w:contextualSpacing/>
        <w:rPr>
          <w:rFonts w:hAnsi="宋体" w:cs="宋体"/>
          <w:color w:val="auto"/>
          <w:sz w:val="24"/>
          <w:szCs w:val="24"/>
          <w:highlight w:val="none"/>
        </w:rPr>
      </w:pPr>
      <w:r>
        <w:rPr>
          <w:rFonts w:hint="eastAsia" w:hAnsi="宋体" w:cs="宋体"/>
          <w:color w:val="auto"/>
          <w:sz w:val="24"/>
          <w:szCs w:val="24"/>
          <w:highlight w:val="none"/>
        </w:rPr>
        <w:t>□采购文件   采购文件获取日期：</w:t>
      </w:r>
      <w:r>
        <w:rPr>
          <w:rFonts w:hint="eastAsia" w:hAnsi="宋体" w:cs="宋体"/>
          <w:bCs/>
          <w:color w:val="auto"/>
          <w:sz w:val="24"/>
          <w:szCs w:val="24"/>
          <w:highlight w:val="none"/>
          <w:u w:val="single"/>
        </w:rPr>
        <w:t xml:space="preserve">                                   </w:t>
      </w:r>
    </w:p>
    <w:p w14:paraId="085FAC1D">
      <w:pPr>
        <w:pStyle w:val="18"/>
        <w:spacing w:line="360" w:lineRule="auto"/>
        <w:ind w:left="25" w:leftChars="12" w:firstLine="352" w:firstLineChars="147"/>
        <w:contextualSpacing/>
        <w:rPr>
          <w:rFonts w:hAnsi="宋体" w:cs="宋体"/>
          <w:color w:val="auto"/>
          <w:sz w:val="24"/>
          <w:szCs w:val="24"/>
          <w:highlight w:val="none"/>
        </w:rPr>
      </w:pPr>
      <w:r>
        <w:rPr>
          <w:rFonts w:hint="eastAsia" w:hAnsi="宋体" w:cs="宋体"/>
          <w:color w:val="auto"/>
          <w:sz w:val="24"/>
          <w:szCs w:val="24"/>
          <w:highlight w:val="none"/>
        </w:rPr>
        <w:t xml:space="preserve">□采购过程   </w:t>
      </w:r>
    </w:p>
    <w:p w14:paraId="1B39BD59">
      <w:pPr>
        <w:pStyle w:val="18"/>
        <w:spacing w:line="360" w:lineRule="auto"/>
        <w:ind w:left="25" w:leftChars="12" w:firstLine="352" w:firstLineChars="147"/>
        <w:contextualSpacing/>
        <w:rPr>
          <w:rFonts w:hAnsi="宋体" w:cs="宋体"/>
          <w:bCs/>
          <w:color w:val="auto"/>
          <w:sz w:val="24"/>
          <w:szCs w:val="24"/>
          <w:highlight w:val="none"/>
          <w:u w:val="single"/>
        </w:rPr>
      </w:pPr>
      <w:r>
        <w:rPr>
          <w:rFonts w:hint="eastAsia" w:hAnsi="宋体" w:cs="宋体"/>
          <w:color w:val="auto"/>
          <w:sz w:val="24"/>
          <w:szCs w:val="24"/>
          <w:highlight w:val="none"/>
        </w:rPr>
        <w:t xml:space="preserve">□成交结果   </w:t>
      </w:r>
    </w:p>
    <w:p w14:paraId="334EC814">
      <w:pPr>
        <w:pStyle w:val="18"/>
        <w:spacing w:line="360" w:lineRule="auto"/>
        <w:ind w:left="25" w:leftChars="12" w:firstLine="472" w:firstLineChars="196"/>
        <w:contextualSpacing/>
        <w:rPr>
          <w:rFonts w:hAnsi="宋体" w:cs="宋体"/>
          <w:b/>
          <w:color w:val="auto"/>
          <w:sz w:val="24"/>
          <w:szCs w:val="24"/>
          <w:highlight w:val="none"/>
        </w:rPr>
      </w:pPr>
      <w:r>
        <w:rPr>
          <w:rFonts w:hint="eastAsia" w:hAnsi="宋体" w:cs="宋体"/>
          <w:b/>
          <w:color w:val="auto"/>
          <w:sz w:val="24"/>
          <w:szCs w:val="24"/>
          <w:highlight w:val="none"/>
        </w:rPr>
        <w:t>三、质疑事项具体内容</w:t>
      </w:r>
    </w:p>
    <w:p w14:paraId="7722D586">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质疑事项1：</w:t>
      </w:r>
      <w:r>
        <w:rPr>
          <w:rFonts w:hint="eastAsia" w:hAnsi="宋体" w:cs="宋体"/>
          <w:bCs/>
          <w:color w:val="auto"/>
          <w:sz w:val="24"/>
          <w:szCs w:val="24"/>
          <w:highlight w:val="none"/>
          <w:u w:val="single"/>
        </w:rPr>
        <w:t xml:space="preserve">                                                                    </w:t>
      </w:r>
    </w:p>
    <w:p w14:paraId="5861AE1D">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事实依据：</w:t>
      </w:r>
      <w:r>
        <w:rPr>
          <w:rFonts w:hint="eastAsia" w:hAnsi="宋体" w:cs="宋体"/>
          <w:bCs/>
          <w:color w:val="auto"/>
          <w:sz w:val="24"/>
          <w:szCs w:val="24"/>
          <w:highlight w:val="none"/>
          <w:u w:val="single"/>
        </w:rPr>
        <w:t xml:space="preserve">                                                                      </w:t>
      </w:r>
    </w:p>
    <w:p w14:paraId="60C1F93B">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法律依据：</w:t>
      </w:r>
      <w:r>
        <w:rPr>
          <w:rFonts w:hint="eastAsia" w:hAnsi="宋体" w:cs="宋体"/>
          <w:color w:val="auto"/>
          <w:sz w:val="24"/>
          <w:szCs w:val="24"/>
          <w:highlight w:val="none"/>
          <w:u w:val="single"/>
        </w:rPr>
        <w:t xml:space="preserve">                                                        </w:t>
      </w:r>
      <w:r>
        <w:rPr>
          <w:rFonts w:hint="eastAsia" w:hAnsi="宋体" w:cs="宋体"/>
          <w:bCs/>
          <w:color w:val="auto"/>
          <w:sz w:val="24"/>
          <w:szCs w:val="24"/>
          <w:highlight w:val="none"/>
          <w:u w:val="single"/>
        </w:rPr>
        <w:t xml:space="preserve">               </w:t>
      </w:r>
    </w:p>
    <w:p w14:paraId="28414C86">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质疑事项2</w:t>
      </w:r>
    </w:p>
    <w:p w14:paraId="64DA4838">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w:t>
      </w:r>
    </w:p>
    <w:p w14:paraId="7C089784">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四、与质疑事项相关的质疑请求：</w:t>
      </w:r>
    </w:p>
    <w:p w14:paraId="1C75927C">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bCs/>
          <w:color w:val="auto"/>
          <w:sz w:val="24"/>
          <w:szCs w:val="24"/>
          <w:highlight w:val="none"/>
          <w:u w:val="single"/>
        </w:rPr>
        <w:t xml:space="preserve">                                                                </w:t>
      </w:r>
    </w:p>
    <w:p w14:paraId="7504C170">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签字（签章）：                          公章：</w:t>
      </w:r>
    </w:p>
    <w:p w14:paraId="21CC82EA">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日期：</w:t>
      </w:r>
    </w:p>
    <w:p w14:paraId="1E7D34C3">
      <w:pPr>
        <w:pStyle w:val="18"/>
        <w:spacing w:line="360" w:lineRule="auto"/>
        <w:contextualSpacing/>
        <w:rPr>
          <w:rFonts w:hAnsi="宋体" w:cs="宋体"/>
          <w:b/>
          <w:color w:val="auto"/>
          <w:sz w:val="24"/>
          <w:szCs w:val="24"/>
          <w:highlight w:val="none"/>
        </w:rPr>
      </w:pPr>
      <w:r>
        <w:rPr>
          <w:rFonts w:hint="eastAsia" w:hAnsi="宋体" w:cs="宋体"/>
          <w:b/>
          <w:color w:val="auto"/>
          <w:sz w:val="24"/>
          <w:szCs w:val="24"/>
          <w:highlight w:val="none"/>
        </w:rPr>
        <w:t>说明：</w:t>
      </w:r>
    </w:p>
    <w:p w14:paraId="0999CDFE">
      <w:pPr>
        <w:pStyle w:val="18"/>
        <w:spacing w:line="360" w:lineRule="auto"/>
        <w:ind w:left="25" w:leftChars="12" w:firstLine="354" w:firstLineChars="147"/>
        <w:contextualSpacing/>
        <w:rPr>
          <w:rFonts w:hAnsi="宋体" w:cs="宋体"/>
          <w:b/>
          <w:bCs/>
          <w:color w:val="auto"/>
          <w:sz w:val="24"/>
          <w:szCs w:val="24"/>
          <w:highlight w:val="none"/>
        </w:rPr>
      </w:pPr>
      <w:r>
        <w:rPr>
          <w:rFonts w:hint="eastAsia" w:hAnsi="宋体" w:cs="宋体"/>
          <w:b/>
          <w:color w:val="auto"/>
          <w:sz w:val="24"/>
          <w:szCs w:val="24"/>
          <w:highlight w:val="none"/>
        </w:rPr>
        <w:t>1.供应商提出质疑时，应提交质疑函和必要的证明材料</w:t>
      </w:r>
      <w:r>
        <w:rPr>
          <w:rFonts w:hint="eastAsia" w:hAnsi="宋体" w:cs="宋体"/>
          <w:b/>
          <w:bCs/>
          <w:color w:val="auto"/>
          <w:sz w:val="24"/>
          <w:szCs w:val="24"/>
          <w:highlight w:val="none"/>
        </w:rPr>
        <w:t>。</w:t>
      </w:r>
    </w:p>
    <w:p w14:paraId="7797E027">
      <w:pPr>
        <w:pStyle w:val="18"/>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5469A6B">
      <w:pPr>
        <w:pStyle w:val="18"/>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3.质疑函的质疑事项应具体、明确，并有必要的事实依据和法律依据。</w:t>
      </w:r>
    </w:p>
    <w:p w14:paraId="22B28991">
      <w:pPr>
        <w:pStyle w:val="18"/>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4.质疑函的质疑请求应与质疑事项相关。</w:t>
      </w:r>
    </w:p>
    <w:p w14:paraId="27AF8FE1">
      <w:pPr>
        <w:pStyle w:val="18"/>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5.质疑供应商为法人或者其他组织的，质疑函应由法定代表人、主要负责人，或者其授权代表签字或者盖章，并加盖公章。</w:t>
      </w:r>
    </w:p>
    <w:p w14:paraId="2C738354">
      <w:pPr>
        <w:pStyle w:val="18"/>
        <w:spacing w:line="360" w:lineRule="auto"/>
        <w:rPr>
          <w:rFonts w:hAnsi="宋体" w:cs="宋体"/>
          <w:b/>
          <w:color w:val="auto"/>
          <w:sz w:val="24"/>
          <w:szCs w:val="24"/>
          <w:highlight w:val="none"/>
        </w:rPr>
      </w:pPr>
    </w:p>
    <w:p w14:paraId="5328E77C">
      <w:pPr>
        <w:spacing w:line="360" w:lineRule="auto"/>
        <w:jc w:val="center"/>
        <w:rPr>
          <w:rFonts w:ascii="宋体" w:hAnsi="宋体" w:cs="宋体"/>
          <w:b/>
          <w:bCs/>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b/>
          <w:bCs/>
          <w:color w:val="auto"/>
          <w:sz w:val="24"/>
          <w:szCs w:val="24"/>
          <w:highlight w:val="none"/>
        </w:rPr>
        <w:t>投诉书（格式）</w:t>
      </w:r>
    </w:p>
    <w:p w14:paraId="236C8422">
      <w:pPr>
        <w:pStyle w:val="18"/>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一、投诉相关主体基本情况：</w:t>
      </w:r>
    </w:p>
    <w:p w14:paraId="4399E712">
      <w:pPr>
        <w:pStyle w:val="18"/>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供应商：</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3E9AC9AA">
      <w:pPr>
        <w:pStyle w:val="18"/>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36D9C890">
      <w:pPr>
        <w:pStyle w:val="18"/>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法定代表人/主要负责人：</w:t>
      </w:r>
      <w:r>
        <w:rPr>
          <w:rFonts w:hint="eastAsia" w:hAnsi="宋体" w:cs="宋体"/>
          <w:bCs/>
          <w:color w:val="auto"/>
          <w:sz w:val="24"/>
          <w:szCs w:val="24"/>
          <w:highlight w:val="none"/>
          <w:u w:val="single"/>
        </w:rPr>
        <w:t xml:space="preserve">                                                         </w:t>
      </w:r>
    </w:p>
    <w:p w14:paraId="56804363">
      <w:pPr>
        <w:pStyle w:val="18"/>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1A4A4EFC">
      <w:pPr>
        <w:pStyle w:val="18"/>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授权代表：</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15712644">
      <w:pPr>
        <w:pStyle w:val="18"/>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p>
    <w:p w14:paraId="05E290B2">
      <w:pPr>
        <w:pStyle w:val="18"/>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7E62DDB0">
      <w:pPr>
        <w:pStyle w:val="18"/>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被投诉人1：</w:t>
      </w:r>
    </w:p>
    <w:p w14:paraId="0003C078">
      <w:pPr>
        <w:pStyle w:val="18"/>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p>
    <w:p w14:paraId="0EBE5AD6">
      <w:pPr>
        <w:pStyle w:val="18"/>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2F7500E1">
      <w:pPr>
        <w:pStyle w:val="18"/>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5C4E8557">
      <w:pPr>
        <w:pStyle w:val="18"/>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被投诉人2：</w:t>
      </w:r>
    </w:p>
    <w:p w14:paraId="04791853">
      <w:pPr>
        <w:pStyle w:val="18"/>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w:t>
      </w:r>
    </w:p>
    <w:p w14:paraId="3728B281">
      <w:pPr>
        <w:pStyle w:val="18"/>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相关供应商：</w:t>
      </w:r>
      <w:r>
        <w:rPr>
          <w:rFonts w:hint="eastAsia" w:hAnsi="宋体" w:cs="宋体"/>
          <w:bCs/>
          <w:color w:val="auto"/>
          <w:sz w:val="24"/>
          <w:szCs w:val="24"/>
          <w:highlight w:val="none"/>
          <w:u w:val="single"/>
        </w:rPr>
        <w:t xml:space="preserve">                                                                       </w:t>
      </w:r>
    </w:p>
    <w:p w14:paraId="3344629A">
      <w:pPr>
        <w:pStyle w:val="18"/>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p>
    <w:p w14:paraId="5BBCD336">
      <w:pPr>
        <w:pStyle w:val="18"/>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09A0759F">
      <w:pPr>
        <w:pStyle w:val="18"/>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二、投诉项目基本情况：</w:t>
      </w:r>
    </w:p>
    <w:p w14:paraId="2BA7468F">
      <w:pPr>
        <w:pStyle w:val="18"/>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项目的名称：</w:t>
      </w:r>
      <w:r>
        <w:rPr>
          <w:rFonts w:hint="eastAsia" w:hAnsi="宋体" w:cs="宋体"/>
          <w:bCs/>
          <w:color w:val="auto"/>
          <w:sz w:val="24"/>
          <w:szCs w:val="24"/>
          <w:highlight w:val="none"/>
          <w:u w:val="single"/>
        </w:rPr>
        <w:t xml:space="preserve">                                                                   </w:t>
      </w:r>
    </w:p>
    <w:p w14:paraId="3D62386C">
      <w:pPr>
        <w:pStyle w:val="18"/>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项目的编号：</w:t>
      </w:r>
      <w:r>
        <w:rPr>
          <w:rFonts w:hint="eastAsia" w:hAnsi="宋体" w:cs="宋体"/>
          <w:bCs/>
          <w:color w:val="auto"/>
          <w:sz w:val="24"/>
          <w:szCs w:val="24"/>
          <w:highlight w:val="none"/>
          <w:u w:val="single"/>
        </w:rPr>
        <w:t xml:space="preserve">                                          </w:t>
      </w:r>
    </w:p>
    <w:p w14:paraId="257C096B">
      <w:pPr>
        <w:pStyle w:val="18"/>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采购人名称：</w:t>
      </w:r>
      <w:r>
        <w:rPr>
          <w:rFonts w:hint="eastAsia" w:hAnsi="宋体" w:cs="宋体"/>
          <w:bCs/>
          <w:color w:val="auto"/>
          <w:sz w:val="24"/>
          <w:szCs w:val="24"/>
          <w:highlight w:val="none"/>
          <w:u w:val="single"/>
        </w:rPr>
        <w:t xml:space="preserve">                                                                        </w:t>
      </w:r>
    </w:p>
    <w:p w14:paraId="7690789F">
      <w:pPr>
        <w:pStyle w:val="18"/>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代理机构名称：</w:t>
      </w:r>
      <w:r>
        <w:rPr>
          <w:rFonts w:hint="eastAsia" w:hAnsi="宋体" w:cs="宋体"/>
          <w:bCs/>
          <w:color w:val="auto"/>
          <w:sz w:val="24"/>
          <w:szCs w:val="24"/>
          <w:highlight w:val="none"/>
          <w:u w:val="single"/>
        </w:rPr>
        <w:t xml:space="preserve">                                                                      </w:t>
      </w:r>
    </w:p>
    <w:p w14:paraId="20277609">
      <w:pPr>
        <w:pStyle w:val="18"/>
        <w:spacing w:line="360" w:lineRule="auto"/>
        <w:ind w:left="25" w:leftChars="12" w:firstLine="472" w:firstLineChars="197"/>
        <w:rPr>
          <w:rFonts w:hAnsi="宋体" w:cs="宋体"/>
          <w:bCs/>
          <w:color w:val="auto"/>
          <w:sz w:val="24"/>
          <w:szCs w:val="24"/>
          <w:highlight w:val="none"/>
          <w:u w:val="single"/>
        </w:rPr>
      </w:pPr>
      <w:r>
        <w:rPr>
          <w:rFonts w:hint="eastAsia" w:hAnsi="宋体" w:cs="宋体"/>
          <w:bCs/>
          <w:color w:val="auto"/>
          <w:sz w:val="24"/>
          <w:szCs w:val="24"/>
          <w:highlight w:val="none"/>
        </w:rPr>
        <w:t>招标文件公告：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u w:val="single"/>
        </w:rPr>
        <w:t xml:space="preserve">                                                       </w:t>
      </w:r>
    </w:p>
    <w:p w14:paraId="2DB30F94">
      <w:pPr>
        <w:pStyle w:val="18"/>
        <w:spacing w:line="360" w:lineRule="auto"/>
        <w:ind w:left="25" w:leftChars="12" w:firstLine="472" w:firstLineChars="197"/>
        <w:rPr>
          <w:rFonts w:hAnsi="宋体" w:cs="宋体"/>
          <w:b/>
          <w:color w:val="auto"/>
          <w:sz w:val="24"/>
          <w:szCs w:val="24"/>
          <w:highlight w:val="none"/>
        </w:rPr>
      </w:pPr>
      <w:r>
        <w:rPr>
          <w:rFonts w:hint="eastAsia" w:hAnsi="宋体" w:cs="宋体"/>
          <w:bCs/>
          <w:color w:val="auto"/>
          <w:sz w:val="24"/>
          <w:szCs w:val="24"/>
          <w:highlight w:val="none"/>
        </w:rPr>
        <w:t>采购结果公告：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u w:val="single"/>
        </w:rPr>
        <w:t xml:space="preserve">                                                       </w:t>
      </w:r>
    </w:p>
    <w:p w14:paraId="297A4530">
      <w:pPr>
        <w:pStyle w:val="18"/>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三、质疑基本情况</w:t>
      </w:r>
    </w:p>
    <w:p w14:paraId="374630E7">
      <w:pPr>
        <w:pStyle w:val="1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投诉人于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日，向</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提出质疑，质疑事项为：</w:t>
      </w:r>
    </w:p>
    <w:p w14:paraId="3B14710A">
      <w:pPr>
        <w:pStyle w:val="18"/>
        <w:spacing w:line="360" w:lineRule="auto"/>
        <w:ind w:firstLine="241"/>
        <w:rPr>
          <w:rFonts w:hAnsi="宋体" w:cs="宋体"/>
          <w:bCs/>
          <w:color w:val="auto"/>
          <w:sz w:val="24"/>
          <w:szCs w:val="24"/>
          <w:highlight w:val="none"/>
          <w:u w:val="single"/>
        </w:rPr>
      </w:pP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50E1E484">
      <w:pPr>
        <w:pStyle w:val="18"/>
        <w:spacing w:line="360" w:lineRule="auto"/>
        <w:ind w:firstLine="241"/>
        <w:rPr>
          <w:rFonts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14:paraId="648D6DE2">
      <w:pPr>
        <w:pStyle w:val="18"/>
        <w:spacing w:line="360" w:lineRule="auto"/>
        <w:ind w:firstLine="480" w:firstLineChars="200"/>
        <w:rPr>
          <w:rFonts w:hAnsi="宋体" w:cs="宋体"/>
          <w:color w:val="auto"/>
          <w:sz w:val="24"/>
          <w:szCs w:val="24"/>
          <w:highlight w:val="none"/>
        </w:rPr>
      </w:pPr>
      <w:r>
        <w:rPr>
          <w:rFonts w:hint="eastAsia" w:hAnsi="宋体" w:cs="宋体"/>
          <w:bCs/>
          <w:color w:val="auto"/>
          <w:sz w:val="24"/>
          <w:szCs w:val="24"/>
          <w:highlight w:val="none"/>
          <w:u w:val="single"/>
        </w:rPr>
        <w:t>采购人/代理机构</w:t>
      </w:r>
      <w:r>
        <w:rPr>
          <w:rFonts w:hint="eastAsia" w:hAnsi="宋体" w:cs="宋体"/>
          <w:bCs/>
          <w:color w:val="auto"/>
          <w:sz w:val="24"/>
          <w:szCs w:val="24"/>
          <w:highlight w:val="none"/>
        </w:rPr>
        <w:t>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w:t>
      </w:r>
      <w:r>
        <w:rPr>
          <w:rFonts w:hint="eastAsia" w:hAnsi="宋体" w:cs="宋体"/>
          <w:bCs/>
          <w:color w:val="auto"/>
          <w:sz w:val="24"/>
          <w:szCs w:val="24"/>
          <w:highlight w:val="none"/>
        </w:rPr>
        <w:t xml:space="preserve">就质疑事项作出了答复/没有在法定期限内作出答复。                                                                                             </w:t>
      </w:r>
    </w:p>
    <w:p w14:paraId="3D8B7911">
      <w:pPr>
        <w:pStyle w:val="18"/>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四、投诉事项具体内容</w:t>
      </w:r>
    </w:p>
    <w:p w14:paraId="3BC412D9">
      <w:pPr>
        <w:pStyle w:val="18"/>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投诉事项1：</w:t>
      </w:r>
      <w:r>
        <w:rPr>
          <w:rFonts w:hint="eastAsia" w:hAnsi="宋体" w:cs="宋体"/>
          <w:bCs/>
          <w:color w:val="auto"/>
          <w:sz w:val="24"/>
          <w:szCs w:val="24"/>
          <w:highlight w:val="none"/>
          <w:u w:val="single"/>
        </w:rPr>
        <w:t xml:space="preserve">                                                                           </w:t>
      </w:r>
    </w:p>
    <w:p w14:paraId="73F5FF3D">
      <w:pPr>
        <w:pStyle w:val="18"/>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事实依据：</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42B3D233">
      <w:pPr>
        <w:pStyle w:val="18"/>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u w:val="single"/>
        </w:rPr>
        <w:t xml:space="preserve">                                                                                        </w:t>
      </w:r>
    </w:p>
    <w:p w14:paraId="6AA65B77">
      <w:pPr>
        <w:pStyle w:val="18"/>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法律依据：</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3395F568">
      <w:pPr>
        <w:pStyle w:val="18"/>
        <w:spacing w:line="360" w:lineRule="auto"/>
        <w:ind w:left="25" w:leftChars="12" w:firstLine="352" w:firstLineChars="147"/>
        <w:rPr>
          <w:rFonts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14:paraId="3DB1F5E0">
      <w:pPr>
        <w:pStyle w:val="18"/>
        <w:spacing w:line="360" w:lineRule="auto"/>
        <w:ind w:left="25" w:leftChars="12" w:firstLine="472" w:firstLineChars="197"/>
        <w:rPr>
          <w:rFonts w:hAnsi="宋体" w:cs="宋体"/>
          <w:bCs/>
          <w:color w:val="auto"/>
          <w:sz w:val="24"/>
          <w:szCs w:val="24"/>
          <w:highlight w:val="none"/>
        </w:rPr>
      </w:pPr>
      <w:r>
        <w:rPr>
          <w:rFonts w:hint="eastAsia" w:hAnsi="宋体" w:cs="宋体"/>
          <w:color w:val="auto"/>
          <w:sz w:val="24"/>
          <w:szCs w:val="24"/>
          <w:highlight w:val="none"/>
        </w:rPr>
        <w:t xml:space="preserve">投诉事项2  </w:t>
      </w:r>
      <w:r>
        <w:rPr>
          <w:rFonts w:hint="eastAsia" w:hAnsi="宋体" w:cs="宋体"/>
          <w:bCs/>
          <w:color w:val="auto"/>
          <w:sz w:val="24"/>
          <w:szCs w:val="24"/>
          <w:highlight w:val="none"/>
        </w:rPr>
        <w:t xml:space="preserve">   </w:t>
      </w:r>
    </w:p>
    <w:p w14:paraId="50790DE0">
      <w:pPr>
        <w:pStyle w:val="18"/>
        <w:spacing w:line="360" w:lineRule="auto"/>
        <w:ind w:left="25" w:leftChars="12" w:firstLine="472" w:firstLineChars="197"/>
        <w:rPr>
          <w:rFonts w:hAnsi="宋体" w:cs="宋体"/>
          <w:bCs/>
          <w:color w:val="auto"/>
          <w:sz w:val="24"/>
          <w:szCs w:val="24"/>
          <w:highlight w:val="none"/>
        </w:rPr>
      </w:pPr>
      <w:r>
        <w:rPr>
          <w:rFonts w:hint="eastAsia" w:hAnsi="宋体" w:cs="宋体"/>
          <w:bCs/>
          <w:color w:val="auto"/>
          <w:sz w:val="24"/>
          <w:szCs w:val="24"/>
          <w:highlight w:val="none"/>
        </w:rPr>
        <w:t>……</w:t>
      </w:r>
    </w:p>
    <w:p w14:paraId="24FC9935">
      <w:pPr>
        <w:pStyle w:val="18"/>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五、与投诉事项相关的投诉请求：</w:t>
      </w:r>
    </w:p>
    <w:p w14:paraId="0BD05ADF">
      <w:pPr>
        <w:pStyle w:val="18"/>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bCs/>
          <w:color w:val="auto"/>
          <w:sz w:val="24"/>
          <w:szCs w:val="24"/>
          <w:highlight w:val="none"/>
          <w:u w:val="single"/>
        </w:rPr>
        <w:t xml:space="preserve">                                                                                 </w:t>
      </w:r>
    </w:p>
    <w:p w14:paraId="4F435F80">
      <w:pPr>
        <w:pStyle w:val="18"/>
        <w:spacing w:line="360" w:lineRule="auto"/>
        <w:ind w:left="25" w:leftChars="12" w:firstLine="352" w:firstLineChars="147"/>
        <w:rPr>
          <w:rFonts w:hAnsi="宋体" w:cs="宋体"/>
          <w:color w:val="auto"/>
          <w:sz w:val="24"/>
          <w:szCs w:val="24"/>
          <w:highlight w:val="none"/>
        </w:rPr>
      </w:pPr>
    </w:p>
    <w:p w14:paraId="1A906B61">
      <w:pPr>
        <w:pStyle w:val="18"/>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签字（签章）：                           公章：</w:t>
      </w:r>
    </w:p>
    <w:p w14:paraId="6B0E80E7">
      <w:pPr>
        <w:pStyle w:val="18"/>
        <w:spacing w:line="360" w:lineRule="auto"/>
        <w:ind w:left="25" w:leftChars="12" w:firstLine="352" w:firstLineChars="147"/>
        <w:rPr>
          <w:rFonts w:hAnsi="宋体" w:cs="宋体"/>
          <w:color w:val="auto"/>
          <w:sz w:val="24"/>
          <w:szCs w:val="24"/>
          <w:highlight w:val="none"/>
        </w:rPr>
      </w:pPr>
    </w:p>
    <w:p w14:paraId="4AD76D05">
      <w:pPr>
        <w:pStyle w:val="18"/>
        <w:spacing w:line="360" w:lineRule="auto"/>
        <w:ind w:left="25" w:leftChars="12" w:firstLine="472" w:firstLineChars="197"/>
        <w:rPr>
          <w:rFonts w:hAnsi="宋体" w:cs="宋体"/>
          <w:b/>
          <w:color w:val="auto"/>
          <w:sz w:val="24"/>
          <w:szCs w:val="24"/>
          <w:highlight w:val="none"/>
        </w:rPr>
      </w:pPr>
      <w:r>
        <w:rPr>
          <w:rFonts w:hint="eastAsia" w:hAnsi="宋体" w:cs="宋体"/>
          <w:color w:val="auto"/>
          <w:sz w:val="24"/>
          <w:szCs w:val="24"/>
          <w:highlight w:val="none"/>
        </w:rPr>
        <w:t>日期：</w:t>
      </w:r>
      <w:r>
        <w:rPr>
          <w:rFonts w:hint="eastAsia" w:hAnsi="宋体" w:cs="宋体"/>
          <w:bCs/>
          <w:color w:val="auto"/>
          <w:sz w:val="24"/>
          <w:szCs w:val="24"/>
          <w:highlight w:val="none"/>
        </w:rPr>
        <w:t xml:space="preserve">                                                                              </w:t>
      </w:r>
    </w:p>
    <w:p w14:paraId="7F84F12E">
      <w:pPr>
        <w:pStyle w:val="18"/>
        <w:spacing w:line="360" w:lineRule="auto"/>
        <w:rPr>
          <w:rFonts w:hAnsi="宋体" w:cs="宋体"/>
          <w:b/>
          <w:color w:val="auto"/>
          <w:sz w:val="24"/>
          <w:szCs w:val="24"/>
          <w:highlight w:val="none"/>
        </w:rPr>
      </w:pPr>
      <w:r>
        <w:rPr>
          <w:rFonts w:hint="eastAsia" w:hAnsi="宋体" w:cs="宋体"/>
          <w:b/>
          <w:color w:val="auto"/>
          <w:sz w:val="24"/>
          <w:szCs w:val="24"/>
          <w:highlight w:val="none"/>
        </w:rPr>
        <w:t>说明：</w:t>
      </w:r>
    </w:p>
    <w:p w14:paraId="7F5C8023">
      <w:pPr>
        <w:pStyle w:val="18"/>
        <w:spacing w:line="360" w:lineRule="auto"/>
        <w:ind w:left="25" w:leftChars="12" w:firstLine="354" w:firstLineChars="147"/>
        <w:rPr>
          <w:rFonts w:hAnsi="宋体" w:cs="宋体"/>
          <w:b/>
          <w:bCs/>
          <w:color w:val="auto"/>
          <w:sz w:val="24"/>
          <w:szCs w:val="24"/>
          <w:highlight w:val="none"/>
        </w:rPr>
      </w:pPr>
      <w:r>
        <w:rPr>
          <w:rFonts w:hint="eastAsia" w:hAnsi="宋体" w:cs="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cs="宋体"/>
          <w:b/>
          <w:bCs/>
          <w:color w:val="auto"/>
          <w:sz w:val="24"/>
          <w:szCs w:val="24"/>
          <w:highlight w:val="none"/>
        </w:rPr>
        <w:t>。</w:t>
      </w:r>
    </w:p>
    <w:p w14:paraId="5C825103">
      <w:pPr>
        <w:pStyle w:val="18"/>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D8AA551">
      <w:pPr>
        <w:pStyle w:val="18"/>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3.投诉书应简要列明质疑事项，质疑函、质疑答复等作为附件材料提供。</w:t>
      </w:r>
    </w:p>
    <w:p w14:paraId="3F326840">
      <w:pPr>
        <w:pStyle w:val="18"/>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4.投诉书的投诉事项应具体、明确，并有必要的事实依据和法律依据。</w:t>
      </w:r>
    </w:p>
    <w:p w14:paraId="3BFCCFEB">
      <w:pPr>
        <w:pStyle w:val="18"/>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5.投诉书的投诉请求应与投诉事项相关。</w:t>
      </w:r>
    </w:p>
    <w:p w14:paraId="61172F51">
      <w:pPr>
        <w:pStyle w:val="18"/>
        <w:spacing w:line="360" w:lineRule="auto"/>
        <w:ind w:left="25" w:leftChars="12" w:firstLine="354" w:firstLineChars="147"/>
        <w:rPr>
          <w:rFonts w:hint="eastAsia" w:hAnsi="宋体" w:cs="宋体"/>
          <w:b/>
          <w:color w:val="auto"/>
          <w:sz w:val="24"/>
          <w:szCs w:val="24"/>
          <w:highlight w:val="none"/>
        </w:rPr>
      </w:pPr>
      <w:r>
        <w:rPr>
          <w:rFonts w:hint="eastAsia" w:hAnsi="宋体" w:cs="宋体"/>
          <w:b/>
          <w:color w:val="auto"/>
          <w:sz w:val="24"/>
          <w:szCs w:val="24"/>
          <w:highlight w:val="none"/>
        </w:rPr>
        <w:t>6.投诉人为法人或者其他组织的，投诉书应由法定代表人、主要负责人，或者其授权代表签字或者盖章，并加盖公章。</w:t>
      </w:r>
    </w:p>
    <w:p w14:paraId="4424F043">
      <w:pPr>
        <w:pStyle w:val="18"/>
        <w:spacing w:line="360" w:lineRule="auto"/>
        <w:ind w:left="25" w:leftChars="12" w:firstLine="354" w:firstLineChars="147"/>
        <w:rPr>
          <w:rFonts w:hint="eastAsia" w:hAnsi="宋体" w:cs="宋体"/>
          <w:b/>
          <w:color w:val="auto"/>
          <w:sz w:val="24"/>
          <w:szCs w:val="24"/>
          <w:highlight w:val="none"/>
        </w:rPr>
      </w:pPr>
    </w:p>
    <w:p w14:paraId="7D45DAD1">
      <w:pPr>
        <w:pStyle w:val="18"/>
        <w:spacing w:line="360" w:lineRule="auto"/>
        <w:ind w:left="25" w:leftChars="12" w:firstLine="354" w:firstLineChars="147"/>
        <w:rPr>
          <w:rFonts w:hint="eastAsia" w:hAnsi="宋体" w:cs="宋体"/>
          <w:b/>
          <w:color w:val="auto"/>
          <w:sz w:val="24"/>
          <w:szCs w:val="24"/>
          <w:highlight w:val="none"/>
        </w:rPr>
      </w:pPr>
    </w:p>
    <w:p w14:paraId="25DDAA21">
      <w:pPr>
        <w:pStyle w:val="18"/>
        <w:spacing w:line="360" w:lineRule="auto"/>
        <w:ind w:left="25" w:leftChars="12" w:firstLine="354" w:firstLineChars="147"/>
        <w:rPr>
          <w:rFonts w:hint="eastAsia" w:hAnsi="宋体" w:cs="宋体"/>
          <w:b/>
          <w:color w:val="auto"/>
          <w:sz w:val="24"/>
          <w:szCs w:val="24"/>
          <w:highlight w:val="none"/>
        </w:rPr>
      </w:pPr>
    </w:p>
    <w:p w14:paraId="55C331D2">
      <w:pPr>
        <w:pStyle w:val="18"/>
        <w:spacing w:line="360" w:lineRule="auto"/>
        <w:ind w:left="25" w:leftChars="12" w:firstLine="354" w:firstLineChars="147"/>
        <w:rPr>
          <w:rFonts w:hint="eastAsia" w:hAnsi="宋体" w:cs="宋体"/>
          <w:b/>
          <w:color w:val="auto"/>
          <w:sz w:val="24"/>
          <w:szCs w:val="24"/>
          <w:highlight w:val="none"/>
        </w:rPr>
      </w:pPr>
    </w:p>
    <w:p w14:paraId="3D7E14DD">
      <w:pPr>
        <w:pStyle w:val="18"/>
        <w:spacing w:line="360" w:lineRule="auto"/>
        <w:ind w:left="25" w:leftChars="12" w:firstLine="354" w:firstLineChars="147"/>
        <w:rPr>
          <w:rFonts w:hint="eastAsia" w:hAnsi="宋体" w:cs="宋体"/>
          <w:b/>
          <w:color w:val="auto"/>
          <w:sz w:val="24"/>
          <w:szCs w:val="24"/>
          <w:highlight w:val="none"/>
        </w:rPr>
      </w:pPr>
    </w:p>
    <w:p w14:paraId="60F0021D">
      <w:pPr>
        <w:pStyle w:val="18"/>
        <w:spacing w:line="360" w:lineRule="auto"/>
        <w:ind w:left="25" w:leftChars="12" w:firstLine="354" w:firstLineChars="147"/>
        <w:rPr>
          <w:rFonts w:hint="eastAsia" w:hAnsi="宋体" w:cs="宋体"/>
          <w:b/>
          <w:color w:val="auto"/>
          <w:sz w:val="24"/>
          <w:szCs w:val="24"/>
          <w:highlight w:val="none"/>
        </w:rPr>
      </w:pPr>
    </w:p>
    <w:p w14:paraId="5517EC99">
      <w:pPr>
        <w:spacing w:line="0" w:lineRule="atLeast"/>
        <w:jc w:val="center"/>
        <w:rPr>
          <w:rFonts w:hint="eastAsia" w:ascii="宋体" w:hAnsi="宋体"/>
          <w:b/>
          <w:sz w:val="44"/>
        </w:rPr>
      </w:pPr>
      <w:r>
        <w:rPr>
          <w:rFonts w:hint="eastAsia" w:ascii="宋体" w:hAnsi="宋体"/>
          <w:b/>
          <w:sz w:val="44"/>
        </w:rPr>
        <w:t>投标保证金退款申请函</w:t>
      </w:r>
    </w:p>
    <w:p w14:paraId="540C3897">
      <w:pPr>
        <w:spacing w:line="200" w:lineRule="exact"/>
        <w:rPr>
          <w:rFonts w:hint="eastAsia" w:ascii="宋体" w:hAnsi="宋体"/>
        </w:rPr>
      </w:pPr>
    </w:p>
    <w:p w14:paraId="396EE742">
      <w:pPr>
        <w:spacing w:line="379" w:lineRule="exact"/>
        <w:rPr>
          <w:rFonts w:hint="eastAsia" w:ascii="宋体" w:hAnsi="宋体"/>
        </w:rPr>
      </w:pPr>
    </w:p>
    <w:p w14:paraId="3C6D9C6C">
      <w:pPr>
        <w:spacing w:line="500" w:lineRule="exact"/>
        <w:rPr>
          <w:rFonts w:hint="eastAsia" w:ascii="宋体" w:hAnsi="宋体"/>
          <w:sz w:val="24"/>
          <w:szCs w:val="24"/>
        </w:rPr>
      </w:pPr>
      <w:r>
        <w:rPr>
          <w:rFonts w:hint="eastAsia" w:ascii="宋体" w:hAnsi="宋体"/>
          <w:sz w:val="24"/>
          <w:szCs w:val="24"/>
          <w:u w:val="single"/>
        </w:rPr>
        <w:t>广西建标建设工程咨询有限责任公司</w:t>
      </w:r>
      <w:r>
        <w:rPr>
          <w:rFonts w:hint="eastAsia" w:ascii="宋体" w:hAnsi="宋体"/>
          <w:sz w:val="24"/>
          <w:szCs w:val="24"/>
        </w:rPr>
        <w:t>：</w:t>
      </w:r>
    </w:p>
    <w:p w14:paraId="7679AA7F">
      <w:pPr>
        <w:spacing w:line="500" w:lineRule="exact"/>
        <w:rPr>
          <w:rFonts w:hint="eastAsia" w:ascii="宋体" w:hAnsi="宋体"/>
          <w:sz w:val="24"/>
          <w:szCs w:val="24"/>
        </w:rPr>
      </w:pPr>
      <w:r>
        <w:rPr>
          <w:rFonts w:hint="eastAsia" w:ascii="宋体" w:hAnsi="宋体"/>
          <w:sz w:val="24"/>
          <w:szCs w:val="24"/>
        </w:rPr>
        <w:t xml:space="preserve"> </w:t>
      </w:r>
    </w:p>
    <w:p w14:paraId="5B3574C8">
      <w:pPr>
        <w:spacing w:line="500" w:lineRule="exact"/>
        <w:ind w:firstLine="480" w:firstLineChars="200"/>
        <w:rPr>
          <w:sz w:val="24"/>
          <w:szCs w:val="24"/>
        </w:rPr>
      </w:pPr>
      <w:r>
        <w:rPr>
          <w:rFonts w:hint="eastAsia"/>
          <w:sz w:val="24"/>
          <w:szCs w:val="24"/>
        </w:rPr>
        <w:t>我单位于</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日参加的</w:t>
      </w:r>
      <w:r>
        <w:rPr>
          <w:rFonts w:hint="eastAsia" w:ascii="宋体" w:hAnsi="宋体"/>
          <w:sz w:val="24"/>
          <w:szCs w:val="24"/>
          <w:u w:val="single"/>
        </w:rPr>
        <w:t xml:space="preserve">   （项目名称）   </w:t>
      </w:r>
      <w:r>
        <w:rPr>
          <w:rFonts w:hint="eastAsia"/>
          <w:sz w:val="24"/>
          <w:szCs w:val="24"/>
          <w:u w:val="single"/>
        </w:rPr>
        <w:t>（项目编号：</w:t>
      </w:r>
      <w:r>
        <w:rPr>
          <w:rFonts w:hint="eastAsia" w:hAnsi="宋体"/>
          <w:sz w:val="24"/>
          <w:szCs w:val="24"/>
          <w:u w:val="single"/>
        </w:rPr>
        <w:t xml:space="preserve">   </w:t>
      </w:r>
      <w:r>
        <w:rPr>
          <w:rFonts w:hint="eastAsia"/>
          <w:sz w:val="24"/>
          <w:szCs w:val="24"/>
          <w:u w:val="single"/>
        </w:rPr>
        <w:t>）</w:t>
      </w:r>
      <w:r>
        <w:rPr>
          <w:rFonts w:hint="eastAsia"/>
          <w:sz w:val="24"/>
          <w:szCs w:val="24"/>
          <w:u w:val="single"/>
          <w:lang w:eastAsia="zh-CN"/>
        </w:rPr>
        <w:t>（标段：</w:t>
      </w:r>
      <w:r>
        <w:rPr>
          <w:rFonts w:hint="eastAsia"/>
          <w:sz w:val="24"/>
          <w:szCs w:val="24"/>
          <w:u w:val="single"/>
          <w:lang w:val="en-US" w:eastAsia="zh-CN"/>
        </w:rPr>
        <w:t xml:space="preserve">    </w:t>
      </w:r>
      <w:r>
        <w:rPr>
          <w:rFonts w:hint="eastAsia"/>
          <w:sz w:val="24"/>
          <w:szCs w:val="24"/>
          <w:u w:val="single"/>
          <w:lang w:eastAsia="zh-CN"/>
        </w:rPr>
        <w:t>）</w:t>
      </w:r>
      <w:r>
        <w:rPr>
          <w:sz w:val="24"/>
          <w:szCs w:val="24"/>
          <w:u w:val="single"/>
        </w:rPr>
        <w:t xml:space="preserve"> </w:t>
      </w:r>
      <w:r>
        <w:rPr>
          <w:rFonts w:hint="eastAsia"/>
          <w:sz w:val="24"/>
          <w:szCs w:val="24"/>
        </w:rPr>
        <w:t>投标，同时按招标文件规定提交了投标保证金：</w:t>
      </w:r>
      <w:r>
        <w:rPr>
          <w:rFonts w:hint="eastAsia"/>
          <w:sz w:val="24"/>
          <w:szCs w:val="24"/>
          <w:u w:val="single"/>
        </w:rPr>
        <w:t xml:space="preserve">      </w:t>
      </w:r>
      <w:r>
        <w:rPr>
          <w:rFonts w:hint="eastAsia"/>
          <w:sz w:val="24"/>
          <w:szCs w:val="24"/>
        </w:rPr>
        <w:t>元，现投标工作已经结束，我单位</w:t>
      </w:r>
      <w:r>
        <w:rPr>
          <w:rFonts w:hint="eastAsia"/>
          <w:sz w:val="24"/>
          <w:szCs w:val="24"/>
          <w:u w:val="single"/>
        </w:rPr>
        <w:t xml:space="preserve">       </w:t>
      </w:r>
      <w:r>
        <w:rPr>
          <w:rFonts w:hint="eastAsia"/>
          <w:sz w:val="24"/>
          <w:szCs w:val="24"/>
        </w:rPr>
        <w:t>（投标单位名称）</w:t>
      </w:r>
      <w:r>
        <w:rPr>
          <w:rFonts w:hint="eastAsia"/>
          <w:sz w:val="24"/>
          <w:szCs w:val="24"/>
          <w:u w:val="single"/>
        </w:rPr>
        <w:t xml:space="preserve">             </w:t>
      </w:r>
      <w:r>
        <w:rPr>
          <w:rFonts w:hint="eastAsia"/>
          <w:sz w:val="24"/>
          <w:szCs w:val="24"/>
        </w:rPr>
        <w:t>（中标或落标）。按照招标文件规定，我单位要求贵单位退还该项目投标保证金人民币（大写）：</w:t>
      </w:r>
      <w:r>
        <w:rPr>
          <w:rFonts w:hint="eastAsia"/>
          <w:sz w:val="24"/>
          <w:szCs w:val="24"/>
          <w:u w:val="single"/>
        </w:rPr>
        <w:t xml:space="preserve">     </w:t>
      </w:r>
      <w:r>
        <w:rPr>
          <w:rFonts w:hint="eastAsia"/>
          <w:sz w:val="24"/>
          <w:szCs w:val="24"/>
        </w:rPr>
        <w:t>（￥</w:t>
      </w:r>
      <w:r>
        <w:rPr>
          <w:rFonts w:hint="eastAsia"/>
          <w:sz w:val="24"/>
          <w:szCs w:val="24"/>
          <w:u w:val="single"/>
        </w:rPr>
        <w:t xml:space="preserve">    </w:t>
      </w:r>
      <w:r>
        <w:rPr>
          <w:rFonts w:hint="eastAsia"/>
          <w:sz w:val="24"/>
          <w:szCs w:val="24"/>
        </w:rPr>
        <w:t>元）。</w:t>
      </w:r>
    </w:p>
    <w:p w14:paraId="53CCF81D">
      <w:pPr>
        <w:spacing w:line="500" w:lineRule="exact"/>
        <w:ind w:firstLine="480" w:firstLineChars="200"/>
        <w:rPr>
          <w:sz w:val="24"/>
          <w:szCs w:val="24"/>
        </w:rPr>
      </w:pPr>
      <w:r>
        <w:rPr>
          <w:rFonts w:hint="eastAsia"/>
          <w:sz w:val="24"/>
          <w:szCs w:val="24"/>
        </w:rPr>
        <w:t>我单位委托</w:t>
      </w:r>
      <w:r>
        <w:rPr>
          <w:rFonts w:hint="eastAsia"/>
          <w:sz w:val="24"/>
          <w:szCs w:val="24"/>
          <w:u w:val="single"/>
        </w:rPr>
        <w:t xml:space="preserve">        </w:t>
      </w:r>
      <w:r>
        <w:rPr>
          <w:rFonts w:hint="eastAsia"/>
          <w:sz w:val="24"/>
          <w:szCs w:val="24"/>
        </w:rPr>
        <w:t>（受托人姓名），性别：</w:t>
      </w:r>
      <w:r>
        <w:rPr>
          <w:rFonts w:hint="eastAsia"/>
          <w:sz w:val="24"/>
          <w:szCs w:val="24"/>
          <w:u w:val="single"/>
        </w:rPr>
        <w:t xml:space="preserve">     </w:t>
      </w:r>
      <w:r>
        <w:rPr>
          <w:rFonts w:hint="eastAsia"/>
          <w:sz w:val="24"/>
          <w:szCs w:val="24"/>
        </w:rPr>
        <w:t>，身份证号码：</w:t>
      </w:r>
      <w:r>
        <w:rPr>
          <w:rFonts w:hint="eastAsia"/>
          <w:sz w:val="24"/>
          <w:szCs w:val="24"/>
          <w:u w:val="single"/>
        </w:rPr>
        <w:t xml:space="preserve">       </w:t>
      </w:r>
      <w:r>
        <w:rPr>
          <w:rFonts w:hint="eastAsia"/>
          <w:sz w:val="24"/>
          <w:szCs w:val="24"/>
        </w:rPr>
        <w:t>，全权办理该项目退款手续。</w:t>
      </w:r>
    </w:p>
    <w:p w14:paraId="2F988FEB">
      <w:pPr>
        <w:rPr>
          <w:rFonts w:hint="eastAsia"/>
          <w:sz w:val="24"/>
          <w:szCs w:val="24"/>
        </w:rPr>
      </w:pPr>
    </w:p>
    <w:p w14:paraId="7827089F">
      <w:pPr>
        <w:rPr>
          <w:rFonts w:hint="eastAsia"/>
          <w:sz w:val="24"/>
          <w:szCs w:val="24"/>
        </w:rPr>
      </w:pPr>
    </w:p>
    <w:p w14:paraId="7E3F414E">
      <w:pPr>
        <w:ind w:firstLine="480" w:firstLineChars="200"/>
        <w:rPr>
          <w:rFonts w:hint="eastAsia"/>
          <w:sz w:val="24"/>
          <w:szCs w:val="24"/>
        </w:rPr>
      </w:pPr>
      <w:r>
        <w:rPr>
          <w:rFonts w:hint="eastAsia"/>
          <w:sz w:val="24"/>
          <w:szCs w:val="24"/>
        </w:rPr>
        <w:t>特此函！</w:t>
      </w:r>
    </w:p>
    <w:p w14:paraId="53AC4D33">
      <w:pPr>
        <w:ind w:firstLine="480" w:firstLineChars="200"/>
        <w:rPr>
          <w:rFonts w:hint="eastAsia"/>
          <w:sz w:val="24"/>
          <w:szCs w:val="24"/>
        </w:rPr>
      </w:pPr>
    </w:p>
    <w:p w14:paraId="0D794142">
      <w:pPr>
        <w:ind w:firstLine="480" w:firstLineChars="200"/>
        <w:rPr>
          <w:rFonts w:hint="eastAsia"/>
          <w:sz w:val="24"/>
          <w:szCs w:val="24"/>
        </w:rPr>
      </w:pPr>
    </w:p>
    <w:p w14:paraId="34D46509">
      <w:pPr>
        <w:spacing w:line="0" w:lineRule="atLeast"/>
        <w:rPr>
          <w:rFonts w:hint="eastAsia" w:ascii="宋体" w:hAnsi="宋体"/>
          <w:sz w:val="24"/>
          <w:szCs w:val="24"/>
        </w:rPr>
      </w:pPr>
      <w:r>
        <w:rPr>
          <w:rFonts w:hint="eastAsia" w:ascii="宋体" w:hAnsi="宋体"/>
          <w:sz w:val="24"/>
          <w:szCs w:val="24"/>
        </w:rPr>
        <w:t>附：</w:t>
      </w:r>
    </w:p>
    <w:p w14:paraId="1FAB7126">
      <w:pPr>
        <w:spacing w:line="200" w:lineRule="exact"/>
        <w:rPr>
          <w:rFonts w:hint="eastAsia" w:ascii="宋体" w:hAnsi="宋体"/>
          <w:sz w:val="24"/>
          <w:szCs w:val="24"/>
        </w:rPr>
      </w:pPr>
    </w:p>
    <w:p w14:paraId="387F8C00">
      <w:pPr>
        <w:spacing w:line="0" w:lineRule="atLeast"/>
        <w:rPr>
          <w:rFonts w:hint="eastAsia" w:ascii="宋体" w:hAnsi="宋体"/>
          <w:sz w:val="24"/>
          <w:szCs w:val="24"/>
          <w:u w:val="single"/>
        </w:rPr>
      </w:pPr>
      <w:r>
        <w:rPr>
          <w:rFonts w:hint="eastAsia" w:ascii="宋体" w:hAnsi="宋体"/>
          <w:sz w:val="24"/>
          <w:szCs w:val="24"/>
        </w:rPr>
        <w:t>开户名称：</w:t>
      </w:r>
      <w:r>
        <w:rPr>
          <w:rFonts w:hint="eastAsia" w:ascii="宋体" w:hAnsi="宋体"/>
          <w:sz w:val="24"/>
          <w:szCs w:val="24"/>
          <w:u w:val="single"/>
        </w:rPr>
        <w:t xml:space="preserve">                                  </w:t>
      </w:r>
    </w:p>
    <w:p w14:paraId="686BF91D">
      <w:pPr>
        <w:spacing w:line="200" w:lineRule="exact"/>
        <w:rPr>
          <w:rFonts w:hint="eastAsia" w:ascii="宋体" w:hAnsi="宋体"/>
          <w:sz w:val="24"/>
          <w:szCs w:val="24"/>
        </w:rPr>
      </w:pPr>
    </w:p>
    <w:p w14:paraId="21911E97">
      <w:pPr>
        <w:spacing w:line="0" w:lineRule="atLeast"/>
        <w:rPr>
          <w:rFonts w:hint="eastAsia" w:ascii="宋体" w:hAnsi="宋体"/>
          <w:sz w:val="24"/>
          <w:szCs w:val="24"/>
        </w:rPr>
      </w:pPr>
      <w:r>
        <w:rPr>
          <w:rFonts w:hint="eastAsia" w:ascii="宋体" w:hAnsi="宋体"/>
          <w:sz w:val="24"/>
          <w:szCs w:val="24"/>
        </w:rPr>
        <w:t>银行账号：</w:t>
      </w:r>
      <w:r>
        <w:rPr>
          <w:rFonts w:hint="eastAsia" w:ascii="宋体" w:hAnsi="宋体"/>
          <w:sz w:val="24"/>
          <w:szCs w:val="24"/>
          <w:u w:val="single"/>
        </w:rPr>
        <w:t xml:space="preserve">                                  </w:t>
      </w:r>
    </w:p>
    <w:p w14:paraId="10DE4B64">
      <w:pPr>
        <w:spacing w:line="200" w:lineRule="exact"/>
        <w:rPr>
          <w:rFonts w:hint="eastAsia" w:ascii="宋体" w:hAnsi="宋体"/>
          <w:sz w:val="24"/>
          <w:szCs w:val="24"/>
        </w:rPr>
      </w:pPr>
    </w:p>
    <w:p w14:paraId="18DEBD14">
      <w:pPr>
        <w:spacing w:line="0" w:lineRule="atLeast"/>
        <w:rPr>
          <w:rFonts w:hint="eastAsia" w:ascii="宋体" w:hAnsi="宋体"/>
          <w:sz w:val="24"/>
          <w:szCs w:val="24"/>
          <w:u w:val="single"/>
        </w:rPr>
      </w:pPr>
      <w:r>
        <w:rPr>
          <w:rFonts w:hint="eastAsia" w:ascii="宋体" w:hAnsi="宋体"/>
          <w:sz w:val="24"/>
          <w:szCs w:val="24"/>
        </w:rPr>
        <w:t>开户银行：</w:t>
      </w:r>
      <w:r>
        <w:rPr>
          <w:rFonts w:hint="eastAsia" w:ascii="宋体" w:hAnsi="宋体"/>
          <w:sz w:val="24"/>
          <w:szCs w:val="24"/>
          <w:u w:val="single"/>
        </w:rPr>
        <w:t xml:space="preserve">                                  </w:t>
      </w:r>
    </w:p>
    <w:p w14:paraId="6843A243">
      <w:pPr>
        <w:spacing w:line="0" w:lineRule="atLeast"/>
        <w:rPr>
          <w:rFonts w:hint="eastAsia" w:ascii="宋体" w:hAnsi="宋体"/>
          <w:sz w:val="24"/>
          <w:szCs w:val="24"/>
          <w:u w:val="single"/>
        </w:rPr>
      </w:pPr>
    </w:p>
    <w:p w14:paraId="088A5CB9">
      <w:pPr>
        <w:spacing w:line="0" w:lineRule="atLeast"/>
        <w:rPr>
          <w:rFonts w:hint="default" w:ascii="宋体" w:hAnsi="宋体" w:eastAsia="宋体" w:cs="Arial"/>
          <w:sz w:val="24"/>
          <w:szCs w:val="24"/>
          <w:u w:val="none"/>
          <w:lang w:val="en-US" w:eastAsia="zh-CN"/>
        </w:rPr>
      </w:pPr>
      <w:r>
        <w:rPr>
          <w:rFonts w:hint="eastAsia" w:ascii="宋体" w:hAnsi="宋体"/>
          <w:sz w:val="24"/>
          <w:szCs w:val="24"/>
          <w:u w:val="none"/>
          <w:lang w:eastAsia="zh-CN"/>
        </w:rPr>
        <w:t>开户银行所属：</w:t>
      </w:r>
      <w:r>
        <w:rPr>
          <w:rFonts w:hint="eastAsia" w:ascii="宋体" w:hAnsi="宋体"/>
          <w:sz w:val="24"/>
          <w:szCs w:val="24"/>
          <w:u w:val="single"/>
          <w:lang w:val="en-US" w:eastAsia="zh-CN"/>
        </w:rPr>
        <w:t xml:space="preserve">       </w:t>
      </w:r>
      <w:r>
        <w:rPr>
          <w:rFonts w:hint="eastAsia" w:ascii="宋体" w:hAnsi="宋体" w:eastAsia="宋体" w:cs="Arial"/>
          <w:sz w:val="24"/>
          <w:szCs w:val="24"/>
          <w:u w:val="none"/>
          <w:lang w:eastAsia="zh-CN"/>
        </w:rPr>
        <w:t>省(直辖市、自治区)</w:t>
      </w:r>
      <w:r>
        <w:rPr>
          <w:rFonts w:hint="eastAsia" w:ascii="宋体" w:hAnsi="宋体" w:eastAsia="宋体" w:cs="Arial"/>
          <w:sz w:val="24"/>
          <w:szCs w:val="24"/>
          <w:u w:val="single"/>
          <w:lang w:val="en-US" w:eastAsia="zh-CN"/>
        </w:rPr>
        <w:t xml:space="preserve">      </w:t>
      </w:r>
      <w:r>
        <w:rPr>
          <w:rFonts w:hint="eastAsia" w:ascii="宋体" w:hAnsi="宋体" w:eastAsia="宋体" w:cs="Arial"/>
          <w:sz w:val="24"/>
          <w:szCs w:val="24"/>
          <w:u w:val="none"/>
          <w:lang w:eastAsia="zh-CN"/>
        </w:rPr>
        <w:t>市</w:t>
      </w:r>
      <w:r>
        <w:rPr>
          <w:rFonts w:hint="eastAsia" w:ascii="宋体" w:hAnsi="宋体" w:eastAsia="宋体" w:cs="Arial"/>
          <w:sz w:val="24"/>
          <w:szCs w:val="24"/>
          <w:u w:val="single"/>
          <w:lang w:val="en-US" w:eastAsia="zh-CN"/>
        </w:rPr>
        <w:t xml:space="preserve">        </w:t>
      </w:r>
      <w:r>
        <w:rPr>
          <w:rFonts w:hint="eastAsia" w:ascii="宋体" w:hAnsi="宋体" w:eastAsia="宋体" w:cs="Arial"/>
          <w:sz w:val="24"/>
          <w:szCs w:val="24"/>
          <w:u w:val="none"/>
          <w:lang w:eastAsia="zh-CN"/>
        </w:rPr>
        <w:t>区(县)</w:t>
      </w:r>
    </w:p>
    <w:p w14:paraId="3EFA2F07">
      <w:pPr>
        <w:spacing w:line="200" w:lineRule="exact"/>
        <w:rPr>
          <w:rFonts w:hint="eastAsia" w:ascii="宋体" w:hAnsi="宋体"/>
          <w:sz w:val="24"/>
          <w:szCs w:val="24"/>
        </w:rPr>
      </w:pPr>
    </w:p>
    <w:p w14:paraId="2948C970">
      <w:pPr>
        <w:spacing w:line="0" w:lineRule="atLeast"/>
        <w:rPr>
          <w:rFonts w:hint="eastAsia" w:ascii="宋体" w:hAnsi="宋体"/>
          <w:sz w:val="24"/>
          <w:szCs w:val="24"/>
        </w:rPr>
      </w:pPr>
      <w:r>
        <w:rPr>
          <w:rFonts w:hint="eastAsia" w:ascii="宋体" w:hAnsi="宋体"/>
          <w:sz w:val="24"/>
          <w:szCs w:val="24"/>
        </w:rPr>
        <w:t>联系电话：</w:t>
      </w:r>
      <w:r>
        <w:rPr>
          <w:rFonts w:hint="eastAsia" w:ascii="宋体" w:hAnsi="宋体"/>
          <w:sz w:val="24"/>
          <w:szCs w:val="24"/>
          <w:u w:val="single"/>
        </w:rPr>
        <w:t xml:space="preserve">                                  </w:t>
      </w:r>
    </w:p>
    <w:p w14:paraId="2B665678">
      <w:pPr>
        <w:spacing w:line="0" w:lineRule="atLeast"/>
        <w:rPr>
          <w:rFonts w:hint="eastAsia" w:ascii="宋体" w:hAnsi="宋体"/>
          <w:sz w:val="24"/>
          <w:szCs w:val="24"/>
        </w:rPr>
      </w:pPr>
      <w:bookmarkStart w:id="93" w:name="page57"/>
      <w:bookmarkEnd w:id="93"/>
    </w:p>
    <w:p w14:paraId="7CF0A153">
      <w:pPr>
        <w:spacing w:line="0" w:lineRule="atLeast"/>
        <w:rPr>
          <w:rFonts w:hint="eastAsia" w:ascii="宋体" w:hAnsi="宋体"/>
          <w:sz w:val="24"/>
          <w:szCs w:val="24"/>
        </w:rPr>
      </w:pPr>
    </w:p>
    <w:p w14:paraId="43AE9179">
      <w:pPr>
        <w:spacing w:line="0" w:lineRule="atLeast"/>
        <w:rPr>
          <w:rFonts w:hint="eastAsia" w:ascii="宋体" w:hAnsi="宋体"/>
          <w:sz w:val="24"/>
          <w:szCs w:val="24"/>
        </w:rPr>
      </w:pPr>
    </w:p>
    <w:p w14:paraId="336D57A6">
      <w:pPr>
        <w:spacing w:line="0" w:lineRule="atLeast"/>
        <w:rPr>
          <w:rFonts w:hint="eastAsia" w:ascii="宋体" w:hAnsi="宋体"/>
          <w:sz w:val="24"/>
          <w:szCs w:val="24"/>
        </w:rPr>
      </w:pPr>
    </w:p>
    <w:p w14:paraId="4CE1735E">
      <w:pPr>
        <w:spacing w:line="0" w:lineRule="atLeast"/>
        <w:ind w:firstLine="4440" w:firstLineChars="1850"/>
        <w:rPr>
          <w:rFonts w:hint="eastAsia" w:ascii="宋体" w:hAnsi="宋体"/>
          <w:sz w:val="24"/>
          <w:szCs w:val="24"/>
        </w:rPr>
      </w:pPr>
      <w:r>
        <w:rPr>
          <w:rFonts w:hint="eastAsia" w:ascii="宋体" w:hAnsi="宋体"/>
          <w:sz w:val="24"/>
          <w:szCs w:val="24"/>
        </w:rPr>
        <w:t>投标单位（盖章）：</w:t>
      </w:r>
    </w:p>
    <w:p w14:paraId="6ACF6F37">
      <w:pPr>
        <w:rPr>
          <w:rFonts w:hint="eastAsia"/>
        </w:rPr>
      </w:pPr>
    </w:p>
    <w:p w14:paraId="6264F188">
      <w:pPr>
        <w:ind w:firstLine="4440" w:firstLineChars="1850"/>
        <w:rPr>
          <w:rFonts w:hint="eastAsia"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14:paraId="27BAABE1">
      <w:pPr>
        <w:pStyle w:val="18"/>
        <w:spacing w:line="360" w:lineRule="auto"/>
        <w:ind w:left="25" w:leftChars="12" w:firstLine="354" w:firstLineChars="147"/>
        <w:rPr>
          <w:rFonts w:hint="eastAsia" w:hAnsi="宋体" w:cs="宋体"/>
          <w:b/>
          <w:color w:val="000000"/>
          <w:sz w:val="24"/>
          <w:szCs w:val="24"/>
        </w:rPr>
      </w:pPr>
    </w:p>
    <w:p w14:paraId="7C9F4825">
      <w:pPr>
        <w:pStyle w:val="18"/>
        <w:spacing w:line="360" w:lineRule="auto"/>
        <w:ind w:left="25" w:leftChars="12" w:firstLine="354" w:firstLineChars="147"/>
        <w:rPr>
          <w:rFonts w:hint="eastAsia" w:hAnsi="宋体" w:cs="宋体"/>
          <w:b/>
          <w:color w:val="000000"/>
          <w:sz w:val="24"/>
          <w:szCs w:val="24"/>
        </w:rPr>
      </w:pPr>
    </w:p>
    <w:p w14:paraId="0AF134B7">
      <w:pPr>
        <w:pStyle w:val="18"/>
        <w:spacing w:line="360" w:lineRule="auto"/>
        <w:ind w:left="25" w:leftChars="12" w:firstLine="354" w:firstLineChars="147"/>
        <w:rPr>
          <w:rFonts w:hint="eastAsia" w:hAnsi="宋体" w:cs="宋体"/>
          <w:b/>
          <w:color w:val="auto"/>
          <w:sz w:val="24"/>
          <w:szCs w:val="24"/>
          <w:highlight w:val="none"/>
        </w:rPr>
      </w:pPr>
      <w:r>
        <w:rPr>
          <w:rFonts w:hint="eastAsia" w:hAnsi="宋体" w:cs="宋体"/>
          <w:b/>
          <w:color w:val="000000"/>
          <w:sz w:val="24"/>
          <w:szCs w:val="24"/>
          <w:lang w:val="en-US" w:eastAsia="zh-CN"/>
        </w:rPr>
        <w:t>说明：本退款函仅作为保证金退款之用，不作评审之用；请竞标供应商一并在响应文件中提交，以便代理公司及时还投标保证金；</w:t>
      </w:r>
      <w:bookmarkStart w:id="94" w:name="_GoBack"/>
      <w:bookmarkEnd w:id="94"/>
    </w:p>
    <w:p w14:paraId="2E6ADD0D">
      <w:pPr>
        <w:pStyle w:val="18"/>
        <w:spacing w:line="360" w:lineRule="auto"/>
        <w:ind w:left="25" w:leftChars="12" w:firstLine="354" w:firstLineChars="147"/>
        <w:rPr>
          <w:rFonts w:hint="eastAsia" w:hAnsi="宋体" w:cs="宋体"/>
          <w:b/>
          <w:color w:val="auto"/>
          <w:sz w:val="24"/>
          <w:szCs w:val="24"/>
          <w:highlight w:val="none"/>
        </w:rPr>
      </w:pPr>
    </w:p>
    <w:sectPr>
      <w:headerReference r:id="rId12" w:type="default"/>
      <w:footerReference r:id="rId13" w:type="defaul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00" w:usb3="00000000" w:csb0="0004009F" w:csb1="DFD70000"/>
  </w:font>
  <w:font w:name="方正小标宋简体">
    <w:altName w:val="黑体"/>
    <w:panose1 w:val="02000000000000000000"/>
    <w:charset w:val="86"/>
    <w:family w:val="script"/>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方正公文黑体">
    <w:altName w:val="黑体"/>
    <w:panose1 w:val="02000500000000000000"/>
    <w:charset w:val="86"/>
    <w:family w:val="auto"/>
    <w:pitch w:val="default"/>
    <w:sig w:usb0="00000000" w:usb1="00000000"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BD787">
    <w:pPr>
      <w:pStyle w:val="14"/>
      <w:tabs>
        <w:tab w:val="clear" w:pos="4153"/>
        <w:tab w:val="clear" w:pos="8306"/>
      </w:tabs>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0000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90E1FF">
                          <w:pPr>
                            <w:pStyle w:val="14"/>
                            <w:tabs>
                              <w:tab w:val="clear" w:pos="4153"/>
                              <w:tab w:val="clear" w:pos="8306"/>
                            </w:tabs>
                          </w:pPr>
                          <w:r>
                            <w:fldChar w:fldCharType="begin"/>
                          </w:r>
                          <w:r>
                            <w:instrText xml:space="preserve"> PAGE  \* MERGEFORMAT </w:instrText>
                          </w:r>
                          <w:r>
                            <w:fldChar w:fldCharType="separate"/>
                          </w:r>
                          <w:r>
                            <w:t>67</w:t>
                          </w:r>
                          <w:r>
                            <w:fldChar w:fldCharType="end"/>
                          </w:r>
                        </w:p>
                        <w:p w14:paraId="7BD6A651"/>
                      </w:txbxContent>
                    </wps:txbx>
                    <wps:bodyPr wrap="none" lIns="0" tIns="0" rIns="0" bIns="0" upright="1">
                      <a:spAutoFit/>
                    </wps:bodyPr>
                  </wps:wsp>
                </a:graphicData>
              </a:graphic>
            </wp:anchor>
          </w:drawing>
        </mc:Choice>
        <mc:Fallback>
          <w:pict>
            <v:shape id="00006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RQysJLgBAACUAwAADgAAAAAAAAABACAAAAAeAQAAZHJzL2Uyb0RvYy54bWxQSwUGAAAAAAYABgBZ&#10;AQAASAUAAAAA&#10;">
              <v:fill on="f" focussize="0,0"/>
              <v:stroke on="f"/>
              <v:imagedata o:title=""/>
              <o:lock v:ext="edit" aspectratio="f"/>
              <v:textbox inset="0mm,0mm,0mm,0mm" style="mso-fit-shape-to-text:t;">
                <w:txbxContent>
                  <w:p w14:paraId="1490E1FF">
                    <w:pPr>
                      <w:pStyle w:val="14"/>
                      <w:tabs>
                        <w:tab w:val="clear" w:pos="4153"/>
                        <w:tab w:val="clear" w:pos="8306"/>
                      </w:tabs>
                    </w:pPr>
                    <w:r>
                      <w:fldChar w:fldCharType="begin"/>
                    </w:r>
                    <w:r>
                      <w:instrText xml:space="preserve"> PAGE  \* MERGEFORMAT </w:instrText>
                    </w:r>
                    <w:r>
                      <w:fldChar w:fldCharType="separate"/>
                    </w:r>
                    <w:r>
                      <w:t>67</w:t>
                    </w:r>
                    <w:r>
                      <w:fldChar w:fldCharType="end"/>
                    </w:r>
                  </w:p>
                  <w:p w14:paraId="7BD6A651"/>
                </w:txbxContent>
              </v:textbox>
            </v:shape>
          </w:pict>
        </mc:Fallback>
      </mc:AlternateContent>
    </w:r>
  </w:p>
  <w:p w14:paraId="3C129052">
    <w:pPr>
      <w:pStyle w:val="14"/>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1011B">
    <w:pPr>
      <w:pStyle w:val="14"/>
      <w:tabs>
        <w:tab w:val="clear" w:pos="4153"/>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0000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8870E4">
                          <w:pPr>
                            <w:pStyle w:val="14"/>
                            <w:tabs>
                              <w:tab w:val="clear" w:pos="4153"/>
                              <w:tab w:val="clear" w:pos="8306"/>
                            </w:tabs>
                          </w:pPr>
                          <w:r>
                            <w:fldChar w:fldCharType="begin"/>
                          </w:r>
                          <w:r>
                            <w:instrText xml:space="preserve"> PAGE  \* MERGEFORMAT </w:instrText>
                          </w:r>
                          <w:r>
                            <w:fldChar w:fldCharType="separate"/>
                          </w:r>
                          <w:r>
                            <w:t>0</w:t>
                          </w:r>
                          <w:r>
                            <w:fldChar w:fldCharType="end"/>
                          </w:r>
                        </w:p>
                        <w:p w14:paraId="326C46EF"/>
                      </w:txbxContent>
                    </wps:txbx>
                    <wps:bodyPr wrap="none" lIns="0" tIns="0" rIns="0" bIns="0" upright="1">
                      <a:spAutoFit/>
                    </wps:bodyPr>
                  </wps:wsp>
                </a:graphicData>
              </a:graphic>
            </wp:anchor>
          </w:drawing>
        </mc:Choice>
        <mc:Fallback>
          <w:pict>
            <v:shape id="00006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BoMM0bgBAACUAwAADgAAAAAAAAABACAAAAAeAQAAZHJzL2Uyb0RvYy54bWxQSwUGAAAAAAYABgBZ&#10;AQAASAUAAAAA&#10;">
              <v:fill on="f" focussize="0,0"/>
              <v:stroke on="f"/>
              <v:imagedata o:title=""/>
              <o:lock v:ext="edit" aspectratio="f"/>
              <v:textbox inset="0mm,0mm,0mm,0mm" style="mso-fit-shape-to-text:t;">
                <w:txbxContent>
                  <w:p w14:paraId="238870E4">
                    <w:pPr>
                      <w:pStyle w:val="14"/>
                      <w:tabs>
                        <w:tab w:val="clear" w:pos="4153"/>
                        <w:tab w:val="clear" w:pos="8306"/>
                      </w:tabs>
                    </w:pPr>
                    <w:r>
                      <w:fldChar w:fldCharType="begin"/>
                    </w:r>
                    <w:r>
                      <w:instrText xml:space="preserve"> PAGE  \* MERGEFORMAT </w:instrText>
                    </w:r>
                    <w:r>
                      <w:fldChar w:fldCharType="separate"/>
                    </w:r>
                    <w:r>
                      <w:t>0</w:t>
                    </w:r>
                    <w:r>
                      <w:fldChar w:fldCharType="end"/>
                    </w:r>
                  </w:p>
                  <w:p w14:paraId="326C46EF"/>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0000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D9B1FB"/>
                        <w:p w14:paraId="17A9D09C"/>
                      </w:txbxContent>
                    </wps:txbx>
                    <wps:bodyPr wrap="none" lIns="0" tIns="0" rIns="0" bIns="0" upright="1">
                      <a:spAutoFit/>
                    </wps:bodyPr>
                  </wps:wsp>
                </a:graphicData>
              </a:graphic>
            </wp:anchor>
          </w:drawing>
        </mc:Choice>
        <mc:Fallback>
          <w:pict>
            <v:shape id="00006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9/cRRbgBAACUAwAADgAAAAAAAAABACAAAAAeAQAAZHJzL2Uyb0RvYy54bWxQSwUGAAAAAAYABgBZ&#10;AQAASAUAAAAA&#10;">
              <v:fill on="f" focussize="0,0"/>
              <v:stroke on="f"/>
              <v:imagedata o:title=""/>
              <o:lock v:ext="edit" aspectratio="f"/>
              <v:textbox inset="0mm,0mm,0mm,0mm" style="mso-fit-shape-to-text:t;">
                <w:txbxContent>
                  <w:p w14:paraId="0BD9B1FB"/>
                  <w:p w14:paraId="17A9D09C"/>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55677">
    <w:pPr>
      <w:pStyle w:val="14"/>
      <w:tabs>
        <w:tab w:val="clear" w:pos="4153"/>
        <w:tab w:val="clear" w:pos="8306"/>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00006b"/>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E260FF">
                          <w:pPr>
                            <w:pStyle w:val="14"/>
                            <w:tabs>
                              <w:tab w:val="clear" w:pos="4153"/>
                              <w:tab w:val="clear" w:pos="8306"/>
                            </w:tabs>
                            <w:jc w:val="center"/>
                          </w:pPr>
                          <w:r>
                            <w:fldChar w:fldCharType="begin"/>
                          </w:r>
                          <w:r>
                            <w:instrText xml:space="preserve"> PAGE  \* MERGEFORMAT </w:instrText>
                          </w:r>
                          <w:r>
                            <w:fldChar w:fldCharType="separate"/>
                          </w:r>
                          <w:r>
                            <w:t>144</w:t>
                          </w:r>
                          <w:r>
                            <w:fldChar w:fldCharType="end"/>
                          </w:r>
                        </w:p>
                        <w:p w14:paraId="2658C220"/>
                      </w:txbxContent>
                    </wps:txbx>
                    <wps:bodyPr wrap="none" lIns="0" tIns="0" rIns="0" bIns="0" upright="1">
                      <a:spAutoFit/>
                    </wps:bodyPr>
                  </wps:wsp>
                </a:graphicData>
              </a:graphic>
            </wp:anchor>
          </w:drawing>
        </mc:Choice>
        <mc:Fallback>
          <w:pict>
            <v:shape id="00006b"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LgaPabgBAACUAwAADgAAAAAAAAABACAAAAAeAQAAZHJzL2Uyb0RvYy54bWxQSwUGAAAAAAYABgBZ&#10;AQAASAUAAAAA&#10;">
              <v:fill on="f" focussize="0,0"/>
              <v:stroke on="f"/>
              <v:imagedata o:title=""/>
              <o:lock v:ext="edit" aspectratio="f"/>
              <v:textbox inset="0mm,0mm,0mm,0mm" style="mso-fit-shape-to-text:t;">
                <w:txbxContent>
                  <w:p w14:paraId="24E260FF">
                    <w:pPr>
                      <w:pStyle w:val="14"/>
                      <w:tabs>
                        <w:tab w:val="clear" w:pos="4153"/>
                        <w:tab w:val="clear" w:pos="8306"/>
                      </w:tabs>
                      <w:jc w:val="center"/>
                    </w:pPr>
                    <w:r>
                      <w:fldChar w:fldCharType="begin"/>
                    </w:r>
                    <w:r>
                      <w:instrText xml:space="preserve"> PAGE  \* MERGEFORMAT </w:instrText>
                    </w:r>
                    <w:r>
                      <w:fldChar w:fldCharType="separate"/>
                    </w:r>
                    <w:r>
                      <w:t>144</w:t>
                    </w:r>
                    <w:r>
                      <w:fldChar w:fldCharType="end"/>
                    </w:r>
                  </w:p>
                  <w:p w14:paraId="2658C220"/>
                </w:txbxContent>
              </v:textbox>
            </v:shape>
          </w:pict>
        </mc:Fallback>
      </mc:AlternateContent>
    </w:r>
  </w:p>
  <w:p w14:paraId="61BC4684">
    <w:pPr>
      <w:pStyle w:val="14"/>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3FB59">
    <w:pPr>
      <w:pStyle w:val="14"/>
      <w:tabs>
        <w:tab w:val="clear" w:pos="4153"/>
        <w:tab w:val="clear" w:pos="8306"/>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00006d"/>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85E4E5">
                          <w:pPr>
                            <w:pStyle w:val="14"/>
                            <w:tabs>
                              <w:tab w:val="clear" w:pos="4153"/>
                              <w:tab w:val="clear" w:pos="8306"/>
                            </w:tabs>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p w14:paraId="6C06FE04"/>
                      </w:txbxContent>
                    </wps:txbx>
                    <wps:bodyPr wrap="none" lIns="0" tIns="0" rIns="0" bIns="0" upright="1">
                      <a:spAutoFit/>
                    </wps:bodyPr>
                  </wps:wsp>
                </a:graphicData>
              </a:graphic>
            </wp:anchor>
          </w:drawing>
        </mc:Choice>
        <mc:Fallback>
          <w:pict>
            <v:shape id="00006d"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V&#10;kPvJtwEAAJQDAAAOAAAAAAAAAAEAIAAAAB4BAABkcnMvZTJvRG9jLnhtbFBLBQYAAAAABgAGAFkB&#10;AABHBQAAAAA=&#10;">
              <v:fill on="f" focussize="0,0"/>
              <v:stroke on="f"/>
              <v:imagedata o:title=""/>
              <o:lock v:ext="edit" aspectratio="f"/>
              <v:textbox inset="0mm,0mm,0mm,0mm" style="mso-fit-shape-to-text:t;">
                <w:txbxContent>
                  <w:p w14:paraId="5D85E4E5">
                    <w:pPr>
                      <w:pStyle w:val="14"/>
                      <w:tabs>
                        <w:tab w:val="clear" w:pos="4153"/>
                        <w:tab w:val="clear" w:pos="8306"/>
                      </w:tabs>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p w14:paraId="6C06FE04"/>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23753">
    <w:pPr>
      <w:pStyle w:val="14"/>
      <w:tabs>
        <w:tab w:val="clear" w:pos="4153"/>
        <w:tab w:val="clear" w:pos="8306"/>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00006f"/>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D7ACE1">
                          <w:pPr>
                            <w:pStyle w:val="14"/>
                            <w:tabs>
                              <w:tab w:val="clear" w:pos="4153"/>
                              <w:tab w:val="clear" w:pos="8306"/>
                            </w:tabs>
                            <w:jc w:val="center"/>
                          </w:pPr>
                          <w:r>
                            <w:fldChar w:fldCharType="begin"/>
                          </w:r>
                          <w:r>
                            <w:instrText xml:space="preserve"> PAGE  \* MERGEFORMAT </w:instrText>
                          </w:r>
                          <w:r>
                            <w:fldChar w:fldCharType="separate"/>
                          </w:r>
                          <w:r>
                            <w:t>144</w:t>
                          </w:r>
                          <w:r>
                            <w:fldChar w:fldCharType="end"/>
                          </w:r>
                        </w:p>
                        <w:p w14:paraId="2FDFB1A6"/>
                      </w:txbxContent>
                    </wps:txbx>
                    <wps:bodyPr wrap="none" lIns="0" tIns="0" rIns="0" bIns="0" upright="1">
                      <a:spAutoFit/>
                    </wps:bodyPr>
                  </wps:wsp>
                </a:graphicData>
              </a:graphic>
            </wp:anchor>
          </w:drawing>
        </mc:Choice>
        <mc:Fallback>
          <w:pict>
            <v:shape id="00006f"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2&#10;f7A6twEAAJQDAAAOAAAAAAAAAAEAIAAAAB4BAABkcnMvZTJvRG9jLnhtbFBLBQYAAAAABgAGAFkB&#10;AABHBQAAAAA=&#10;">
              <v:fill on="f" focussize="0,0"/>
              <v:stroke on="f"/>
              <v:imagedata o:title=""/>
              <o:lock v:ext="edit" aspectratio="f"/>
              <v:textbox inset="0mm,0mm,0mm,0mm" style="mso-fit-shape-to-text:t;">
                <w:txbxContent>
                  <w:p w14:paraId="17D7ACE1">
                    <w:pPr>
                      <w:pStyle w:val="14"/>
                      <w:tabs>
                        <w:tab w:val="clear" w:pos="4153"/>
                        <w:tab w:val="clear" w:pos="8306"/>
                      </w:tabs>
                      <w:jc w:val="center"/>
                    </w:pPr>
                    <w:r>
                      <w:fldChar w:fldCharType="begin"/>
                    </w:r>
                    <w:r>
                      <w:instrText xml:space="preserve"> PAGE  \* MERGEFORMAT </w:instrText>
                    </w:r>
                    <w:r>
                      <w:fldChar w:fldCharType="separate"/>
                    </w:r>
                    <w:r>
                      <w:t>144</w:t>
                    </w:r>
                    <w:r>
                      <w:fldChar w:fldCharType="end"/>
                    </w:r>
                  </w:p>
                  <w:p w14:paraId="2FDFB1A6"/>
                </w:txbxContent>
              </v:textbox>
            </v:shape>
          </w:pict>
        </mc:Fallback>
      </mc:AlternateContent>
    </w:r>
  </w:p>
  <w:p w14:paraId="55707A0D">
    <w:pPr>
      <w:pStyle w:val="14"/>
      <w:tabs>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56D4E">
    <w:pPr>
      <w:pStyle w:val="14"/>
      <w:tabs>
        <w:tab w:val="clear" w:pos="4153"/>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0000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4BE2A2">
                          <w:pPr>
                            <w:pStyle w:val="14"/>
                            <w:tabs>
                              <w:tab w:val="clear" w:pos="4153"/>
                              <w:tab w:val="clear" w:pos="8306"/>
                            </w:tabs>
                          </w:pPr>
                          <w:r>
                            <w:fldChar w:fldCharType="begin"/>
                          </w:r>
                          <w:r>
                            <w:instrText xml:space="preserve"> PAGE  \* MERGEFORMAT </w:instrText>
                          </w:r>
                          <w:r>
                            <w:fldChar w:fldCharType="separate"/>
                          </w:r>
                          <w:r>
                            <w:t>84</w:t>
                          </w:r>
                          <w:r>
                            <w:fldChar w:fldCharType="end"/>
                          </w:r>
                        </w:p>
                        <w:p w14:paraId="6DCAB53A"/>
                      </w:txbxContent>
                    </wps:txbx>
                    <wps:bodyPr wrap="none" lIns="0" tIns="0" rIns="0" bIns="0" upright="1">
                      <a:spAutoFit/>
                    </wps:bodyPr>
                  </wps:wsp>
                </a:graphicData>
              </a:graphic>
            </wp:anchor>
          </w:drawing>
        </mc:Choice>
        <mc:Fallback>
          <w:pict>
            <v:shape id="00007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CAlf17gBAACUAwAADgAAAAAAAAABACAAAAAeAQAAZHJzL2Uyb0RvYy54bWxQSwUGAAAAAAYABgBZ&#10;AQAASAUAAAAA&#10;">
              <v:fill on="f" focussize="0,0"/>
              <v:stroke on="f"/>
              <v:imagedata o:title=""/>
              <o:lock v:ext="edit" aspectratio="f"/>
              <v:textbox inset="0mm,0mm,0mm,0mm" style="mso-fit-shape-to-text:t;">
                <w:txbxContent>
                  <w:p w14:paraId="3D4BE2A2">
                    <w:pPr>
                      <w:pStyle w:val="14"/>
                      <w:tabs>
                        <w:tab w:val="clear" w:pos="4153"/>
                        <w:tab w:val="clear" w:pos="8306"/>
                      </w:tabs>
                    </w:pPr>
                    <w:r>
                      <w:fldChar w:fldCharType="begin"/>
                    </w:r>
                    <w:r>
                      <w:instrText xml:space="preserve"> PAGE  \* MERGEFORMAT </w:instrText>
                    </w:r>
                    <w:r>
                      <w:fldChar w:fldCharType="separate"/>
                    </w:r>
                    <w:r>
                      <w:t>84</w:t>
                    </w:r>
                    <w:r>
                      <w:fldChar w:fldCharType="end"/>
                    </w:r>
                  </w:p>
                  <w:p w14:paraId="6DCAB53A"/>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B530E">
    <w:pPr>
      <w:pStyle w:val="14"/>
      <w:tabs>
        <w:tab w:val="clear" w:pos="4153"/>
        <w:tab w:val="clear" w:pos="8306"/>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0000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4D719F">
                          <w:pPr>
                            <w:pStyle w:val="14"/>
                            <w:tabs>
                              <w:tab w:val="clear" w:pos="4153"/>
                              <w:tab w:val="clear" w:pos="8306"/>
                            </w:tabs>
                            <w:jc w:val="center"/>
                          </w:pPr>
                          <w:r>
                            <w:fldChar w:fldCharType="begin"/>
                          </w:r>
                          <w:r>
                            <w:instrText xml:space="preserve"> PAGE  \* MERGEFORMAT </w:instrText>
                          </w:r>
                          <w:r>
                            <w:fldChar w:fldCharType="separate"/>
                          </w:r>
                          <w:r>
                            <w:t>66</w:t>
                          </w:r>
                          <w:r>
                            <w:fldChar w:fldCharType="end"/>
                          </w:r>
                        </w:p>
                        <w:p w14:paraId="3430175F"/>
                      </w:txbxContent>
                    </wps:txbx>
                    <wps:bodyPr wrap="none" lIns="0" tIns="0" rIns="0" bIns="0" upright="1">
                      <a:spAutoFit/>
                    </wps:bodyPr>
                  </wps:wsp>
                </a:graphicData>
              </a:graphic>
            </wp:anchor>
          </w:drawing>
        </mc:Choice>
        <mc:Fallback>
          <w:pict>
            <v:shape id="00007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ZZEL8bgBAACUAwAADgAAAAAAAAABACAAAAAeAQAAZHJzL2Uyb0RvYy54bWxQSwUGAAAAAAYABgBZ&#10;AQAASAUAAAAA&#10;">
              <v:fill on="f" focussize="0,0"/>
              <v:stroke on="f"/>
              <v:imagedata o:title=""/>
              <o:lock v:ext="edit" aspectratio="f"/>
              <v:textbox inset="0mm,0mm,0mm,0mm" style="mso-fit-shape-to-text:t;">
                <w:txbxContent>
                  <w:p w14:paraId="5E4D719F">
                    <w:pPr>
                      <w:pStyle w:val="14"/>
                      <w:tabs>
                        <w:tab w:val="clear" w:pos="4153"/>
                        <w:tab w:val="clear" w:pos="8306"/>
                      </w:tabs>
                      <w:jc w:val="center"/>
                    </w:pPr>
                    <w:r>
                      <w:fldChar w:fldCharType="begin"/>
                    </w:r>
                    <w:r>
                      <w:instrText xml:space="preserve"> PAGE  \* MERGEFORMAT </w:instrText>
                    </w:r>
                    <w:r>
                      <w:fldChar w:fldCharType="separate"/>
                    </w:r>
                    <w:r>
                      <w:t>66</w:t>
                    </w:r>
                    <w:r>
                      <w:fldChar w:fldCharType="end"/>
                    </w:r>
                  </w:p>
                  <w:p w14:paraId="3430175F"/>
                </w:txbxContent>
              </v:textbox>
            </v:shape>
          </w:pict>
        </mc:Fallback>
      </mc:AlternateContent>
    </w:r>
  </w:p>
  <w:p w14:paraId="32576F05">
    <w:pPr>
      <w:pStyle w:val="14"/>
      <w:tabs>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90AE1">
    <w:pPr>
      <w:pStyle w:val="22"/>
      <w:pBdr>
        <w:bottom w:val="none" w:color="000000"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36126">
    <w:pPr>
      <w:pStyle w:val="22"/>
      <w:pBdr>
        <w:bottom w:val="none" w:color="000000" w:sz="0" w:space="1"/>
      </w:pBdr>
      <w:tabs>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BAF6C">
    <w:pPr>
      <w:pStyle w:val="22"/>
      <w:pBdr>
        <w:bottom w:val="none" w:color="000000" w:sz="0" w:space="1"/>
      </w:pBdr>
      <w:tabs>
        <w:tab w:val="clear" w:pos="4153"/>
        <w:tab w:val="clear" w:pos="8306"/>
      </w:tabs>
      <w:jc w:val="left"/>
      <w:rPr>
        <w:rFonts w:hint="eastAsia" w:eastAsia="宋体"/>
        <w:lang w:eastAsia="zh-CN"/>
      </w:rPr>
    </w:pPr>
    <w:r>
      <w:rPr>
        <w:rFonts w:hint="eastAsia"/>
        <w:lang w:eastAsia="zh-CN"/>
      </w:rPr>
      <w:tab/>
    </w:r>
    <w:r>
      <w:rPr>
        <w:rFonts w:hint="eastAsia"/>
        <w:lang w:eastAsia="zh-CN"/>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BBC8E">
    <w:pPr>
      <w:pStyle w:val="22"/>
      <w:pBdr>
        <w:bottom w:val="none" w:color="000000" w:sz="0" w:space="0"/>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3"/>
      <w:numFmt w:val="chineseCountingThousand"/>
      <w:suff w:val="nothing"/>
      <w:lvlText w:val="第%1章"/>
      <w:lvlJc w:val="left"/>
      <w:pPr>
        <w:ind w:left="0" w:firstLine="0"/>
      </w:pPr>
      <w:rPr>
        <w:rFonts w:hint="eastAsia"/>
      </w:rPr>
    </w:lvl>
    <w:lvl w:ilvl="1" w:tentative="0">
      <w:start w:val="1"/>
      <w:numFmt w:val="decimal"/>
      <w:suff w:val="nothing"/>
      <w:lvlText w:val=""/>
      <w:lvlJc w:val="left"/>
      <w:pPr>
        <w:ind w:left="0" w:firstLine="0"/>
      </w:pPr>
      <w:rPr>
        <w:rFonts w:hint="eastAsia"/>
      </w:rPr>
    </w:lvl>
    <w:lvl w:ilvl="2" w:tentative="0">
      <w:start w:val="1"/>
      <w:numFmt w:val="decimal"/>
      <w:suff w:val="nothing"/>
      <w:lvlText w:val=""/>
      <w:lvlJc w:val="left"/>
      <w:pPr>
        <w:ind w:left="0" w:firstLine="0"/>
      </w:pPr>
      <w:rPr>
        <w:rFonts w:hint="eastAsia"/>
      </w:rPr>
    </w:lvl>
    <w:lvl w:ilvl="3" w:tentative="0">
      <w:start w:val="1"/>
      <w:numFmt w:val="decimal"/>
      <w:pStyle w:val="5"/>
      <w:suff w:val="nothing"/>
      <w:lvlText w:val=""/>
      <w:lvlJc w:val="left"/>
      <w:pPr>
        <w:ind w:left="0" w:firstLine="0"/>
      </w:pPr>
      <w:rPr>
        <w:rFonts w:hint="eastAsia"/>
      </w:rPr>
    </w:lvl>
    <w:lvl w:ilvl="4" w:tentative="0">
      <w:start w:val="1"/>
      <w:numFmt w:val="decimal"/>
      <w:suff w:val="nothing"/>
      <w:lvlText w:val=""/>
      <w:lvlJc w:val="left"/>
      <w:pPr>
        <w:ind w:left="0" w:firstLine="0"/>
      </w:pPr>
      <w:rPr>
        <w:rFonts w:hint="eastAsia"/>
      </w:rPr>
    </w:lvl>
    <w:lvl w:ilvl="5" w:tentative="0">
      <w:start w:val="1"/>
      <w:numFmt w:val="decimal"/>
      <w:suff w:val="nothing"/>
      <w:lvlText w:val=""/>
      <w:lvlJc w:val="left"/>
      <w:pPr>
        <w:ind w:left="0" w:firstLine="0"/>
      </w:pPr>
      <w:rPr>
        <w:rFonts w:hint="eastAsia"/>
      </w:rPr>
    </w:lvl>
    <w:lvl w:ilvl="6" w:tentative="0">
      <w:start w:val="1"/>
      <w:numFmt w:val="decimal"/>
      <w:suff w:val="nothing"/>
      <w:lvlText w:val=""/>
      <w:lvlJc w:val="left"/>
      <w:pPr>
        <w:ind w:left="0" w:firstLine="0"/>
      </w:pPr>
      <w:rPr>
        <w:rFonts w:hint="eastAsia"/>
      </w:rPr>
    </w:lvl>
    <w:lvl w:ilvl="7" w:tentative="0">
      <w:start w:val="1"/>
      <w:numFmt w:val="decimal"/>
      <w:suff w:val="nothing"/>
      <w:lvlText w:val=""/>
      <w:lvlJc w:val="left"/>
      <w:pPr>
        <w:ind w:left="0" w:firstLine="0"/>
      </w:pPr>
      <w:rPr>
        <w:rFonts w:hint="eastAsia"/>
      </w:rPr>
    </w:lvl>
    <w:lvl w:ilvl="8" w:tentative="0">
      <w:start w:val="1"/>
      <w:numFmt w:val="decimal"/>
      <w:suff w:val="nothing"/>
      <w:lvlText w:val=""/>
      <w:lvlJc w:val="left"/>
      <w:pPr>
        <w:ind w:left="0" w:firstLine="0"/>
      </w:pPr>
      <w:rPr>
        <w:rFonts w:hint="eastAsia"/>
      </w:rPr>
    </w:lvl>
  </w:abstractNum>
  <w:abstractNum w:abstractNumId="1">
    <w:nsid w:val="7CB0A691"/>
    <w:multiLevelType w:val="singleLevel"/>
    <w:tmpl w:val="7CB0A691"/>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isplayHorizontalDrawingGridEvery w:val="1"/>
  <w:displayVerticalDrawingGridEvery w:val="1"/>
  <w:noPunctuationKerning w:val="1"/>
  <w:characterSpacingControl w:val="compressPunctuation"/>
  <w:hdrShapeDefaults>
    <o:shapelayout v:ext="edit">
      <o:idmap v:ext="edit" data="2"/>
    </o:shapelayout>
  </w:hdrShapeDefaults>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C64A9"/>
    <w:rsid w:val="03875EC9"/>
    <w:rsid w:val="07AF1BE8"/>
    <w:rsid w:val="08144141"/>
    <w:rsid w:val="098B21E0"/>
    <w:rsid w:val="0C897A2A"/>
    <w:rsid w:val="10EA18EC"/>
    <w:rsid w:val="1193257A"/>
    <w:rsid w:val="138F0BFA"/>
    <w:rsid w:val="18137F71"/>
    <w:rsid w:val="1E7F18C6"/>
    <w:rsid w:val="239B4219"/>
    <w:rsid w:val="28C130D1"/>
    <w:rsid w:val="29DC142C"/>
    <w:rsid w:val="2AB96756"/>
    <w:rsid w:val="3893540F"/>
    <w:rsid w:val="39932868"/>
    <w:rsid w:val="3C235FDD"/>
    <w:rsid w:val="40305392"/>
    <w:rsid w:val="405371F1"/>
    <w:rsid w:val="454F1EDE"/>
    <w:rsid w:val="45877724"/>
    <w:rsid w:val="4BFA6210"/>
    <w:rsid w:val="4E564138"/>
    <w:rsid w:val="4F7C7E05"/>
    <w:rsid w:val="50ED0658"/>
    <w:rsid w:val="531E2C4F"/>
    <w:rsid w:val="56E923C6"/>
    <w:rsid w:val="57781E36"/>
    <w:rsid w:val="57F765DE"/>
    <w:rsid w:val="5A4F5EDF"/>
    <w:rsid w:val="5BE64117"/>
    <w:rsid w:val="5C5123E2"/>
    <w:rsid w:val="5CAA6533"/>
    <w:rsid w:val="623E236D"/>
    <w:rsid w:val="675B2DD5"/>
    <w:rsid w:val="68AB2E7A"/>
    <w:rsid w:val="6F4A519B"/>
    <w:rsid w:val="7F0C19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iPriority="99"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iPriority="99"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6"/>
    <w:qFormat/>
    <w:uiPriority w:val="0"/>
    <w:pPr>
      <w:widowControl w:val="0"/>
      <w:autoSpaceDE/>
      <w:autoSpaceDN/>
      <w:snapToGrid/>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52"/>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83"/>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numPr>
        <w:ilvl w:val="3"/>
        <w:numId w:val="1"/>
      </w:numPr>
      <w:spacing w:before="280" w:after="290" w:line="376" w:lineRule="auto"/>
      <w:outlineLvl w:val="3"/>
    </w:pPr>
    <w:rPr>
      <w:rFonts w:ascii="宋体" w:hAnsi="Arial" w:eastAsia="黑体"/>
      <w:b/>
      <w:sz w:val="24"/>
      <w:szCs w:val="20"/>
    </w:rPr>
  </w:style>
  <w:style w:type="paragraph" w:styleId="6">
    <w:name w:val="heading 5"/>
    <w:basedOn w:val="1"/>
    <w:next w:val="7"/>
    <w:link w:val="64"/>
    <w:qFormat/>
    <w:uiPriority w:val="9"/>
    <w:pPr>
      <w:keepNext/>
      <w:keepLines/>
      <w:spacing w:before="280" w:after="290" w:line="376" w:lineRule="auto"/>
      <w:outlineLvl w:val="4"/>
    </w:pPr>
    <w:rPr>
      <w:b/>
      <w:bCs/>
      <w:sz w:val="28"/>
      <w:szCs w:val="28"/>
    </w:rPr>
  </w:style>
  <w:style w:type="paragraph" w:styleId="8">
    <w:name w:val="heading 8"/>
    <w:basedOn w:val="1"/>
    <w:next w:val="1"/>
    <w:link w:val="87"/>
    <w:qFormat/>
    <w:uiPriority w:val="9"/>
    <w:pPr>
      <w:keepNext/>
      <w:keepLines/>
      <w:spacing w:before="240" w:after="64" w:line="320" w:lineRule="auto"/>
      <w:outlineLvl w:val="7"/>
    </w:pPr>
    <w:rPr>
      <w:rFonts w:ascii="等线 Light" w:hAnsi="等线 Light" w:eastAsia="等线 Light"/>
      <w:sz w:val="24"/>
    </w:rPr>
  </w:style>
  <w:style w:type="paragraph" w:styleId="9">
    <w:name w:val="heading 9"/>
    <w:basedOn w:val="1"/>
    <w:next w:val="1"/>
    <w:link w:val="70"/>
    <w:qFormat/>
    <w:uiPriority w:val="9"/>
    <w:pPr>
      <w:keepNext/>
      <w:keepLines/>
      <w:spacing w:before="240" w:after="64" w:line="320" w:lineRule="auto"/>
      <w:outlineLvl w:val="8"/>
    </w:pPr>
    <w:rPr>
      <w:rFonts w:ascii="Cambria" w:hAnsi="Cambria"/>
      <w:szCs w:val="21"/>
    </w:rPr>
  </w:style>
  <w:style w:type="character" w:default="1" w:styleId="34">
    <w:name w:val="Default Paragraph Font"/>
    <w:unhideWhenUsed/>
    <w:qFormat/>
    <w:uiPriority w:val="1"/>
  </w:style>
  <w:style w:type="table" w:default="1" w:styleId="32">
    <w:name w:val="Normal Table"/>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0">
    <w:name w:val="List Number"/>
    <w:basedOn w:val="1"/>
    <w:qFormat/>
    <w:uiPriority w:val="0"/>
    <w:pPr>
      <w:widowControl/>
      <w:tabs>
        <w:tab w:val="left" w:pos="454"/>
        <w:tab w:val="left" w:pos="720"/>
        <w:tab w:val="left" w:pos="840"/>
      </w:tabs>
      <w:spacing w:after="50"/>
      <w:ind w:left="454" w:hanging="284"/>
      <w:jc w:val="left"/>
    </w:pPr>
    <w:rPr>
      <w:kern w:val="0"/>
      <w:sz w:val="24"/>
      <w:szCs w:val="20"/>
    </w:rPr>
  </w:style>
  <w:style w:type="paragraph" w:styleId="11">
    <w:name w:val="annotation text"/>
    <w:basedOn w:val="1"/>
    <w:link w:val="89"/>
    <w:qFormat/>
    <w:uiPriority w:val="0"/>
    <w:pPr>
      <w:jc w:val="left"/>
    </w:pPr>
  </w:style>
  <w:style w:type="paragraph" w:styleId="12">
    <w:name w:val="Body Text 3"/>
    <w:basedOn w:val="1"/>
    <w:link w:val="48"/>
    <w:unhideWhenUsed/>
    <w:qFormat/>
    <w:uiPriority w:val="99"/>
    <w:pPr>
      <w:spacing w:after="120"/>
    </w:pPr>
    <w:rPr>
      <w:sz w:val="16"/>
      <w:szCs w:val="16"/>
    </w:rPr>
  </w:style>
  <w:style w:type="paragraph" w:styleId="13">
    <w:name w:val="Body Text"/>
    <w:basedOn w:val="1"/>
    <w:next w:val="14"/>
    <w:link w:val="67"/>
    <w:unhideWhenUsed/>
    <w:qFormat/>
    <w:uiPriority w:val="0"/>
    <w:pPr>
      <w:spacing w:after="120"/>
    </w:pPr>
  </w:style>
  <w:style w:type="paragraph" w:styleId="14">
    <w:name w:val="footer"/>
    <w:basedOn w:val="1"/>
    <w:link w:val="60"/>
    <w:unhideWhenUsed/>
    <w:qFormat/>
    <w:uiPriority w:val="0"/>
    <w:pPr>
      <w:tabs>
        <w:tab w:val="center" w:pos="4153"/>
        <w:tab w:val="right" w:pos="8306"/>
      </w:tabs>
      <w:jc w:val="left"/>
    </w:pPr>
    <w:rPr>
      <w:kern w:val="0"/>
      <w:sz w:val="18"/>
      <w:szCs w:val="18"/>
    </w:rPr>
  </w:style>
  <w:style w:type="paragraph" w:styleId="15">
    <w:name w:val="Body Text Indent"/>
    <w:basedOn w:val="1"/>
    <w:link w:val="51"/>
    <w:qFormat/>
    <w:uiPriority w:val="0"/>
    <w:pPr>
      <w:ind w:firstLine="830" w:firstLineChars="352"/>
    </w:pPr>
    <w:rPr>
      <w:rFonts w:ascii="仿宋_GB2312" w:eastAsia="仿宋_GB2312"/>
      <w:kern w:val="0"/>
      <w:sz w:val="32"/>
      <w:szCs w:val="20"/>
    </w:rPr>
  </w:style>
  <w:style w:type="paragraph" w:styleId="16">
    <w:name w:val="List 2"/>
    <w:basedOn w:val="1"/>
    <w:unhideWhenUsed/>
    <w:qFormat/>
    <w:uiPriority w:val="99"/>
    <w:pPr>
      <w:ind w:left="100" w:leftChars="200" w:hanging="200" w:hangingChars="200"/>
      <w:contextualSpacing/>
    </w:pPr>
  </w:style>
  <w:style w:type="paragraph" w:styleId="17">
    <w:name w:val="toc 3"/>
    <w:basedOn w:val="1"/>
    <w:next w:val="1"/>
    <w:unhideWhenUsed/>
    <w:qFormat/>
    <w:uiPriority w:val="39"/>
    <w:pPr>
      <w:ind w:left="840" w:leftChars="400"/>
    </w:pPr>
  </w:style>
  <w:style w:type="paragraph" w:styleId="18">
    <w:name w:val="Plain Text"/>
    <w:basedOn w:val="1"/>
    <w:link w:val="47"/>
    <w:qFormat/>
    <w:uiPriority w:val="0"/>
    <w:rPr>
      <w:rFonts w:ascii="宋体" w:hAnsi="Courier New"/>
      <w:kern w:val="0"/>
      <w:sz w:val="20"/>
      <w:szCs w:val="21"/>
    </w:rPr>
  </w:style>
  <w:style w:type="paragraph" w:styleId="19">
    <w:name w:val="Date"/>
    <w:basedOn w:val="1"/>
    <w:next w:val="1"/>
    <w:link w:val="94"/>
    <w:unhideWhenUsed/>
    <w:qFormat/>
    <w:uiPriority w:val="99"/>
    <w:pPr>
      <w:ind w:left="100" w:leftChars="2500"/>
    </w:pPr>
  </w:style>
  <w:style w:type="paragraph" w:styleId="20">
    <w:name w:val="Body Text Indent 2"/>
    <w:basedOn w:val="1"/>
    <w:qFormat/>
    <w:uiPriority w:val="0"/>
    <w:pPr>
      <w:spacing w:after="120" w:line="480" w:lineRule="auto"/>
      <w:ind w:left="420" w:leftChars="200"/>
    </w:pPr>
  </w:style>
  <w:style w:type="paragraph" w:styleId="21">
    <w:name w:val="Balloon Text"/>
    <w:basedOn w:val="1"/>
    <w:semiHidden/>
    <w:qFormat/>
    <w:uiPriority w:val="0"/>
    <w:rPr>
      <w:sz w:val="18"/>
      <w:szCs w:val="18"/>
    </w:rPr>
  </w:style>
  <w:style w:type="paragraph" w:styleId="22">
    <w:name w:val="header"/>
    <w:basedOn w:val="1"/>
    <w:link w:val="95"/>
    <w:unhideWhenUsed/>
    <w:qFormat/>
    <w:uiPriority w:val="0"/>
    <w:pPr>
      <w:pBdr>
        <w:bottom w:val="single" w:color="000000" w:sz="6" w:space="1"/>
      </w:pBdr>
      <w:tabs>
        <w:tab w:val="center" w:pos="4153"/>
        <w:tab w:val="right" w:pos="8306"/>
      </w:tabs>
      <w:jc w:val="center"/>
    </w:pPr>
    <w:rPr>
      <w:kern w:val="0"/>
      <w:sz w:val="18"/>
      <w:szCs w:val="18"/>
    </w:rPr>
  </w:style>
  <w:style w:type="paragraph" w:styleId="23">
    <w:name w:val="toc 1"/>
    <w:basedOn w:val="1"/>
    <w:next w:val="1"/>
    <w:unhideWhenUsed/>
    <w:qFormat/>
    <w:uiPriority w:val="39"/>
  </w:style>
  <w:style w:type="paragraph" w:styleId="24">
    <w:name w:val="Subtitle"/>
    <w:basedOn w:val="1"/>
    <w:next w:val="1"/>
    <w:qFormat/>
    <w:uiPriority w:val="0"/>
    <w:pPr>
      <w:spacing w:before="240" w:after="60" w:line="312" w:lineRule="auto"/>
      <w:jc w:val="center"/>
      <w:outlineLvl w:val="1"/>
    </w:pPr>
    <w:rPr>
      <w:rFonts w:ascii="Cambria" w:hAnsi="Cambria" w:cs="Times New Roman"/>
      <w:b/>
      <w:bCs/>
      <w:kern w:val="28"/>
      <w:sz w:val="32"/>
      <w:szCs w:val="32"/>
    </w:rPr>
  </w:style>
  <w:style w:type="paragraph" w:styleId="25">
    <w:name w:val="List"/>
    <w:basedOn w:val="1"/>
    <w:unhideWhenUsed/>
    <w:qFormat/>
    <w:uiPriority w:val="99"/>
    <w:pPr>
      <w:ind w:left="200" w:hanging="200" w:hangingChars="200"/>
      <w:contextualSpacing/>
    </w:pPr>
  </w:style>
  <w:style w:type="paragraph" w:styleId="26">
    <w:name w:val="toc 2"/>
    <w:basedOn w:val="1"/>
    <w:next w:val="1"/>
    <w:unhideWhenUsed/>
    <w:qFormat/>
    <w:uiPriority w:val="39"/>
    <w:pPr>
      <w:tabs>
        <w:tab w:val="right" w:leader="dot" w:pos="8296"/>
      </w:tabs>
      <w:ind w:left="420" w:leftChars="200"/>
    </w:pPr>
  </w:style>
  <w:style w:type="paragraph" w:styleId="27">
    <w:name w:val="Normal (Web)"/>
    <w:basedOn w:val="1"/>
    <w:unhideWhenUsed/>
    <w:qFormat/>
    <w:uiPriority w:val="99"/>
    <w:pPr>
      <w:spacing w:before="0" w:beforeAutospacing="0" w:after="0" w:afterAutospacing="0"/>
      <w:ind w:left="0" w:right="0"/>
      <w:jc w:val="both"/>
    </w:pPr>
    <w:rPr>
      <w:rFonts w:ascii="Calibri" w:hAnsi="Calibri" w:cs="Calibri"/>
      <w:kern w:val="0"/>
      <w:sz w:val="24"/>
      <w:szCs w:val="24"/>
      <w:lang w:val="en-US" w:eastAsia="zh-CN" w:bidi="ar"/>
    </w:rPr>
  </w:style>
  <w:style w:type="paragraph" w:styleId="28">
    <w:name w:val="Title"/>
    <w:basedOn w:val="1"/>
    <w:link w:val="69"/>
    <w:qFormat/>
    <w:uiPriority w:val="10"/>
    <w:pPr>
      <w:widowControl/>
      <w:overflowPunct w:val="0"/>
      <w:autoSpaceDE w:val="0"/>
      <w:autoSpaceDN w:val="0"/>
      <w:jc w:val="center"/>
    </w:pPr>
    <w:rPr>
      <w:rFonts w:ascii="Cambria" w:hAnsi="Cambria"/>
      <w:b/>
      <w:bCs/>
      <w:sz w:val="32"/>
      <w:szCs w:val="32"/>
    </w:rPr>
  </w:style>
  <w:style w:type="paragraph" w:styleId="29">
    <w:name w:val="annotation subject"/>
    <w:basedOn w:val="11"/>
    <w:next w:val="11"/>
    <w:link w:val="97"/>
    <w:qFormat/>
    <w:uiPriority w:val="99"/>
    <w:rPr>
      <w:b/>
      <w:bCs/>
    </w:rPr>
  </w:style>
  <w:style w:type="paragraph" w:styleId="30">
    <w:name w:val="Body Text First Indent"/>
    <w:basedOn w:val="13"/>
    <w:next w:val="1"/>
    <w:qFormat/>
    <w:uiPriority w:val="0"/>
    <w:pPr>
      <w:ind w:firstLine="420" w:firstLineChars="100"/>
    </w:pPr>
    <w:rPr>
      <w:rFonts w:ascii="Calibri" w:hAnsi="Calibri" w:eastAsia="仿宋_GB2312"/>
      <w:sz w:val="30"/>
      <w:szCs w:val="24"/>
    </w:rPr>
  </w:style>
  <w:style w:type="paragraph" w:styleId="31">
    <w:name w:val="Body Text First Indent 2"/>
    <w:basedOn w:val="1"/>
    <w:link w:val="43"/>
    <w:unhideWhenUsed/>
    <w:qFormat/>
    <w:uiPriority w:val="99"/>
    <w:pPr>
      <w:spacing w:after="120"/>
      <w:ind w:left="420" w:leftChars="200" w:firstLine="420" w:firstLineChars="200"/>
    </w:pPr>
    <w:rPr>
      <w:rFonts w:ascii="Times New Roman" w:eastAsia="宋体"/>
      <w:kern w:val="2"/>
      <w:sz w:val="21"/>
      <w:szCs w:val="24"/>
    </w:rPr>
  </w:style>
  <w:style w:type="table" w:styleId="33">
    <w:name w:val="Table Grid"/>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endnote reference"/>
    <w:unhideWhenUsed/>
    <w:qFormat/>
    <w:uiPriority w:val="99"/>
    <w:rPr>
      <w:vertAlign w:val="superscript"/>
    </w:rPr>
  </w:style>
  <w:style w:type="character" w:styleId="36">
    <w:name w:val="page number"/>
    <w:qFormat/>
    <w:uiPriority w:val="0"/>
    <w:rPr>
      <w:rFonts w:ascii="Arial" w:hAnsi="Arial" w:eastAsia="黑体" w:cs="Arial"/>
      <w:snapToGrid w:val="0"/>
      <w:kern w:val="0"/>
      <w:szCs w:val="21"/>
    </w:rPr>
  </w:style>
  <w:style w:type="character" w:styleId="37">
    <w:name w:val="FollowedHyperlink"/>
    <w:link w:val="1"/>
    <w:unhideWhenUsed/>
    <w:qFormat/>
    <w:uiPriority w:val="99"/>
    <w:rPr>
      <w:color w:val="800080"/>
      <w:u w:val="single"/>
    </w:rPr>
  </w:style>
  <w:style w:type="character" w:styleId="38">
    <w:name w:val="Hyperlink"/>
    <w:unhideWhenUsed/>
    <w:qFormat/>
    <w:uiPriority w:val="99"/>
    <w:rPr>
      <w:color w:val="0000FF"/>
      <w:u w:val="single"/>
    </w:rPr>
  </w:style>
  <w:style w:type="character" w:styleId="39">
    <w:name w:val="annotation reference"/>
    <w:qFormat/>
    <w:uiPriority w:val="99"/>
    <w:rPr>
      <w:sz w:val="21"/>
      <w:szCs w:val="21"/>
    </w:rPr>
  </w:style>
  <w:style w:type="character" w:customStyle="1" w:styleId="40">
    <w:name w:val="纯文本 字符2"/>
    <w:qFormat/>
    <w:uiPriority w:val="0"/>
    <w:rPr>
      <w:rFonts w:ascii="宋体" w:hAnsi="Courier New" w:eastAsia="宋体" w:cs="Courier New"/>
      <w:szCs w:val="21"/>
    </w:rPr>
  </w:style>
  <w:style w:type="paragraph" w:customStyle="1" w:styleId="41">
    <w:name w:val="Default"/>
    <w:qFormat/>
    <w:uiPriority w:val="0"/>
    <w:pPr>
      <w:widowControl w:val="0"/>
      <w:autoSpaceDE w:val="0"/>
      <w:autoSpaceDN w:val="0"/>
      <w:snapToGrid/>
    </w:pPr>
    <w:rPr>
      <w:rFonts w:ascii="宋体" w:hAnsi="Times New Roman" w:eastAsia="宋体" w:cs="宋体"/>
      <w:color w:val="000000"/>
      <w:kern w:val="2"/>
      <w:sz w:val="24"/>
      <w:szCs w:val="24"/>
      <w:lang w:val="en-US" w:eastAsia="zh-CN" w:bidi="ar-SA"/>
    </w:rPr>
  </w:style>
  <w:style w:type="character" w:customStyle="1" w:styleId="42">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43">
    <w:name w:val="正文文本首行缩进 2 字符"/>
    <w:link w:val="31"/>
    <w:semiHidden/>
    <w:qFormat/>
    <w:uiPriority w:val="99"/>
    <w:rPr>
      <w:kern w:val="2"/>
      <w:sz w:val="21"/>
      <w:szCs w:val="24"/>
    </w:rPr>
  </w:style>
  <w:style w:type="character" w:customStyle="1" w:styleId="44">
    <w:name w:val="纯文本 Char"/>
    <w:qFormat/>
    <w:uiPriority w:val="0"/>
    <w:rPr>
      <w:rFonts w:ascii="宋体" w:hAnsi="Courier New" w:eastAsia="宋体" w:cs="Courier New"/>
      <w:szCs w:val="21"/>
    </w:rPr>
  </w:style>
  <w:style w:type="paragraph" w:customStyle="1" w:styleId="45">
    <w:name w:val="正文2"/>
    <w:basedOn w:val="1"/>
    <w:link w:val="90"/>
    <w:qFormat/>
    <w:uiPriority w:val="0"/>
    <w:pPr>
      <w:spacing w:before="156" w:line="360" w:lineRule="auto"/>
      <w:ind w:firstLine="510" w:firstLineChars="200"/>
    </w:pPr>
    <w:rPr>
      <w:kern w:val="0"/>
      <w:sz w:val="24"/>
      <w:szCs w:val="20"/>
    </w:rPr>
  </w:style>
  <w:style w:type="paragraph" w:customStyle="1" w:styleId="46">
    <w:name w:val="列出段落1"/>
    <w:basedOn w:val="1"/>
    <w:qFormat/>
    <w:uiPriority w:val="0"/>
    <w:pPr>
      <w:ind w:firstLine="420" w:firstLineChars="200"/>
    </w:pPr>
    <w:rPr>
      <w:szCs w:val="21"/>
    </w:rPr>
  </w:style>
  <w:style w:type="character" w:customStyle="1" w:styleId="47">
    <w:name w:val="纯文本 字符3"/>
    <w:link w:val="18"/>
    <w:qFormat/>
    <w:uiPriority w:val="0"/>
    <w:rPr>
      <w:rFonts w:ascii="宋体" w:hAnsi="Courier New" w:eastAsia="宋体" w:cs="Courier New"/>
      <w:szCs w:val="21"/>
    </w:rPr>
  </w:style>
  <w:style w:type="character" w:customStyle="1" w:styleId="48">
    <w:name w:val="正文文本 3 字符"/>
    <w:link w:val="12"/>
    <w:semiHidden/>
    <w:qFormat/>
    <w:uiPriority w:val="99"/>
    <w:rPr>
      <w:kern w:val="2"/>
      <w:sz w:val="16"/>
      <w:szCs w:val="16"/>
    </w:rPr>
  </w:style>
  <w:style w:type="character" w:customStyle="1" w:styleId="49">
    <w:name w:val="textcontents"/>
    <w:qFormat/>
    <w:uiPriority w:val="0"/>
  </w:style>
  <w:style w:type="character" w:customStyle="1" w:styleId="50">
    <w:name w:val="font31"/>
    <w:basedOn w:val="34"/>
    <w:qFormat/>
    <w:uiPriority w:val="0"/>
    <w:rPr>
      <w:rFonts w:ascii="Arial" w:hAnsi="Arial" w:cs="Arial"/>
      <w:color w:val="000000"/>
      <w:sz w:val="21"/>
      <w:szCs w:val="21"/>
      <w:u w:val="none"/>
    </w:rPr>
  </w:style>
  <w:style w:type="character" w:customStyle="1" w:styleId="51">
    <w:name w:val="正文文本缩进 字符1"/>
    <w:link w:val="15"/>
    <w:qFormat/>
    <w:uiPriority w:val="0"/>
    <w:rPr>
      <w:rFonts w:ascii="仿宋_GB2312" w:hAnsi="Times New Roman" w:eastAsia="仿宋_GB2312" w:cs="Times New Roman"/>
      <w:sz w:val="32"/>
      <w:szCs w:val="20"/>
    </w:rPr>
  </w:style>
  <w:style w:type="character" w:customStyle="1" w:styleId="52">
    <w:name w:val="标题 2 字符"/>
    <w:link w:val="3"/>
    <w:qFormat/>
    <w:uiPriority w:val="9"/>
    <w:rPr>
      <w:rFonts w:ascii="Cambria" w:hAnsi="Cambria" w:eastAsia="宋体" w:cs="Times New Roman"/>
      <w:b/>
      <w:bCs/>
      <w:kern w:val="2"/>
      <w:sz w:val="32"/>
      <w:szCs w:val="32"/>
    </w:rPr>
  </w:style>
  <w:style w:type="character" w:customStyle="1" w:styleId="53">
    <w:name w:val="标题 2 Char"/>
    <w:qFormat/>
    <w:uiPriority w:val="9"/>
    <w:rPr>
      <w:rFonts w:ascii="Cambria" w:hAnsi="Cambria" w:eastAsia="宋体" w:cs="Times New Roman"/>
      <w:b/>
      <w:bCs/>
      <w:kern w:val="2"/>
      <w:sz w:val="32"/>
      <w:szCs w:val="32"/>
    </w:rPr>
  </w:style>
  <w:style w:type="paragraph" w:customStyle="1" w:styleId="54">
    <w:name w:val="表内文字"/>
    <w:basedOn w:val="1"/>
    <w:qFormat/>
    <w:uiPriority w:val="0"/>
    <w:pPr>
      <w:spacing w:before="50" w:after="50"/>
      <w:jc w:val="center"/>
    </w:pPr>
    <w:rPr>
      <w:rFonts w:ascii="仿宋_GB2312" w:hAnsi="宋体" w:eastAsia="仿宋_GB2312"/>
      <w:b/>
      <w:color w:val="000000"/>
      <w:sz w:val="32"/>
      <w:szCs w:val="32"/>
    </w:rPr>
  </w:style>
  <w:style w:type="character" w:customStyle="1" w:styleId="55">
    <w:name w:val="批注文字 Char"/>
    <w:qFormat/>
    <w:uiPriority w:val="0"/>
    <w:rPr>
      <w:rFonts w:ascii="Times New Roman" w:hAnsi="Times New Roman"/>
      <w:kern w:val="2"/>
      <w:sz w:val="21"/>
      <w:szCs w:val="24"/>
    </w:rPr>
  </w:style>
  <w:style w:type="character" w:customStyle="1" w:styleId="56">
    <w:name w:val="页眉 Char"/>
    <w:qFormat/>
    <w:uiPriority w:val="99"/>
    <w:rPr>
      <w:lang w:eastAsia="zh-CN"/>
    </w:rPr>
  </w:style>
  <w:style w:type="character" w:customStyle="1" w:styleId="57">
    <w:name w:val="纯文本 字符1"/>
    <w:qFormat/>
    <w:uiPriority w:val="0"/>
    <w:rPr>
      <w:rFonts w:ascii="宋体" w:hAnsi="Courier New"/>
    </w:rPr>
  </w:style>
  <w:style w:type="character" w:customStyle="1" w:styleId="58">
    <w:name w:val="标题 1 字符1"/>
    <w:qFormat/>
    <w:uiPriority w:val="0"/>
    <w:rPr>
      <w:b/>
      <w:bCs/>
      <w:kern w:val="44"/>
      <w:sz w:val="44"/>
      <w:szCs w:val="44"/>
    </w:rPr>
  </w:style>
  <w:style w:type="character" w:customStyle="1" w:styleId="59">
    <w:name w:val="正文文本 字符"/>
    <w:qFormat/>
    <w:uiPriority w:val="0"/>
    <w:rPr>
      <w:rFonts w:ascii="Times New Roman" w:hAnsi="Times New Roman"/>
      <w:kern w:val="2"/>
      <w:sz w:val="21"/>
      <w:szCs w:val="24"/>
    </w:rPr>
  </w:style>
  <w:style w:type="character" w:customStyle="1" w:styleId="60">
    <w:name w:val="页脚 字符"/>
    <w:link w:val="14"/>
    <w:qFormat/>
    <w:uiPriority w:val="0"/>
    <w:rPr>
      <w:sz w:val="18"/>
      <w:szCs w:val="18"/>
    </w:rPr>
  </w:style>
  <w:style w:type="character" w:customStyle="1" w:styleId="61">
    <w:name w:val="font71"/>
    <w:basedOn w:val="34"/>
    <w:qFormat/>
    <w:uiPriority w:val="0"/>
    <w:rPr>
      <w:rFonts w:hint="eastAsia" w:ascii="仿宋" w:hAnsi="仿宋" w:eastAsia="仿宋" w:cs="仿宋"/>
      <w:color w:val="000000"/>
      <w:sz w:val="21"/>
      <w:szCs w:val="21"/>
      <w:u w:val="none"/>
    </w:rPr>
  </w:style>
  <w:style w:type="character" w:customStyle="1" w:styleId="62">
    <w:name w:val="font01"/>
    <w:basedOn w:val="34"/>
    <w:qFormat/>
    <w:uiPriority w:val="0"/>
    <w:rPr>
      <w:rFonts w:hint="eastAsia" w:ascii="宋体" w:hAnsi="宋体" w:eastAsia="宋体" w:cs="宋体"/>
      <w:color w:val="000000"/>
      <w:sz w:val="20"/>
      <w:szCs w:val="20"/>
      <w:u w:val="none"/>
    </w:rPr>
  </w:style>
  <w:style w:type="paragraph" w:customStyle="1" w:styleId="63">
    <w:name w:val="Table Paragraph"/>
    <w:basedOn w:val="1"/>
    <w:qFormat/>
    <w:uiPriority w:val="1"/>
    <w:pPr>
      <w:jc w:val="left"/>
    </w:pPr>
    <w:rPr>
      <w:rFonts w:ascii="Calibri" w:hAnsi="Calibri"/>
      <w:kern w:val="0"/>
      <w:sz w:val="22"/>
      <w:szCs w:val="22"/>
      <w:lang w:eastAsia="en-US"/>
    </w:rPr>
  </w:style>
  <w:style w:type="character" w:customStyle="1" w:styleId="64">
    <w:name w:val="标题 5 字符"/>
    <w:link w:val="6"/>
    <w:qFormat/>
    <w:uiPriority w:val="9"/>
    <w:rPr>
      <w:rFonts w:ascii="Times New Roman" w:hAnsi="Times New Roman"/>
      <w:b/>
      <w:bCs/>
      <w:kern w:val="2"/>
      <w:sz w:val="28"/>
      <w:szCs w:val="28"/>
    </w:rPr>
  </w:style>
  <w:style w:type="character" w:customStyle="1" w:styleId="65">
    <w:name w:val="标题 8 Char"/>
    <w:qFormat/>
    <w:uiPriority w:val="0"/>
    <w:rPr>
      <w:rFonts w:ascii="Arial" w:hAnsi="Arial" w:eastAsia="黑体"/>
      <w:kern w:val="2"/>
      <w:sz w:val="24"/>
      <w:szCs w:val="24"/>
    </w:rPr>
  </w:style>
  <w:style w:type="paragraph" w:customStyle="1" w:styleId="66">
    <w:name w:val="默认段落字体 Para Char Char Char Char Char Char Char Char Char1 Char Char Char Char"/>
    <w:basedOn w:val="1"/>
    <w:qFormat/>
    <w:uiPriority w:val="0"/>
    <w:rPr>
      <w:rFonts w:ascii="Tahoma" w:hAnsi="Tahoma"/>
      <w:sz w:val="24"/>
      <w:szCs w:val="20"/>
    </w:rPr>
  </w:style>
  <w:style w:type="character" w:customStyle="1" w:styleId="67">
    <w:name w:val="正文文本 字符1"/>
    <w:link w:val="13"/>
    <w:qFormat/>
    <w:uiPriority w:val="0"/>
    <w:rPr>
      <w:rFonts w:ascii="Times New Roman" w:hAnsi="Times New Roman"/>
      <w:kern w:val="2"/>
      <w:sz w:val="21"/>
      <w:szCs w:val="24"/>
    </w:rPr>
  </w:style>
  <w:style w:type="character" w:customStyle="1" w:styleId="68">
    <w:name w:val="font41"/>
    <w:basedOn w:val="34"/>
    <w:qFormat/>
    <w:uiPriority w:val="0"/>
    <w:rPr>
      <w:rFonts w:hint="eastAsia" w:ascii="仿宋" w:hAnsi="仿宋" w:eastAsia="仿宋" w:cs="仿宋"/>
      <w:color w:val="FF0000"/>
      <w:sz w:val="21"/>
      <w:szCs w:val="21"/>
      <w:u w:val="none"/>
    </w:rPr>
  </w:style>
  <w:style w:type="character" w:customStyle="1" w:styleId="69">
    <w:name w:val="标题 字符"/>
    <w:link w:val="28"/>
    <w:qFormat/>
    <w:uiPriority w:val="10"/>
    <w:rPr>
      <w:rFonts w:ascii="Cambria" w:hAnsi="Cambria" w:cs="Times New Roman"/>
      <w:b/>
      <w:bCs/>
      <w:kern w:val="2"/>
      <w:sz w:val="32"/>
      <w:szCs w:val="32"/>
    </w:rPr>
  </w:style>
  <w:style w:type="character" w:customStyle="1" w:styleId="70">
    <w:name w:val="标题 9 字符"/>
    <w:link w:val="9"/>
    <w:semiHidden/>
    <w:qFormat/>
    <w:uiPriority w:val="9"/>
    <w:rPr>
      <w:rFonts w:ascii="Cambria" w:hAnsi="Cambria" w:eastAsia="宋体" w:cs="Times New Roman"/>
      <w:kern w:val="2"/>
      <w:sz w:val="21"/>
      <w:szCs w:val="21"/>
    </w:rPr>
  </w:style>
  <w:style w:type="paragraph" w:customStyle="1" w:styleId="71">
    <w:name w:val="表格文字"/>
    <w:basedOn w:val="1"/>
    <w:next w:val="13"/>
    <w:qFormat/>
    <w:uiPriority w:val="0"/>
    <w:pPr>
      <w:spacing w:line="420" w:lineRule="atLeast"/>
      <w:jc w:val="left"/>
    </w:pPr>
    <w:rPr>
      <w:kern w:val="0"/>
    </w:rPr>
  </w:style>
  <w:style w:type="paragraph" w:customStyle="1" w:styleId="72">
    <w:name w:val="正文缩进1"/>
    <w:basedOn w:val="1"/>
    <w:next w:val="15"/>
    <w:qFormat/>
    <w:uiPriority w:val="0"/>
    <w:pPr>
      <w:autoSpaceDE w:val="0"/>
      <w:autoSpaceDN w:val="0"/>
      <w:spacing w:after="120" w:line="360" w:lineRule="auto"/>
      <w:ind w:left="420" w:leftChars="200" w:firstLine="480" w:firstLineChars="200"/>
    </w:pPr>
    <w:rPr>
      <w:sz w:val="24"/>
      <w:szCs w:val="21"/>
    </w:rPr>
  </w:style>
  <w:style w:type="character" w:customStyle="1" w:styleId="73">
    <w:name w:val="NormalCharacter1"/>
    <w:qFormat/>
    <w:uiPriority w:val="0"/>
    <w:rPr>
      <w:kern w:val="2"/>
      <w:sz w:val="21"/>
      <w:szCs w:val="24"/>
      <w:lang w:val="en-US" w:eastAsia="zh-CN" w:bidi="ar-SA"/>
    </w:rPr>
  </w:style>
  <w:style w:type="character" w:customStyle="1" w:styleId="74">
    <w:name w:val="apple-style-span"/>
    <w:qFormat/>
    <w:uiPriority w:val="0"/>
  </w:style>
  <w:style w:type="character" w:customStyle="1" w:styleId="75">
    <w:name w:val="批注文字 字符"/>
    <w:qFormat/>
    <w:uiPriority w:val="0"/>
    <w:rPr>
      <w:rFonts w:ascii="Times New Roman" w:hAnsi="Times New Roman"/>
      <w:kern w:val="2"/>
      <w:sz w:val="21"/>
      <w:szCs w:val="24"/>
    </w:rPr>
  </w:style>
  <w:style w:type="character" w:customStyle="1" w:styleId="76">
    <w:name w:val="标题 Char1"/>
    <w:qFormat/>
    <w:uiPriority w:val="0"/>
    <w:rPr>
      <w:rFonts w:ascii="Calibri" w:hAnsi="Calibri"/>
      <w:b/>
      <w:sz w:val="24"/>
      <w:lang w:val="en-GB"/>
    </w:rPr>
  </w:style>
  <w:style w:type="paragraph" w:customStyle="1" w:styleId="77">
    <w:name w:val="AONormal"/>
    <w:qFormat/>
    <w:uiPriority w:val="0"/>
    <w:pPr>
      <w:autoSpaceDE w:val="0"/>
      <w:autoSpaceDN w:val="0"/>
      <w:snapToGrid/>
      <w:spacing w:line="400" w:lineRule="exact"/>
      <w:ind w:firstLine="440" w:firstLineChars="200"/>
    </w:pPr>
    <w:rPr>
      <w:rFonts w:ascii="华文楷体" w:hAnsi="华文楷体" w:eastAsia="华文楷体" w:cs="华文楷体"/>
      <w:kern w:val="2"/>
      <w:sz w:val="22"/>
      <w:szCs w:val="21"/>
      <w:lang w:val="en-US" w:eastAsia="zh-CN" w:bidi="ar-SA"/>
    </w:rPr>
  </w:style>
  <w:style w:type="character" w:customStyle="1" w:styleId="78">
    <w:name w:val="批注文字 字符1"/>
    <w:qFormat/>
    <w:uiPriority w:val="0"/>
    <w:rPr>
      <w:rFonts w:ascii="Times New Roman" w:hAnsi="Times New Roman"/>
      <w:kern w:val="2"/>
      <w:sz w:val="21"/>
      <w:szCs w:val="24"/>
    </w:rPr>
  </w:style>
  <w:style w:type="character" w:customStyle="1" w:styleId="79">
    <w:name w:val="纯文本 字符"/>
    <w:link w:val="1"/>
    <w:qFormat/>
    <w:uiPriority w:val="0"/>
    <w:rPr>
      <w:rFonts w:ascii="宋体" w:hAnsi="Courier New" w:eastAsia="宋体" w:cs="Courier New"/>
      <w:szCs w:val="21"/>
    </w:rPr>
  </w:style>
  <w:style w:type="character" w:customStyle="1" w:styleId="80">
    <w:name w:val="正文文本缩进 字符"/>
    <w:link w:val="1"/>
    <w:qFormat/>
    <w:uiPriority w:val="0"/>
    <w:rPr>
      <w:rFonts w:ascii="仿宋_GB2312" w:hAnsi="Times New Roman" w:eastAsia="仿宋_GB2312" w:cs="Times New Roman"/>
      <w:sz w:val="32"/>
      <w:szCs w:val="20"/>
    </w:rPr>
  </w:style>
  <w:style w:type="paragraph" w:customStyle="1" w:styleId="81">
    <w:name w:val="TOC 标题"/>
    <w:basedOn w:val="2"/>
    <w:next w:val="1"/>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lang w:val="en-US" w:eastAsia="zh-CN"/>
    </w:rPr>
  </w:style>
  <w:style w:type="paragraph" w:customStyle="1" w:styleId="82">
    <w:name w:val="样式5"/>
    <w:basedOn w:val="1"/>
    <w:qFormat/>
    <w:uiPriority w:val="0"/>
    <w:pPr>
      <w:spacing w:line="440" w:lineRule="exact"/>
      <w:ind w:left="2" w:firstLine="480" w:firstLineChars="200"/>
    </w:pPr>
    <w:rPr>
      <w:rFonts w:ascii="仿宋_GB2312" w:hAnsi="仿宋" w:eastAsia="仿宋_GB2312"/>
      <w:sz w:val="24"/>
    </w:rPr>
  </w:style>
  <w:style w:type="character" w:customStyle="1" w:styleId="83">
    <w:name w:val="标题 3 字符"/>
    <w:link w:val="4"/>
    <w:semiHidden/>
    <w:qFormat/>
    <w:uiPriority w:val="9"/>
    <w:rPr>
      <w:b/>
      <w:bCs/>
      <w:kern w:val="2"/>
      <w:sz w:val="32"/>
      <w:szCs w:val="32"/>
    </w:rPr>
  </w:style>
  <w:style w:type="character" w:customStyle="1" w:styleId="84">
    <w:name w:val="font51"/>
    <w:basedOn w:val="34"/>
    <w:link w:val="1"/>
    <w:qFormat/>
    <w:uiPriority w:val="0"/>
    <w:rPr>
      <w:rFonts w:hint="eastAsia" w:ascii="宋体" w:hAnsi="宋体" w:eastAsia="宋体" w:cs="宋体"/>
      <w:color w:val="000000"/>
      <w:sz w:val="21"/>
      <w:szCs w:val="21"/>
      <w:u w:val="none"/>
    </w:rPr>
  </w:style>
  <w:style w:type="character" w:customStyle="1" w:styleId="85">
    <w:name w:val="正文文本 Char"/>
    <w:link w:val="1"/>
    <w:qFormat/>
    <w:uiPriority w:val="0"/>
    <w:rPr>
      <w:rFonts w:ascii="Times New Roman" w:hAnsi="Times New Roman"/>
      <w:kern w:val="2"/>
      <w:sz w:val="21"/>
      <w:szCs w:val="24"/>
    </w:rPr>
  </w:style>
  <w:style w:type="paragraph" w:customStyle="1" w:styleId="86">
    <w:name w:val="Char Char Char Char"/>
    <w:basedOn w:val="1"/>
    <w:qFormat/>
    <w:uiPriority w:val="0"/>
    <w:pPr>
      <w:widowControl/>
      <w:spacing w:after="160" w:line="240" w:lineRule="exact"/>
      <w:jc w:val="left"/>
    </w:pPr>
  </w:style>
  <w:style w:type="character" w:customStyle="1" w:styleId="87">
    <w:name w:val="标题 8 字符"/>
    <w:link w:val="8"/>
    <w:semiHidden/>
    <w:qFormat/>
    <w:uiPriority w:val="9"/>
    <w:rPr>
      <w:rFonts w:ascii="等线 Light" w:hAnsi="等线 Light" w:eastAsia="等线 Light" w:cs="Times New Roman"/>
      <w:kern w:val="2"/>
      <w:sz w:val="24"/>
      <w:szCs w:val="24"/>
    </w:rPr>
  </w:style>
  <w:style w:type="character" w:customStyle="1" w:styleId="88">
    <w:name w:val="纯文本 Char2"/>
    <w:link w:val="1"/>
    <w:qFormat/>
    <w:uiPriority w:val="0"/>
    <w:rPr>
      <w:rFonts w:ascii="宋体" w:hAnsi="Courier New" w:cs="Arial"/>
      <w:snapToGrid w:val="0"/>
      <w:szCs w:val="21"/>
    </w:rPr>
  </w:style>
  <w:style w:type="character" w:customStyle="1" w:styleId="89">
    <w:name w:val="批注文字 字符2"/>
    <w:link w:val="11"/>
    <w:qFormat/>
    <w:uiPriority w:val="0"/>
    <w:rPr>
      <w:rFonts w:ascii="Times New Roman" w:hAnsi="Times New Roman"/>
      <w:kern w:val="2"/>
      <w:sz w:val="21"/>
      <w:szCs w:val="24"/>
    </w:rPr>
  </w:style>
  <w:style w:type="character" w:customStyle="1" w:styleId="90">
    <w:name w:val="正文2 Char Char"/>
    <w:link w:val="45"/>
    <w:qFormat/>
    <w:uiPriority w:val="0"/>
    <w:rPr>
      <w:sz w:val="24"/>
    </w:rPr>
  </w:style>
  <w:style w:type="paragraph" w:customStyle="1" w:styleId="91">
    <w:name w:val="_Style 45"/>
    <w:basedOn w:val="1"/>
    <w:next w:val="1"/>
    <w:qFormat/>
    <w:uiPriority w:val="0"/>
    <w:pPr>
      <w:pBdr>
        <w:bottom w:val="single" w:color="000000" w:sz="6" w:space="1"/>
      </w:pBdr>
      <w:jc w:val="center"/>
    </w:pPr>
    <w:rPr>
      <w:rFonts w:ascii="Arial"/>
      <w:vanish/>
      <w:sz w:val="16"/>
    </w:rPr>
  </w:style>
  <w:style w:type="paragraph" w:customStyle="1" w:styleId="92">
    <w:name w:val="列表段落"/>
    <w:basedOn w:val="1"/>
    <w:qFormat/>
    <w:uiPriority w:val="34"/>
    <w:pPr>
      <w:ind w:firstLine="420" w:firstLineChars="200"/>
    </w:pPr>
  </w:style>
  <w:style w:type="character" w:customStyle="1" w:styleId="93">
    <w:name w:val="标题 1 字符"/>
    <w:link w:val="2"/>
    <w:qFormat/>
    <w:uiPriority w:val="9"/>
    <w:rPr>
      <w:b/>
      <w:bCs/>
      <w:kern w:val="44"/>
      <w:sz w:val="44"/>
      <w:szCs w:val="44"/>
    </w:rPr>
  </w:style>
  <w:style w:type="character" w:customStyle="1" w:styleId="94">
    <w:name w:val="日期 字符"/>
    <w:link w:val="19"/>
    <w:semiHidden/>
    <w:qFormat/>
    <w:uiPriority w:val="99"/>
    <w:rPr>
      <w:rFonts w:ascii="Times New Roman" w:hAnsi="Times New Roman"/>
      <w:kern w:val="2"/>
      <w:sz w:val="21"/>
      <w:szCs w:val="24"/>
    </w:rPr>
  </w:style>
  <w:style w:type="character" w:customStyle="1" w:styleId="95">
    <w:name w:val="页眉 字符"/>
    <w:link w:val="22"/>
    <w:qFormat/>
    <w:uiPriority w:val="0"/>
    <w:rPr>
      <w:sz w:val="18"/>
      <w:szCs w:val="18"/>
    </w:rPr>
  </w:style>
  <w:style w:type="character" w:customStyle="1" w:styleId="96">
    <w:name w:val="未处理的提及"/>
    <w:link w:val="1"/>
    <w:unhideWhenUsed/>
    <w:qFormat/>
    <w:uiPriority w:val="99"/>
    <w:rPr>
      <w:color w:val="605E5C"/>
      <w:shd w:val="clear" w:color="auto" w:fill="E1DFDD"/>
    </w:rPr>
  </w:style>
  <w:style w:type="character" w:customStyle="1" w:styleId="97">
    <w:name w:val="批注主题 字符"/>
    <w:link w:val="29"/>
    <w:qFormat/>
    <w:uiPriority w:val="99"/>
    <w:rPr>
      <w:rFonts w:ascii="Times New Roman" w:hAnsi="Times New Roman"/>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94</Pages>
  <Words>14173</Words>
  <Characters>15655</Characters>
  <TotalTime>0</TotalTime>
  <ScaleCrop>false</ScaleCrop>
  <LinksUpToDate>false</LinksUpToDate>
  <CharactersWithSpaces>15875</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2025-06-10T09:53:00Z</dcterms:created>
  <dc:creator>Administrator</dc:creator>
  <cp:lastModifiedBy>健仔</cp:lastModifiedBy>
  <dcterms:modified xsi:type="dcterms:W3CDTF">2025-06-16T01:58:47Z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eyJoZGlkIjoiZmY3NGUzMmViYTU1NzgxYTEwZjExODQ1OTEzOTNjMzMiLCJ1c2VySWQiOiI0NDkzOTI0NzUifQ==</vt:lpwstr>
  </property>
  <property fmtid="{D5CDD505-2E9C-101B-9397-08002B2CF9AE}" pid="3" name="KSOProductBuildVer">
    <vt:lpwstr>2052-12.1.0.21171</vt:lpwstr>
  </property>
  <property fmtid="{D5CDD505-2E9C-101B-9397-08002B2CF9AE}" pid="4" name="ICV">
    <vt:lpwstr>6AEFFA224C0B4D6992D9DCD1C423A108_13</vt:lpwstr>
  </property>
</Properties>
</file>