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624444">
      <w:pPr>
        <w:pStyle w:val="13"/>
        <w:kinsoku w:val="0"/>
        <w:overflowPunct w:val="0"/>
        <w:ind w:left="0"/>
        <w:rPr>
          <w:rFonts w:hint="eastAsia" w:ascii="宋体" w:hAnsi="宋体" w:eastAsia="宋体" w:cs="宋体"/>
          <w:b/>
          <w:color w:val="auto"/>
          <w:sz w:val="50"/>
          <w:highlight w:val="none"/>
          <w:lang w:eastAsia="zh-CN"/>
        </w:rPr>
      </w:pPr>
    </w:p>
    <w:p w14:paraId="5C47389F">
      <w:pPr>
        <w:kinsoku w:val="0"/>
        <w:overflowPunct w:val="0"/>
        <w:spacing w:line="379" w:lineRule="auto"/>
        <w:jc w:val="center"/>
        <w:rPr>
          <w:rFonts w:hint="eastAsia" w:ascii="宋体" w:hAnsi="宋体" w:eastAsia="宋体"/>
          <w:b/>
          <w:color w:val="auto"/>
          <w:sz w:val="44"/>
          <w:szCs w:val="44"/>
          <w:highlight w:val="none"/>
          <w:lang w:eastAsia="zh-CN"/>
        </w:rPr>
      </w:pPr>
      <w:r>
        <w:rPr>
          <w:rFonts w:hint="eastAsia" w:ascii="宋体" w:hAnsi="宋体" w:cs="宋体"/>
          <w:b/>
          <w:color w:val="auto"/>
          <w:sz w:val="44"/>
          <w:szCs w:val="44"/>
          <w:highlight w:val="none"/>
          <w:lang w:eastAsia="zh-CN"/>
        </w:rPr>
        <w:t>广西壮族自治区凤山公路养护中心G357线林佑坳隧道维修处治工程</w:t>
      </w:r>
    </w:p>
    <w:p w14:paraId="00C80498">
      <w:pPr>
        <w:kinsoku w:val="0"/>
        <w:overflowPunct w:val="0"/>
        <w:jc w:val="center"/>
        <w:rPr>
          <w:rFonts w:ascii="宋体" w:hAnsi="宋体" w:cs="宋体"/>
          <w:b/>
          <w:color w:val="auto"/>
          <w:sz w:val="52"/>
          <w:szCs w:val="52"/>
          <w:highlight w:val="none"/>
        </w:rPr>
      </w:pPr>
    </w:p>
    <w:p w14:paraId="1C0C2AE7">
      <w:pPr>
        <w:kinsoku w:val="0"/>
        <w:overflowPunct w:val="0"/>
        <w:jc w:val="center"/>
        <w:rPr>
          <w:rFonts w:ascii="宋体" w:hAnsi="宋体" w:cs="宋体"/>
          <w:color w:val="auto"/>
          <w:sz w:val="52"/>
          <w:szCs w:val="52"/>
          <w:highlight w:val="none"/>
        </w:rPr>
      </w:pPr>
      <w:r>
        <w:rPr>
          <w:rFonts w:ascii="宋体" w:hAnsi="宋体" w:cs="宋体"/>
          <w:b/>
          <w:color w:val="auto"/>
          <w:sz w:val="52"/>
          <w:szCs w:val="52"/>
          <w:highlight w:val="none"/>
        </w:rPr>
        <w:t>竞争性磋商采购文件</w:t>
      </w:r>
    </w:p>
    <w:p w14:paraId="556505B2">
      <w:pPr>
        <w:kinsoku w:val="0"/>
        <w:overflowPunct w:val="0"/>
        <w:rPr>
          <w:rFonts w:ascii="宋体" w:hAnsi="宋体" w:cs="宋体"/>
          <w:b/>
          <w:color w:val="auto"/>
          <w:sz w:val="100"/>
          <w:highlight w:val="none"/>
        </w:rPr>
      </w:pPr>
    </w:p>
    <w:p w14:paraId="348E5063">
      <w:pPr>
        <w:kinsoku w:val="0"/>
        <w:overflowPunct w:val="0"/>
        <w:rPr>
          <w:rFonts w:ascii="宋体" w:hAnsi="宋体" w:cs="宋体"/>
          <w:b/>
          <w:color w:val="auto"/>
          <w:sz w:val="30"/>
          <w:szCs w:val="30"/>
          <w:highlight w:val="none"/>
        </w:rPr>
      </w:pPr>
    </w:p>
    <w:p w14:paraId="669D95CE">
      <w:pPr>
        <w:spacing w:before="240" w:beforeLines="100" w:after="120" w:afterLines="50" w:line="360" w:lineRule="auto"/>
        <w:ind w:left="2880" w:leftChars="450" w:hanging="1800" w:hangingChars="500"/>
        <w:jc w:val="left"/>
        <w:rPr>
          <w:rFonts w:hint="eastAsia" w:ascii="宋体" w:hAnsi="宋体" w:cs="宋体"/>
          <w:color w:val="auto"/>
          <w:sz w:val="36"/>
          <w:szCs w:val="36"/>
          <w:highlight w:val="none"/>
          <w:lang w:eastAsia="zh-CN"/>
        </w:rPr>
      </w:pPr>
      <w:bookmarkStart w:id="0" w:name="_Toc514759018"/>
      <w:bookmarkStart w:id="1" w:name="_Toc514786839"/>
      <w:r>
        <w:rPr>
          <w:rFonts w:ascii="宋体" w:hAnsi="宋体" w:cs="宋体"/>
          <w:color w:val="auto"/>
          <w:sz w:val="36"/>
          <w:szCs w:val="36"/>
          <w:highlight w:val="none"/>
        </w:rPr>
        <w:t>项目名称：</w:t>
      </w:r>
      <w:bookmarkEnd w:id="0"/>
      <w:bookmarkEnd w:id="1"/>
      <w:bookmarkStart w:id="2" w:name="_Toc514759019"/>
      <w:bookmarkStart w:id="3" w:name="_Toc514786840"/>
      <w:r>
        <w:rPr>
          <w:rFonts w:hint="eastAsia" w:ascii="宋体" w:hAnsi="宋体" w:cs="宋体"/>
          <w:color w:val="auto"/>
          <w:sz w:val="36"/>
          <w:szCs w:val="36"/>
          <w:highlight w:val="none"/>
          <w:lang w:eastAsia="zh-CN"/>
        </w:rPr>
        <w:t>广西壮族自治区凤山公路养护中心G357线林佑坳隧道维修处治工程</w:t>
      </w:r>
    </w:p>
    <w:p w14:paraId="24BB92F4">
      <w:pPr>
        <w:spacing w:before="240" w:beforeLines="100" w:after="120" w:afterLines="50" w:line="360" w:lineRule="auto"/>
        <w:ind w:firstLine="1080" w:firstLineChars="300"/>
        <w:jc w:val="both"/>
        <w:rPr>
          <w:rFonts w:hint="eastAsia" w:ascii="宋体" w:hAnsi="宋体" w:eastAsia="宋体" w:cs="宋体"/>
          <w:color w:val="auto"/>
          <w:sz w:val="36"/>
          <w:szCs w:val="36"/>
          <w:highlight w:val="none"/>
          <w:lang w:eastAsia="zh-CN"/>
        </w:rPr>
      </w:pPr>
      <w:r>
        <w:rPr>
          <w:rFonts w:ascii="宋体" w:hAnsi="宋体" w:cs="宋体"/>
          <w:color w:val="auto"/>
          <w:sz w:val="36"/>
          <w:szCs w:val="36"/>
          <w:highlight w:val="none"/>
        </w:rPr>
        <w:t>项目编号：</w:t>
      </w:r>
      <w:bookmarkEnd w:id="2"/>
      <w:bookmarkEnd w:id="3"/>
      <w:r>
        <w:rPr>
          <w:rFonts w:hint="eastAsia" w:ascii="宋体" w:hAnsi="宋体" w:cs="宋体"/>
          <w:color w:val="auto"/>
          <w:sz w:val="36"/>
          <w:szCs w:val="36"/>
          <w:highlight w:val="none"/>
          <w:lang w:eastAsia="zh-CN"/>
        </w:rPr>
        <w:t>GXZC2025-C2-002117-GXZL</w:t>
      </w:r>
    </w:p>
    <w:p w14:paraId="61243FE8">
      <w:pPr>
        <w:kinsoku w:val="0"/>
        <w:overflowPunct w:val="0"/>
        <w:spacing w:line="357" w:lineRule="auto"/>
        <w:ind w:firstLine="1760" w:firstLineChars="550"/>
        <w:outlineLvl w:val="3"/>
        <w:rPr>
          <w:rFonts w:ascii="宋体" w:hAnsi="宋体" w:cs="宋体"/>
          <w:color w:val="auto"/>
          <w:sz w:val="32"/>
          <w:highlight w:val="none"/>
        </w:rPr>
      </w:pPr>
    </w:p>
    <w:p w14:paraId="1178435D">
      <w:pPr>
        <w:kinsoku w:val="0"/>
        <w:overflowPunct w:val="0"/>
        <w:rPr>
          <w:rFonts w:ascii="宋体" w:hAnsi="宋体" w:cs="宋体"/>
          <w:b/>
          <w:color w:val="auto"/>
          <w:sz w:val="32"/>
          <w:highlight w:val="none"/>
        </w:rPr>
      </w:pPr>
    </w:p>
    <w:p w14:paraId="7A85AA88">
      <w:pPr>
        <w:kinsoku w:val="0"/>
        <w:overflowPunct w:val="0"/>
        <w:rPr>
          <w:rFonts w:ascii="宋体" w:hAnsi="宋体" w:cs="宋体"/>
          <w:b/>
          <w:color w:val="auto"/>
          <w:sz w:val="32"/>
          <w:highlight w:val="none"/>
        </w:rPr>
      </w:pPr>
    </w:p>
    <w:p w14:paraId="6946F7A2">
      <w:pPr>
        <w:kinsoku w:val="0"/>
        <w:overflowPunct w:val="0"/>
        <w:rPr>
          <w:rFonts w:ascii="宋体" w:hAnsi="宋体" w:cs="宋体"/>
          <w:b/>
          <w:color w:val="auto"/>
          <w:sz w:val="32"/>
          <w:highlight w:val="none"/>
        </w:rPr>
      </w:pPr>
    </w:p>
    <w:p w14:paraId="42D1C4D5">
      <w:pPr>
        <w:kinsoku w:val="0"/>
        <w:overflowPunct w:val="0"/>
        <w:rPr>
          <w:rFonts w:ascii="宋体" w:hAnsi="宋体" w:cs="宋体"/>
          <w:b/>
          <w:color w:val="auto"/>
          <w:sz w:val="32"/>
          <w:highlight w:val="none"/>
        </w:rPr>
      </w:pPr>
    </w:p>
    <w:p w14:paraId="765ECF66">
      <w:pPr>
        <w:kinsoku w:val="0"/>
        <w:overflowPunct w:val="0"/>
        <w:spacing w:line="379" w:lineRule="auto"/>
        <w:jc w:val="center"/>
        <w:rPr>
          <w:rFonts w:ascii="宋体" w:hAnsi="宋体" w:cs="宋体"/>
          <w:b/>
          <w:color w:val="auto"/>
          <w:sz w:val="32"/>
          <w:highlight w:val="none"/>
        </w:rPr>
      </w:pPr>
    </w:p>
    <w:p w14:paraId="0A0F8815">
      <w:pPr>
        <w:kinsoku w:val="0"/>
        <w:overflowPunct w:val="0"/>
        <w:spacing w:line="379" w:lineRule="auto"/>
        <w:jc w:val="center"/>
        <w:rPr>
          <w:rFonts w:ascii="宋体" w:hAnsi="宋体" w:cs="宋体"/>
          <w:b/>
          <w:color w:val="auto"/>
          <w:sz w:val="32"/>
          <w:highlight w:val="none"/>
        </w:rPr>
      </w:pPr>
    </w:p>
    <w:p w14:paraId="15CE243F">
      <w:pPr>
        <w:kinsoku w:val="0"/>
        <w:overflowPunct w:val="0"/>
        <w:spacing w:line="379" w:lineRule="auto"/>
        <w:ind w:firstLine="1606" w:firstLineChars="500"/>
        <w:jc w:val="both"/>
        <w:rPr>
          <w:rFonts w:hint="eastAsia" w:ascii="宋体" w:hAnsi="宋体" w:eastAsia="宋体" w:cs="宋体"/>
          <w:b/>
          <w:color w:val="auto"/>
          <w:w w:val="99"/>
          <w:sz w:val="32"/>
          <w:highlight w:val="none"/>
          <w:lang w:eastAsia="zh-CN"/>
        </w:rPr>
      </w:pPr>
      <w:r>
        <w:rPr>
          <w:rFonts w:ascii="宋体" w:hAnsi="宋体" w:cs="宋体"/>
          <w:b/>
          <w:color w:val="auto"/>
          <w:sz w:val="32"/>
          <w:highlight w:val="none"/>
        </w:rPr>
        <w:t>采购单位：广西壮族自治区</w:t>
      </w:r>
      <w:r>
        <w:rPr>
          <w:rFonts w:hint="eastAsia" w:ascii="宋体" w:hAnsi="宋体" w:cs="宋体"/>
          <w:b/>
          <w:color w:val="auto"/>
          <w:sz w:val="32"/>
          <w:highlight w:val="none"/>
          <w:lang w:eastAsia="zh-CN"/>
        </w:rPr>
        <w:t>凤山公路养护中心</w:t>
      </w:r>
    </w:p>
    <w:p w14:paraId="165069F9">
      <w:pPr>
        <w:kinsoku w:val="0"/>
        <w:overflowPunct w:val="0"/>
        <w:spacing w:line="379" w:lineRule="auto"/>
        <w:rPr>
          <w:rFonts w:ascii="宋体" w:hAnsi="宋体" w:cs="宋体"/>
          <w:b/>
          <w:color w:val="auto"/>
          <w:w w:val="95"/>
          <w:sz w:val="32"/>
          <w:highlight w:val="none"/>
        </w:rPr>
      </w:pPr>
      <w:r>
        <w:rPr>
          <w:rFonts w:ascii="宋体" w:hAnsi="宋体" w:cs="宋体"/>
          <w:b/>
          <w:color w:val="auto"/>
          <w:w w:val="95"/>
          <w:sz w:val="32"/>
          <w:highlight w:val="none"/>
        </w:rPr>
        <w:t xml:space="preserve">         </w:t>
      </w:r>
    </w:p>
    <w:p w14:paraId="53F74C18">
      <w:pPr>
        <w:kinsoku w:val="0"/>
        <w:overflowPunct w:val="0"/>
        <w:spacing w:line="379" w:lineRule="auto"/>
        <w:ind w:firstLine="1526" w:firstLineChars="500"/>
        <w:rPr>
          <w:rFonts w:hint="eastAsia" w:ascii="宋体" w:hAnsi="宋体" w:eastAsia="宋体" w:cs="宋体"/>
          <w:color w:val="auto"/>
          <w:sz w:val="32"/>
          <w:highlight w:val="none"/>
          <w:lang w:eastAsia="zh-CN"/>
        </w:rPr>
      </w:pPr>
      <w:r>
        <w:rPr>
          <w:rFonts w:ascii="宋体" w:hAnsi="宋体" w:cs="宋体"/>
          <w:b/>
          <w:color w:val="auto"/>
          <w:w w:val="95"/>
          <w:sz w:val="32"/>
          <w:highlight w:val="none"/>
        </w:rPr>
        <w:t>采购代理机构：</w:t>
      </w:r>
      <w:r>
        <w:rPr>
          <w:rFonts w:hint="eastAsia" w:ascii="宋体" w:hAnsi="宋体" w:cs="宋体"/>
          <w:b/>
          <w:color w:val="auto"/>
          <w:w w:val="95"/>
          <w:sz w:val="32"/>
          <w:highlight w:val="none"/>
          <w:lang w:eastAsia="zh-CN"/>
        </w:rPr>
        <w:t>广西众联工程项目管理有限公司</w:t>
      </w:r>
    </w:p>
    <w:p w14:paraId="6CE59593">
      <w:pPr>
        <w:kinsoku w:val="0"/>
        <w:overflowPunct w:val="0"/>
        <w:jc w:val="center"/>
        <w:rPr>
          <w:rFonts w:ascii="宋体" w:hAnsi="宋体" w:cs="宋体"/>
          <w:b/>
          <w:color w:val="auto"/>
          <w:sz w:val="32"/>
          <w:highlight w:val="none"/>
        </w:rPr>
      </w:pPr>
    </w:p>
    <w:p w14:paraId="5CE6FA29">
      <w:pPr>
        <w:pStyle w:val="13"/>
        <w:kinsoku w:val="0"/>
        <w:overflowPunct w:val="0"/>
        <w:ind w:left="0"/>
        <w:jc w:val="center"/>
        <w:rPr>
          <w:rFonts w:ascii="宋体" w:hAnsi="宋体" w:cs="宋体"/>
          <w:b/>
          <w:color w:val="auto"/>
          <w:sz w:val="44"/>
          <w:szCs w:val="44"/>
          <w:highlight w:val="none"/>
        </w:rPr>
      </w:pPr>
      <w:r>
        <w:rPr>
          <w:rFonts w:hint="eastAsia" w:ascii="宋体" w:hAnsi="宋体" w:cs="宋体"/>
          <w:b/>
          <w:color w:val="auto"/>
          <w:sz w:val="32"/>
          <w:highlight w:val="none"/>
          <w:lang w:val="en-US" w:eastAsia="zh-CN"/>
        </w:rPr>
        <w:t>2025年07月</w:t>
      </w:r>
    </w:p>
    <w:p w14:paraId="7C2E0911">
      <w:pPr>
        <w:pStyle w:val="13"/>
        <w:kinsoku w:val="0"/>
        <w:overflowPunct w:val="0"/>
        <w:ind w:left="0"/>
        <w:jc w:val="center"/>
        <w:rPr>
          <w:rFonts w:hint="eastAsia" w:ascii="宋体" w:hAnsi="宋体" w:cs="宋体"/>
          <w:color w:val="auto"/>
          <w:sz w:val="32"/>
          <w:highlight w:val="none"/>
        </w:rPr>
        <w:sectPr>
          <w:headerReference r:id="rId3" w:type="default"/>
          <w:type w:val="continuous"/>
          <w:pgSz w:w="11910" w:h="16840"/>
          <w:pgMar w:top="1100" w:right="1202" w:bottom="919" w:left="1298" w:header="720" w:footer="720" w:gutter="0"/>
          <w:cols w:space="720" w:num="1"/>
        </w:sectPr>
      </w:pPr>
    </w:p>
    <w:p w14:paraId="3291F09D">
      <w:pPr>
        <w:pStyle w:val="13"/>
        <w:kinsoku w:val="0"/>
        <w:overflowPunct w:val="0"/>
        <w:ind w:left="0"/>
        <w:rPr>
          <w:rFonts w:hint="eastAsia" w:ascii="宋体" w:hAnsi="宋体" w:cs="宋体"/>
          <w:b/>
          <w:color w:val="auto"/>
          <w:sz w:val="20"/>
          <w:highlight w:val="none"/>
        </w:rPr>
      </w:pPr>
    </w:p>
    <w:p w14:paraId="48181441">
      <w:pPr>
        <w:pStyle w:val="13"/>
        <w:kinsoku w:val="0"/>
        <w:overflowPunct w:val="0"/>
        <w:ind w:left="0"/>
        <w:rPr>
          <w:rFonts w:hint="eastAsia" w:ascii="宋体" w:hAnsi="宋体" w:cs="宋体"/>
          <w:b/>
          <w:color w:val="auto"/>
          <w:sz w:val="16"/>
          <w:highlight w:val="none"/>
        </w:rPr>
      </w:pPr>
    </w:p>
    <w:p w14:paraId="2919299A">
      <w:pPr>
        <w:pStyle w:val="5"/>
        <w:tabs>
          <w:tab w:val="left" w:pos="647"/>
        </w:tabs>
        <w:kinsoku w:val="0"/>
        <w:overflowPunct w:val="0"/>
        <w:jc w:val="center"/>
        <w:rPr>
          <w:rFonts w:hAnsi="宋体" w:cs="宋体"/>
          <w:color w:val="auto"/>
          <w:highlight w:val="none"/>
        </w:rPr>
      </w:pPr>
      <w:bookmarkStart w:id="4" w:name="_Toc514759020"/>
      <w:bookmarkStart w:id="5" w:name="_Toc514786841"/>
      <w:r>
        <w:rPr>
          <w:rFonts w:hAnsi="宋体" w:cs="宋体"/>
          <w:color w:val="auto"/>
          <w:w w:val="95"/>
          <w:highlight w:val="none"/>
        </w:rPr>
        <w:t>目</w:t>
      </w:r>
      <w:r>
        <w:rPr>
          <w:rFonts w:hAnsi="宋体" w:cs="宋体"/>
          <w:color w:val="auto"/>
          <w:w w:val="95"/>
          <w:highlight w:val="none"/>
        </w:rPr>
        <w:tab/>
      </w:r>
      <w:r>
        <w:rPr>
          <w:rFonts w:hAnsi="宋体" w:cs="宋体"/>
          <w:color w:val="auto"/>
          <w:highlight w:val="none"/>
        </w:rPr>
        <w:t>录</w:t>
      </w:r>
      <w:bookmarkEnd w:id="4"/>
      <w:bookmarkEnd w:id="5"/>
    </w:p>
    <w:p w14:paraId="2F155957">
      <w:pPr>
        <w:rPr>
          <w:rFonts w:ascii="宋体" w:hAnsi="宋体" w:cs="宋体"/>
          <w:b/>
          <w:color w:val="auto"/>
          <w:highlight w:val="none"/>
        </w:rPr>
      </w:pPr>
    </w:p>
    <w:p w14:paraId="29787226">
      <w:pPr>
        <w:rPr>
          <w:rFonts w:ascii="宋体" w:hAnsi="宋体" w:cs="宋体"/>
          <w:b/>
          <w:color w:val="auto"/>
          <w:highlight w:val="none"/>
        </w:rPr>
      </w:pPr>
    </w:p>
    <w:p w14:paraId="79EE15FB">
      <w:pPr>
        <w:pStyle w:val="16"/>
        <w:tabs>
          <w:tab w:val="clear" w:pos="720"/>
        </w:tabs>
        <w:spacing w:line="360" w:lineRule="auto"/>
        <w:rPr>
          <w:rFonts w:ascii="宋体" w:hAnsi="宋体" w:cs="宋体"/>
          <w:i w:val="0"/>
          <w:color w:val="auto"/>
          <w:kern w:val="2"/>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TOC \o "1-3" \h \z \u </w:instrText>
      </w:r>
      <w:r>
        <w:rPr>
          <w:rFonts w:ascii="宋体" w:hAnsi="宋体" w:cs="宋体"/>
          <w:color w:val="auto"/>
          <w:sz w:val="24"/>
          <w:szCs w:val="24"/>
          <w:highlight w:val="none"/>
        </w:rPr>
        <w:fldChar w:fldCharType="separate"/>
      </w:r>
      <w:r>
        <w:rPr>
          <w:rFonts w:ascii="宋体" w:hAnsi="宋体" w:cs="宋体"/>
          <w:i w:val="0"/>
          <w:color w:val="auto"/>
          <w:sz w:val="24"/>
          <w:szCs w:val="24"/>
          <w:highlight w:val="none"/>
        </w:rPr>
        <w:fldChar w:fldCharType="begin"/>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instrText xml:space="preserve">HYPERLINK \l "_Toc517163141"</w:instrText>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fldChar w:fldCharType="separate"/>
      </w:r>
      <w:r>
        <w:rPr>
          <w:rStyle w:val="38"/>
          <w:rFonts w:ascii="宋体" w:hAnsi="宋体" w:cs="宋体"/>
          <w:i w:val="0"/>
          <w:color w:val="auto"/>
          <w:sz w:val="24"/>
          <w:szCs w:val="24"/>
          <w:highlight w:val="none"/>
        </w:rPr>
        <w:t>第一章</w:t>
      </w:r>
      <w:r>
        <w:rPr>
          <w:rFonts w:ascii="宋体" w:hAnsi="宋体" w:cs="宋体"/>
          <w:i w:val="0"/>
          <w:color w:val="auto"/>
          <w:kern w:val="2"/>
          <w:sz w:val="24"/>
          <w:szCs w:val="24"/>
          <w:highlight w:val="none"/>
        </w:rPr>
        <w:t xml:space="preserve">    </w:t>
      </w:r>
      <w:r>
        <w:rPr>
          <w:rStyle w:val="38"/>
          <w:rFonts w:ascii="宋体" w:hAnsi="宋体" w:cs="宋体"/>
          <w:i w:val="0"/>
          <w:color w:val="auto"/>
          <w:sz w:val="24"/>
          <w:szCs w:val="24"/>
          <w:highlight w:val="none"/>
        </w:rPr>
        <w:t>竞争性磋商公告</w:t>
      </w:r>
      <w:r>
        <w:rPr>
          <w:rFonts w:ascii="宋体" w:hAnsi="宋体" w:cs="宋体"/>
          <w:i w:val="0"/>
          <w:color w:val="auto"/>
          <w:sz w:val="24"/>
          <w:szCs w:val="24"/>
          <w:highlight w:val="none"/>
        </w:rPr>
        <w:tab/>
      </w:r>
      <w:r>
        <w:rPr>
          <w:rFonts w:ascii="宋体" w:hAnsi="宋体" w:cs="宋体"/>
          <w:i w:val="0"/>
          <w:color w:val="auto"/>
          <w:sz w:val="24"/>
          <w:szCs w:val="24"/>
          <w:highlight w:val="none"/>
        </w:rPr>
        <w:t>2</w:t>
      </w:r>
      <w:r>
        <w:rPr>
          <w:rFonts w:ascii="宋体" w:hAnsi="宋体" w:cs="宋体"/>
          <w:i w:val="0"/>
          <w:color w:val="auto"/>
          <w:sz w:val="24"/>
          <w:szCs w:val="24"/>
          <w:highlight w:val="none"/>
        </w:rPr>
        <w:fldChar w:fldCharType="end"/>
      </w:r>
    </w:p>
    <w:p w14:paraId="55B959EA">
      <w:pPr>
        <w:pStyle w:val="16"/>
        <w:spacing w:line="360" w:lineRule="auto"/>
        <w:rPr>
          <w:rFonts w:ascii="宋体" w:hAnsi="宋体" w:cs="宋体"/>
          <w:i w:val="0"/>
          <w:color w:val="auto"/>
          <w:kern w:val="2"/>
          <w:sz w:val="24"/>
          <w:szCs w:val="24"/>
          <w:highlight w:val="none"/>
        </w:rPr>
      </w:pPr>
      <w:r>
        <w:rPr>
          <w:rFonts w:ascii="宋体" w:hAnsi="宋体" w:cs="宋体"/>
          <w:i w:val="0"/>
          <w:color w:val="auto"/>
          <w:sz w:val="24"/>
          <w:szCs w:val="24"/>
          <w:highlight w:val="none"/>
        </w:rPr>
        <w:fldChar w:fldCharType="begin"/>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instrText xml:space="preserve">HYPERLINK \l "_Toc517163142"</w:instrText>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fldChar w:fldCharType="separate"/>
      </w:r>
      <w:r>
        <w:rPr>
          <w:rStyle w:val="38"/>
          <w:rFonts w:ascii="宋体" w:hAnsi="宋体" w:cs="宋体"/>
          <w:i w:val="0"/>
          <w:color w:val="auto"/>
          <w:sz w:val="24"/>
          <w:szCs w:val="24"/>
          <w:highlight w:val="none"/>
        </w:rPr>
        <w:t>第二章    供应商须知</w:t>
      </w:r>
      <w:r>
        <w:rPr>
          <w:rFonts w:ascii="宋体" w:hAnsi="宋体" w:cs="宋体"/>
          <w:i w:val="0"/>
          <w:color w:val="auto"/>
          <w:sz w:val="24"/>
          <w:szCs w:val="24"/>
          <w:highlight w:val="none"/>
        </w:rPr>
        <w:tab/>
      </w:r>
      <w:r>
        <w:rPr>
          <w:rFonts w:ascii="宋体" w:hAnsi="宋体" w:cs="宋体"/>
          <w:i w:val="0"/>
          <w:color w:val="auto"/>
          <w:sz w:val="24"/>
          <w:szCs w:val="24"/>
          <w:highlight w:val="none"/>
        </w:rPr>
        <w:fldChar w:fldCharType="begin"/>
      </w:r>
      <w:r>
        <w:rPr>
          <w:rFonts w:ascii="宋体" w:hAnsi="宋体" w:cs="宋体"/>
          <w:i w:val="0"/>
          <w:color w:val="auto"/>
          <w:sz w:val="24"/>
          <w:szCs w:val="24"/>
          <w:highlight w:val="none"/>
        </w:rPr>
        <w:instrText xml:space="preserve"> PAGEREF _Toc517163142 \h </w:instrText>
      </w:r>
      <w:r>
        <w:rPr>
          <w:rFonts w:ascii="宋体" w:hAnsi="宋体" w:cs="宋体"/>
          <w:i w:val="0"/>
          <w:color w:val="auto"/>
          <w:sz w:val="24"/>
          <w:szCs w:val="24"/>
          <w:highlight w:val="none"/>
        </w:rPr>
        <w:fldChar w:fldCharType="separate"/>
      </w:r>
      <w:r>
        <w:rPr>
          <w:rFonts w:ascii="宋体" w:hAnsi="宋体" w:cs="宋体"/>
          <w:i w:val="0"/>
          <w:color w:val="auto"/>
          <w:sz w:val="24"/>
          <w:szCs w:val="24"/>
          <w:highlight w:val="none"/>
        </w:rPr>
        <w:t>6</w:t>
      </w:r>
      <w:r>
        <w:rPr>
          <w:rFonts w:ascii="宋体" w:hAnsi="宋体" w:cs="宋体"/>
          <w:i w:val="0"/>
          <w:color w:val="auto"/>
          <w:sz w:val="24"/>
          <w:szCs w:val="24"/>
          <w:highlight w:val="none"/>
        </w:rPr>
        <w:fldChar w:fldCharType="end"/>
      </w:r>
      <w:r>
        <w:rPr>
          <w:rFonts w:ascii="宋体" w:hAnsi="宋体" w:cs="宋体"/>
          <w:i w:val="0"/>
          <w:color w:val="auto"/>
          <w:sz w:val="24"/>
          <w:szCs w:val="24"/>
          <w:highlight w:val="none"/>
        </w:rPr>
        <w:fldChar w:fldCharType="end"/>
      </w:r>
    </w:p>
    <w:p w14:paraId="40B928E6">
      <w:pPr>
        <w:pStyle w:val="16"/>
        <w:tabs>
          <w:tab w:val="clear" w:pos="720"/>
        </w:tabs>
        <w:spacing w:line="360" w:lineRule="auto"/>
        <w:rPr>
          <w:rFonts w:ascii="宋体" w:hAnsi="宋体" w:cs="宋体"/>
          <w:i w:val="0"/>
          <w:color w:val="auto"/>
          <w:kern w:val="2"/>
          <w:sz w:val="24"/>
          <w:szCs w:val="24"/>
          <w:highlight w:val="none"/>
        </w:rPr>
      </w:pPr>
      <w:r>
        <w:rPr>
          <w:rFonts w:ascii="宋体" w:hAnsi="宋体" w:cs="宋体"/>
          <w:i w:val="0"/>
          <w:color w:val="auto"/>
          <w:sz w:val="24"/>
          <w:szCs w:val="24"/>
          <w:highlight w:val="none"/>
        </w:rPr>
        <w:fldChar w:fldCharType="begin"/>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instrText xml:space="preserve">HYPERLINK \l "_Toc517163144"</w:instrText>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fldChar w:fldCharType="separate"/>
      </w:r>
      <w:r>
        <w:rPr>
          <w:rStyle w:val="38"/>
          <w:rFonts w:ascii="宋体" w:hAnsi="宋体" w:cs="宋体"/>
          <w:i w:val="0"/>
          <w:color w:val="auto"/>
          <w:sz w:val="24"/>
          <w:szCs w:val="24"/>
          <w:highlight w:val="none"/>
        </w:rPr>
        <w:t>第三章</w:t>
      </w:r>
      <w:r>
        <w:rPr>
          <w:rFonts w:ascii="宋体" w:hAnsi="宋体" w:cs="宋体"/>
          <w:i w:val="0"/>
          <w:color w:val="auto"/>
          <w:kern w:val="2"/>
          <w:sz w:val="24"/>
          <w:szCs w:val="24"/>
          <w:highlight w:val="none"/>
        </w:rPr>
        <w:t xml:space="preserve">    </w:t>
      </w:r>
      <w:r>
        <w:rPr>
          <w:rStyle w:val="38"/>
          <w:rFonts w:ascii="宋体" w:hAnsi="宋体" w:cs="宋体"/>
          <w:i w:val="0"/>
          <w:color w:val="auto"/>
          <w:sz w:val="24"/>
          <w:szCs w:val="24"/>
          <w:highlight w:val="none"/>
        </w:rPr>
        <w:t>合同条款及格式</w:t>
      </w:r>
      <w:r>
        <w:rPr>
          <w:rFonts w:ascii="宋体" w:hAnsi="宋体" w:cs="宋体"/>
          <w:i w:val="0"/>
          <w:color w:val="auto"/>
          <w:sz w:val="24"/>
          <w:szCs w:val="24"/>
          <w:highlight w:val="none"/>
        </w:rPr>
        <w:tab/>
      </w:r>
      <w:r>
        <w:rPr>
          <w:rFonts w:ascii="宋体" w:hAnsi="宋体" w:cs="宋体"/>
          <w:i w:val="0"/>
          <w:color w:val="auto"/>
          <w:sz w:val="24"/>
          <w:szCs w:val="24"/>
          <w:highlight w:val="none"/>
        </w:rPr>
        <w:fldChar w:fldCharType="begin"/>
      </w:r>
      <w:r>
        <w:rPr>
          <w:rFonts w:ascii="宋体" w:hAnsi="宋体" w:cs="宋体"/>
          <w:i w:val="0"/>
          <w:color w:val="auto"/>
          <w:sz w:val="24"/>
          <w:szCs w:val="24"/>
          <w:highlight w:val="none"/>
        </w:rPr>
        <w:instrText xml:space="preserve"> PAGEREF _Toc517163144 \h </w:instrText>
      </w:r>
      <w:r>
        <w:rPr>
          <w:rFonts w:ascii="宋体" w:hAnsi="宋体" w:cs="宋体"/>
          <w:i w:val="0"/>
          <w:color w:val="auto"/>
          <w:sz w:val="24"/>
          <w:szCs w:val="24"/>
          <w:highlight w:val="none"/>
        </w:rPr>
        <w:fldChar w:fldCharType="separate"/>
      </w:r>
      <w:r>
        <w:rPr>
          <w:rFonts w:ascii="宋体" w:hAnsi="宋体" w:cs="宋体"/>
          <w:i w:val="0"/>
          <w:color w:val="auto"/>
          <w:sz w:val="24"/>
          <w:szCs w:val="24"/>
          <w:highlight w:val="none"/>
        </w:rPr>
        <w:t>28</w:t>
      </w:r>
      <w:r>
        <w:rPr>
          <w:rFonts w:ascii="宋体" w:hAnsi="宋体" w:cs="宋体"/>
          <w:i w:val="0"/>
          <w:color w:val="auto"/>
          <w:sz w:val="24"/>
          <w:szCs w:val="24"/>
          <w:highlight w:val="none"/>
        </w:rPr>
        <w:fldChar w:fldCharType="end"/>
      </w:r>
      <w:r>
        <w:rPr>
          <w:rFonts w:ascii="宋体" w:hAnsi="宋体" w:cs="宋体"/>
          <w:i w:val="0"/>
          <w:color w:val="auto"/>
          <w:sz w:val="24"/>
          <w:szCs w:val="24"/>
          <w:highlight w:val="none"/>
        </w:rPr>
        <w:fldChar w:fldCharType="end"/>
      </w:r>
    </w:p>
    <w:p w14:paraId="59131CE9">
      <w:pPr>
        <w:pStyle w:val="16"/>
        <w:spacing w:line="360" w:lineRule="auto"/>
        <w:rPr>
          <w:rFonts w:ascii="宋体" w:hAnsi="宋体" w:cs="宋体"/>
          <w:i w:val="0"/>
          <w:color w:val="auto"/>
          <w:kern w:val="2"/>
          <w:sz w:val="24"/>
          <w:szCs w:val="24"/>
          <w:highlight w:val="none"/>
        </w:rPr>
      </w:pPr>
      <w:r>
        <w:rPr>
          <w:rFonts w:ascii="宋体" w:hAnsi="宋体" w:cs="宋体"/>
          <w:i w:val="0"/>
          <w:color w:val="auto"/>
          <w:sz w:val="24"/>
          <w:szCs w:val="24"/>
          <w:highlight w:val="none"/>
        </w:rPr>
        <w:fldChar w:fldCharType="begin"/>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instrText xml:space="preserve">HYPERLINK \l "_Toc517163145"</w:instrText>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fldChar w:fldCharType="separate"/>
      </w:r>
      <w:r>
        <w:rPr>
          <w:rStyle w:val="38"/>
          <w:rFonts w:ascii="宋体" w:hAnsi="宋体" w:cs="宋体"/>
          <w:i w:val="0"/>
          <w:color w:val="auto"/>
          <w:sz w:val="24"/>
          <w:szCs w:val="24"/>
          <w:highlight w:val="none"/>
        </w:rPr>
        <w:t>第一节    通用合同条款</w:t>
      </w:r>
      <w:r>
        <w:rPr>
          <w:rFonts w:ascii="宋体" w:hAnsi="宋体" w:cs="宋体"/>
          <w:i w:val="0"/>
          <w:color w:val="auto"/>
          <w:sz w:val="24"/>
          <w:szCs w:val="24"/>
          <w:highlight w:val="none"/>
        </w:rPr>
        <w:tab/>
      </w:r>
      <w:r>
        <w:rPr>
          <w:rFonts w:ascii="宋体" w:hAnsi="宋体" w:cs="宋体"/>
          <w:i w:val="0"/>
          <w:color w:val="auto"/>
          <w:sz w:val="24"/>
          <w:szCs w:val="24"/>
          <w:highlight w:val="none"/>
        </w:rPr>
        <w:fldChar w:fldCharType="begin"/>
      </w:r>
      <w:r>
        <w:rPr>
          <w:rFonts w:ascii="宋体" w:hAnsi="宋体" w:cs="宋体"/>
          <w:i w:val="0"/>
          <w:color w:val="auto"/>
          <w:sz w:val="24"/>
          <w:szCs w:val="24"/>
          <w:highlight w:val="none"/>
        </w:rPr>
        <w:instrText xml:space="preserve"> PAGEREF _Toc517163145 \h </w:instrText>
      </w:r>
      <w:r>
        <w:rPr>
          <w:rFonts w:ascii="宋体" w:hAnsi="宋体" w:cs="宋体"/>
          <w:i w:val="0"/>
          <w:color w:val="auto"/>
          <w:sz w:val="24"/>
          <w:szCs w:val="24"/>
          <w:highlight w:val="none"/>
        </w:rPr>
        <w:fldChar w:fldCharType="separate"/>
      </w:r>
      <w:r>
        <w:rPr>
          <w:rFonts w:ascii="宋体" w:hAnsi="宋体" w:cs="宋体"/>
          <w:i w:val="0"/>
          <w:color w:val="auto"/>
          <w:sz w:val="24"/>
          <w:szCs w:val="24"/>
          <w:highlight w:val="none"/>
        </w:rPr>
        <w:t>28</w:t>
      </w:r>
      <w:r>
        <w:rPr>
          <w:rFonts w:ascii="宋体" w:hAnsi="宋体" w:cs="宋体"/>
          <w:i w:val="0"/>
          <w:color w:val="auto"/>
          <w:sz w:val="24"/>
          <w:szCs w:val="24"/>
          <w:highlight w:val="none"/>
        </w:rPr>
        <w:fldChar w:fldCharType="end"/>
      </w:r>
      <w:r>
        <w:rPr>
          <w:rFonts w:ascii="宋体" w:hAnsi="宋体" w:cs="宋体"/>
          <w:i w:val="0"/>
          <w:color w:val="auto"/>
          <w:sz w:val="24"/>
          <w:szCs w:val="24"/>
          <w:highlight w:val="none"/>
        </w:rPr>
        <w:fldChar w:fldCharType="end"/>
      </w:r>
    </w:p>
    <w:p w14:paraId="46B25A17">
      <w:pPr>
        <w:pStyle w:val="16"/>
        <w:spacing w:line="360" w:lineRule="auto"/>
        <w:rPr>
          <w:rFonts w:ascii="宋体" w:hAnsi="宋体" w:cs="宋体"/>
          <w:i w:val="0"/>
          <w:color w:val="auto"/>
          <w:kern w:val="2"/>
          <w:sz w:val="24"/>
          <w:szCs w:val="24"/>
          <w:highlight w:val="none"/>
        </w:rPr>
      </w:pPr>
      <w:r>
        <w:rPr>
          <w:rFonts w:ascii="宋体" w:hAnsi="宋体" w:cs="宋体"/>
          <w:i w:val="0"/>
          <w:color w:val="auto"/>
          <w:sz w:val="24"/>
          <w:szCs w:val="24"/>
          <w:highlight w:val="none"/>
        </w:rPr>
        <w:fldChar w:fldCharType="begin"/>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instrText xml:space="preserve">HYPERLINK \l "_Toc517163146"</w:instrText>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fldChar w:fldCharType="separate"/>
      </w:r>
      <w:r>
        <w:rPr>
          <w:rStyle w:val="38"/>
          <w:rFonts w:ascii="宋体" w:hAnsi="宋体" w:cs="宋体"/>
          <w:i w:val="0"/>
          <w:color w:val="auto"/>
          <w:sz w:val="24"/>
          <w:szCs w:val="24"/>
          <w:highlight w:val="none"/>
        </w:rPr>
        <w:t>第二节    专用合同条款</w:t>
      </w:r>
      <w:r>
        <w:rPr>
          <w:rFonts w:ascii="宋体" w:hAnsi="宋体" w:cs="宋体"/>
          <w:i w:val="0"/>
          <w:color w:val="auto"/>
          <w:sz w:val="24"/>
          <w:szCs w:val="24"/>
          <w:highlight w:val="none"/>
        </w:rPr>
        <w:tab/>
      </w:r>
      <w:r>
        <w:rPr>
          <w:rFonts w:ascii="宋体" w:hAnsi="宋体" w:cs="宋体"/>
          <w:i w:val="0"/>
          <w:color w:val="auto"/>
          <w:sz w:val="24"/>
          <w:szCs w:val="24"/>
          <w:highlight w:val="none"/>
        </w:rPr>
        <w:fldChar w:fldCharType="begin"/>
      </w:r>
      <w:r>
        <w:rPr>
          <w:rFonts w:ascii="宋体" w:hAnsi="宋体" w:cs="宋体"/>
          <w:i w:val="0"/>
          <w:color w:val="auto"/>
          <w:sz w:val="24"/>
          <w:szCs w:val="24"/>
          <w:highlight w:val="none"/>
        </w:rPr>
        <w:instrText xml:space="preserve"> PAGEREF _Toc517163146 \h </w:instrText>
      </w:r>
      <w:r>
        <w:rPr>
          <w:rFonts w:ascii="宋体" w:hAnsi="宋体" w:cs="宋体"/>
          <w:i w:val="0"/>
          <w:color w:val="auto"/>
          <w:sz w:val="24"/>
          <w:szCs w:val="24"/>
          <w:highlight w:val="none"/>
        </w:rPr>
        <w:fldChar w:fldCharType="separate"/>
      </w:r>
      <w:r>
        <w:rPr>
          <w:rFonts w:ascii="宋体" w:hAnsi="宋体" w:cs="宋体"/>
          <w:i w:val="0"/>
          <w:color w:val="auto"/>
          <w:sz w:val="24"/>
          <w:szCs w:val="24"/>
          <w:highlight w:val="none"/>
        </w:rPr>
        <w:t>28</w:t>
      </w:r>
      <w:r>
        <w:rPr>
          <w:rFonts w:ascii="宋体" w:hAnsi="宋体" w:cs="宋体"/>
          <w:i w:val="0"/>
          <w:color w:val="auto"/>
          <w:sz w:val="24"/>
          <w:szCs w:val="24"/>
          <w:highlight w:val="none"/>
        </w:rPr>
        <w:fldChar w:fldCharType="end"/>
      </w:r>
      <w:r>
        <w:rPr>
          <w:rFonts w:ascii="宋体" w:hAnsi="宋体" w:cs="宋体"/>
          <w:i w:val="0"/>
          <w:color w:val="auto"/>
          <w:sz w:val="24"/>
          <w:szCs w:val="24"/>
          <w:highlight w:val="none"/>
        </w:rPr>
        <w:fldChar w:fldCharType="end"/>
      </w:r>
    </w:p>
    <w:p w14:paraId="45F3DA13">
      <w:pPr>
        <w:pStyle w:val="16"/>
        <w:spacing w:line="360" w:lineRule="auto"/>
        <w:rPr>
          <w:rFonts w:ascii="宋体" w:hAnsi="宋体" w:cs="宋体"/>
          <w:i w:val="0"/>
          <w:color w:val="auto"/>
          <w:kern w:val="2"/>
          <w:sz w:val="24"/>
          <w:szCs w:val="24"/>
          <w:highlight w:val="none"/>
        </w:rPr>
      </w:pPr>
      <w:r>
        <w:rPr>
          <w:rFonts w:ascii="宋体" w:hAnsi="宋体" w:cs="宋体"/>
          <w:i w:val="0"/>
          <w:color w:val="auto"/>
          <w:sz w:val="24"/>
          <w:szCs w:val="24"/>
          <w:highlight w:val="none"/>
        </w:rPr>
        <w:fldChar w:fldCharType="begin"/>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instrText xml:space="preserve">HYPERLINK \l "_Toc517163147"</w:instrText>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fldChar w:fldCharType="separate"/>
      </w:r>
      <w:r>
        <w:rPr>
          <w:rStyle w:val="38"/>
          <w:rFonts w:ascii="宋体" w:hAnsi="宋体" w:cs="宋体"/>
          <w:i w:val="0"/>
          <w:color w:val="auto"/>
          <w:sz w:val="24"/>
          <w:szCs w:val="24"/>
          <w:highlight w:val="none"/>
        </w:rPr>
        <w:t>第三节    合同附件格式</w:t>
      </w:r>
      <w:r>
        <w:rPr>
          <w:rFonts w:ascii="宋体" w:hAnsi="宋体" w:cs="宋体"/>
          <w:i w:val="0"/>
          <w:color w:val="auto"/>
          <w:sz w:val="24"/>
          <w:szCs w:val="24"/>
          <w:highlight w:val="none"/>
        </w:rPr>
        <w:tab/>
      </w:r>
      <w:r>
        <w:rPr>
          <w:rFonts w:ascii="宋体" w:hAnsi="宋体" w:cs="宋体"/>
          <w:i w:val="0"/>
          <w:color w:val="auto"/>
          <w:sz w:val="24"/>
          <w:szCs w:val="24"/>
          <w:highlight w:val="none"/>
        </w:rPr>
        <w:fldChar w:fldCharType="begin"/>
      </w:r>
      <w:r>
        <w:rPr>
          <w:rFonts w:ascii="宋体" w:hAnsi="宋体" w:cs="宋体"/>
          <w:i w:val="0"/>
          <w:color w:val="auto"/>
          <w:sz w:val="24"/>
          <w:szCs w:val="24"/>
          <w:highlight w:val="none"/>
        </w:rPr>
        <w:instrText xml:space="preserve"> PAGEREF _Toc517163147 \h </w:instrText>
      </w:r>
      <w:r>
        <w:rPr>
          <w:rFonts w:ascii="宋体" w:hAnsi="宋体" w:cs="宋体"/>
          <w:i w:val="0"/>
          <w:color w:val="auto"/>
          <w:sz w:val="24"/>
          <w:szCs w:val="24"/>
          <w:highlight w:val="none"/>
        </w:rPr>
        <w:fldChar w:fldCharType="separate"/>
      </w:r>
      <w:r>
        <w:rPr>
          <w:rFonts w:ascii="宋体" w:hAnsi="宋体" w:cs="宋体"/>
          <w:i w:val="0"/>
          <w:color w:val="auto"/>
          <w:sz w:val="24"/>
          <w:szCs w:val="24"/>
          <w:highlight w:val="none"/>
        </w:rPr>
        <w:t>41</w:t>
      </w:r>
      <w:r>
        <w:rPr>
          <w:rFonts w:ascii="宋体" w:hAnsi="宋体" w:cs="宋体"/>
          <w:i w:val="0"/>
          <w:color w:val="auto"/>
          <w:sz w:val="24"/>
          <w:szCs w:val="24"/>
          <w:highlight w:val="none"/>
        </w:rPr>
        <w:fldChar w:fldCharType="end"/>
      </w:r>
      <w:r>
        <w:rPr>
          <w:rFonts w:ascii="宋体" w:hAnsi="宋体" w:cs="宋体"/>
          <w:i w:val="0"/>
          <w:color w:val="auto"/>
          <w:sz w:val="24"/>
          <w:szCs w:val="24"/>
          <w:highlight w:val="none"/>
        </w:rPr>
        <w:fldChar w:fldCharType="end"/>
      </w:r>
    </w:p>
    <w:p w14:paraId="62B2E751">
      <w:pPr>
        <w:pStyle w:val="16"/>
        <w:tabs>
          <w:tab w:val="clear" w:pos="720"/>
        </w:tabs>
        <w:spacing w:line="360" w:lineRule="auto"/>
        <w:rPr>
          <w:rFonts w:ascii="宋体" w:hAnsi="宋体" w:cs="宋体"/>
          <w:i w:val="0"/>
          <w:color w:val="auto"/>
          <w:kern w:val="2"/>
          <w:sz w:val="24"/>
          <w:szCs w:val="24"/>
          <w:highlight w:val="none"/>
        </w:rPr>
      </w:pPr>
      <w:r>
        <w:rPr>
          <w:rFonts w:ascii="宋体" w:hAnsi="宋体" w:cs="宋体"/>
          <w:i w:val="0"/>
          <w:color w:val="auto"/>
          <w:sz w:val="24"/>
          <w:szCs w:val="24"/>
          <w:highlight w:val="none"/>
        </w:rPr>
        <w:fldChar w:fldCharType="begin"/>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instrText xml:space="preserve">HYPERLINK \l "_Toc517163148"</w:instrText>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fldChar w:fldCharType="separate"/>
      </w:r>
      <w:r>
        <w:rPr>
          <w:rStyle w:val="38"/>
          <w:rFonts w:ascii="宋体" w:hAnsi="宋体" w:cs="宋体"/>
          <w:i w:val="0"/>
          <w:color w:val="auto"/>
          <w:sz w:val="24"/>
          <w:szCs w:val="24"/>
          <w:highlight w:val="none"/>
        </w:rPr>
        <w:t>第四章</w:t>
      </w:r>
      <w:r>
        <w:rPr>
          <w:rFonts w:ascii="宋体" w:hAnsi="宋体" w:cs="宋体"/>
          <w:i w:val="0"/>
          <w:color w:val="auto"/>
          <w:kern w:val="2"/>
          <w:sz w:val="24"/>
          <w:szCs w:val="24"/>
          <w:highlight w:val="none"/>
        </w:rPr>
        <w:t xml:space="preserve">    </w:t>
      </w:r>
      <w:r>
        <w:rPr>
          <w:rStyle w:val="38"/>
          <w:rFonts w:ascii="宋体" w:hAnsi="宋体" w:cs="宋体"/>
          <w:i w:val="0"/>
          <w:color w:val="auto"/>
          <w:sz w:val="24"/>
          <w:szCs w:val="24"/>
          <w:highlight w:val="none"/>
        </w:rPr>
        <w:t>图纸</w:t>
      </w:r>
      <w:r>
        <w:rPr>
          <w:rFonts w:ascii="宋体" w:hAnsi="宋体" w:cs="宋体"/>
          <w:i w:val="0"/>
          <w:color w:val="auto"/>
          <w:sz w:val="24"/>
          <w:szCs w:val="24"/>
          <w:highlight w:val="none"/>
        </w:rPr>
        <w:tab/>
      </w:r>
      <w:r>
        <w:rPr>
          <w:rFonts w:ascii="宋体" w:hAnsi="宋体" w:cs="宋体"/>
          <w:i w:val="0"/>
          <w:color w:val="auto"/>
          <w:sz w:val="24"/>
          <w:szCs w:val="24"/>
          <w:highlight w:val="none"/>
        </w:rPr>
        <w:fldChar w:fldCharType="begin"/>
      </w:r>
      <w:r>
        <w:rPr>
          <w:rFonts w:ascii="宋体" w:hAnsi="宋体" w:cs="宋体"/>
          <w:i w:val="0"/>
          <w:color w:val="auto"/>
          <w:sz w:val="24"/>
          <w:szCs w:val="24"/>
          <w:highlight w:val="none"/>
        </w:rPr>
        <w:instrText xml:space="preserve"> PAGEREF _Toc517163148 \h </w:instrText>
      </w:r>
      <w:r>
        <w:rPr>
          <w:rFonts w:ascii="宋体" w:hAnsi="宋体" w:cs="宋体"/>
          <w:i w:val="0"/>
          <w:color w:val="auto"/>
          <w:sz w:val="24"/>
          <w:szCs w:val="24"/>
          <w:highlight w:val="none"/>
        </w:rPr>
        <w:fldChar w:fldCharType="separate"/>
      </w:r>
      <w:r>
        <w:rPr>
          <w:rFonts w:ascii="宋体" w:hAnsi="宋体" w:cs="宋体"/>
          <w:i w:val="0"/>
          <w:color w:val="auto"/>
          <w:sz w:val="24"/>
          <w:szCs w:val="24"/>
          <w:highlight w:val="none"/>
        </w:rPr>
        <w:t>53</w:t>
      </w:r>
      <w:r>
        <w:rPr>
          <w:rFonts w:ascii="宋体" w:hAnsi="宋体" w:cs="宋体"/>
          <w:i w:val="0"/>
          <w:color w:val="auto"/>
          <w:sz w:val="24"/>
          <w:szCs w:val="24"/>
          <w:highlight w:val="none"/>
        </w:rPr>
        <w:fldChar w:fldCharType="end"/>
      </w:r>
      <w:r>
        <w:rPr>
          <w:rFonts w:ascii="宋体" w:hAnsi="宋体" w:cs="宋体"/>
          <w:i w:val="0"/>
          <w:color w:val="auto"/>
          <w:sz w:val="24"/>
          <w:szCs w:val="24"/>
          <w:highlight w:val="none"/>
        </w:rPr>
        <w:fldChar w:fldCharType="end"/>
      </w:r>
    </w:p>
    <w:p w14:paraId="2B7A6ECB">
      <w:pPr>
        <w:pStyle w:val="16"/>
        <w:tabs>
          <w:tab w:val="clear" w:pos="720"/>
        </w:tabs>
        <w:spacing w:line="360" w:lineRule="auto"/>
        <w:rPr>
          <w:rFonts w:ascii="宋体" w:hAnsi="宋体" w:cs="宋体"/>
          <w:i w:val="0"/>
          <w:color w:val="auto"/>
          <w:kern w:val="2"/>
          <w:sz w:val="24"/>
          <w:szCs w:val="24"/>
          <w:highlight w:val="none"/>
        </w:rPr>
      </w:pPr>
      <w:r>
        <w:rPr>
          <w:rFonts w:ascii="宋体" w:hAnsi="宋体" w:cs="宋体"/>
          <w:i w:val="0"/>
          <w:color w:val="auto"/>
          <w:sz w:val="24"/>
          <w:szCs w:val="24"/>
          <w:highlight w:val="none"/>
        </w:rPr>
        <w:fldChar w:fldCharType="begin"/>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instrText xml:space="preserve">HYPERLINK \l "_Toc517163149"</w:instrText>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fldChar w:fldCharType="separate"/>
      </w:r>
      <w:r>
        <w:rPr>
          <w:rStyle w:val="38"/>
          <w:rFonts w:ascii="宋体" w:hAnsi="宋体" w:cs="宋体"/>
          <w:i w:val="0"/>
          <w:color w:val="auto"/>
          <w:sz w:val="24"/>
          <w:szCs w:val="24"/>
          <w:highlight w:val="none"/>
        </w:rPr>
        <w:t>第五章</w:t>
      </w:r>
      <w:r>
        <w:rPr>
          <w:rFonts w:ascii="宋体" w:hAnsi="宋体" w:cs="宋体"/>
          <w:i w:val="0"/>
          <w:color w:val="auto"/>
          <w:kern w:val="2"/>
          <w:sz w:val="24"/>
          <w:szCs w:val="24"/>
          <w:highlight w:val="none"/>
        </w:rPr>
        <w:t xml:space="preserve">    </w:t>
      </w:r>
      <w:r>
        <w:rPr>
          <w:rStyle w:val="38"/>
          <w:rFonts w:ascii="宋体" w:hAnsi="宋体" w:cs="宋体"/>
          <w:i w:val="0"/>
          <w:color w:val="auto"/>
          <w:sz w:val="24"/>
          <w:szCs w:val="24"/>
          <w:highlight w:val="none"/>
        </w:rPr>
        <w:t>技术规范</w:t>
      </w:r>
      <w:r>
        <w:rPr>
          <w:rFonts w:ascii="宋体" w:hAnsi="宋体" w:cs="宋体"/>
          <w:i w:val="0"/>
          <w:color w:val="auto"/>
          <w:sz w:val="24"/>
          <w:szCs w:val="24"/>
          <w:highlight w:val="none"/>
        </w:rPr>
        <w:tab/>
      </w:r>
      <w:r>
        <w:rPr>
          <w:rFonts w:ascii="宋体" w:hAnsi="宋体" w:cs="宋体"/>
          <w:i w:val="0"/>
          <w:color w:val="auto"/>
          <w:sz w:val="24"/>
          <w:szCs w:val="24"/>
          <w:highlight w:val="none"/>
        </w:rPr>
        <w:fldChar w:fldCharType="begin"/>
      </w:r>
      <w:r>
        <w:rPr>
          <w:rFonts w:ascii="宋体" w:hAnsi="宋体" w:cs="宋体"/>
          <w:i w:val="0"/>
          <w:color w:val="auto"/>
          <w:sz w:val="24"/>
          <w:szCs w:val="24"/>
          <w:highlight w:val="none"/>
        </w:rPr>
        <w:instrText xml:space="preserve"> PAGEREF _Toc517163149 \h </w:instrText>
      </w:r>
      <w:r>
        <w:rPr>
          <w:rFonts w:ascii="宋体" w:hAnsi="宋体" w:cs="宋体"/>
          <w:i w:val="0"/>
          <w:color w:val="auto"/>
          <w:sz w:val="24"/>
          <w:szCs w:val="24"/>
          <w:highlight w:val="none"/>
        </w:rPr>
        <w:fldChar w:fldCharType="separate"/>
      </w:r>
      <w:r>
        <w:rPr>
          <w:rFonts w:ascii="宋体" w:hAnsi="宋体" w:cs="宋体"/>
          <w:i w:val="0"/>
          <w:color w:val="auto"/>
          <w:sz w:val="24"/>
          <w:szCs w:val="24"/>
          <w:highlight w:val="none"/>
        </w:rPr>
        <w:t>54</w:t>
      </w:r>
      <w:r>
        <w:rPr>
          <w:rFonts w:ascii="宋体" w:hAnsi="宋体" w:cs="宋体"/>
          <w:i w:val="0"/>
          <w:color w:val="auto"/>
          <w:sz w:val="24"/>
          <w:szCs w:val="24"/>
          <w:highlight w:val="none"/>
        </w:rPr>
        <w:fldChar w:fldCharType="end"/>
      </w:r>
      <w:r>
        <w:rPr>
          <w:rFonts w:ascii="宋体" w:hAnsi="宋体" w:cs="宋体"/>
          <w:i w:val="0"/>
          <w:color w:val="auto"/>
          <w:sz w:val="24"/>
          <w:szCs w:val="24"/>
          <w:highlight w:val="none"/>
        </w:rPr>
        <w:fldChar w:fldCharType="end"/>
      </w:r>
    </w:p>
    <w:p w14:paraId="36E5E5AA">
      <w:pPr>
        <w:pStyle w:val="26"/>
        <w:tabs>
          <w:tab w:val="right" w:leader="dot" w:pos="9498"/>
        </w:tabs>
        <w:spacing w:line="360" w:lineRule="auto"/>
        <w:ind w:left="0"/>
        <w:rPr>
          <w:rFonts w:ascii="宋体" w:hAnsi="宋体" w:cs="宋体"/>
          <w:smallCaps w:val="0"/>
          <w:color w:val="auto"/>
          <w:kern w:val="2"/>
          <w:sz w:val="24"/>
          <w:szCs w:val="24"/>
          <w:highlight w:val="none"/>
        </w:rPr>
      </w:pPr>
      <w:r>
        <w:rPr>
          <w:rFonts w:ascii="宋体" w:hAnsi="宋体" w:cs="宋体"/>
          <w:color w:val="auto"/>
          <w:sz w:val="24"/>
          <w:szCs w:val="24"/>
          <w:highlight w:val="none"/>
        </w:rPr>
        <w:fldChar w:fldCharType="begin"/>
      </w:r>
      <w:r>
        <w:rPr>
          <w:rStyle w:val="38"/>
          <w:rFonts w:ascii="宋体" w:hAnsi="宋体" w:cs="宋体"/>
          <w:color w:val="auto"/>
          <w:sz w:val="24"/>
          <w:szCs w:val="24"/>
          <w:highlight w:val="none"/>
        </w:rPr>
        <w:instrText xml:space="preserve"> </w:instrText>
      </w:r>
      <w:r>
        <w:rPr>
          <w:rFonts w:ascii="宋体" w:hAnsi="宋体" w:cs="宋体"/>
          <w:color w:val="auto"/>
          <w:sz w:val="24"/>
          <w:szCs w:val="24"/>
          <w:highlight w:val="none"/>
        </w:rPr>
        <w:instrText xml:space="preserve">HYPERLINK \l "_Toc517163151"</w:instrText>
      </w:r>
      <w:r>
        <w:rPr>
          <w:rStyle w:val="38"/>
          <w:rFonts w:ascii="宋体" w:hAnsi="宋体" w:cs="宋体"/>
          <w:color w:val="auto"/>
          <w:sz w:val="24"/>
          <w:szCs w:val="24"/>
          <w:highlight w:val="none"/>
        </w:rPr>
        <w:instrText xml:space="preserve"> </w:instrText>
      </w:r>
      <w:r>
        <w:rPr>
          <w:rFonts w:ascii="宋体" w:hAnsi="宋体" w:cs="宋体"/>
          <w:color w:val="auto"/>
          <w:sz w:val="24"/>
          <w:szCs w:val="24"/>
          <w:highlight w:val="none"/>
        </w:rPr>
        <w:fldChar w:fldCharType="separate"/>
      </w:r>
      <w:r>
        <w:rPr>
          <w:rStyle w:val="38"/>
          <w:rFonts w:ascii="宋体" w:hAnsi="宋体" w:cs="宋体"/>
          <w:color w:val="auto"/>
          <w:sz w:val="24"/>
          <w:szCs w:val="24"/>
          <w:highlight w:val="none"/>
        </w:rPr>
        <w:t>第六章</w:t>
      </w:r>
      <w:r>
        <w:rPr>
          <w:rFonts w:ascii="宋体" w:hAnsi="宋体" w:cs="宋体"/>
          <w:smallCaps w:val="0"/>
          <w:color w:val="auto"/>
          <w:kern w:val="2"/>
          <w:sz w:val="24"/>
          <w:szCs w:val="24"/>
          <w:highlight w:val="none"/>
        </w:rPr>
        <w:t xml:space="preserve">    </w:t>
      </w:r>
      <w:r>
        <w:rPr>
          <w:rStyle w:val="38"/>
          <w:rFonts w:ascii="宋体" w:hAnsi="宋体" w:cs="宋体"/>
          <w:color w:val="auto"/>
          <w:sz w:val="24"/>
          <w:szCs w:val="24"/>
          <w:highlight w:val="none"/>
        </w:rPr>
        <w:t>工程量清单</w:t>
      </w:r>
      <w:r>
        <w:rPr>
          <w:rFonts w:ascii="宋体" w:hAnsi="宋体" w:cs="宋体"/>
          <w:color w:val="auto"/>
          <w:sz w:val="24"/>
          <w:szCs w:val="24"/>
          <w:highlight w:val="none"/>
        </w:rPr>
        <w:tab/>
      </w:r>
      <w:r>
        <w:rPr>
          <w:rFonts w:ascii="宋体" w:hAnsi="宋体" w:cs="宋体"/>
          <w:color w:val="auto"/>
          <w:sz w:val="24"/>
          <w:szCs w:val="24"/>
          <w:highlight w:val="none"/>
        </w:rPr>
        <w:t xml:space="preserve">  </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_Toc517163151 \h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56</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32F43E8C">
      <w:pPr>
        <w:pStyle w:val="16"/>
        <w:tabs>
          <w:tab w:val="clear" w:pos="720"/>
        </w:tabs>
        <w:spacing w:line="360" w:lineRule="auto"/>
        <w:rPr>
          <w:rFonts w:ascii="宋体" w:hAnsi="宋体" w:cs="宋体"/>
          <w:i w:val="0"/>
          <w:color w:val="auto"/>
          <w:kern w:val="2"/>
          <w:sz w:val="24"/>
          <w:szCs w:val="24"/>
          <w:highlight w:val="none"/>
        </w:rPr>
      </w:pPr>
      <w:r>
        <w:rPr>
          <w:rFonts w:ascii="宋体" w:hAnsi="宋体" w:cs="宋体"/>
          <w:i w:val="0"/>
          <w:color w:val="auto"/>
          <w:sz w:val="24"/>
          <w:szCs w:val="24"/>
          <w:highlight w:val="none"/>
        </w:rPr>
        <w:fldChar w:fldCharType="begin"/>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instrText xml:space="preserve">HYPERLINK \l "_Toc517163152"</w:instrText>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fldChar w:fldCharType="separate"/>
      </w:r>
      <w:r>
        <w:rPr>
          <w:rStyle w:val="38"/>
          <w:rFonts w:ascii="宋体" w:hAnsi="宋体" w:cs="宋体"/>
          <w:i w:val="0"/>
          <w:color w:val="auto"/>
          <w:sz w:val="24"/>
          <w:szCs w:val="24"/>
          <w:highlight w:val="none"/>
        </w:rPr>
        <w:t>第七章</w:t>
      </w:r>
      <w:r>
        <w:rPr>
          <w:rFonts w:ascii="宋体" w:hAnsi="宋体" w:cs="宋体"/>
          <w:i w:val="0"/>
          <w:color w:val="auto"/>
          <w:kern w:val="2"/>
          <w:sz w:val="24"/>
          <w:szCs w:val="24"/>
          <w:highlight w:val="none"/>
        </w:rPr>
        <w:t xml:space="preserve">    </w:t>
      </w:r>
      <w:r>
        <w:rPr>
          <w:rStyle w:val="38"/>
          <w:rFonts w:ascii="宋体" w:hAnsi="宋体" w:cs="宋体"/>
          <w:i w:val="0"/>
          <w:color w:val="auto"/>
          <w:sz w:val="24"/>
          <w:szCs w:val="24"/>
          <w:highlight w:val="none"/>
        </w:rPr>
        <w:t>响应文件格式</w:t>
      </w:r>
      <w:r>
        <w:rPr>
          <w:rFonts w:ascii="宋体" w:hAnsi="宋体" w:cs="宋体"/>
          <w:i w:val="0"/>
          <w:color w:val="auto"/>
          <w:sz w:val="24"/>
          <w:szCs w:val="24"/>
          <w:highlight w:val="none"/>
        </w:rPr>
        <w:tab/>
      </w:r>
      <w:r>
        <w:rPr>
          <w:rFonts w:ascii="宋体" w:hAnsi="宋体" w:cs="宋体"/>
          <w:i w:val="0"/>
          <w:color w:val="auto"/>
          <w:sz w:val="24"/>
          <w:szCs w:val="24"/>
          <w:highlight w:val="none"/>
        </w:rPr>
        <w:fldChar w:fldCharType="begin"/>
      </w:r>
      <w:r>
        <w:rPr>
          <w:rFonts w:ascii="宋体" w:hAnsi="宋体" w:cs="宋体"/>
          <w:i w:val="0"/>
          <w:color w:val="auto"/>
          <w:sz w:val="24"/>
          <w:szCs w:val="24"/>
          <w:highlight w:val="none"/>
        </w:rPr>
        <w:instrText xml:space="preserve"> PAGEREF _Toc517163152 \h </w:instrText>
      </w:r>
      <w:r>
        <w:rPr>
          <w:rFonts w:ascii="宋体" w:hAnsi="宋体" w:cs="宋体"/>
          <w:i w:val="0"/>
          <w:color w:val="auto"/>
          <w:sz w:val="24"/>
          <w:szCs w:val="24"/>
          <w:highlight w:val="none"/>
        </w:rPr>
        <w:fldChar w:fldCharType="separate"/>
      </w:r>
      <w:r>
        <w:rPr>
          <w:rFonts w:ascii="宋体" w:hAnsi="宋体" w:cs="宋体"/>
          <w:i w:val="0"/>
          <w:color w:val="auto"/>
          <w:sz w:val="24"/>
          <w:szCs w:val="24"/>
          <w:highlight w:val="none"/>
        </w:rPr>
        <w:t>59</w:t>
      </w:r>
      <w:r>
        <w:rPr>
          <w:rFonts w:ascii="宋体" w:hAnsi="宋体" w:cs="宋体"/>
          <w:i w:val="0"/>
          <w:color w:val="auto"/>
          <w:sz w:val="24"/>
          <w:szCs w:val="24"/>
          <w:highlight w:val="none"/>
        </w:rPr>
        <w:fldChar w:fldCharType="end"/>
      </w:r>
      <w:r>
        <w:rPr>
          <w:rFonts w:ascii="宋体" w:hAnsi="宋体" w:cs="宋体"/>
          <w:i w:val="0"/>
          <w:color w:val="auto"/>
          <w:sz w:val="24"/>
          <w:szCs w:val="24"/>
          <w:highlight w:val="none"/>
        </w:rPr>
        <w:fldChar w:fldCharType="end"/>
      </w:r>
    </w:p>
    <w:p w14:paraId="012EC907">
      <w:pPr>
        <w:pStyle w:val="16"/>
        <w:tabs>
          <w:tab w:val="clear" w:pos="720"/>
        </w:tabs>
        <w:spacing w:line="360" w:lineRule="auto"/>
        <w:rPr>
          <w:rFonts w:ascii="宋体" w:hAnsi="宋体" w:cs="宋体"/>
          <w:iCs w:val="0"/>
          <w:color w:val="auto"/>
          <w:szCs w:val="24"/>
          <w:highlight w:val="none"/>
        </w:rPr>
        <w:sectPr>
          <w:headerReference r:id="rId4" w:type="default"/>
          <w:footerReference r:id="rId5" w:type="default"/>
          <w:pgSz w:w="11910" w:h="16840"/>
          <w:pgMar w:top="1100" w:right="1202" w:bottom="919" w:left="1298" w:header="918" w:footer="836" w:gutter="0"/>
          <w:pgNumType w:start="1"/>
          <w:cols w:space="720" w:num="1"/>
        </w:sectPr>
      </w:pPr>
      <w:r>
        <w:rPr>
          <w:rFonts w:ascii="宋体" w:hAnsi="宋体" w:cs="宋体"/>
          <w:i w:val="0"/>
          <w:color w:val="auto"/>
          <w:sz w:val="24"/>
          <w:szCs w:val="24"/>
          <w:highlight w:val="none"/>
        </w:rPr>
        <w:fldChar w:fldCharType="begin"/>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instrText xml:space="preserve">HYPERLINK \l "_Toc517163154"</w:instrText>
      </w:r>
      <w:r>
        <w:rPr>
          <w:rStyle w:val="38"/>
          <w:rFonts w:ascii="宋体" w:hAnsi="宋体" w:cs="宋体"/>
          <w:i w:val="0"/>
          <w:color w:val="auto"/>
          <w:sz w:val="24"/>
          <w:szCs w:val="24"/>
          <w:highlight w:val="none"/>
        </w:rPr>
        <w:instrText xml:space="preserve"> </w:instrText>
      </w:r>
      <w:r>
        <w:rPr>
          <w:rFonts w:ascii="宋体" w:hAnsi="宋体" w:cs="宋体"/>
          <w:i w:val="0"/>
          <w:color w:val="auto"/>
          <w:sz w:val="24"/>
          <w:szCs w:val="24"/>
          <w:highlight w:val="none"/>
        </w:rPr>
        <w:fldChar w:fldCharType="separate"/>
      </w:r>
      <w:r>
        <w:rPr>
          <w:rStyle w:val="38"/>
          <w:rFonts w:ascii="宋体" w:hAnsi="宋体" w:cs="宋体"/>
          <w:i w:val="0"/>
          <w:color w:val="auto"/>
          <w:sz w:val="24"/>
          <w:szCs w:val="24"/>
          <w:highlight w:val="none"/>
        </w:rPr>
        <w:t>第八章</w:t>
      </w:r>
      <w:r>
        <w:rPr>
          <w:rFonts w:ascii="宋体" w:hAnsi="宋体" w:cs="宋体"/>
          <w:i w:val="0"/>
          <w:color w:val="auto"/>
          <w:kern w:val="2"/>
          <w:sz w:val="24"/>
          <w:szCs w:val="24"/>
          <w:highlight w:val="none"/>
        </w:rPr>
        <w:t xml:space="preserve">    </w:t>
      </w:r>
      <w:bookmarkStart w:id="6" w:name="_Hlt517163183"/>
      <w:r>
        <w:rPr>
          <w:rStyle w:val="38"/>
          <w:rFonts w:hint="eastAsia" w:ascii="宋体" w:hAnsi="宋体" w:cs="宋体"/>
          <w:i w:val="0"/>
          <w:color w:val="auto"/>
          <w:sz w:val="24"/>
          <w:szCs w:val="24"/>
          <w:highlight w:val="none"/>
          <w:lang w:eastAsia="zh-CN"/>
        </w:rPr>
        <w:t>评审</w:t>
      </w:r>
      <w:r>
        <w:rPr>
          <w:rStyle w:val="38"/>
          <w:rFonts w:ascii="宋体" w:hAnsi="宋体" w:cs="宋体"/>
          <w:i w:val="0"/>
          <w:color w:val="auto"/>
          <w:sz w:val="24"/>
          <w:szCs w:val="24"/>
          <w:highlight w:val="none"/>
        </w:rPr>
        <w:t>办</w:t>
      </w:r>
      <w:bookmarkEnd w:id="6"/>
      <w:r>
        <w:rPr>
          <w:rStyle w:val="38"/>
          <w:rFonts w:ascii="宋体" w:hAnsi="宋体" w:cs="宋体"/>
          <w:i w:val="0"/>
          <w:color w:val="auto"/>
          <w:sz w:val="24"/>
          <w:szCs w:val="24"/>
          <w:highlight w:val="none"/>
        </w:rPr>
        <w:t>法</w:t>
      </w:r>
      <w:r>
        <w:rPr>
          <w:rFonts w:ascii="宋体" w:hAnsi="宋体" w:cs="宋体"/>
          <w:i w:val="0"/>
          <w:color w:val="auto"/>
          <w:sz w:val="24"/>
          <w:szCs w:val="24"/>
          <w:highlight w:val="none"/>
        </w:rPr>
        <w:tab/>
      </w:r>
      <w:r>
        <w:rPr>
          <w:rFonts w:ascii="宋体" w:hAnsi="宋体" w:cs="宋体"/>
          <w:i w:val="0"/>
          <w:color w:val="auto"/>
          <w:sz w:val="24"/>
          <w:szCs w:val="24"/>
          <w:highlight w:val="none"/>
        </w:rPr>
        <w:fldChar w:fldCharType="begin"/>
      </w:r>
      <w:r>
        <w:rPr>
          <w:rFonts w:ascii="宋体" w:hAnsi="宋体" w:cs="宋体"/>
          <w:i w:val="0"/>
          <w:color w:val="auto"/>
          <w:sz w:val="24"/>
          <w:szCs w:val="24"/>
          <w:highlight w:val="none"/>
        </w:rPr>
        <w:instrText xml:space="preserve"> PAGEREF _Toc517163154 \h </w:instrText>
      </w:r>
      <w:r>
        <w:rPr>
          <w:rFonts w:ascii="宋体" w:hAnsi="宋体" w:cs="宋体"/>
          <w:i w:val="0"/>
          <w:color w:val="auto"/>
          <w:sz w:val="24"/>
          <w:szCs w:val="24"/>
          <w:highlight w:val="none"/>
        </w:rPr>
        <w:fldChar w:fldCharType="separate"/>
      </w:r>
      <w:r>
        <w:rPr>
          <w:rFonts w:ascii="宋体" w:hAnsi="宋体" w:cs="宋体"/>
          <w:i w:val="0"/>
          <w:color w:val="auto"/>
          <w:sz w:val="24"/>
          <w:szCs w:val="24"/>
          <w:highlight w:val="none"/>
        </w:rPr>
        <w:t>85</w:t>
      </w:r>
      <w:r>
        <w:rPr>
          <w:rFonts w:ascii="宋体" w:hAnsi="宋体" w:cs="宋体"/>
          <w:i w:val="0"/>
          <w:color w:val="auto"/>
          <w:sz w:val="24"/>
          <w:szCs w:val="24"/>
          <w:highlight w:val="none"/>
        </w:rPr>
        <w:fldChar w:fldCharType="end"/>
      </w:r>
      <w:r>
        <w:rPr>
          <w:rFonts w:ascii="宋体" w:hAnsi="宋体" w:cs="宋体"/>
          <w:i w:val="0"/>
          <w:color w:val="auto"/>
          <w:sz w:val="24"/>
          <w:szCs w:val="24"/>
          <w:highlight w:val="none"/>
        </w:rPr>
        <w:fldChar w:fldCharType="end"/>
      </w:r>
    </w:p>
    <w:p w14:paraId="4C521376">
      <w:pPr>
        <w:pStyle w:val="13"/>
        <w:tabs>
          <w:tab w:val="right" w:leader="dot" w:pos="10086"/>
        </w:tabs>
        <w:kinsoku w:val="0"/>
        <w:overflowPunct w:val="0"/>
        <w:spacing w:line="360" w:lineRule="auto"/>
        <w:ind w:left="0"/>
        <w:jc w:val="both"/>
        <w:rPr>
          <w:rFonts w:hint="eastAsia" w:ascii="宋体" w:hAnsi="宋体" w:cs="宋体"/>
          <w:b/>
          <w:i/>
          <w:color w:val="auto"/>
          <w:sz w:val="27"/>
          <w:highlight w:val="none"/>
          <w:lang w:eastAsia="zh-CN"/>
        </w:rPr>
      </w:pPr>
      <w:r>
        <w:rPr>
          <w:rFonts w:hint="eastAsia" w:ascii="宋体" w:hAnsi="宋体" w:cs="宋体"/>
          <w:iCs/>
          <w:color w:val="auto"/>
          <w:szCs w:val="24"/>
          <w:highlight w:val="none"/>
        </w:rPr>
        <w:fldChar w:fldCharType="end"/>
      </w:r>
    </w:p>
    <w:p w14:paraId="4C656FE1">
      <w:pPr>
        <w:pStyle w:val="4"/>
        <w:tabs>
          <w:tab w:val="left" w:pos="1439"/>
        </w:tabs>
        <w:kinsoku w:val="0"/>
        <w:overflowPunct w:val="0"/>
        <w:jc w:val="center"/>
        <w:rPr>
          <w:rFonts w:ascii="宋体" w:hAnsi="宋体" w:eastAsia="宋体" w:cs="宋体"/>
          <w:b/>
          <w:bCs/>
          <w:color w:val="auto"/>
          <w:sz w:val="44"/>
          <w:szCs w:val="44"/>
          <w:highlight w:val="none"/>
        </w:rPr>
      </w:pPr>
      <w:bookmarkStart w:id="7" w:name="bookmark0"/>
      <w:bookmarkEnd w:id="7"/>
      <w:bookmarkStart w:id="8" w:name="第一章__竞标公告"/>
      <w:bookmarkEnd w:id="8"/>
      <w:bookmarkStart w:id="9" w:name="_Toc514759021"/>
      <w:bookmarkStart w:id="10" w:name="_Toc517163141"/>
      <w:r>
        <w:rPr>
          <w:rFonts w:ascii="宋体" w:hAnsi="宋体" w:eastAsia="宋体" w:cs="宋体"/>
          <w:bCs/>
          <w:color w:val="auto"/>
          <w:sz w:val="44"/>
          <w:szCs w:val="44"/>
          <w:highlight w:val="none"/>
        </w:rPr>
        <w:t>第一章</w:t>
      </w:r>
      <w:r>
        <w:rPr>
          <w:rFonts w:ascii="宋体" w:hAnsi="宋体" w:eastAsia="宋体" w:cs="宋体"/>
          <w:bCs/>
          <w:color w:val="auto"/>
          <w:sz w:val="44"/>
          <w:szCs w:val="44"/>
          <w:highlight w:val="none"/>
        </w:rPr>
        <w:tab/>
      </w:r>
      <w:bookmarkEnd w:id="9"/>
      <w:bookmarkEnd w:id="10"/>
      <w:r>
        <w:rPr>
          <w:rFonts w:ascii="宋体" w:hAnsi="宋体" w:eastAsia="宋体" w:cs="宋体"/>
          <w:bCs/>
          <w:color w:val="auto"/>
          <w:sz w:val="44"/>
          <w:szCs w:val="44"/>
          <w:highlight w:val="none"/>
        </w:rPr>
        <w:t>竞争性磋商公告</w:t>
      </w:r>
    </w:p>
    <w:p w14:paraId="60AFE6A1">
      <w:pPr>
        <w:pStyle w:val="13"/>
        <w:kinsoku w:val="0"/>
        <w:overflowPunct w:val="0"/>
        <w:spacing w:line="379" w:lineRule="auto"/>
        <w:ind w:left="0"/>
        <w:jc w:val="center"/>
        <w:rPr>
          <w:rFonts w:hint="eastAsia" w:ascii="宋体" w:hAnsi="宋体" w:cs="宋体"/>
          <w:b/>
          <w:color w:val="auto"/>
          <w:sz w:val="32"/>
          <w:highlight w:val="none"/>
        </w:rPr>
      </w:pPr>
      <w:bookmarkStart w:id="11" w:name="_Toc514786845"/>
    </w:p>
    <w:p w14:paraId="2EFFAC48">
      <w:pPr>
        <w:pStyle w:val="13"/>
        <w:kinsoku w:val="0"/>
        <w:overflowPunct w:val="0"/>
        <w:spacing w:line="400" w:lineRule="exact"/>
        <w:ind w:left="0"/>
        <w:jc w:val="center"/>
        <w:rPr>
          <w:rFonts w:hint="eastAsia" w:ascii="宋体" w:hAnsi="宋体" w:cs="宋体"/>
          <w:b/>
          <w:color w:val="auto"/>
          <w:sz w:val="32"/>
          <w:highlight w:val="none"/>
          <w:lang w:eastAsia="zh-CN"/>
        </w:rPr>
      </w:pPr>
      <w:r>
        <w:rPr>
          <w:rFonts w:hint="eastAsia" w:ascii="宋体" w:hAnsi="宋体" w:cs="宋体"/>
          <w:b/>
          <w:color w:val="auto"/>
          <w:sz w:val="32"/>
          <w:highlight w:val="none"/>
          <w:lang w:eastAsia="zh-CN"/>
        </w:rPr>
        <w:t>广西众联工程项目管理有限公司</w:t>
      </w:r>
    </w:p>
    <w:p w14:paraId="26715DBE">
      <w:pPr>
        <w:pStyle w:val="13"/>
        <w:kinsoku w:val="0"/>
        <w:overflowPunct w:val="0"/>
        <w:spacing w:line="400" w:lineRule="exact"/>
        <w:ind w:left="0"/>
        <w:jc w:val="center"/>
        <w:rPr>
          <w:rFonts w:hint="eastAsia" w:ascii="宋体" w:hAnsi="宋体" w:cs="宋体"/>
          <w:b/>
          <w:color w:val="auto"/>
          <w:sz w:val="30"/>
          <w:szCs w:val="30"/>
          <w:highlight w:val="none"/>
        </w:rPr>
      </w:pPr>
      <w:r>
        <w:rPr>
          <w:rFonts w:hint="eastAsia" w:ascii="宋体" w:hAnsi="宋体" w:cs="宋体"/>
          <w:b/>
          <w:color w:val="auto"/>
          <w:sz w:val="32"/>
          <w:highlight w:val="none"/>
          <w:lang w:eastAsia="zh-CN"/>
        </w:rPr>
        <w:t xml:space="preserve"> </w:t>
      </w:r>
      <w:r>
        <w:rPr>
          <w:rFonts w:hint="eastAsia" w:ascii="宋体" w:hAnsi="宋体" w:cs="宋体"/>
          <w:b/>
          <w:color w:val="auto"/>
          <w:sz w:val="32"/>
          <w:highlight w:val="none"/>
        </w:rPr>
        <w:t>关于</w:t>
      </w:r>
      <w:r>
        <w:rPr>
          <w:rFonts w:hint="eastAsia" w:ascii="宋体" w:hAnsi="宋体" w:cs="宋体"/>
          <w:b/>
          <w:color w:val="auto"/>
          <w:sz w:val="32"/>
          <w:highlight w:val="none"/>
          <w:lang w:val="en-US" w:eastAsia="zh-CN"/>
        </w:rPr>
        <w:t>广西壮族自治区凤山公路养护中心G357线林佑坳隧道维修处治工程</w:t>
      </w:r>
      <w:r>
        <w:rPr>
          <w:rFonts w:hint="eastAsia" w:ascii="宋体" w:hAnsi="宋体" w:cs="宋体"/>
          <w:b/>
          <w:color w:val="auto"/>
          <w:sz w:val="32"/>
          <w:highlight w:val="none"/>
        </w:rPr>
        <w:t>的竞争性磋商公告</w:t>
      </w:r>
      <w:bookmarkEnd w:id="11"/>
    </w:p>
    <w:p w14:paraId="5028DD72">
      <w:pPr>
        <w:pBdr>
          <w:top w:val="single" w:color="auto" w:sz="4" w:space="1"/>
          <w:left w:val="single" w:color="auto" w:sz="4" w:space="20"/>
          <w:bottom w:val="single" w:color="auto" w:sz="4" w:space="1"/>
          <w:right w:val="single" w:color="auto" w:sz="4" w:space="4"/>
        </w:pBdr>
        <w:spacing w:line="460" w:lineRule="exact"/>
        <w:ind w:firstLine="0" w:firstLineChars="0"/>
        <w:jc w:val="both"/>
        <w:rPr>
          <w:rFonts w:hint="default" w:ascii="宋体" w:hAnsi="宋体" w:cs="宋体"/>
          <w:bCs/>
          <w:color w:val="auto"/>
          <w:szCs w:val="24"/>
          <w:highlight w:val="none"/>
          <w:u w:val="single"/>
          <w:lang w:val="en-US" w:eastAsia="zh-CN"/>
        </w:rPr>
      </w:pPr>
      <w:r>
        <w:rPr>
          <w:rFonts w:hint="eastAsia" w:ascii="宋体" w:hAnsi="宋体" w:cs="宋体"/>
          <w:bCs/>
          <w:color w:val="auto"/>
          <w:szCs w:val="24"/>
          <w:highlight w:val="none"/>
          <w:u w:val="single"/>
          <w:lang w:val="en-US" w:eastAsia="zh-CN"/>
        </w:rPr>
        <w:t>项目概况：</w:t>
      </w:r>
    </w:p>
    <w:p w14:paraId="09F03005">
      <w:pPr>
        <w:pBdr>
          <w:top w:val="single" w:color="auto" w:sz="4" w:space="1"/>
          <w:left w:val="single" w:color="auto" w:sz="4" w:space="20"/>
          <w:bottom w:val="single" w:color="auto" w:sz="4" w:space="1"/>
          <w:right w:val="single" w:color="auto" w:sz="4" w:space="4"/>
        </w:pBdr>
        <w:spacing w:line="460" w:lineRule="exact"/>
        <w:ind w:firstLine="448" w:firstLineChars="187"/>
        <w:jc w:val="both"/>
        <w:rPr>
          <w:rFonts w:ascii="宋体" w:hAnsi="宋体" w:cs="宋体"/>
          <w:color w:val="auto"/>
          <w:szCs w:val="24"/>
          <w:highlight w:val="none"/>
        </w:rPr>
      </w:pPr>
      <w:r>
        <w:rPr>
          <w:rFonts w:hint="eastAsia" w:ascii="宋体" w:hAnsi="宋体" w:cs="宋体"/>
          <w:bCs/>
          <w:color w:val="auto"/>
          <w:szCs w:val="24"/>
          <w:highlight w:val="none"/>
          <w:u w:val="single"/>
          <w:lang w:eastAsia="zh-CN"/>
        </w:rPr>
        <w:t>广西壮族自治区凤山公路养护中心G357线林佑坳隧道维修处治工程</w:t>
      </w:r>
      <w:r>
        <w:rPr>
          <w:rFonts w:ascii="宋体" w:hAnsi="宋体" w:cs="宋体"/>
          <w:color w:val="auto"/>
          <w:szCs w:val="24"/>
          <w:highlight w:val="none"/>
        </w:rPr>
        <w:t>的潜在供应商应在</w:t>
      </w:r>
      <w:r>
        <w:rPr>
          <w:rFonts w:hint="eastAsia" w:ascii="宋体" w:hAnsi="宋体" w:cs="宋体"/>
          <w:color w:val="auto"/>
          <w:szCs w:val="24"/>
          <w:highlight w:val="none"/>
          <w:lang w:val="en-US" w:eastAsia="zh-CN"/>
        </w:rPr>
        <w:t>广西</w:t>
      </w:r>
      <w:r>
        <w:rPr>
          <w:rFonts w:ascii="宋体" w:hAnsi="宋体" w:cs="宋体"/>
          <w:color w:val="auto"/>
          <w:szCs w:val="24"/>
          <w:highlight w:val="none"/>
        </w:rPr>
        <w:t>政府采购云平台（</w:t>
      </w:r>
      <w:r>
        <w:rPr>
          <w:rFonts w:ascii="宋体" w:hAnsi="宋体" w:cs="宋体"/>
          <w:color w:val="auto"/>
          <w:szCs w:val="24"/>
          <w:highlight w:val="none"/>
        </w:rPr>
        <w:fldChar w:fldCharType="begin"/>
      </w:r>
      <w:r>
        <w:rPr>
          <w:rFonts w:ascii="宋体" w:hAnsi="宋体" w:cs="宋体"/>
          <w:color w:val="auto"/>
          <w:szCs w:val="24"/>
          <w:highlight w:val="none"/>
        </w:rPr>
        <w:instrText xml:space="preserve"> HYPERLINK "http://www.zcygov.cn/）获取采购文件，并于2022</w:instrText>
      </w:r>
      <w:r>
        <w:rPr>
          <w:rFonts w:ascii="宋体" w:hAnsi="宋体" w:cs="宋体"/>
          <w:bCs/>
          <w:color w:val="auto"/>
          <w:szCs w:val="24"/>
          <w:highlight w:val="none"/>
        </w:rPr>
        <w:instrText xml:space="preserve">年</w:instrText>
      </w:r>
      <w:r>
        <w:rPr>
          <w:rFonts w:ascii="宋体" w:hAnsi="宋体" w:cs="宋体"/>
          <w:color w:val="auto"/>
          <w:szCs w:val="24"/>
          <w:highlight w:val="none"/>
        </w:rPr>
        <w:instrText xml:space="preserve">" </w:instrText>
      </w:r>
      <w:r>
        <w:rPr>
          <w:rFonts w:ascii="宋体" w:hAnsi="宋体" w:cs="宋体"/>
          <w:color w:val="auto"/>
          <w:szCs w:val="24"/>
          <w:highlight w:val="none"/>
        </w:rPr>
        <w:fldChar w:fldCharType="separate"/>
      </w:r>
      <w:r>
        <w:rPr>
          <w:rStyle w:val="38"/>
          <w:rFonts w:ascii="宋体" w:hAnsi="宋体" w:cs="宋体"/>
          <w:color w:val="auto"/>
          <w:szCs w:val="24"/>
          <w:highlight w:val="none"/>
        </w:rPr>
        <w:t>http://www.zcygov.cn/）获取</w:t>
      </w:r>
      <w:r>
        <w:rPr>
          <w:rStyle w:val="38"/>
          <w:rFonts w:hint="eastAsia" w:ascii="宋体" w:hAnsi="宋体" w:cs="宋体"/>
          <w:color w:val="auto"/>
          <w:szCs w:val="24"/>
          <w:highlight w:val="none"/>
          <w:lang w:eastAsia="zh-CN"/>
        </w:rPr>
        <w:t>磋商文件</w:t>
      </w:r>
      <w:r>
        <w:rPr>
          <w:rStyle w:val="38"/>
          <w:rFonts w:ascii="宋体" w:hAnsi="宋体" w:cs="宋体"/>
          <w:color w:val="auto"/>
          <w:szCs w:val="24"/>
          <w:highlight w:val="none"/>
        </w:rPr>
        <w:t>，并于</w:t>
      </w:r>
      <w:bookmarkStart w:id="12" w:name="_Hlt129354651"/>
      <w:bookmarkStart w:id="13" w:name="_Hlt129354652"/>
      <w:r>
        <w:rPr>
          <w:rStyle w:val="38"/>
          <w:rFonts w:ascii="宋体" w:hAnsi="宋体" w:cs="宋体"/>
          <w:color w:val="auto"/>
          <w:szCs w:val="24"/>
          <w:highlight w:val="none"/>
        </w:rPr>
        <w:t>2</w:t>
      </w:r>
      <w:bookmarkEnd w:id="12"/>
      <w:bookmarkEnd w:id="13"/>
      <w:r>
        <w:rPr>
          <w:rStyle w:val="38"/>
          <w:rFonts w:ascii="宋体" w:hAnsi="宋体" w:cs="宋体"/>
          <w:color w:val="auto"/>
          <w:szCs w:val="24"/>
          <w:highlight w:val="none"/>
        </w:rPr>
        <w:t>02</w:t>
      </w:r>
      <w:r>
        <w:rPr>
          <w:rStyle w:val="38"/>
          <w:rFonts w:hint="eastAsia" w:ascii="宋体" w:hAnsi="宋体" w:cs="宋体"/>
          <w:color w:val="auto"/>
          <w:szCs w:val="24"/>
          <w:highlight w:val="none"/>
          <w:lang w:val="en-US" w:eastAsia="zh-CN"/>
        </w:rPr>
        <w:t>5</w:t>
      </w:r>
      <w:r>
        <w:rPr>
          <w:rStyle w:val="38"/>
          <w:rFonts w:ascii="宋体" w:hAnsi="宋体" w:cs="宋体"/>
          <w:bCs/>
          <w:color w:val="auto"/>
          <w:szCs w:val="24"/>
          <w:highlight w:val="none"/>
        </w:rPr>
        <w:t>年</w:t>
      </w:r>
      <w:r>
        <w:rPr>
          <w:rFonts w:ascii="宋体" w:hAnsi="宋体" w:cs="宋体"/>
          <w:color w:val="auto"/>
          <w:szCs w:val="24"/>
          <w:highlight w:val="none"/>
        </w:rPr>
        <w:fldChar w:fldCharType="end"/>
      </w:r>
      <w:r>
        <w:rPr>
          <w:rFonts w:hint="eastAsia" w:ascii="宋体" w:hAnsi="宋体" w:cs="宋体"/>
          <w:bCs/>
          <w:color w:val="auto"/>
          <w:szCs w:val="24"/>
          <w:highlight w:val="none"/>
          <w:lang w:val="en-US" w:eastAsia="zh-CN"/>
        </w:rPr>
        <w:t>08</w:t>
      </w:r>
      <w:r>
        <w:rPr>
          <w:rFonts w:ascii="宋体" w:hAnsi="宋体" w:cs="宋体"/>
          <w:bCs/>
          <w:color w:val="auto"/>
          <w:szCs w:val="24"/>
          <w:highlight w:val="none"/>
        </w:rPr>
        <w:t>月</w:t>
      </w:r>
      <w:r>
        <w:rPr>
          <w:rFonts w:hint="eastAsia" w:ascii="宋体" w:hAnsi="宋体" w:cs="宋体"/>
          <w:bCs/>
          <w:color w:val="auto"/>
          <w:szCs w:val="24"/>
          <w:highlight w:val="none"/>
          <w:lang w:val="en-US" w:eastAsia="zh-CN"/>
        </w:rPr>
        <w:t>11</w:t>
      </w:r>
      <w:r>
        <w:rPr>
          <w:rFonts w:ascii="宋体" w:hAnsi="宋体" w:cs="宋体"/>
          <w:bCs/>
          <w:color w:val="auto"/>
          <w:szCs w:val="24"/>
          <w:highlight w:val="none"/>
        </w:rPr>
        <w:t>日</w:t>
      </w:r>
      <w:r>
        <w:rPr>
          <w:rFonts w:hint="eastAsia" w:ascii="宋体" w:hAnsi="宋体" w:cs="宋体"/>
          <w:bCs/>
          <w:color w:val="auto"/>
          <w:szCs w:val="24"/>
          <w:highlight w:val="none"/>
          <w:lang w:val="en-US" w:eastAsia="zh-CN"/>
        </w:rPr>
        <w:t>10</w:t>
      </w:r>
      <w:r>
        <w:rPr>
          <w:rFonts w:ascii="宋体" w:hAnsi="宋体" w:cs="宋体"/>
          <w:bCs/>
          <w:color w:val="auto"/>
          <w:szCs w:val="24"/>
          <w:highlight w:val="none"/>
        </w:rPr>
        <w:t>时00分（北京时间）前提交响应文件</w:t>
      </w:r>
      <w:r>
        <w:rPr>
          <w:rFonts w:ascii="宋体" w:hAnsi="宋体" w:cs="宋体"/>
          <w:color w:val="auto"/>
          <w:szCs w:val="24"/>
          <w:highlight w:val="none"/>
        </w:rPr>
        <w:t>。</w:t>
      </w:r>
    </w:p>
    <w:p w14:paraId="0853FDC1">
      <w:pPr>
        <w:spacing w:line="400" w:lineRule="exact"/>
        <w:rPr>
          <w:rFonts w:ascii="宋体" w:hAnsi="宋体" w:cs="宋体"/>
          <w:b/>
          <w:color w:val="auto"/>
          <w:sz w:val="22"/>
          <w:szCs w:val="21"/>
          <w:highlight w:val="none"/>
        </w:rPr>
      </w:pPr>
      <w:r>
        <w:rPr>
          <w:rFonts w:hint="eastAsia" w:ascii="宋体" w:hAnsi="宋体" w:cs="宋体"/>
          <w:b/>
          <w:color w:val="auto"/>
          <w:sz w:val="22"/>
          <w:szCs w:val="21"/>
          <w:highlight w:val="none"/>
          <w:lang w:val="en-US" w:eastAsia="zh-CN"/>
        </w:rPr>
        <w:t>一</w:t>
      </w:r>
      <w:r>
        <w:rPr>
          <w:rFonts w:ascii="宋体" w:hAnsi="宋体" w:cs="宋体"/>
          <w:b/>
          <w:color w:val="auto"/>
          <w:sz w:val="22"/>
          <w:szCs w:val="21"/>
          <w:highlight w:val="none"/>
        </w:rPr>
        <w:t>、项目基本情况</w:t>
      </w:r>
    </w:p>
    <w:p w14:paraId="2D58F63A">
      <w:pPr>
        <w:adjustRightInd/>
        <w:spacing w:line="400" w:lineRule="exact"/>
        <w:ind w:firstLine="480" w:firstLineChars="200"/>
        <w:rPr>
          <w:rFonts w:ascii="宋体" w:hAnsi="宋体" w:cs="宋体"/>
          <w:color w:val="auto"/>
          <w:szCs w:val="24"/>
          <w:highlight w:val="none"/>
          <w:lang w:val="zh-CN" w:bidi="zh-CN"/>
        </w:rPr>
      </w:pPr>
      <w:r>
        <w:rPr>
          <w:rFonts w:ascii="宋体" w:hAnsi="宋体" w:cs="宋体"/>
          <w:color w:val="auto"/>
          <w:szCs w:val="24"/>
          <w:highlight w:val="none"/>
          <w:lang w:val="zh-CN" w:bidi="zh-CN"/>
        </w:rPr>
        <w:t>项目编号：</w:t>
      </w:r>
      <w:r>
        <w:rPr>
          <w:rFonts w:hint="eastAsia" w:ascii="宋体" w:hAnsi="宋体" w:cs="宋体"/>
          <w:color w:val="auto"/>
          <w:szCs w:val="24"/>
          <w:highlight w:val="none"/>
          <w:lang w:val="zh-CN" w:bidi="zh-CN"/>
        </w:rPr>
        <w:t>GXZC2025-C2-002117-GXZL</w:t>
      </w:r>
    </w:p>
    <w:p w14:paraId="6F28F99F">
      <w:pPr>
        <w:snapToGrid w:val="0"/>
        <w:spacing w:line="400" w:lineRule="exact"/>
        <w:ind w:firstLine="480" w:firstLineChars="200"/>
        <w:rPr>
          <w:rFonts w:ascii="宋体" w:hAnsi="宋体" w:cs="宋体"/>
          <w:color w:val="auto"/>
          <w:szCs w:val="24"/>
          <w:highlight w:val="none"/>
          <w:lang w:val="zh-CN" w:bidi="zh-CN"/>
        </w:rPr>
      </w:pPr>
      <w:r>
        <w:rPr>
          <w:rFonts w:ascii="宋体" w:hAnsi="宋体" w:cs="宋体"/>
          <w:color w:val="auto"/>
          <w:szCs w:val="24"/>
          <w:highlight w:val="none"/>
          <w:lang w:val="zh-CN" w:bidi="zh-CN"/>
        </w:rPr>
        <w:t>项目名称：</w:t>
      </w:r>
      <w:r>
        <w:rPr>
          <w:rFonts w:hint="eastAsia" w:ascii="宋体" w:hAnsi="宋体" w:cs="宋体"/>
          <w:color w:val="auto"/>
          <w:szCs w:val="24"/>
          <w:highlight w:val="none"/>
          <w:lang w:val="zh-CN" w:bidi="zh-CN"/>
        </w:rPr>
        <w:t>广西壮族自治区凤山公路养护中心G357线林佑坳隧道维修处治工程</w:t>
      </w:r>
    </w:p>
    <w:p w14:paraId="1209114F">
      <w:pPr>
        <w:snapToGrid w:val="0"/>
        <w:spacing w:line="400" w:lineRule="exact"/>
        <w:ind w:firstLine="480" w:firstLineChars="200"/>
        <w:rPr>
          <w:rFonts w:ascii="宋体" w:hAnsi="宋体" w:cs="宋体"/>
          <w:color w:val="auto"/>
          <w:szCs w:val="24"/>
          <w:highlight w:val="none"/>
          <w:lang w:val="zh-CN" w:bidi="zh-CN"/>
        </w:rPr>
      </w:pPr>
      <w:r>
        <w:rPr>
          <w:rFonts w:ascii="宋体" w:hAnsi="宋体" w:cs="宋体"/>
          <w:color w:val="auto"/>
          <w:szCs w:val="24"/>
          <w:highlight w:val="none"/>
          <w:lang w:val="zh-CN" w:bidi="zh-CN"/>
        </w:rPr>
        <w:t>采购方式：竞争性磋商</w:t>
      </w:r>
    </w:p>
    <w:p w14:paraId="3FE8B96F">
      <w:pPr>
        <w:snapToGrid w:val="0"/>
        <w:spacing w:line="400" w:lineRule="exact"/>
        <w:ind w:right="194" w:rightChars="81" w:firstLine="480" w:firstLineChars="200"/>
        <w:rPr>
          <w:rFonts w:ascii="宋体" w:hAnsi="宋体" w:cs="宋体"/>
          <w:color w:val="auto"/>
          <w:szCs w:val="24"/>
          <w:highlight w:val="none"/>
        </w:rPr>
      </w:pPr>
      <w:r>
        <w:rPr>
          <w:rFonts w:ascii="宋体" w:hAnsi="宋体" w:cs="宋体"/>
          <w:color w:val="auto"/>
          <w:szCs w:val="24"/>
          <w:highlight w:val="none"/>
        </w:rPr>
        <w:t>预算金额：人民币</w:t>
      </w:r>
      <w:r>
        <w:rPr>
          <w:rFonts w:hint="eastAsia" w:ascii="宋体" w:hAnsi="宋体" w:cs="宋体"/>
          <w:color w:val="auto"/>
          <w:szCs w:val="24"/>
          <w:highlight w:val="none"/>
          <w:lang w:eastAsia="zh-CN"/>
        </w:rPr>
        <w:t>壹佰陆拾陆万贰仟陆佰元整</w:t>
      </w:r>
      <w:r>
        <w:rPr>
          <w:rFonts w:ascii="宋体" w:hAnsi="宋体" w:cs="宋体"/>
          <w:color w:val="auto"/>
          <w:szCs w:val="24"/>
          <w:highlight w:val="none"/>
        </w:rPr>
        <w:t>（¥</w:t>
      </w:r>
      <w:r>
        <w:rPr>
          <w:rFonts w:hint="eastAsia" w:ascii="宋体" w:hAnsi="宋体" w:cs="宋体"/>
          <w:color w:val="auto"/>
          <w:szCs w:val="24"/>
          <w:highlight w:val="none"/>
          <w:lang w:val="en-US" w:eastAsia="zh-CN"/>
        </w:rPr>
        <w:t>1662600</w:t>
      </w:r>
      <w:r>
        <w:rPr>
          <w:rFonts w:ascii="宋体" w:hAnsi="宋体" w:cs="宋体"/>
          <w:color w:val="auto"/>
          <w:szCs w:val="24"/>
          <w:highlight w:val="none"/>
        </w:rPr>
        <w:t>.00）</w:t>
      </w:r>
    </w:p>
    <w:p w14:paraId="54FB9565">
      <w:pPr>
        <w:snapToGrid w:val="0"/>
        <w:spacing w:line="400" w:lineRule="exact"/>
        <w:ind w:right="194" w:rightChars="81" w:firstLine="480" w:firstLineChars="200"/>
        <w:rPr>
          <w:rFonts w:ascii="宋体" w:hAnsi="宋体" w:cs="宋体"/>
          <w:color w:val="auto"/>
          <w:szCs w:val="24"/>
          <w:highlight w:val="none"/>
        </w:rPr>
      </w:pPr>
      <w:r>
        <w:rPr>
          <w:rFonts w:ascii="宋体" w:hAnsi="宋体" w:cs="宋体"/>
          <w:color w:val="auto"/>
          <w:szCs w:val="24"/>
          <w:highlight w:val="none"/>
        </w:rPr>
        <w:t>采购最高限价：人民币</w:t>
      </w:r>
      <w:r>
        <w:rPr>
          <w:rFonts w:hint="eastAsia" w:ascii="宋体" w:hAnsi="宋体" w:cs="宋体"/>
          <w:color w:val="auto"/>
          <w:szCs w:val="24"/>
          <w:highlight w:val="none"/>
          <w:lang w:eastAsia="zh-CN"/>
        </w:rPr>
        <w:t>壹佰陆拾陆万贰仟陆佰元整</w:t>
      </w:r>
      <w:r>
        <w:rPr>
          <w:rFonts w:ascii="宋体" w:hAnsi="宋体" w:cs="宋体"/>
          <w:color w:val="auto"/>
          <w:szCs w:val="24"/>
          <w:highlight w:val="none"/>
        </w:rPr>
        <w:t>（¥</w:t>
      </w:r>
      <w:r>
        <w:rPr>
          <w:rFonts w:hint="eastAsia" w:ascii="宋体" w:hAnsi="宋体" w:cs="宋体"/>
          <w:color w:val="auto"/>
          <w:szCs w:val="24"/>
          <w:highlight w:val="none"/>
          <w:lang w:val="en-US" w:eastAsia="zh-CN"/>
        </w:rPr>
        <w:t>1662600</w:t>
      </w:r>
      <w:r>
        <w:rPr>
          <w:rFonts w:ascii="宋体" w:hAnsi="宋体" w:cs="宋体"/>
          <w:color w:val="auto"/>
          <w:szCs w:val="24"/>
          <w:highlight w:val="none"/>
        </w:rPr>
        <w:t>.00）</w:t>
      </w:r>
    </w:p>
    <w:p w14:paraId="6C45E34B">
      <w:pPr>
        <w:spacing w:line="400" w:lineRule="exact"/>
        <w:ind w:firstLine="480" w:firstLineChars="200"/>
        <w:rPr>
          <w:rFonts w:ascii="宋体" w:hAnsi="宋体" w:cs="宋体"/>
          <w:color w:val="auto"/>
          <w:highlight w:val="none"/>
        </w:rPr>
      </w:pPr>
      <w:r>
        <w:rPr>
          <w:rFonts w:ascii="宋体" w:hAnsi="宋体" w:cs="宋体"/>
          <w:color w:val="auto"/>
          <w:szCs w:val="24"/>
          <w:highlight w:val="none"/>
        </w:rPr>
        <w:t>采购需求：</w:t>
      </w:r>
      <w:r>
        <w:rPr>
          <w:rFonts w:ascii="宋体" w:hAnsi="宋体" w:cs="宋体"/>
          <w:color w:val="auto"/>
          <w:szCs w:val="24"/>
          <w:highlight w:val="none"/>
          <w:lang w:val="zh-CN" w:bidi="zh-CN"/>
        </w:rPr>
        <w:t>本竞标项目共一个标段（标段号：№202</w:t>
      </w:r>
      <w:r>
        <w:rPr>
          <w:rFonts w:hint="eastAsia" w:ascii="宋体" w:hAnsi="宋体" w:cs="宋体"/>
          <w:color w:val="auto"/>
          <w:szCs w:val="24"/>
          <w:highlight w:val="none"/>
          <w:lang w:val="en-US" w:bidi="zh-CN"/>
        </w:rPr>
        <w:t>5</w:t>
      </w:r>
      <w:r>
        <w:rPr>
          <w:rFonts w:ascii="宋体" w:hAnsi="宋体" w:cs="宋体"/>
          <w:color w:val="auto"/>
          <w:szCs w:val="24"/>
          <w:highlight w:val="none"/>
          <w:lang w:val="zh-CN" w:bidi="zh-CN"/>
        </w:rPr>
        <w:t>-</w:t>
      </w:r>
      <w:r>
        <w:rPr>
          <w:rFonts w:hint="eastAsia" w:ascii="宋体" w:hAnsi="宋体" w:cs="宋体"/>
          <w:color w:val="auto"/>
          <w:szCs w:val="24"/>
          <w:highlight w:val="none"/>
          <w:lang w:val="en-US" w:bidi="zh-CN"/>
        </w:rPr>
        <w:t>2</w:t>
      </w:r>
      <w:r>
        <w:rPr>
          <w:rFonts w:ascii="宋体" w:hAnsi="宋体" w:cs="宋体"/>
          <w:color w:val="auto"/>
          <w:szCs w:val="24"/>
          <w:highlight w:val="none"/>
          <w:lang w:val="zh-CN" w:bidi="zh-CN"/>
        </w:rPr>
        <w:t>），</w:t>
      </w:r>
      <w:r>
        <w:rPr>
          <w:rFonts w:hint="eastAsia" w:ascii="宋体" w:hAnsi="宋体" w:cs="宋体"/>
          <w:color w:val="auto"/>
          <w:szCs w:val="24"/>
          <w:highlight w:val="none"/>
          <w:lang w:val="en-US" w:bidi="zh-CN"/>
        </w:rPr>
        <w:t>对</w:t>
      </w:r>
      <w:r>
        <w:rPr>
          <w:rFonts w:hint="eastAsia" w:ascii="宋体" w:hAnsi="宋体" w:cs="宋体"/>
          <w:color w:val="auto"/>
          <w:szCs w:val="24"/>
          <w:highlight w:val="none"/>
          <w:lang w:val="zh-CN" w:bidi="zh-CN"/>
        </w:rPr>
        <w:t>G357线林佑坳隧道</w:t>
      </w:r>
      <w:r>
        <w:rPr>
          <w:rFonts w:hint="eastAsia" w:ascii="宋体" w:hAnsi="宋体" w:cs="宋体"/>
          <w:color w:val="auto"/>
          <w:szCs w:val="24"/>
          <w:highlight w:val="none"/>
          <w:lang w:val="en-US" w:bidi="zh-CN"/>
        </w:rPr>
        <w:t>进行</w:t>
      </w:r>
      <w:r>
        <w:rPr>
          <w:rFonts w:hint="eastAsia" w:ascii="宋体" w:hAnsi="宋体" w:cs="宋体"/>
          <w:color w:val="auto"/>
          <w:szCs w:val="24"/>
          <w:highlight w:val="none"/>
          <w:lang w:val="zh-CN" w:bidi="zh-CN"/>
        </w:rPr>
        <w:t>维修处治</w:t>
      </w:r>
      <w:r>
        <w:rPr>
          <w:rFonts w:ascii="宋体" w:hAnsi="宋体" w:cs="宋体"/>
          <w:color w:val="auto"/>
          <w:szCs w:val="24"/>
          <w:highlight w:val="none"/>
          <w:lang w:val="zh-CN" w:bidi="zh-CN"/>
        </w:rPr>
        <w:t>。具体内容详见工程量清单及施工图纸。</w:t>
      </w:r>
    </w:p>
    <w:p w14:paraId="7FD4C94E">
      <w:pPr>
        <w:ind w:firstLine="480" w:firstLineChars="200"/>
        <w:rPr>
          <w:rFonts w:ascii="宋体" w:hAnsi="宋体" w:cs="宋体"/>
          <w:color w:val="auto"/>
          <w:szCs w:val="24"/>
          <w:highlight w:val="none"/>
          <w:u w:val="single"/>
        </w:rPr>
      </w:pPr>
      <w:r>
        <w:rPr>
          <w:rFonts w:ascii="宋体" w:hAnsi="宋体" w:cs="宋体"/>
          <w:color w:val="auto"/>
          <w:szCs w:val="24"/>
          <w:highlight w:val="none"/>
        </w:rPr>
        <w:t>质量要求：</w:t>
      </w:r>
      <w:r>
        <w:rPr>
          <w:rFonts w:ascii="宋体" w:hAnsi="宋体" w:cs="宋体"/>
          <w:color w:val="auto"/>
          <w:highlight w:val="none"/>
        </w:rPr>
        <w:t>标段</w:t>
      </w:r>
      <w:r>
        <w:rPr>
          <w:rFonts w:ascii="宋体" w:hAnsi="宋体" w:cs="宋体"/>
          <w:color w:val="auto"/>
          <w:spacing w:val="-3"/>
          <w:highlight w:val="none"/>
        </w:rPr>
        <w:t>工</w:t>
      </w:r>
      <w:r>
        <w:rPr>
          <w:rFonts w:ascii="宋体" w:hAnsi="宋体" w:cs="宋体"/>
          <w:color w:val="auto"/>
          <w:highlight w:val="none"/>
        </w:rPr>
        <w:t>程</w:t>
      </w:r>
      <w:r>
        <w:rPr>
          <w:rFonts w:ascii="宋体" w:hAnsi="宋体" w:cs="宋体"/>
          <w:color w:val="auto"/>
          <w:spacing w:val="-3"/>
          <w:highlight w:val="none"/>
        </w:rPr>
        <w:t>交</w:t>
      </w:r>
      <w:r>
        <w:rPr>
          <w:rFonts w:ascii="宋体" w:hAnsi="宋体" w:cs="宋体"/>
          <w:color w:val="auto"/>
          <w:highlight w:val="none"/>
        </w:rPr>
        <w:t>工</w:t>
      </w:r>
      <w:r>
        <w:rPr>
          <w:rFonts w:ascii="宋体" w:hAnsi="宋体" w:cs="宋体"/>
          <w:color w:val="auto"/>
          <w:spacing w:val="-3"/>
          <w:highlight w:val="none"/>
        </w:rPr>
        <w:t>验</w:t>
      </w:r>
      <w:r>
        <w:rPr>
          <w:rFonts w:ascii="宋体" w:hAnsi="宋体" w:cs="宋体"/>
          <w:color w:val="auto"/>
          <w:highlight w:val="none"/>
        </w:rPr>
        <w:t>收</w:t>
      </w:r>
      <w:r>
        <w:rPr>
          <w:rFonts w:ascii="宋体" w:hAnsi="宋体" w:cs="宋体"/>
          <w:color w:val="auto"/>
          <w:spacing w:val="-3"/>
          <w:highlight w:val="none"/>
        </w:rPr>
        <w:t>的</w:t>
      </w:r>
      <w:r>
        <w:rPr>
          <w:rFonts w:ascii="宋体" w:hAnsi="宋体" w:cs="宋体"/>
          <w:color w:val="auto"/>
          <w:highlight w:val="none"/>
        </w:rPr>
        <w:t>质</w:t>
      </w:r>
      <w:r>
        <w:rPr>
          <w:rFonts w:ascii="宋体" w:hAnsi="宋体" w:cs="宋体"/>
          <w:color w:val="auto"/>
          <w:spacing w:val="-3"/>
          <w:highlight w:val="none"/>
        </w:rPr>
        <w:t>量</w:t>
      </w:r>
      <w:r>
        <w:rPr>
          <w:rFonts w:ascii="宋体" w:hAnsi="宋体" w:cs="宋体"/>
          <w:color w:val="auto"/>
          <w:highlight w:val="none"/>
        </w:rPr>
        <w:t>评定</w:t>
      </w:r>
      <w:r>
        <w:rPr>
          <w:rFonts w:ascii="宋体" w:hAnsi="宋体" w:cs="宋体"/>
          <w:color w:val="auto"/>
          <w:spacing w:val="-3"/>
          <w:highlight w:val="none"/>
        </w:rPr>
        <w:t>：</w:t>
      </w:r>
      <w:bookmarkStart w:id="14" w:name="EBb766aeb17b4b4e8e951f47d505fb112e"/>
      <w:r>
        <w:rPr>
          <w:rFonts w:ascii="宋体" w:hAnsi="宋体" w:cs="宋体"/>
          <w:color w:val="auto"/>
          <w:highlight w:val="none"/>
        </w:rPr>
        <w:t>合格</w:t>
      </w:r>
      <w:bookmarkEnd w:id="14"/>
      <w:r>
        <w:rPr>
          <w:rFonts w:ascii="宋体" w:hAnsi="宋体" w:cs="宋体"/>
          <w:color w:val="auto"/>
          <w:highlight w:val="none"/>
        </w:rPr>
        <w:t>，</w:t>
      </w:r>
      <w:r>
        <w:rPr>
          <w:rFonts w:ascii="宋体" w:hAnsi="宋体" w:cs="宋体"/>
          <w:color w:val="auto"/>
          <w:spacing w:val="-1"/>
          <w:highlight w:val="none"/>
        </w:rPr>
        <w:t>竣</w:t>
      </w:r>
      <w:r>
        <w:rPr>
          <w:rFonts w:ascii="宋体" w:hAnsi="宋体" w:cs="宋体"/>
          <w:color w:val="auto"/>
          <w:highlight w:val="none"/>
        </w:rPr>
        <w:t>工</w:t>
      </w:r>
      <w:r>
        <w:rPr>
          <w:rFonts w:ascii="宋体" w:hAnsi="宋体" w:cs="宋体"/>
          <w:color w:val="auto"/>
          <w:spacing w:val="-3"/>
          <w:highlight w:val="none"/>
        </w:rPr>
        <w:t>验</w:t>
      </w:r>
      <w:r>
        <w:rPr>
          <w:rFonts w:ascii="宋体" w:hAnsi="宋体" w:cs="宋体"/>
          <w:color w:val="auto"/>
          <w:highlight w:val="none"/>
        </w:rPr>
        <w:t>收</w:t>
      </w:r>
      <w:r>
        <w:rPr>
          <w:rFonts w:ascii="宋体" w:hAnsi="宋体" w:cs="宋体"/>
          <w:color w:val="auto"/>
          <w:spacing w:val="-3"/>
          <w:highlight w:val="none"/>
        </w:rPr>
        <w:t>的</w:t>
      </w:r>
      <w:r>
        <w:rPr>
          <w:rFonts w:ascii="宋体" w:hAnsi="宋体" w:cs="宋体"/>
          <w:color w:val="auto"/>
          <w:highlight w:val="none"/>
        </w:rPr>
        <w:t>质</w:t>
      </w:r>
      <w:r>
        <w:rPr>
          <w:rFonts w:ascii="宋体" w:hAnsi="宋体" w:cs="宋体"/>
          <w:color w:val="auto"/>
          <w:spacing w:val="-3"/>
          <w:highlight w:val="none"/>
        </w:rPr>
        <w:t>量</w:t>
      </w:r>
      <w:r>
        <w:rPr>
          <w:rFonts w:ascii="宋体" w:hAnsi="宋体" w:cs="宋体"/>
          <w:color w:val="auto"/>
          <w:highlight w:val="none"/>
        </w:rPr>
        <w:t>评</w:t>
      </w:r>
      <w:r>
        <w:rPr>
          <w:rFonts w:ascii="宋体" w:hAnsi="宋体" w:cs="宋体"/>
          <w:color w:val="auto"/>
          <w:spacing w:val="-3"/>
          <w:highlight w:val="none"/>
        </w:rPr>
        <w:t>定</w:t>
      </w:r>
      <w:r>
        <w:rPr>
          <w:rFonts w:ascii="宋体" w:hAnsi="宋体" w:cs="宋体"/>
          <w:color w:val="auto"/>
          <w:highlight w:val="none"/>
        </w:rPr>
        <w:t>：</w:t>
      </w:r>
      <w:r>
        <w:rPr>
          <w:rFonts w:hint="eastAsia" w:ascii="宋体" w:hAnsi="宋体" w:cs="宋体"/>
          <w:color w:val="auto"/>
          <w:highlight w:val="none"/>
          <w:lang w:eastAsia="zh-CN"/>
        </w:rPr>
        <w:t>合格</w:t>
      </w:r>
      <w:r>
        <w:rPr>
          <w:rFonts w:ascii="宋体" w:hAnsi="宋体" w:cs="宋体"/>
          <w:color w:val="auto"/>
          <w:highlight w:val="none"/>
        </w:rPr>
        <w:t>。</w:t>
      </w:r>
    </w:p>
    <w:p w14:paraId="7E51409D">
      <w:pPr>
        <w:snapToGrid w:val="0"/>
        <w:spacing w:line="400" w:lineRule="exact"/>
        <w:ind w:right="-204" w:rightChars="-85" w:firstLine="480" w:firstLineChars="200"/>
        <w:rPr>
          <w:rFonts w:ascii="宋体" w:hAnsi="宋体" w:cs="宋体"/>
          <w:color w:val="auto"/>
          <w:szCs w:val="24"/>
          <w:highlight w:val="none"/>
          <w:lang w:bidi="zh-CN"/>
        </w:rPr>
      </w:pPr>
      <w:r>
        <w:rPr>
          <w:rFonts w:ascii="宋体" w:hAnsi="宋体" w:cs="宋体"/>
          <w:color w:val="auto"/>
          <w:szCs w:val="24"/>
          <w:highlight w:val="none"/>
          <w:lang w:bidi="zh-CN"/>
        </w:rPr>
        <w:t>合同履行期限：</w:t>
      </w:r>
      <w:r>
        <w:rPr>
          <w:rFonts w:hint="eastAsia" w:ascii="宋体" w:hAnsi="宋体" w:cs="宋体"/>
          <w:color w:val="auto"/>
          <w:szCs w:val="24"/>
          <w:highlight w:val="none"/>
          <w:lang w:val="en-US" w:eastAsia="zh-CN"/>
        </w:rPr>
        <w:t>90</w:t>
      </w:r>
      <w:r>
        <w:rPr>
          <w:rFonts w:ascii="宋体" w:hAnsi="宋体" w:cs="宋体"/>
          <w:color w:val="auto"/>
          <w:szCs w:val="24"/>
          <w:highlight w:val="none"/>
        </w:rPr>
        <w:t>个日历天。</w:t>
      </w:r>
    </w:p>
    <w:p w14:paraId="6730A4D6">
      <w:pPr>
        <w:snapToGrid w:val="0"/>
        <w:spacing w:line="400" w:lineRule="exact"/>
        <w:ind w:right="-204" w:rightChars="-85" w:firstLine="480" w:firstLineChars="200"/>
        <w:rPr>
          <w:rFonts w:ascii="宋体" w:hAnsi="宋体" w:cs="宋体"/>
          <w:color w:val="auto"/>
          <w:szCs w:val="24"/>
          <w:highlight w:val="none"/>
          <w:lang w:bidi="zh-CN"/>
        </w:rPr>
      </w:pPr>
      <w:r>
        <w:rPr>
          <w:rFonts w:ascii="宋体" w:hAnsi="宋体" w:cs="宋体"/>
          <w:color w:val="auto"/>
          <w:szCs w:val="24"/>
          <w:highlight w:val="none"/>
          <w:lang w:bidi="zh-CN"/>
        </w:rPr>
        <w:t>本项目不接受联合体</w:t>
      </w:r>
      <w:r>
        <w:rPr>
          <w:rFonts w:hint="eastAsia" w:ascii="宋体" w:hAnsi="宋体" w:cs="宋体"/>
          <w:color w:val="auto"/>
          <w:szCs w:val="24"/>
          <w:highlight w:val="none"/>
          <w:lang w:bidi="zh-CN"/>
        </w:rPr>
        <w:t>竞标</w:t>
      </w:r>
      <w:r>
        <w:rPr>
          <w:rFonts w:ascii="宋体" w:hAnsi="宋体" w:cs="宋体"/>
          <w:color w:val="auto"/>
          <w:szCs w:val="24"/>
          <w:highlight w:val="none"/>
          <w:lang w:bidi="zh-CN"/>
        </w:rPr>
        <w:t>。</w:t>
      </w:r>
    </w:p>
    <w:p w14:paraId="10996A6A">
      <w:pPr>
        <w:snapToGrid w:val="0"/>
        <w:spacing w:line="400" w:lineRule="exact"/>
        <w:ind w:right="-204" w:rightChars="-85"/>
        <w:rPr>
          <w:rFonts w:ascii="宋体" w:hAnsi="宋体" w:cs="宋体"/>
          <w:b/>
          <w:bCs/>
          <w:color w:val="auto"/>
          <w:szCs w:val="21"/>
          <w:highlight w:val="none"/>
        </w:rPr>
      </w:pPr>
      <w:r>
        <w:rPr>
          <w:rFonts w:hint="eastAsia" w:ascii="宋体" w:hAnsi="宋体" w:cs="宋体"/>
          <w:b/>
          <w:bCs/>
          <w:color w:val="auto"/>
          <w:szCs w:val="21"/>
          <w:highlight w:val="none"/>
          <w:lang w:val="en-US" w:eastAsia="zh-CN"/>
        </w:rPr>
        <w:t>二</w:t>
      </w:r>
      <w:r>
        <w:rPr>
          <w:rFonts w:ascii="宋体" w:hAnsi="宋体" w:cs="宋体"/>
          <w:b/>
          <w:bCs/>
          <w:color w:val="auto"/>
          <w:szCs w:val="21"/>
          <w:highlight w:val="none"/>
        </w:rPr>
        <w:t>、申请人的资格要求：</w:t>
      </w:r>
    </w:p>
    <w:p w14:paraId="785279FF">
      <w:pPr>
        <w:tabs>
          <w:tab w:val="left" w:pos="1130"/>
        </w:tabs>
        <w:adjustRightInd/>
        <w:spacing w:line="400" w:lineRule="exact"/>
        <w:ind w:firstLine="480" w:firstLineChars="200"/>
        <w:rPr>
          <w:rFonts w:ascii="宋体" w:hAnsi="宋体" w:cs="宋体"/>
          <w:color w:val="auto"/>
          <w:szCs w:val="24"/>
          <w:highlight w:val="none"/>
        </w:rPr>
      </w:pPr>
      <w:r>
        <w:rPr>
          <w:rFonts w:ascii="宋体" w:hAnsi="宋体" w:cs="宋体"/>
          <w:color w:val="auto"/>
          <w:szCs w:val="24"/>
          <w:highlight w:val="none"/>
        </w:rPr>
        <w:t>1.满足《中华人民共和国政府采购法》第二十二条规定；</w:t>
      </w:r>
    </w:p>
    <w:p w14:paraId="5DD30A66">
      <w:pPr>
        <w:tabs>
          <w:tab w:val="left" w:pos="1130"/>
        </w:tabs>
        <w:adjustRightInd/>
        <w:spacing w:line="400" w:lineRule="exact"/>
        <w:ind w:firstLine="480" w:firstLineChars="200"/>
        <w:rPr>
          <w:rFonts w:ascii="宋体" w:hAnsi="宋体" w:cs="宋体"/>
          <w:color w:val="auto"/>
          <w:szCs w:val="24"/>
          <w:highlight w:val="none"/>
        </w:rPr>
      </w:pPr>
      <w:r>
        <w:rPr>
          <w:rFonts w:ascii="宋体" w:hAnsi="宋体" w:cs="宋体"/>
          <w:color w:val="auto"/>
          <w:szCs w:val="24"/>
          <w:highlight w:val="none"/>
        </w:rPr>
        <w:t>2.落实政府采购政策需满足的资格要求：按照财政部、工业和信息化部印发《政府采购促进中小企业发展管理办法》（财库〔2020〕46 号）的有关规定，本次</w:t>
      </w:r>
      <w:r>
        <w:rPr>
          <w:rFonts w:hint="eastAsia" w:ascii="宋体" w:hAnsi="宋体" w:cs="宋体"/>
          <w:color w:val="auto"/>
          <w:szCs w:val="24"/>
          <w:highlight w:val="none"/>
          <w:lang w:eastAsia="zh-CN"/>
        </w:rPr>
        <w:t>采购</w:t>
      </w:r>
      <w:r>
        <w:rPr>
          <w:rFonts w:ascii="宋体" w:hAnsi="宋体" w:cs="宋体"/>
          <w:color w:val="auto"/>
          <w:szCs w:val="24"/>
          <w:highlight w:val="none"/>
        </w:rPr>
        <w:t>专门面向中小微企业</w:t>
      </w:r>
      <w:r>
        <w:rPr>
          <w:rFonts w:hint="eastAsia" w:ascii="宋体" w:hAnsi="宋体" w:cs="宋体"/>
          <w:color w:val="auto"/>
          <w:szCs w:val="24"/>
          <w:highlight w:val="none"/>
          <w:lang w:eastAsia="zh-CN"/>
        </w:rPr>
        <w:t>采购（供应商应为</w:t>
      </w:r>
      <w:r>
        <w:rPr>
          <w:rFonts w:hint="eastAsia" w:ascii="宋体" w:hAnsi="宋体" w:cs="宋体"/>
          <w:color w:val="auto"/>
          <w:szCs w:val="24"/>
          <w:highlight w:val="none"/>
          <w:lang w:val="en-US" w:eastAsia="zh-CN"/>
        </w:rPr>
        <w:t>中</w:t>
      </w:r>
      <w:r>
        <w:rPr>
          <w:rFonts w:hint="eastAsia" w:ascii="宋体" w:hAnsi="宋体" w:cs="宋体"/>
          <w:color w:val="auto"/>
          <w:szCs w:val="24"/>
          <w:highlight w:val="none"/>
          <w:lang w:eastAsia="zh-CN"/>
        </w:rPr>
        <w:t>小微企业、监狱企业、残疾人福利性单位）</w:t>
      </w:r>
      <w:r>
        <w:rPr>
          <w:rFonts w:ascii="宋体" w:hAnsi="宋体" w:cs="宋体"/>
          <w:color w:val="auto"/>
          <w:szCs w:val="24"/>
          <w:highlight w:val="none"/>
        </w:rPr>
        <w:t>，中小微企业以国家统计局关于印发《统计上大中小微型企业划分办法（2017</w:t>
      </w:r>
      <w:r>
        <w:rPr>
          <w:rFonts w:hint="eastAsia" w:ascii="宋体" w:hAnsi="宋体" w:cs="宋体"/>
          <w:color w:val="auto"/>
          <w:szCs w:val="24"/>
          <w:highlight w:val="none"/>
          <w:lang w:eastAsia="zh-CN"/>
        </w:rPr>
        <w:t>）</w:t>
      </w:r>
      <w:r>
        <w:rPr>
          <w:rFonts w:ascii="宋体" w:hAnsi="宋体" w:cs="宋体"/>
          <w:color w:val="auto"/>
          <w:szCs w:val="24"/>
          <w:highlight w:val="none"/>
        </w:rPr>
        <w:t>》的通知附表为划分标准。</w:t>
      </w:r>
    </w:p>
    <w:p w14:paraId="4E5BDAD2">
      <w:pPr>
        <w:tabs>
          <w:tab w:val="left" w:pos="1130"/>
        </w:tabs>
        <w:adjustRightInd/>
        <w:spacing w:line="400" w:lineRule="exact"/>
        <w:ind w:firstLine="480" w:firstLineChars="200"/>
        <w:rPr>
          <w:rFonts w:ascii="宋体" w:hAnsi="宋体" w:cs="宋体"/>
          <w:color w:val="auto"/>
          <w:szCs w:val="24"/>
          <w:highlight w:val="none"/>
        </w:rPr>
      </w:pPr>
      <w:r>
        <w:rPr>
          <w:rFonts w:ascii="宋体" w:hAnsi="宋体" w:cs="宋体"/>
          <w:color w:val="auto"/>
          <w:szCs w:val="24"/>
          <w:highlight w:val="none"/>
        </w:rPr>
        <w:t>3.本项目的特定资格要求：</w:t>
      </w:r>
      <w:bookmarkStart w:id="15" w:name="三、获取竞争性磋商文件"/>
      <w:bookmarkEnd w:id="15"/>
    </w:p>
    <w:p w14:paraId="247CF865">
      <w:pPr>
        <w:tabs>
          <w:tab w:val="left" w:pos="1130"/>
        </w:tabs>
        <w:adjustRightInd/>
        <w:spacing w:line="400" w:lineRule="exact"/>
        <w:ind w:firstLine="480" w:firstLineChars="200"/>
        <w:rPr>
          <w:rFonts w:ascii="宋体" w:hAnsi="宋体" w:cs="宋体"/>
          <w:color w:val="auto"/>
          <w:szCs w:val="24"/>
          <w:highlight w:val="none"/>
          <w:lang w:val="zh-CN" w:bidi="zh-CN"/>
        </w:rPr>
      </w:pPr>
      <w:r>
        <w:rPr>
          <w:rFonts w:ascii="宋体" w:hAnsi="宋体" w:cs="宋体"/>
          <w:color w:val="auto"/>
          <w:szCs w:val="24"/>
          <w:highlight w:val="none"/>
          <w:lang w:val="zh-CN" w:bidi="zh-CN"/>
        </w:rPr>
        <w:t>3.1资质应满足下列条件：</w:t>
      </w:r>
    </w:p>
    <w:p w14:paraId="43C7D54A">
      <w:pPr>
        <w:tabs>
          <w:tab w:val="left" w:pos="1130"/>
        </w:tabs>
        <w:adjustRightInd/>
        <w:spacing w:line="400" w:lineRule="exact"/>
        <w:ind w:firstLine="480" w:firstLineChars="200"/>
        <w:rPr>
          <w:rFonts w:ascii="宋体" w:hAnsi="宋体" w:cs="宋体"/>
          <w:color w:val="auto"/>
          <w:szCs w:val="24"/>
          <w:highlight w:val="none"/>
          <w:lang w:val="zh-CN" w:bidi="zh-CN"/>
        </w:rPr>
      </w:pPr>
      <w:r>
        <w:rPr>
          <w:rFonts w:hint="eastAsia" w:ascii="宋体" w:hAnsi="宋体" w:cs="宋体"/>
          <w:color w:val="auto"/>
          <w:szCs w:val="24"/>
          <w:highlight w:val="none"/>
          <w:lang w:val="zh-CN" w:bidi="zh-CN"/>
        </w:rPr>
        <w:t>供应商具有有效的营业执照、有效的安全生产许可证及有效的</w:t>
      </w:r>
      <w:r>
        <w:rPr>
          <w:rFonts w:hint="eastAsia" w:ascii="宋体" w:hAnsi="宋体" w:cs="宋体"/>
          <w:color w:val="auto"/>
          <w:szCs w:val="24"/>
          <w:highlight w:val="none"/>
          <w:lang w:val="en-US" w:bidi="zh-CN"/>
        </w:rPr>
        <w:t>隧道</w:t>
      </w:r>
      <w:r>
        <w:rPr>
          <w:rFonts w:hint="eastAsia" w:ascii="宋体" w:hAnsi="宋体" w:cs="宋体"/>
          <w:color w:val="auto"/>
          <w:szCs w:val="24"/>
          <w:highlight w:val="none"/>
          <w:lang w:val="zh-CN" w:bidi="zh-CN"/>
        </w:rPr>
        <w:t>养护乙级（含）以上资质，并在人员、设备、资金等方面具有相应的施工能力</w:t>
      </w:r>
      <w:r>
        <w:rPr>
          <w:rFonts w:ascii="宋体" w:hAnsi="宋体" w:cs="宋体"/>
          <w:color w:val="auto"/>
          <w:szCs w:val="24"/>
          <w:highlight w:val="none"/>
          <w:lang w:val="zh-CN" w:bidi="zh-CN"/>
        </w:rPr>
        <w:t>。</w:t>
      </w:r>
    </w:p>
    <w:p w14:paraId="24C8A98C">
      <w:pPr>
        <w:tabs>
          <w:tab w:val="left" w:pos="1130"/>
        </w:tabs>
        <w:adjustRightInd/>
        <w:spacing w:line="400" w:lineRule="exact"/>
        <w:ind w:firstLine="480" w:firstLineChars="200"/>
        <w:rPr>
          <w:rFonts w:ascii="宋体" w:hAnsi="宋体" w:cs="宋体"/>
          <w:color w:val="auto"/>
          <w:szCs w:val="24"/>
          <w:highlight w:val="none"/>
          <w:lang w:val="zh-CN" w:bidi="zh-CN"/>
        </w:rPr>
      </w:pPr>
      <w:bookmarkStart w:id="16" w:name="_Toc164415772"/>
      <w:r>
        <w:rPr>
          <w:rFonts w:ascii="宋体" w:hAnsi="宋体" w:cs="宋体"/>
          <w:color w:val="auto"/>
          <w:szCs w:val="24"/>
          <w:highlight w:val="none"/>
          <w:lang w:val="zh-CN" w:bidi="zh-CN"/>
        </w:rPr>
        <w:t>注：（1）公路养护作业单位资质按照《公路养护作业单位资质管理办法》（中华人民共和国交通运输部令2021年第22号）和《广西壮族自治区交通运输厅关于印发广西公路养护作业单位资质管理实施细则的通知》等文件要求，根据</w:t>
      </w:r>
      <w:r>
        <w:rPr>
          <w:rFonts w:hint="eastAsia" w:ascii="宋体" w:hAnsi="宋体" w:cs="宋体"/>
          <w:color w:val="auto"/>
          <w:szCs w:val="24"/>
          <w:highlight w:val="none"/>
          <w:lang w:val="zh-CN" w:bidi="zh-CN"/>
        </w:rPr>
        <w:t>采购</w:t>
      </w:r>
      <w:r>
        <w:rPr>
          <w:rFonts w:ascii="宋体" w:hAnsi="宋体" w:cs="宋体"/>
          <w:color w:val="auto"/>
          <w:szCs w:val="24"/>
          <w:highlight w:val="none"/>
          <w:lang w:val="zh-CN" w:bidi="zh-CN"/>
        </w:rPr>
        <w:t>项目具体特点和实际情况确定。</w:t>
      </w:r>
      <w:bookmarkEnd w:id="16"/>
    </w:p>
    <w:p w14:paraId="504187DD">
      <w:pPr>
        <w:tabs>
          <w:tab w:val="left" w:pos="1130"/>
        </w:tabs>
        <w:adjustRightInd/>
        <w:spacing w:line="400" w:lineRule="exact"/>
        <w:ind w:firstLine="480" w:firstLineChars="200"/>
        <w:rPr>
          <w:rFonts w:ascii="宋体" w:hAnsi="宋体" w:cs="宋体"/>
          <w:color w:val="auto"/>
          <w:szCs w:val="24"/>
          <w:highlight w:val="none"/>
          <w:lang w:val="zh-CN" w:bidi="zh-CN"/>
        </w:rPr>
      </w:pPr>
      <w:r>
        <w:rPr>
          <w:rFonts w:ascii="宋体" w:hAnsi="宋体" w:cs="宋体"/>
          <w:color w:val="auto"/>
          <w:szCs w:val="24"/>
          <w:highlight w:val="none"/>
          <w:lang w:val="zh-CN" w:bidi="zh-CN"/>
        </w:rPr>
        <w:t>（2）</w:t>
      </w:r>
      <w:r>
        <w:rPr>
          <w:rFonts w:hint="eastAsia" w:ascii="宋体" w:hAnsi="宋体" w:cs="宋体"/>
          <w:color w:val="auto"/>
          <w:szCs w:val="24"/>
          <w:highlight w:val="none"/>
          <w:lang w:val="zh-CN" w:bidi="zh-CN"/>
        </w:rPr>
        <w:t>供应商</w:t>
      </w:r>
      <w:r>
        <w:rPr>
          <w:rFonts w:ascii="宋体" w:hAnsi="宋体" w:cs="宋体"/>
          <w:color w:val="auto"/>
          <w:szCs w:val="24"/>
          <w:highlight w:val="none"/>
          <w:lang w:val="zh-CN" w:bidi="zh-CN"/>
        </w:rPr>
        <w:t>应进入交通运输部“全国公路建设市场信用信息管理系</w:t>
      </w:r>
      <w:r>
        <w:rPr>
          <w:rFonts w:hint="eastAsia" w:ascii="宋体" w:hAnsi="宋体" w:cs="宋体"/>
          <w:color w:val="auto"/>
          <w:szCs w:val="24"/>
          <w:highlight w:val="none"/>
          <w:lang w:val="en-US" w:bidi="zh-CN"/>
        </w:rPr>
        <w:t>统</w:t>
      </w:r>
      <w:r>
        <w:rPr>
          <w:rFonts w:ascii="宋体" w:hAnsi="宋体" w:cs="宋体"/>
          <w:color w:val="auto"/>
          <w:szCs w:val="24"/>
          <w:highlight w:val="none"/>
          <w:lang w:val="zh-CN" w:bidi="zh-CN"/>
        </w:rPr>
        <w:t>（http://glxy.mot.gov.cn）”中的公路工程施工资质企业名录，且</w:t>
      </w:r>
      <w:r>
        <w:rPr>
          <w:rFonts w:hint="eastAsia" w:ascii="宋体" w:hAnsi="宋体" w:cs="宋体"/>
          <w:color w:val="auto"/>
          <w:szCs w:val="24"/>
          <w:highlight w:val="none"/>
          <w:lang w:val="zh-CN" w:bidi="zh-CN"/>
        </w:rPr>
        <w:t>供应商</w:t>
      </w:r>
      <w:r>
        <w:rPr>
          <w:rFonts w:ascii="宋体" w:hAnsi="宋体" w:cs="宋体"/>
          <w:color w:val="auto"/>
          <w:szCs w:val="24"/>
          <w:highlight w:val="none"/>
          <w:lang w:val="zh-CN" w:bidi="zh-CN"/>
        </w:rPr>
        <w:t>名称和资质与该名录中的相应企业名称和资质完全一致。</w:t>
      </w:r>
    </w:p>
    <w:p w14:paraId="601ABBA6">
      <w:pPr>
        <w:tabs>
          <w:tab w:val="left" w:pos="1130"/>
        </w:tabs>
        <w:adjustRightInd/>
        <w:spacing w:line="400" w:lineRule="exact"/>
        <w:ind w:firstLine="480" w:firstLineChars="200"/>
        <w:rPr>
          <w:rFonts w:ascii="宋体" w:hAnsi="宋体" w:cs="宋体"/>
          <w:color w:val="auto"/>
          <w:szCs w:val="24"/>
          <w:highlight w:val="none"/>
          <w:lang w:val="zh-CN" w:bidi="zh-CN"/>
        </w:rPr>
      </w:pPr>
      <w:r>
        <w:rPr>
          <w:rFonts w:ascii="宋体" w:hAnsi="宋体" w:cs="宋体"/>
          <w:color w:val="auto"/>
          <w:szCs w:val="24"/>
          <w:highlight w:val="none"/>
          <w:lang w:val="zh-CN"/>
        </w:rPr>
        <w:t>3.2具有省级或以上建设行政主管部门颁发的建筑施工企业安全生产许可证，并在人员、设备、资金等方面具有相应的施工能力。</w:t>
      </w:r>
    </w:p>
    <w:p w14:paraId="2DACBECF">
      <w:pPr>
        <w:tabs>
          <w:tab w:val="left" w:pos="1130"/>
        </w:tabs>
        <w:adjustRightInd/>
        <w:spacing w:line="400" w:lineRule="exact"/>
        <w:rPr>
          <w:rFonts w:ascii="宋体" w:hAnsi="宋体" w:cs="宋体"/>
          <w:color w:val="auto"/>
          <w:szCs w:val="21"/>
          <w:highlight w:val="none"/>
        </w:rPr>
      </w:pPr>
      <w:r>
        <w:rPr>
          <w:rFonts w:ascii="宋体" w:hAnsi="宋体" w:cs="宋体"/>
          <w:b/>
          <w:color w:val="auto"/>
          <w:szCs w:val="21"/>
          <w:highlight w:val="none"/>
        </w:rPr>
        <w:t>四、获取</w:t>
      </w:r>
      <w:r>
        <w:rPr>
          <w:rFonts w:hint="eastAsia" w:ascii="宋体" w:hAnsi="宋体" w:cs="宋体"/>
          <w:b/>
          <w:color w:val="auto"/>
          <w:szCs w:val="21"/>
          <w:highlight w:val="none"/>
          <w:lang w:eastAsia="zh-CN"/>
        </w:rPr>
        <w:t>磋商文件</w:t>
      </w:r>
      <w:r>
        <w:rPr>
          <w:rFonts w:ascii="宋体" w:hAnsi="宋体" w:cs="宋体"/>
          <w:b/>
          <w:color w:val="auto"/>
          <w:szCs w:val="21"/>
          <w:highlight w:val="none"/>
        </w:rPr>
        <w:t>：</w:t>
      </w:r>
    </w:p>
    <w:p w14:paraId="28D9381D">
      <w:pPr>
        <w:adjustRightInd/>
        <w:spacing w:line="400" w:lineRule="exact"/>
        <w:ind w:firstLine="360" w:firstLineChars="150"/>
        <w:rPr>
          <w:rFonts w:ascii="宋体" w:hAnsi="宋体" w:cs="宋体"/>
          <w:color w:val="auto"/>
          <w:szCs w:val="24"/>
          <w:highlight w:val="none"/>
          <w:lang w:val="zh-CN" w:bidi="zh-CN"/>
        </w:rPr>
      </w:pPr>
      <w:r>
        <w:rPr>
          <w:rFonts w:ascii="宋体" w:hAnsi="宋体" w:cs="宋体"/>
          <w:color w:val="auto"/>
          <w:szCs w:val="24"/>
          <w:highlight w:val="none"/>
          <w:lang w:val="zh-CN" w:bidi="zh-CN"/>
        </w:rPr>
        <w:t>时间：202</w:t>
      </w:r>
      <w:r>
        <w:rPr>
          <w:rFonts w:hint="eastAsia" w:ascii="宋体" w:hAnsi="宋体" w:cs="宋体"/>
          <w:color w:val="auto"/>
          <w:szCs w:val="24"/>
          <w:highlight w:val="none"/>
          <w:lang w:val="en-US" w:bidi="zh-CN"/>
        </w:rPr>
        <w:t>5</w:t>
      </w:r>
      <w:r>
        <w:rPr>
          <w:rFonts w:ascii="宋体" w:hAnsi="宋体" w:cs="宋体"/>
          <w:color w:val="auto"/>
          <w:szCs w:val="24"/>
          <w:highlight w:val="none"/>
          <w:lang w:val="zh-CN" w:bidi="zh-CN"/>
        </w:rPr>
        <w:t>年</w:t>
      </w:r>
      <w:r>
        <w:rPr>
          <w:rFonts w:hint="eastAsia" w:ascii="宋体" w:hAnsi="宋体" w:cs="宋体"/>
          <w:color w:val="auto"/>
          <w:szCs w:val="24"/>
          <w:highlight w:val="none"/>
          <w:lang w:val="en-US" w:bidi="zh-CN"/>
        </w:rPr>
        <w:t>07</w:t>
      </w:r>
      <w:r>
        <w:rPr>
          <w:rFonts w:ascii="宋体" w:hAnsi="宋体" w:cs="宋体"/>
          <w:color w:val="auto"/>
          <w:szCs w:val="24"/>
          <w:highlight w:val="none"/>
          <w:lang w:val="zh-CN" w:bidi="zh-CN"/>
        </w:rPr>
        <w:t>月</w:t>
      </w:r>
      <w:r>
        <w:rPr>
          <w:rFonts w:hint="eastAsia" w:ascii="宋体" w:hAnsi="宋体" w:cs="宋体"/>
          <w:color w:val="auto"/>
          <w:szCs w:val="24"/>
          <w:highlight w:val="none"/>
          <w:lang w:val="en-US" w:bidi="zh-CN"/>
        </w:rPr>
        <w:t>30</w:t>
      </w:r>
      <w:r>
        <w:rPr>
          <w:rFonts w:ascii="宋体" w:hAnsi="宋体" w:cs="宋体"/>
          <w:color w:val="auto"/>
          <w:szCs w:val="24"/>
          <w:highlight w:val="none"/>
          <w:lang w:val="zh-CN" w:bidi="zh-CN"/>
        </w:rPr>
        <w:t>日至202</w:t>
      </w:r>
      <w:r>
        <w:rPr>
          <w:rFonts w:hint="eastAsia" w:ascii="宋体" w:hAnsi="宋体" w:cs="宋体"/>
          <w:color w:val="auto"/>
          <w:szCs w:val="24"/>
          <w:highlight w:val="none"/>
          <w:lang w:val="en-US" w:bidi="zh-CN"/>
        </w:rPr>
        <w:t>5</w:t>
      </w:r>
      <w:r>
        <w:rPr>
          <w:rFonts w:ascii="宋体" w:hAnsi="宋体" w:cs="宋体"/>
          <w:color w:val="auto"/>
          <w:szCs w:val="24"/>
          <w:highlight w:val="none"/>
          <w:lang w:val="zh-CN" w:bidi="zh-CN"/>
        </w:rPr>
        <w:t>年</w:t>
      </w:r>
      <w:r>
        <w:rPr>
          <w:rFonts w:hint="eastAsia" w:ascii="宋体" w:hAnsi="宋体" w:cs="宋体"/>
          <w:color w:val="auto"/>
          <w:szCs w:val="24"/>
          <w:highlight w:val="none"/>
          <w:lang w:val="en-US" w:bidi="zh-CN"/>
        </w:rPr>
        <w:t>08</w:t>
      </w:r>
      <w:r>
        <w:rPr>
          <w:rFonts w:ascii="宋体" w:hAnsi="宋体" w:cs="宋体"/>
          <w:color w:val="auto"/>
          <w:szCs w:val="24"/>
          <w:highlight w:val="none"/>
          <w:lang w:val="zh-CN" w:bidi="zh-CN"/>
        </w:rPr>
        <w:t>月</w:t>
      </w:r>
      <w:r>
        <w:rPr>
          <w:rFonts w:hint="eastAsia" w:ascii="宋体" w:hAnsi="宋体" w:cs="宋体"/>
          <w:color w:val="auto"/>
          <w:szCs w:val="24"/>
          <w:highlight w:val="none"/>
          <w:lang w:val="en-US" w:bidi="zh-CN"/>
        </w:rPr>
        <w:t>06</w:t>
      </w:r>
      <w:r>
        <w:rPr>
          <w:rFonts w:ascii="宋体" w:hAnsi="宋体" w:cs="宋体"/>
          <w:color w:val="auto"/>
          <w:szCs w:val="24"/>
          <w:highlight w:val="none"/>
          <w:lang w:val="zh-CN" w:bidi="zh-CN"/>
        </w:rPr>
        <w:t>日，每天上午00:00至12:00，下午12:00至23:59（北京时间，法定节假日除外）</w:t>
      </w:r>
    </w:p>
    <w:p w14:paraId="3A204FEA">
      <w:pPr>
        <w:adjustRightInd/>
        <w:spacing w:line="400" w:lineRule="exact"/>
        <w:ind w:firstLine="360" w:firstLineChars="150"/>
        <w:rPr>
          <w:rFonts w:ascii="宋体" w:hAnsi="宋体" w:cs="宋体"/>
          <w:color w:val="auto"/>
          <w:szCs w:val="24"/>
          <w:highlight w:val="none"/>
          <w:lang w:val="zh-CN" w:bidi="zh-CN"/>
        </w:rPr>
      </w:pPr>
      <w:r>
        <w:rPr>
          <w:rFonts w:ascii="宋体" w:hAnsi="宋体" w:cs="宋体"/>
          <w:color w:val="auto"/>
          <w:szCs w:val="24"/>
          <w:highlight w:val="none"/>
          <w:lang w:val="zh-CN" w:bidi="zh-CN"/>
        </w:rPr>
        <w:t>地点（网址）：广西政府采购云平台（https://www.gcy.zfcg.gxzf.gov.cn/）</w:t>
      </w:r>
    </w:p>
    <w:p w14:paraId="40238384">
      <w:pPr>
        <w:adjustRightInd/>
        <w:spacing w:line="400" w:lineRule="exact"/>
        <w:ind w:firstLine="360" w:firstLineChars="150"/>
        <w:rPr>
          <w:rFonts w:ascii="宋体" w:hAnsi="宋体" w:cs="宋体"/>
          <w:color w:val="auto"/>
          <w:szCs w:val="24"/>
          <w:highlight w:val="none"/>
          <w:lang w:val="zh-CN" w:bidi="zh-CN"/>
        </w:rPr>
      </w:pPr>
      <w:r>
        <w:rPr>
          <w:rFonts w:ascii="宋体" w:hAnsi="宋体" w:cs="宋体"/>
          <w:color w:val="auto"/>
          <w:szCs w:val="24"/>
          <w:highlight w:val="none"/>
          <w:lang w:val="zh-CN" w:bidi="zh-CN"/>
        </w:rPr>
        <w:t>方式：网上下载。本项目不提供纸质文件，潜在供应商需用账号登录或者使用CA登录</w:t>
      </w:r>
      <w:r>
        <w:rPr>
          <w:rFonts w:hint="eastAsia" w:ascii="宋体" w:hAnsi="宋体" w:cs="宋体"/>
          <w:color w:val="auto"/>
          <w:szCs w:val="24"/>
          <w:highlight w:val="none"/>
          <w:lang w:val="zh-CN" w:bidi="zh-CN"/>
        </w:rPr>
        <w:t>广西政府采购云平台（https://www.gcy.zfcg.gxzf.gov.cn/）</w:t>
      </w:r>
      <w:r>
        <w:rPr>
          <w:rFonts w:ascii="宋体" w:hAnsi="宋体" w:cs="宋体"/>
          <w:color w:val="auto"/>
          <w:szCs w:val="24"/>
          <w:highlight w:val="none"/>
          <w:lang w:val="zh-CN" w:bidi="zh-CN"/>
        </w:rPr>
        <w:t>在线自行下载磋商文件；未注册的供应商可在</w:t>
      </w:r>
      <w:r>
        <w:rPr>
          <w:rFonts w:hint="eastAsia" w:ascii="宋体" w:hAnsi="宋体" w:cs="宋体"/>
          <w:color w:val="auto"/>
          <w:szCs w:val="24"/>
          <w:highlight w:val="none"/>
          <w:lang w:val="en-US" w:bidi="zh-CN"/>
        </w:rPr>
        <w:t>广西</w:t>
      </w:r>
      <w:r>
        <w:rPr>
          <w:rFonts w:ascii="宋体" w:hAnsi="宋体" w:cs="宋体"/>
          <w:color w:val="auto"/>
          <w:szCs w:val="24"/>
          <w:highlight w:val="none"/>
          <w:lang w:val="zh-CN" w:bidi="zh-CN"/>
        </w:rPr>
        <w:t>政府采购云平台完成注册后再进行文件下载。如在操作过程中遇到问题或需技术支持，请致电</w:t>
      </w:r>
      <w:r>
        <w:rPr>
          <w:rFonts w:hint="eastAsia" w:ascii="宋体" w:hAnsi="宋体" w:cs="宋体"/>
          <w:color w:val="auto"/>
          <w:szCs w:val="24"/>
          <w:highlight w:val="none"/>
          <w:lang w:val="en-US" w:bidi="zh-CN"/>
        </w:rPr>
        <w:t>广西</w:t>
      </w:r>
      <w:r>
        <w:rPr>
          <w:rFonts w:ascii="宋体" w:hAnsi="宋体" w:cs="宋体"/>
          <w:color w:val="auto"/>
          <w:szCs w:val="24"/>
          <w:highlight w:val="none"/>
          <w:lang w:val="zh-CN" w:bidi="zh-CN"/>
        </w:rPr>
        <w:t>政府采购云平台客服热线：95763。</w:t>
      </w:r>
      <w:bookmarkStart w:id="17" w:name="四、响应文件提交"/>
      <w:bookmarkEnd w:id="17"/>
    </w:p>
    <w:p w14:paraId="24A43B9E">
      <w:pPr>
        <w:snapToGrid w:val="0"/>
        <w:spacing w:line="400" w:lineRule="exact"/>
        <w:ind w:right="-204" w:rightChars="-85"/>
        <w:rPr>
          <w:rFonts w:ascii="宋体" w:hAnsi="宋体" w:cs="宋体"/>
          <w:b/>
          <w:color w:val="auto"/>
          <w:szCs w:val="21"/>
          <w:highlight w:val="none"/>
        </w:rPr>
      </w:pPr>
      <w:r>
        <w:rPr>
          <w:rFonts w:ascii="宋体" w:hAnsi="宋体" w:cs="宋体"/>
          <w:b/>
          <w:color w:val="auto"/>
          <w:szCs w:val="21"/>
          <w:highlight w:val="none"/>
        </w:rPr>
        <w:t>五、响应文件提交：</w:t>
      </w:r>
    </w:p>
    <w:p w14:paraId="0C5E52E5">
      <w:pPr>
        <w:snapToGrid w:val="0"/>
        <w:spacing w:line="400" w:lineRule="exact"/>
        <w:ind w:right="-204" w:rightChars="-85" w:firstLine="480" w:firstLineChars="200"/>
        <w:rPr>
          <w:rFonts w:ascii="宋体" w:hAnsi="宋体" w:cs="宋体"/>
          <w:color w:val="auto"/>
          <w:kern w:val="2"/>
          <w:szCs w:val="24"/>
          <w:highlight w:val="none"/>
          <w:lang w:bidi="zh-CN"/>
        </w:rPr>
      </w:pPr>
      <w:r>
        <w:rPr>
          <w:rFonts w:ascii="宋体" w:hAnsi="宋体" w:cs="宋体"/>
          <w:color w:val="auto"/>
          <w:kern w:val="2"/>
          <w:szCs w:val="24"/>
          <w:highlight w:val="none"/>
        </w:rPr>
        <w:t>1.</w:t>
      </w:r>
      <w:r>
        <w:rPr>
          <w:rFonts w:ascii="宋体" w:hAnsi="宋体" w:cs="宋体"/>
          <w:color w:val="auto"/>
          <w:kern w:val="2"/>
          <w:szCs w:val="24"/>
          <w:highlight w:val="none"/>
          <w:lang w:bidi="zh-CN"/>
        </w:rPr>
        <w:t>响应文件提交截止时间：</w:t>
      </w:r>
      <w:r>
        <w:rPr>
          <w:rFonts w:ascii="宋体" w:hAnsi="宋体" w:cs="宋体"/>
          <w:color w:val="auto"/>
          <w:szCs w:val="24"/>
          <w:highlight w:val="none"/>
        </w:rPr>
        <w:t>202</w:t>
      </w:r>
      <w:r>
        <w:rPr>
          <w:rFonts w:hint="eastAsia" w:ascii="宋体" w:hAnsi="宋体" w:cs="宋体"/>
          <w:color w:val="auto"/>
          <w:szCs w:val="24"/>
          <w:highlight w:val="none"/>
          <w:lang w:val="en-US" w:eastAsia="zh-CN"/>
        </w:rPr>
        <w:t>5</w:t>
      </w:r>
      <w:r>
        <w:rPr>
          <w:rFonts w:ascii="宋体" w:hAnsi="宋体" w:cs="宋体"/>
          <w:bCs/>
          <w:color w:val="auto"/>
          <w:szCs w:val="24"/>
          <w:highlight w:val="none"/>
        </w:rPr>
        <w:t>年</w:t>
      </w:r>
      <w:r>
        <w:rPr>
          <w:rFonts w:hint="eastAsia" w:ascii="宋体" w:hAnsi="宋体" w:cs="宋体"/>
          <w:bCs/>
          <w:color w:val="auto"/>
          <w:szCs w:val="24"/>
          <w:highlight w:val="none"/>
          <w:lang w:val="en-US" w:eastAsia="zh-CN"/>
        </w:rPr>
        <w:t>08</w:t>
      </w:r>
      <w:r>
        <w:rPr>
          <w:rFonts w:ascii="宋体" w:hAnsi="宋体" w:cs="宋体"/>
          <w:bCs/>
          <w:color w:val="auto"/>
          <w:szCs w:val="24"/>
          <w:highlight w:val="none"/>
        </w:rPr>
        <w:t>月</w:t>
      </w:r>
      <w:r>
        <w:rPr>
          <w:rFonts w:hint="eastAsia" w:ascii="宋体" w:hAnsi="宋体" w:cs="宋体"/>
          <w:bCs/>
          <w:color w:val="auto"/>
          <w:szCs w:val="24"/>
          <w:highlight w:val="none"/>
          <w:lang w:val="en-US" w:eastAsia="zh-CN"/>
        </w:rPr>
        <w:t>11</w:t>
      </w:r>
      <w:r>
        <w:rPr>
          <w:rFonts w:ascii="宋体" w:hAnsi="宋体" w:cs="宋体"/>
          <w:bCs/>
          <w:color w:val="auto"/>
          <w:szCs w:val="24"/>
          <w:highlight w:val="none"/>
        </w:rPr>
        <w:t>日</w:t>
      </w:r>
      <w:r>
        <w:rPr>
          <w:rFonts w:hint="eastAsia" w:ascii="宋体" w:hAnsi="宋体" w:cs="宋体"/>
          <w:bCs/>
          <w:color w:val="auto"/>
          <w:szCs w:val="24"/>
          <w:highlight w:val="none"/>
          <w:lang w:val="en-US" w:eastAsia="zh-CN"/>
        </w:rPr>
        <w:t>10</w:t>
      </w:r>
      <w:r>
        <w:rPr>
          <w:rFonts w:ascii="宋体" w:hAnsi="宋体" w:cs="宋体"/>
          <w:bCs/>
          <w:color w:val="auto"/>
          <w:szCs w:val="24"/>
          <w:highlight w:val="none"/>
        </w:rPr>
        <w:t>时00分</w:t>
      </w:r>
      <w:r>
        <w:rPr>
          <w:rFonts w:ascii="宋体" w:hAnsi="宋体" w:cs="宋体"/>
          <w:color w:val="auto"/>
          <w:kern w:val="2"/>
          <w:szCs w:val="24"/>
          <w:highlight w:val="none"/>
          <w:lang w:bidi="zh-CN"/>
        </w:rPr>
        <w:t>（北京时间）前</w:t>
      </w:r>
    </w:p>
    <w:p w14:paraId="6CF7D7B2">
      <w:pPr>
        <w:snapToGrid w:val="0"/>
        <w:spacing w:line="400" w:lineRule="exact"/>
        <w:ind w:right="-204" w:rightChars="-85" w:firstLine="480" w:firstLineChars="200"/>
        <w:rPr>
          <w:rFonts w:ascii="宋体" w:hAnsi="宋体" w:cs="宋体"/>
          <w:color w:val="auto"/>
          <w:kern w:val="2"/>
          <w:szCs w:val="24"/>
          <w:highlight w:val="none"/>
        </w:rPr>
      </w:pPr>
      <w:r>
        <w:rPr>
          <w:rFonts w:ascii="宋体" w:hAnsi="宋体" w:cs="宋体"/>
          <w:color w:val="auto"/>
          <w:kern w:val="2"/>
          <w:szCs w:val="24"/>
          <w:highlight w:val="none"/>
        </w:rPr>
        <w:t>2.电子响应文件递交方式：通过网络上传至</w:t>
      </w:r>
      <w:r>
        <w:rPr>
          <w:rFonts w:hint="eastAsia" w:ascii="宋体" w:hAnsi="宋体" w:cs="宋体"/>
          <w:color w:val="auto"/>
          <w:kern w:val="2"/>
          <w:szCs w:val="24"/>
          <w:highlight w:val="none"/>
          <w:lang w:val="en-US" w:eastAsia="zh-CN"/>
        </w:rPr>
        <w:t>广西</w:t>
      </w:r>
      <w:r>
        <w:rPr>
          <w:rFonts w:ascii="宋体" w:hAnsi="宋体" w:cs="宋体"/>
          <w:color w:val="auto"/>
          <w:kern w:val="2"/>
          <w:szCs w:val="24"/>
          <w:highlight w:val="none"/>
        </w:rPr>
        <w:t>政府采购云平台。</w:t>
      </w:r>
    </w:p>
    <w:p w14:paraId="4A655D1C">
      <w:pPr>
        <w:snapToGrid w:val="0"/>
        <w:spacing w:line="400" w:lineRule="exact"/>
        <w:ind w:right="-204" w:rightChars="-85" w:firstLine="480" w:firstLineChars="200"/>
        <w:rPr>
          <w:rFonts w:ascii="宋体" w:hAnsi="宋体" w:cs="宋体"/>
          <w:color w:val="auto"/>
          <w:kern w:val="2"/>
          <w:szCs w:val="24"/>
          <w:highlight w:val="none"/>
          <w:lang w:bidi="zh-CN"/>
        </w:rPr>
      </w:pPr>
      <w:r>
        <w:rPr>
          <w:rFonts w:ascii="宋体" w:hAnsi="宋体" w:cs="宋体"/>
          <w:color w:val="auto"/>
          <w:kern w:val="2"/>
          <w:szCs w:val="24"/>
          <w:highlight w:val="none"/>
          <w:lang w:bidi="zh-CN"/>
        </w:rPr>
        <w:t>注：本项目为全流程电子化项目，供应商需提交电子响应文件，电子响应文件必须用数字证书</w:t>
      </w:r>
      <w:r>
        <w:rPr>
          <w:rFonts w:ascii="宋体" w:hAnsi="宋体" w:cs="宋体"/>
          <w:color w:val="auto"/>
          <w:kern w:val="2"/>
          <w:szCs w:val="24"/>
          <w:highlight w:val="none"/>
        </w:rPr>
        <w:t>CA锁加密后在响应文件提交截止时间前，通过网络上传至</w:t>
      </w:r>
      <w:r>
        <w:rPr>
          <w:rFonts w:hint="eastAsia" w:ascii="宋体" w:hAnsi="宋体" w:cs="宋体"/>
          <w:color w:val="auto"/>
          <w:kern w:val="2"/>
          <w:szCs w:val="24"/>
          <w:highlight w:val="none"/>
          <w:lang w:val="en-US" w:eastAsia="zh-CN"/>
        </w:rPr>
        <w:t>广西</w:t>
      </w:r>
      <w:r>
        <w:rPr>
          <w:rFonts w:ascii="宋体" w:hAnsi="宋体" w:cs="宋体"/>
          <w:color w:val="auto"/>
          <w:kern w:val="2"/>
          <w:szCs w:val="24"/>
          <w:highlight w:val="none"/>
        </w:rPr>
        <w:t>政府采购云平台</w:t>
      </w:r>
      <w:r>
        <w:rPr>
          <w:rFonts w:ascii="宋体" w:hAnsi="宋体" w:cs="宋体"/>
          <w:color w:val="auto"/>
          <w:kern w:val="2"/>
          <w:szCs w:val="24"/>
          <w:highlight w:val="none"/>
          <w:lang w:bidi="zh-CN"/>
        </w:rPr>
        <w:t>。</w:t>
      </w:r>
    </w:p>
    <w:p w14:paraId="1514ED21">
      <w:pPr>
        <w:snapToGrid w:val="0"/>
        <w:spacing w:line="400" w:lineRule="exact"/>
        <w:ind w:right="-204" w:rightChars="-85"/>
        <w:rPr>
          <w:rFonts w:ascii="宋体" w:hAnsi="宋体" w:cs="宋体"/>
          <w:b/>
          <w:color w:val="auto"/>
          <w:szCs w:val="21"/>
          <w:highlight w:val="none"/>
        </w:rPr>
      </w:pPr>
      <w:r>
        <w:rPr>
          <w:rFonts w:ascii="宋体" w:hAnsi="宋体" w:cs="宋体"/>
          <w:b/>
          <w:color w:val="auto"/>
          <w:szCs w:val="21"/>
          <w:highlight w:val="none"/>
        </w:rPr>
        <w:t>六、开启：</w:t>
      </w:r>
    </w:p>
    <w:p w14:paraId="79F0D4E4">
      <w:pPr>
        <w:snapToGrid w:val="0"/>
        <w:spacing w:line="400" w:lineRule="exact"/>
        <w:ind w:right="-204" w:rightChars="-85" w:firstLine="480" w:firstLineChars="200"/>
        <w:rPr>
          <w:rFonts w:ascii="宋体" w:hAnsi="宋体" w:cs="宋体"/>
          <w:color w:val="auto"/>
          <w:kern w:val="2"/>
          <w:szCs w:val="24"/>
          <w:highlight w:val="none"/>
          <w:lang w:bidi="zh-CN"/>
        </w:rPr>
      </w:pPr>
      <w:r>
        <w:rPr>
          <w:rFonts w:ascii="宋体" w:hAnsi="宋体" w:cs="宋体"/>
          <w:color w:val="auto"/>
          <w:kern w:val="2"/>
          <w:szCs w:val="24"/>
          <w:highlight w:val="none"/>
          <w:lang w:bidi="zh-CN"/>
        </w:rPr>
        <w:t>时间：</w:t>
      </w:r>
      <w:r>
        <w:rPr>
          <w:rFonts w:ascii="宋体" w:hAnsi="宋体" w:cs="宋体"/>
          <w:color w:val="auto"/>
          <w:szCs w:val="24"/>
          <w:highlight w:val="none"/>
        </w:rPr>
        <w:t>202</w:t>
      </w:r>
      <w:r>
        <w:rPr>
          <w:rFonts w:hint="eastAsia" w:ascii="宋体" w:hAnsi="宋体" w:cs="宋体"/>
          <w:color w:val="auto"/>
          <w:szCs w:val="24"/>
          <w:highlight w:val="none"/>
          <w:lang w:val="en-US" w:eastAsia="zh-CN"/>
        </w:rPr>
        <w:t>5</w:t>
      </w:r>
      <w:r>
        <w:rPr>
          <w:rFonts w:ascii="宋体" w:hAnsi="宋体" w:cs="宋体"/>
          <w:bCs/>
          <w:color w:val="auto"/>
          <w:szCs w:val="24"/>
          <w:highlight w:val="none"/>
        </w:rPr>
        <w:t>年</w:t>
      </w:r>
      <w:r>
        <w:rPr>
          <w:rFonts w:hint="eastAsia" w:ascii="宋体" w:hAnsi="宋体" w:cs="宋体"/>
          <w:bCs/>
          <w:color w:val="auto"/>
          <w:szCs w:val="24"/>
          <w:highlight w:val="none"/>
          <w:lang w:val="en-US" w:eastAsia="zh-CN"/>
        </w:rPr>
        <w:t>08</w:t>
      </w:r>
      <w:r>
        <w:rPr>
          <w:rFonts w:ascii="宋体" w:hAnsi="宋体" w:cs="宋体"/>
          <w:bCs/>
          <w:color w:val="auto"/>
          <w:szCs w:val="24"/>
          <w:highlight w:val="none"/>
        </w:rPr>
        <w:t>月</w:t>
      </w:r>
      <w:r>
        <w:rPr>
          <w:rFonts w:hint="eastAsia" w:ascii="宋体" w:hAnsi="宋体" w:cs="宋体"/>
          <w:bCs/>
          <w:color w:val="auto"/>
          <w:szCs w:val="24"/>
          <w:highlight w:val="none"/>
          <w:lang w:val="en-US" w:eastAsia="zh-CN"/>
        </w:rPr>
        <w:t>11</w:t>
      </w:r>
      <w:r>
        <w:rPr>
          <w:rFonts w:ascii="宋体" w:hAnsi="宋体" w:cs="宋体"/>
          <w:bCs/>
          <w:color w:val="auto"/>
          <w:szCs w:val="24"/>
          <w:highlight w:val="none"/>
        </w:rPr>
        <w:t>日</w:t>
      </w:r>
      <w:r>
        <w:rPr>
          <w:rFonts w:hint="eastAsia" w:ascii="宋体" w:hAnsi="宋体" w:cs="宋体"/>
          <w:bCs/>
          <w:color w:val="auto"/>
          <w:szCs w:val="24"/>
          <w:highlight w:val="none"/>
          <w:lang w:val="en-US" w:eastAsia="zh-CN"/>
        </w:rPr>
        <w:t>10</w:t>
      </w:r>
      <w:r>
        <w:rPr>
          <w:rFonts w:ascii="宋体" w:hAnsi="宋体" w:cs="宋体"/>
          <w:bCs/>
          <w:color w:val="auto"/>
          <w:szCs w:val="24"/>
          <w:highlight w:val="none"/>
        </w:rPr>
        <w:t>时00分</w:t>
      </w:r>
      <w:r>
        <w:rPr>
          <w:rFonts w:ascii="宋体" w:hAnsi="宋体" w:cs="宋体"/>
          <w:color w:val="auto"/>
          <w:kern w:val="2"/>
          <w:szCs w:val="24"/>
          <w:highlight w:val="none"/>
          <w:lang w:bidi="zh-CN"/>
        </w:rPr>
        <w:t>（北京时间）后开启</w:t>
      </w:r>
    </w:p>
    <w:p w14:paraId="6834D68A">
      <w:pPr>
        <w:snapToGrid w:val="0"/>
        <w:spacing w:line="400" w:lineRule="exact"/>
        <w:ind w:right="-204" w:rightChars="-85" w:firstLine="480" w:firstLineChars="200"/>
        <w:rPr>
          <w:rFonts w:ascii="宋体" w:hAnsi="宋体" w:cs="宋体"/>
          <w:color w:val="auto"/>
          <w:kern w:val="2"/>
          <w:szCs w:val="24"/>
          <w:highlight w:val="none"/>
        </w:rPr>
      </w:pPr>
      <w:r>
        <w:rPr>
          <w:rFonts w:ascii="宋体" w:hAnsi="宋体" w:cs="宋体"/>
          <w:color w:val="auto"/>
          <w:kern w:val="2"/>
          <w:szCs w:val="24"/>
          <w:highlight w:val="none"/>
          <w:lang w:bidi="zh-CN"/>
        </w:rPr>
        <w:t>地点：在</w:t>
      </w:r>
      <w:r>
        <w:rPr>
          <w:rFonts w:hint="eastAsia" w:ascii="宋体" w:hAnsi="宋体" w:cs="宋体"/>
          <w:color w:val="auto"/>
          <w:kern w:val="2"/>
          <w:szCs w:val="24"/>
          <w:highlight w:val="none"/>
          <w:lang w:val="en-US" w:bidi="zh-CN"/>
        </w:rPr>
        <w:t>广西</w:t>
      </w:r>
      <w:r>
        <w:rPr>
          <w:rFonts w:ascii="宋体" w:hAnsi="宋体" w:cs="宋体"/>
          <w:color w:val="auto"/>
          <w:kern w:val="2"/>
          <w:szCs w:val="24"/>
          <w:highlight w:val="none"/>
          <w:lang w:bidi="zh-CN"/>
        </w:rPr>
        <w:t>政府采购云平台电子开标大厅</w:t>
      </w:r>
      <w:r>
        <w:rPr>
          <w:rFonts w:ascii="宋体" w:hAnsi="宋体" w:cs="宋体"/>
          <w:color w:val="auto"/>
          <w:kern w:val="2"/>
          <w:szCs w:val="24"/>
          <w:highlight w:val="none"/>
        </w:rPr>
        <w:t>。</w:t>
      </w:r>
    </w:p>
    <w:p w14:paraId="4E3519F1">
      <w:pPr>
        <w:snapToGrid w:val="0"/>
        <w:spacing w:line="400" w:lineRule="exact"/>
        <w:ind w:right="-204" w:rightChars="-85"/>
        <w:rPr>
          <w:rFonts w:ascii="宋体" w:hAnsi="宋体" w:cs="宋体"/>
          <w:b/>
          <w:color w:val="auto"/>
          <w:szCs w:val="21"/>
          <w:highlight w:val="none"/>
        </w:rPr>
      </w:pPr>
      <w:r>
        <w:rPr>
          <w:rFonts w:ascii="宋体" w:hAnsi="宋体" w:cs="宋体"/>
          <w:b/>
          <w:color w:val="auto"/>
          <w:szCs w:val="21"/>
          <w:highlight w:val="none"/>
        </w:rPr>
        <w:t>七、公告期限：</w:t>
      </w:r>
    </w:p>
    <w:p w14:paraId="3B6BBAB2">
      <w:pPr>
        <w:snapToGrid w:val="0"/>
        <w:spacing w:line="400" w:lineRule="exact"/>
        <w:ind w:left="105" w:right="-204" w:rightChars="-85" w:firstLine="360" w:firstLineChars="150"/>
        <w:rPr>
          <w:rFonts w:ascii="宋体" w:hAnsi="宋体" w:cs="宋体"/>
          <w:color w:val="auto"/>
          <w:kern w:val="2"/>
          <w:szCs w:val="24"/>
          <w:highlight w:val="none"/>
        </w:rPr>
      </w:pPr>
      <w:r>
        <w:rPr>
          <w:rFonts w:ascii="宋体" w:hAnsi="宋体" w:cs="宋体"/>
          <w:color w:val="auto"/>
          <w:kern w:val="2"/>
          <w:szCs w:val="24"/>
          <w:highlight w:val="none"/>
        </w:rPr>
        <w:t>自本公告发布之日起5个工作日。</w:t>
      </w:r>
    </w:p>
    <w:p w14:paraId="34C9F05E">
      <w:pPr>
        <w:pStyle w:val="103"/>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八、其他补充事宜：</w:t>
      </w:r>
    </w:p>
    <w:p w14:paraId="1ED544B2">
      <w:pPr>
        <w:snapToGrid w:val="0"/>
        <w:spacing w:line="400" w:lineRule="exact"/>
        <w:ind w:right="-204" w:rightChars="-85" w:firstLine="480" w:firstLineChars="200"/>
        <w:rPr>
          <w:rFonts w:ascii="宋体" w:hAnsi="宋体" w:cs="宋体"/>
          <w:color w:val="auto"/>
          <w:szCs w:val="24"/>
          <w:highlight w:val="none"/>
          <w:lang w:bidi="zh-CN"/>
        </w:rPr>
      </w:pPr>
      <w:r>
        <w:rPr>
          <w:rFonts w:ascii="宋体" w:hAnsi="宋体" w:cs="宋体"/>
          <w:color w:val="auto"/>
          <w:kern w:val="2"/>
          <w:szCs w:val="24"/>
          <w:highlight w:val="none"/>
        </w:rPr>
        <w:t>1.</w:t>
      </w:r>
      <w:r>
        <w:rPr>
          <w:rFonts w:ascii="宋体" w:hAnsi="宋体" w:cs="宋体"/>
          <w:color w:val="auto"/>
          <w:kern w:val="2"/>
          <w:szCs w:val="24"/>
          <w:highlight w:val="none"/>
          <w:lang w:val="zh-CN"/>
        </w:rPr>
        <w:t>对在</w:t>
      </w:r>
      <w:r>
        <w:rPr>
          <w:rFonts w:ascii="宋体" w:hAnsi="宋体" w:cs="宋体"/>
          <w:color w:val="auto"/>
          <w:kern w:val="2"/>
          <w:szCs w:val="24"/>
          <w:highlight w:val="none"/>
        </w:rPr>
        <w:t>“</w:t>
      </w:r>
      <w:r>
        <w:rPr>
          <w:rFonts w:ascii="宋体" w:hAnsi="宋体" w:cs="宋体"/>
          <w:color w:val="auto"/>
          <w:kern w:val="2"/>
          <w:szCs w:val="24"/>
          <w:highlight w:val="none"/>
          <w:lang w:val="zh-CN"/>
        </w:rPr>
        <w:t>信用中国</w:t>
      </w:r>
      <w:r>
        <w:rPr>
          <w:rFonts w:ascii="宋体" w:hAnsi="宋体" w:cs="宋体"/>
          <w:color w:val="auto"/>
          <w:kern w:val="2"/>
          <w:szCs w:val="24"/>
          <w:highlight w:val="none"/>
        </w:rPr>
        <w:t>”</w:t>
      </w:r>
      <w:r>
        <w:rPr>
          <w:rFonts w:ascii="宋体" w:hAnsi="宋体" w:cs="宋体"/>
          <w:color w:val="auto"/>
          <w:kern w:val="2"/>
          <w:szCs w:val="24"/>
          <w:highlight w:val="none"/>
          <w:lang w:val="zh-CN"/>
        </w:rPr>
        <w:t>网站</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www.creditchina.gov.cn</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lang w:val="zh-CN"/>
        </w:rPr>
        <w:t>、中国政府采购网</w:t>
      </w:r>
      <w:r>
        <w:rPr>
          <w:rFonts w:hint="eastAsia" w:ascii="宋体" w:hAnsi="宋体" w:cs="宋体"/>
          <w:color w:val="auto"/>
          <w:szCs w:val="24"/>
          <w:highlight w:val="none"/>
          <w:lang w:bidi="zh-CN"/>
        </w:rPr>
        <w:t>（</w:t>
      </w:r>
      <w:r>
        <w:rPr>
          <w:rFonts w:ascii="宋体" w:hAnsi="宋体" w:cs="宋体"/>
          <w:color w:val="auto"/>
          <w:szCs w:val="24"/>
          <w:highlight w:val="none"/>
          <w:lang w:bidi="zh-CN"/>
        </w:rPr>
        <w:t>www.ccgp.gov.cn</w:t>
      </w:r>
      <w:r>
        <w:rPr>
          <w:rFonts w:hint="eastAsia" w:ascii="宋体" w:hAnsi="宋体" w:cs="宋体"/>
          <w:color w:val="auto"/>
          <w:szCs w:val="24"/>
          <w:highlight w:val="none"/>
          <w:lang w:bidi="zh-CN"/>
        </w:rPr>
        <w:t>）</w:t>
      </w:r>
      <w:r>
        <w:rPr>
          <w:rFonts w:ascii="宋体" w:hAnsi="宋体" w:cs="宋体"/>
          <w:color w:val="auto"/>
          <w:szCs w:val="24"/>
          <w:highlight w:val="none"/>
          <w:lang w:val="zh-CN" w:bidi="zh-CN"/>
        </w:rPr>
        <w:t>等渠道列入失信被执行人、重大税收违法失信主体、政府采购严重违法失信行为记录名单及其他不符合《中华人民共和国政府采购法》第二十二条规定条件的供应商</w:t>
      </w:r>
      <w:r>
        <w:rPr>
          <w:rFonts w:ascii="宋体" w:hAnsi="宋体" w:cs="宋体"/>
          <w:color w:val="auto"/>
          <w:szCs w:val="24"/>
          <w:highlight w:val="none"/>
          <w:lang w:bidi="zh-CN"/>
        </w:rPr>
        <w:t>，</w:t>
      </w:r>
      <w:r>
        <w:rPr>
          <w:rFonts w:ascii="宋体" w:hAnsi="宋体" w:cs="宋体"/>
          <w:color w:val="auto"/>
          <w:szCs w:val="24"/>
          <w:highlight w:val="none"/>
          <w:lang w:val="zh-CN" w:bidi="zh-CN"/>
        </w:rPr>
        <w:t>将被拒绝参与本次政府采购活动</w:t>
      </w:r>
      <w:r>
        <w:rPr>
          <w:rFonts w:ascii="宋体" w:hAnsi="宋体" w:cs="宋体"/>
          <w:color w:val="auto"/>
          <w:szCs w:val="24"/>
          <w:highlight w:val="none"/>
          <w:lang w:bidi="zh-CN"/>
        </w:rPr>
        <w:t>；</w:t>
      </w:r>
    </w:p>
    <w:p w14:paraId="2AE21AE7">
      <w:pPr>
        <w:tabs>
          <w:tab w:val="left" w:pos="1130"/>
        </w:tabs>
        <w:adjustRightInd/>
        <w:spacing w:line="400" w:lineRule="exact"/>
        <w:ind w:firstLine="480" w:firstLineChars="200"/>
        <w:rPr>
          <w:rFonts w:ascii="宋体" w:hAnsi="宋体" w:cs="宋体"/>
          <w:color w:val="auto"/>
          <w:szCs w:val="24"/>
          <w:highlight w:val="none"/>
          <w:lang w:val="zh-CN" w:bidi="zh-CN"/>
        </w:rPr>
      </w:pPr>
      <w:r>
        <w:rPr>
          <w:rFonts w:hint="eastAsia" w:ascii="宋体" w:hAnsi="宋体" w:cs="宋体"/>
          <w:color w:val="auto"/>
          <w:szCs w:val="24"/>
          <w:highlight w:val="none"/>
          <w:lang w:val="en-US" w:bidi="zh-CN"/>
        </w:rPr>
        <w:t>2</w:t>
      </w:r>
      <w:r>
        <w:rPr>
          <w:rFonts w:ascii="宋体" w:hAnsi="宋体" w:cs="宋体"/>
          <w:color w:val="auto"/>
          <w:szCs w:val="24"/>
          <w:highlight w:val="none"/>
          <w:lang w:val="zh-CN" w:bidi="zh-CN"/>
        </w:rPr>
        <w:t>.单位负责人为同一人或者存在直接控股、管理关系的不同供应商，不得参加同一合同项</w:t>
      </w:r>
      <w:r>
        <w:rPr>
          <w:rFonts w:ascii="宋体" w:hAnsi="宋体" w:cs="宋体"/>
          <w:color w:val="auto"/>
          <w:szCs w:val="24"/>
          <w:highlight w:val="none"/>
          <w:lang w:bidi="zh-CN"/>
        </w:rPr>
        <w:t>目</w:t>
      </w:r>
      <w:r>
        <w:rPr>
          <w:rFonts w:ascii="宋体" w:hAnsi="宋体" w:cs="宋体"/>
          <w:color w:val="auto"/>
          <w:szCs w:val="24"/>
          <w:highlight w:val="none"/>
          <w:lang w:val="zh-CN" w:bidi="zh-CN"/>
        </w:rPr>
        <w:t>下的政府采购活动。除单一来源采购项目外，为采购项目提供整体设计、规范编制或者项目管理、监理、检测等服务的供应商，不得再参加该采购项目的其他采购活动。</w:t>
      </w:r>
    </w:p>
    <w:p w14:paraId="716A5AB4">
      <w:pPr>
        <w:tabs>
          <w:tab w:val="left" w:pos="1130"/>
        </w:tabs>
        <w:adjustRightInd/>
        <w:spacing w:line="400" w:lineRule="exact"/>
        <w:ind w:firstLine="480" w:firstLineChars="200"/>
        <w:rPr>
          <w:rFonts w:hint="eastAsia" w:ascii="宋体" w:hAnsi="宋体" w:cs="宋体"/>
          <w:color w:val="auto"/>
          <w:szCs w:val="24"/>
          <w:highlight w:val="none"/>
          <w:lang w:val="zh-CN" w:bidi="zh-CN"/>
        </w:rPr>
      </w:pPr>
      <w:r>
        <w:rPr>
          <w:rFonts w:hint="eastAsia" w:ascii="宋体" w:hAnsi="宋体" w:cs="宋体"/>
          <w:color w:val="auto"/>
          <w:szCs w:val="24"/>
          <w:highlight w:val="none"/>
          <w:lang w:val="en-US" w:bidi="zh-CN"/>
        </w:rPr>
        <w:t>3.</w:t>
      </w:r>
      <w:r>
        <w:rPr>
          <w:rFonts w:hint="eastAsia" w:ascii="宋体" w:hAnsi="宋体" w:cs="宋体"/>
          <w:color w:val="auto"/>
          <w:szCs w:val="24"/>
          <w:highlight w:val="none"/>
          <w:lang w:val="zh-CN" w:bidi="zh-CN"/>
        </w:rPr>
        <w:t xml:space="preserve">供应商不存在被交通运输部在全国范围内或广西壮族自治区交通运输厅作出取消竞标资格或禁止进入公路建设市场且处于有效期内的行政处罚；  </w:t>
      </w:r>
    </w:p>
    <w:p w14:paraId="5E881B60">
      <w:pPr>
        <w:tabs>
          <w:tab w:val="left" w:pos="1130"/>
        </w:tabs>
        <w:adjustRightInd/>
        <w:spacing w:line="400" w:lineRule="exact"/>
        <w:ind w:firstLine="480" w:firstLineChars="200"/>
        <w:rPr>
          <w:rFonts w:ascii="宋体" w:hAnsi="宋体" w:cs="宋体"/>
          <w:color w:val="auto"/>
          <w:szCs w:val="24"/>
          <w:highlight w:val="none"/>
          <w:lang w:val="zh-CN" w:bidi="zh-CN"/>
        </w:rPr>
      </w:pPr>
      <w:r>
        <w:rPr>
          <w:rFonts w:hint="eastAsia" w:ascii="宋体" w:hAnsi="宋体" w:cs="宋体"/>
          <w:color w:val="auto"/>
          <w:szCs w:val="24"/>
          <w:highlight w:val="none"/>
          <w:lang w:val="en-US" w:bidi="zh-CN"/>
        </w:rPr>
        <w:t>4.</w:t>
      </w:r>
      <w:r>
        <w:rPr>
          <w:rFonts w:hint="eastAsia" w:ascii="宋体" w:hAnsi="宋体" w:cs="宋体"/>
          <w:color w:val="auto"/>
          <w:szCs w:val="24"/>
          <w:highlight w:val="none"/>
          <w:lang w:val="zh-CN" w:bidi="zh-CN"/>
        </w:rPr>
        <w:t>供应商或其法定代表人、拟委任的项目经理在近三年内无行贿犯罪行为。（以“中国裁判文书网”查询结果为准）</w:t>
      </w:r>
      <w:r>
        <w:rPr>
          <w:rFonts w:ascii="宋体" w:hAnsi="宋体" w:cs="宋体"/>
          <w:color w:val="auto"/>
          <w:szCs w:val="24"/>
          <w:highlight w:val="none"/>
          <w:lang w:val="zh-CN" w:bidi="zh-CN"/>
        </w:rPr>
        <w:t>。</w:t>
      </w:r>
    </w:p>
    <w:p w14:paraId="15907450">
      <w:pPr>
        <w:tabs>
          <w:tab w:val="left" w:pos="1130"/>
        </w:tabs>
        <w:adjustRightInd/>
        <w:spacing w:line="400" w:lineRule="exact"/>
        <w:ind w:firstLine="480" w:firstLineChars="200"/>
        <w:rPr>
          <w:rFonts w:ascii="宋体" w:hAnsi="宋体" w:cs="宋体"/>
          <w:color w:val="auto"/>
          <w:szCs w:val="24"/>
          <w:highlight w:val="none"/>
          <w:lang w:bidi="zh-CN"/>
        </w:rPr>
      </w:pPr>
      <w:r>
        <w:rPr>
          <w:rFonts w:hint="eastAsia" w:ascii="宋体" w:hAnsi="宋体" w:cs="宋体"/>
          <w:color w:val="auto"/>
          <w:szCs w:val="24"/>
          <w:highlight w:val="none"/>
          <w:lang w:val="en-US" w:bidi="zh-CN"/>
        </w:rPr>
        <w:t>5</w:t>
      </w:r>
      <w:r>
        <w:rPr>
          <w:rFonts w:ascii="宋体" w:hAnsi="宋体" w:cs="宋体"/>
          <w:color w:val="auto"/>
          <w:szCs w:val="24"/>
          <w:highlight w:val="none"/>
          <w:lang w:bidi="zh-CN"/>
        </w:rPr>
        <w:t>.公告发布媒体：</w:t>
      </w:r>
    </w:p>
    <w:p w14:paraId="57FC757B">
      <w:pPr>
        <w:tabs>
          <w:tab w:val="left" w:pos="1130"/>
        </w:tabs>
        <w:adjustRightInd/>
        <w:spacing w:line="400" w:lineRule="exact"/>
        <w:ind w:firstLine="480" w:firstLineChars="200"/>
        <w:rPr>
          <w:rFonts w:ascii="宋体" w:hAnsi="宋体" w:cs="宋体"/>
          <w:color w:val="auto"/>
          <w:kern w:val="2"/>
          <w:szCs w:val="24"/>
          <w:highlight w:val="none"/>
          <w:lang w:bidi="zh-CN"/>
        </w:rPr>
      </w:pPr>
      <w:r>
        <w:rPr>
          <w:rFonts w:ascii="宋体" w:hAnsi="宋体" w:cs="宋体"/>
          <w:color w:val="auto"/>
          <w:szCs w:val="24"/>
          <w:highlight w:val="none"/>
          <w:lang w:val="zh-CN" w:bidi="zh-CN"/>
        </w:rPr>
        <w:t>中国政府采购网</w:t>
      </w:r>
      <w:r>
        <w:rPr>
          <w:rFonts w:ascii="宋体" w:hAnsi="宋体" w:cs="宋体"/>
          <w:color w:val="auto"/>
          <w:szCs w:val="24"/>
          <w:highlight w:val="none"/>
          <w:lang w:bidi="zh-CN"/>
        </w:rPr>
        <w:t>（http://www.ccgp.gov.cn）</w:t>
      </w:r>
      <w:r>
        <w:rPr>
          <w:rFonts w:hint="eastAsia" w:ascii="宋体" w:hAnsi="宋体" w:cs="宋体"/>
          <w:color w:val="auto"/>
          <w:szCs w:val="24"/>
          <w:highlight w:val="none"/>
          <w:lang w:bidi="zh-CN"/>
        </w:rPr>
        <w:t>、</w:t>
      </w:r>
      <w:r>
        <w:rPr>
          <w:rFonts w:ascii="宋体" w:hAnsi="宋体" w:cs="宋体"/>
          <w:color w:val="auto"/>
          <w:szCs w:val="24"/>
          <w:highlight w:val="none"/>
          <w:lang w:val="zh-CN" w:bidi="zh-CN"/>
        </w:rPr>
        <w:t>广西壮族自治区政府采购网</w:t>
      </w:r>
      <w:r>
        <w:rPr>
          <w:rFonts w:ascii="宋体" w:hAnsi="宋体" w:cs="宋体"/>
          <w:color w:val="auto"/>
          <w:szCs w:val="24"/>
          <w:highlight w:val="none"/>
          <w:lang w:bidi="zh-CN"/>
        </w:rPr>
        <w:t>（http://zfcg.gxzf.gov.cn）</w:t>
      </w:r>
      <w:r>
        <w:rPr>
          <w:rFonts w:hint="eastAsia" w:ascii="宋体" w:hAnsi="宋体" w:cs="宋体"/>
          <w:color w:val="auto"/>
          <w:szCs w:val="24"/>
          <w:highlight w:val="none"/>
          <w:lang w:bidi="zh-CN"/>
        </w:rPr>
        <w:t>、</w:t>
      </w:r>
      <w:r>
        <w:rPr>
          <w:rFonts w:ascii="宋体" w:hAnsi="宋体" w:cs="宋体"/>
          <w:color w:val="auto"/>
          <w:szCs w:val="24"/>
          <w:highlight w:val="none"/>
          <w:lang w:val="zh-CN" w:bidi="zh-CN"/>
        </w:rPr>
        <w:t>全国公共资源交易平台</w:t>
      </w:r>
      <w:r>
        <w:rPr>
          <w:rFonts w:hint="eastAsia" w:ascii="宋体" w:hAnsi="宋体" w:cs="宋体"/>
          <w:color w:val="auto"/>
          <w:szCs w:val="24"/>
          <w:highlight w:val="none"/>
          <w:lang w:bidi="zh-CN"/>
        </w:rPr>
        <w:t>（</w:t>
      </w:r>
      <w:r>
        <w:rPr>
          <w:rFonts w:ascii="宋体" w:hAnsi="宋体" w:cs="宋体"/>
          <w:color w:val="auto"/>
          <w:szCs w:val="24"/>
          <w:highlight w:val="none"/>
          <w:lang w:val="zh-CN" w:bidi="zh-CN"/>
        </w:rPr>
        <w:t>广西</w:t>
      </w:r>
      <w:r>
        <w:rPr>
          <w:rFonts w:ascii="宋体" w:hAnsi="宋体" w:cs="宋体"/>
          <w:color w:val="auto"/>
          <w:szCs w:val="24"/>
          <w:highlight w:val="none"/>
          <w:lang w:bidi="zh-CN"/>
        </w:rPr>
        <w:t>•</w:t>
      </w:r>
      <w:r>
        <w:rPr>
          <w:rFonts w:ascii="宋体" w:hAnsi="宋体" w:cs="宋体"/>
          <w:color w:val="auto"/>
          <w:szCs w:val="24"/>
          <w:highlight w:val="none"/>
          <w:lang w:val="zh-CN" w:bidi="zh-CN"/>
        </w:rPr>
        <w:t>河池</w:t>
      </w:r>
      <w:r>
        <w:rPr>
          <w:rFonts w:hint="eastAsia" w:ascii="宋体" w:hAnsi="宋体" w:cs="宋体"/>
          <w:color w:val="auto"/>
          <w:szCs w:val="24"/>
          <w:highlight w:val="none"/>
          <w:lang w:bidi="zh-CN"/>
        </w:rPr>
        <w:t>）</w:t>
      </w:r>
      <w:r>
        <w:rPr>
          <w:rFonts w:ascii="宋体" w:hAnsi="宋体" w:cs="宋体"/>
          <w:color w:val="auto"/>
          <w:szCs w:val="24"/>
          <w:highlight w:val="none"/>
          <w:lang w:bidi="zh-CN"/>
        </w:rPr>
        <w:t>（http://ggzy.jgswj.gxzf.gov.cn/hcggzy/）</w:t>
      </w:r>
    </w:p>
    <w:p w14:paraId="02364D7C">
      <w:pPr>
        <w:autoSpaceDE/>
        <w:autoSpaceDN/>
        <w:adjustRightInd/>
        <w:spacing w:line="400" w:lineRule="exact"/>
        <w:ind w:firstLine="480" w:firstLineChars="200"/>
        <w:jc w:val="both"/>
        <w:rPr>
          <w:rFonts w:ascii="宋体" w:hAnsi="宋体" w:cs="宋体"/>
          <w:color w:val="auto"/>
          <w:szCs w:val="24"/>
          <w:highlight w:val="none"/>
          <w:lang w:bidi="zh-CN"/>
        </w:rPr>
      </w:pPr>
      <w:r>
        <w:rPr>
          <w:rFonts w:hint="eastAsia" w:ascii="宋体" w:hAnsi="宋体" w:cs="宋体"/>
          <w:color w:val="auto"/>
          <w:kern w:val="2"/>
          <w:szCs w:val="24"/>
          <w:highlight w:val="none"/>
          <w:lang w:val="en-US" w:bidi="zh-CN"/>
        </w:rPr>
        <w:t>6</w:t>
      </w:r>
      <w:r>
        <w:rPr>
          <w:rFonts w:ascii="宋体" w:hAnsi="宋体" w:cs="宋体"/>
          <w:color w:val="auto"/>
          <w:kern w:val="2"/>
          <w:szCs w:val="24"/>
          <w:highlight w:val="none"/>
          <w:lang w:bidi="zh-CN"/>
        </w:rPr>
        <w:t>.</w:t>
      </w:r>
      <w:r>
        <w:rPr>
          <w:rFonts w:ascii="宋体" w:hAnsi="宋体" w:cs="宋体"/>
          <w:color w:val="auto"/>
          <w:szCs w:val="24"/>
          <w:highlight w:val="none"/>
          <w:lang w:val="zh-CN" w:bidi="zh-CN"/>
        </w:rPr>
        <w:t>交易服务单位：</w:t>
      </w:r>
      <w:r>
        <w:rPr>
          <w:rFonts w:ascii="宋体" w:hAnsi="宋体" w:cs="宋体"/>
          <w:color w:val="auto"/>
          <w:szCs w:val="24"/>
          <w:highlight w:val="none"/>
          <w:lang w:bidi="zh-CN"/>
        </w:rPr>
        <w:t>河池市公共资源交易中心      联系电话：0778-2306908</w:t>
      </w:r>
    </w:p>
    <w:p w14:paraId="7A60AC0D">
      <w:pPr>
        <w:autoSpaceDE/>
        <w:autoSpaceDN/>
        <w:adjustRightInd/>
        <w:spacing w:line="400" w:lineRule="exact"/>
        <w:ind w:firstLine="480" w:firstLineChars="200"/>
        <w:jc w:val="both"/>
        <w:rPr>
          <w:rFonts w:ascii="宋体" w:hAnsi="宋体" w:cs="宋体"/>
          <w:color w:val="auto"/>
          <w:szCs w:val="24"/>
          <w:highlight w:val="none"/>
          <w:lang w:bidi="zh-CN"/>
        </w:rPr>
      </w:pPr>
      <w:r>
        <w:rPr>
          <w:rFonts w:hint="eastAsia" w:ascii="宋体" w:hAnsi="宋体" w:cs="宋体"/>
          <w:color w:val="auto"/>
          <w:szCs w:val="24"/>
          <w:highlight w:val="none"/>
          <w:lang w:val="en-US" w:bidi="zh-CN"/>
        </w:rPr>
        <w:t>7</w:t>
      </w:r>
      <w:r>
        <w:rPr>
          <w:rFonts w:ascii="宋体" w:hAnsi="宋体" w:cs="宋体"/>
          <w:color w:val="auto"/>
          <w:szCs w:val="24"/>
          <w:highlight w:val="none"/>
          <w:lang w:bidi="zh-CN"/>
        </w:rPr>
        <w:t>.政府采购监督管理部门：广西壮族自治区财政厅政府采购监督管理处；联系电话0771-5331544。</w:t>
      </w:r>
    </w:p>
    <w:p w14:paraId="7F536B9C">
      <w:pPr>
        <w:autoSpaceDE/>
        <w:autoSpaceDN/>
        <w:adjustRightInd/>
        <w:spacing w:line="400" w:lineRule="exact"/>
        <w:ind w:firstLine="480" w:firstLineChars="200"/>
        <w:jc w:val="both"/>
        <w:rPr>
          <w:rFonts w:ascii="宋体" w:hAnsi="宋体" w:cs="宋体"/>
          <w:color w:val="auto"/>
          <w:szCs w:val="24"/>
          <w:highlight w:val="none"/>
          <w:lang w:bidi="zh-CN"/>
        </w:rPr>
      </w:pPr>
      <w:r>
        <w:rPr>
          <w:rFonts w:ascii="宋体" w:hAnsi="宋体" w:cs="宋体"/>
          <w:color w:val="auto"/>
          <w:szCs w:val="24"/>
          <w:highlight w:val="none"/>
          <w:lang w:bidi="zh-CN"/>
        </w:rPr>
        <w:t>行政监督部门：广西壮族自治区河池公路发展中心，行政监督电话：0778-2550359。</w:t>
      </w:r>
    </w:p>
    <w:p w14:paraId="28378426">
      <w:pPr>
        <w:autoSpaceDE/>
        <w:autoSpaceDN/>
        <w:adjustRightInd/>
        <w:spacing w:line="400" w:lineRule="exact"/>
        <w:ind w:firstLine="480" w:firstLineChars="200"/>
        <w:jc w:val="both"/>
        <w:rPr>
          <w:rFonts w:ascii="宋体" w:hAnsi="宋体" w:cs="宋体"/>
          <w:color w:val="auto"/>
          <w:szCs w:val="24"/>
          <w:highlight w:val="none"/>
          <w:lang w:bidi="zh-CN"/>
        </w:rPr>
      </w:pPr>
      <w:r>
        <w:rPr>
          <w:rFonts w:hint="eastAsia" w:ascii="宋体" w:hAnsi="宋体" w:cs="宋体"/>
          <w:color w:val="auto"/>
          <w:szCs w:val="24"/>
          <w:highlight w:val="none"/>
          <w:lang w:val="en-US" w:bidi="zh-CN"/>
        </w:rPr>
        <w:t>8</w:t>
      </w:r>
      <w:r>
        <w:rPr>
          <w:rFonts w:ascii="宋体" w:hAnsi="宋体" w:cs="宋体"/>
          <w:color w:val="auto"/>
          <w:szCs w:val="24"/>
          <w:highlight w:val="none"/>
          <w:lang w:bidi="zh-CN"/>
        </w:rPr>
        <w:t>.在线竞标响应（电子竞标）说明</w:t>
      </w:r>
    </w:p>
    <w:p w14:paraId="1862AB73">
      <w:pPr>
        <w:autoSpaceDE/>
        <w:autoSpaceDN/>
        <w:adjustRightInd/>
        <w:spacing w:line="400" w:lineRule="exact"/>
        <w:ind w:firstLine="480" w:firstLineChars="200"/>
        <w:jc w:val="both"/>
        <w:rPr>
          <w:rFonts w:ascii="宋体" w:hAnsi="宋体" w:cs="宋体"/>
          <w:color w:val="auto"/>
          <w:szCs w:val="24"/>
          <w:highlight w:val="none"/>
          <w:lang w:bidi="zh-CN"/>
        </w:rPr>
      </w:pPr>
      <w:r>
        <w:rPr>
          <w:rFonts w:ascii="宋体" w:hAnsi="宋体" w:cs="宋体"/>
          <w:color w:val="auto"/>
          <w:szCs w:val="24"/>
          <w:highlight w:val="none"/>
          <w:lang w:bidi="zh-CN"/>
        </w:rPr>
        <w:t>（1）本项目通过广西政府采购云平台实行在线竞标响应（电子竞标），供应商需要下载客户端进行电子竞标，客户端下载路径：广西政府采购网（访问地址http://www.ccgp-guangxi.gov.cn/）—办事服务—下载专区，并按照本采购文件和广西政府采购云平台的要求，通过“广西政府采购云平台电子交易客户端”编制并加密响应文件。供应商未按规定编制并加密的响应文件，广西政府采购云平台将予以拒收。</w:t>
      </w:r>
      <w:r>
        <w:rPr>
          <w:rFonts w:hint="eastAsia" w:ascii="宋体" w:hAnsi="宋体" w:cs="宋体"/>
          <w:color w:val="auto"/>
          <w:szCs w:val="24"/>
          <w:highlight w:val="none"/>
          <w:lang w:bidi="zh-CN"/>
        </w:rPr>
        <w:br w:type="textWrapping"/>
      </w:r>
      <w:r>
        <w:rPr>
          <w:rFonts w:hint="eastAsia" w:ascii="宋体" w:hAnsi="宋体" w:cs="宋体"/>
          <w:color w:val="auto"/>
          <w:szCs w:val="24"/>
          <w:highlight w:val="none"/>
          <w:lang w:val="en-US" w:bidi="zh-CN"/>
        </w:rPr>
        <w:t xml:space="preserve">  </w:t>
      </w:r>
      <w:r>
        <w:rPr>
          <w:rFonts w:hint="eastAsia" w:ascii="宋体" w:hAnsi="宋体" w:cs="宋体"/>
          <w:color w:val="auto"/>
          <w:szCs w:val="24"/>
          <w:highlight w:val="none"/>
          <w:lang w:bidi="zh-CN"/>
        </w:rPr>
        <w:t>（2）为确保网上操作合法、有效和安全，供应商应当在响应文件递交截止时间前完成在“</w:t>
      </w:r>
      <w:r>
        <w:rPr>
          <w:rFonts w:hint="eastAsia" w:ascii="宋体" w:hAnsi="宋体" w:cs="宋体"/>
          <w:color w:val="auto"/>
          <w:szCs w:val="24"/>
          <w:highlight w:val="none"/>
          <w:lang w:val="en-US" w:bidi="zh-CN"/>
        </w:rPr>
        <w:t>广西</w:t>
      </w:r>
      <w:r>
        <w:rPr>
          <w:rFonts w:hint="eastAsia" w:ascii="宋体" w:hAnsi="宋体" w:cs="宋体"/>
          <w:color w:val="auto"/>
          <w:szCs w:val="24"/>
          <w:highlight w:val="none"/>
          <w:lang w:bidi="zh-CN"/>
        </w:rPr>
        <w:t>政府采购云平台”的身份认证，确保在电子竞标过程中能够对相关数据电文进行加密和使用电子签章。使用“广西政府采购云平台电子交易客户端”需要提前申领CA数字证书；</w:t>
      </w:r>
      <w:r>
        <w:rPr>
          <w:rFonts w:hint="eastAsia" w:ascii="宋体" w:hAnsi="宋体" w:cs="宋体"/>
          <w:color w:val="auto"/>
          <w:szCs w:val="24"/>
          <w:highlight w:val="none"/>
          <w:lang w:bidi="zh-CN"/>
        </w:rPr>
        <w:br w:type="textWrapping"/>
      </w:r>
      <w:r>
        <w:rPr>
          <w:rFonts w:hint="eastAsia" w:ascii="宋体" w:hAnsi="宋体" w:cs="宋体"/>
          <w:color w:val="auto"/>
          <w:szCs w:val="24"/>
          <w:highlight w:val="none"/>
          <w:lang w:val="en-US" w:bidi="zh-CN"/>
        </w:rPr>
        <w:t xml:space="preserve">  </w:t>
      </w:r>
      <w:r>
        <w:rPr>
          <w:rFonts w:hint="eastAsia" w:ascii="宋体" w:hAnsi="宋体" w:cs="宋体"/>
          <w:color w:val="auto"/>
          <w:szCs w:val="24"/>
          <w:highlight w:val="none"/>
          <w:lang w:bidi="zh-CN"/>
        </w:rPr>
        <w:t>（3）供应商应当在响应文件递交截止时间前，将生成的“电子加密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响应文件。</w:t>
      </w:r>
      <w:r>
        <w:rPr>
          <w:rFonts w:hint="eastAsia" w:ascii="宋体" w:hAnsi="宋体" w:cs="宋体"/>
          <w:color w:val="auto"/>
          <w:szCs w:val="24"/>
          <w:highlight w:val="none"/>
          <w:lang w:bidi="zh-CN"/>
        </w:rPr>
        <w:br w:type="textWrapping"/>
      </w:r>
      <w:r>
        <w:rPr>
          <w:rFonts w:hint="eastAsia" w:ascii="宋体" w:hAnsi="宋体" w:cs="宋体"/>
          <w:color w:val="auto"/>
          <w:szCs w:val="24"/>
          <w:highlight w:val="none"/>
          <w:lang w:val="en-US" w:bidi="zh-CN"/>
        </w:rPr>
        <w:t xml:space="preserve">  </w:t>
      </w:r>
      <w:r>
        <w:rPr>
          <w:rFonts w:hint="eastAsia" w:ascii="宋体" w:hAnsi="宋体" w:cs="宋体"/>
          <w:color w:val="auto"/>
          <w:szCs w:val="24"/>
          <w:highlight w:val="none"/>
          <w:lang w:bidi="zh-CN"/>
        </w:rPr>
        <w:t>（4）响应文件网上提交截止后，</w:t>
      </w:r>
      <w:r>
        <w:rPr>
          <w:rFonts w:ascii="宋体" w:hAnsi="宋体" w:cs="宋体"/>
          <w:color w:val="auto"/>
          <w:szCs w:val="24"/>
          <w:highlight w:val="none"/>
          <w:lang w:bidi="zh-CN"/>
        </w:rPr>
        <w:t>广西政府采购云平台</w:t>
      </w:r>
      <w:r>
        <w:rPr>
          <w:rFonts w:hint="eastAsia" w:ascii="宋体" w:hAnsi="宋体" w:cs="宋体"/>
          <w:color w:val="auto"/>
          <w:szCs w:val="24"/>
          <w:highlight w:val="none"/>
          <w:lang w:bidi="zh-CN"/>
        </w:rPr>
        <w:t>系统自动提取所有响应文件，各供应商须在广西政府采购云平台系统开标大厅中提示的开标倒计时规定时间内对上传</w:t>
      </w:r>
      <w:r>
        <w:rPr>
          <w:rFonts w:ascii="宋体" w:hAnsi="宋体" w:cs="宋体"/>
          <w:color w:val="auto"/>
          <w:szCs w:val="24"/>
          <w:highlight w:val="none"/>
          <w:lang w:bidi="zh-CN"/>
        </w:rPr>
        <w:t>广西政府采购云平台</w:t>
      </w:r>
      <w:r>
        <w:rPr>
          <w:rFonts w:hint="eastAsia" w:ascii="宋体" w:hAnsi="宋体" w:cs="宋体"/>
          <w:color w:val="auto"/>
          <w:szCs w:val="24"/>
          <w:highlight w:val="none"/>
          <w:lang w:bidi="zh-CN"/>
        </w:rPr>
        <w:t>的响应文件进行解密，所有供应商在规定的解密时限内完成解密，解密时限结束后，代理机构将开启响应文件；供应商超过解密时限未完成解密的，系统默认其自动放弃。</w:t>
      </w:r>
      <w:r>
        <w:rPr>
          <w:rFonts w:hint="eastAsia" w:ascii="宋体" w:hAnsi="宋体" w:cs="宋体"/>
          <w:color w:val="auto"/>
          <w:szCs w:val="24"/>
          <w:highlight w:val="none"/>
          <w:lang w:bidi="zh-CN"/>
        </w:rPr>
        <w:br w:type="textWrapping"/>
      </w:r>
      <w:r>
        <w:rPr>
          <w:rFonts w:hint="eastAsia" w:ascii="宋体" w:hAnsi="宋体" w:cs="宋体"/>
          <w:color w:val="auto"/>
          <w:szCs w:val="24"/>
          <w:highlight w:val="none"/>
          <w:lang w:val="en-US" w:bidi="zh-CN"/>
        </w:rPr>
        <w:t xml:space="preserve">  </w:t>
      </w:r>
      <w:r>
        <w:rPr>
          <w:rFonts w:hint="eastAsia" w:ascii="宋体" w:hAnsi="宋体" w:cs="宋体"/>
          <w:color w:val="auto"/>
          <w:szCs w:val="24"/>
          <w:highlight w:val="none"/>
          <w:lang w:bidi="zh-CN"/>
        </w:rPr>
        <w:t>（5）若对项目采购电子交易系统操作有疑问，可登录“广西政府采购云”平台（https://www.zcygov.cn/），点击右侧咨询小采，获取采小蜜智能服务管家帮助，或拨打政采云服务热线95763获取热线服务帮助。</w:t>
      </w:r>
    </w:p>
    <w:p w14:paraId="04840D1B">
      <w:pPr>
        <w:snapToGrid w:val="0"/>
        <w:spacing w:line="400" w:lineRule="exact"/>
        <w:ind w:right="-204" w:rightChars="-85"/>
        <w:rPr>
          <w:rFonts w:ascii="宋体" w:hAnsi="宋体" w:cs="宋体"/>
          <w:b/>
          <w:color w:val="auto"/>
          <w:szCs w:val="21"/>
          <w:highlight w:val="none"/>
        </w:rPr>
      </w:pPr>
      <w:r>
        <w:rPr>
          <w:rFonts w:ascii="宋体" w:hAnsi="宋体" w:cs="宋体"/>
          <w:b/>
          <w:color w:val="auto"/>
          <w:szCs w:val="21"/>
          <w:highlight w:val="none"/>
        </w:rPr>
        <w:t>九、凡对本次采购提出询问，请按以下方式联系：</w:t>
      </w:r>
    </w:p>
    <w:p w14:paraId="26D4383D">
      <w:pPr>
        <w:pStyle w:val="103"/>
        <w:spacing w:line="4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1.采购人信息</w:t>
      </w:r>
    </w:p>
    <w:p w14:paraId="72862937">
      <w:pPr>
        <w:pStyle w:val="103"/>
        <w:spacing w:line="400" w:lineRule="exact"/>
        <w:ind w:left="55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bookmarkStart w:id="18" w:name="_Toc28359009"/>
      <w:bookmarkStart w:id="19" w:name="_Toc28359086"/>
      <w:r>
        <w:rPr>
          <w:rFonts w:hint="eastAsia" w:ascii="宋体" w:hAnsi="宋体" w:cs="宋体"/>
          <w:color w:val="auto"/>
          <w:sz w:val="24"/>
          <w:szCs w:val="24"/>
          <w:highlight w:val="none"/>
        </w:rPr>
        <w:t>广西壮族自治区凤山公路养护中心</w:t>
      </w:r>
    </w:p>
    <w:p w14:paraId="14F8D2C3">
      <w:pPr>
        <w:pStyle w:val="103"/>
        <w:spacing w:line="4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地址：河池市凤山县凤城镇凤阳街1726号</w:t>
      </w:r>
    </w:p>
    <w:p w14:paraId="1FE72E23">
      <w:pPr>
        <w:pStyle w:val="103"/>
        <w:spacing w:line="4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罗双</w:t>
      </w:r>
    </w:p>
    <w:p w14:paraId="27DE2BAC">
      <w:pPr>
        <w:pStyle w:val="103"/>
        <w:spacing w:line="400" w:lineRule="exact"/>
        <w:ind w:firstLine="600" w:firstLineChars="2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联系电话：0778-68</w:t>
      </w:r>
      <w:r>
        <w:rPr>
          <w:rFonts w:hint="eastAsia" w:ascii="宋体" w:hAnsi="宋体" w:cs="宋体"/>
          <w:color w:val="auto"/>
          <w:sz w:val="24"/>
          <w:szCs w:val="24"/>
          <w:highlight w:val="none"/>
          <w:lang w:val="en-US" w:eastAsia="zh-CN"/>
        </w:rPr>
        <w:t>21596</w:t>
      </w:r>
    </w:p>
    <w:p w14:paraId="1E48E4F5">
      <w:pPr>
        <w:pStyle w:val="103"/>
        <w:spacing w:line="4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2.采购代理机构信息</w:t>
      </w:r>
      <w:bookmarkEnd w:id="18"/>
      <w:bookmarkEnd w:id="19"/>
    </w:p>
    <w:p w14:paraId="5645A78F">
      <w:pPr>
        <w:pStyle w:val="103"/>
        <w:spacing w:line="400" w:lineRule="exact"/>
        <w:ind w:firstLine="600" w:firstLineChars="2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广西众联工程项目管理有限公司</w:t>
      </w:r>
    </w:p>
    <w:p w14:paraId="63793FA0">
      <w:pPr>
        <w:pStyle w:val="103"/>
        <w:spacing w:line="400" w:lineRule="exact"/>
        <w:ind w:firstLine="600" w:firstLineChars="2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color w:val="auto"/>
          <w:kern w:val="0"/>
          <w:sz w:val="24"/>
          <w:szCs w:val="24"/>
          <w:highlight w:val="none"/>
          <w:lang w:eastAsia="zh-CN"/>
        </w:rPr>
        <w:t>南宁市江南区白沙大道53号松宇时代14A层</w:t>
      </w:r>
    </w:p>
    <w:p w14:paraId="30711245">
      <w:pPr>
        <w:pStyle w:val="103"/>
        <w:spacing w:line="400" w:lineRule="exact"/>
        <w:ind w:firstLine="600" w:firstLineChars="250"/>
        <w:rPr>
          <w:rFonts w:hint="eastAsia" w:ascii="宋体" w:hAnsi="宋体" w:eastAsia="宋体" w:cs="宋体"/>
          <w:color w:val="auto"/>
          <w:sz w:val="24"/>
          <w:szCs w:val="24"/>
          <w:highlight w:val="none"/>
          <w:lang w:eastAsia="zh-CN"/>
        </w:rPr>
      </w:pPr>
      <w:bookmarkStart w:id="20" w:name="_Toc28359087"/>
      <w:bookmarkStart w:id="21" w:name="_Toc28359010"/>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高叶法、戚程、包鹏、李柳婵</w:t>
      </w:r>
    </w:p>
    <w:p w14:paraId="4A267004">
      <w:pPr>
        <w:pStyle w:val="103"/>
        <w:spacing w:line="400" w:lineRule="exact"/>
        <w:ind w:firstLine="600" w:firstLineChars="2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电话：</w:t>
      </w:r>
      <w:r>
        <w:rPr>
          <w:rFonts w:hint="eastAsia" w:ascii="宋体" w:hAnsi="宋体" w:cs="宋体"/>
          <w:color w:val="auto"/>
          <w:kern w:val="0"/>
          <w:sz w:val="24"/>
          <w:szCs w:val="24"/>
          <w:highlight w:val="none"/>
          <w:lang w:eastAsia="zh-CN"/>
        </w:rPr>
        <w:t>0771-4308370</w:t>
      </w:r>
    </w:p>
    <w:p w14:paraId="58672F78">
      <w:pPr>
        <w:pStyle w:val="103"/>
        <w:spacing w:line="4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3.项目联系方式</w:t>
      </w:r>
      <w:bookmarkEnd w:id="20"/>
      <w:bookmarkEnd w:id="21"/>
    </w:p>
    <w:p w14:paraId="6516EFA7">
      <w:pPr>
        <w:pStyle w:val="103"/>
        <w:spacing w:line="400" w:lineRule="exact"/>
        <w:ind w:firstLine="600" w:firstLineChars="2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eastAsia="zh-CN"/>
        </w:rPr>
        <w:t>高叶法、戚程、包鹏、李柳婵</w:t>
      </w:r>
    </w:p>
    <w:p w14:paraId="140DF1CA">
      <w:pPr>
        <w:pStyle w:val="103"/>
        <w:spacing w:line="400" w:lineRule="exact"/>
        <w:ind w:firstLine="600" w:firstLineChars="250"/>
        <w:rPr>
          <w:rFonts w:hint="eastAsia" w:ascii="宋体" w:hAnsi="宋体" w:cs="宋体"/>
          <w:color w:val="auto"/>
          <w:szCs w:val="24"/>
          <w:highlight w:val="none"/>
        </w:rPr>
      </w:pPr>
      <w:r>
        <w:rPr>
          <w:rFonts w:hint="eastAsia" w:ascii="宋体" w:hAnsi="宋体" w:cs="宋体"/>
          <w:color w:val="auto"/>
          <w:sz w:val="24"/>
          <w:szCs w:val="24"/>
          <w:highlight w:val="none"/>
        </w:rPr>
        <w:t>电　话：</w:t>
      </w:r>
      <w:r>
        <w:rPr>
          <w:rFonts w:hint="eastAsia" w:ascii="宋体" w:hAnsi="宋体" w:cs="宋体"/>
          <w:color w:val="auto"/>
          <w:kern w:val="0"/>
          <w:sz w:val="24"/>
          <w:szCs w:val="24"/>
          <w:highlight w:val="none"/>
          <w:lang w:eastAsia="zh-CN"/>
        </w:rPr>
        <w:t>0771-4308370</w:t>
      </w:r>
      <w:r>
        <w:rPr>
          <w:rFonts w:hint="eastAsia" w:ascii="宋体" w:hAnsi="宋体" w:cs="宋体"/>
          <w:color w:val="auto"/>
          <w:szCs w:val="21"/>
          <w:highlight w:val="none"/>
        </w:rPr>
        <w:t xml:space="preserve">                                </w:t>
      </w:r>
      <w:r>
        <w:rPr>
          <w:rFonts w:hint="eastAsia" w:ascii="宋体" w:hAnsi="宋体" w:cs="宋体"/>
          <w:color w:val="auto"/>
          <w:szCs w:val="24"/>
          <w:highlight w:val="none"/>
        </w:rPr>
        <w:t xml:space="preserve">                           </w:t>
      </w:r>
    </w:p>
    <w:p w14:paraId="09F201AA">
      <w:pPr>
        <w:pStyle w:val="103"/>
        <w:spacing w:line="400" w:lineRule="exact"/>
        <w:ind w:firstLine="4200" w:firstLineChars="1750"/>
        <w:rPr>
          <w:rFonts w:hint="eastAsia" w:ascii="宋体" w:hAnsi="宋体" w:cs="宋体"/>
          <w:color w:val="auto"/>
          <w:kern w:val="0"/>
          <w:sz w:val="24"/>
          <w:szCs w:val="24"/>
          <w:highlight w:val="none"/>
        </w:rPr>
      </w:pPr>
    </w:p>
    <w:p w14:paraId="62B516AF">
      <w:pPr>
        <w:pStyle w:val="103"/>
        <w:spacing w:line="400" w:lineRule="exact"/>
        <w:ind w:firstLine="4200" w:firstLineChars="1750"/>
        <w:rPr>
          <w:rFonts w:hint="eastAsia" w:ascii="宋体" w:hAnsi="宋体" w:cs="宋体"/>
          <w:color w:val="auto"/>
          <w:kern w:val="0"/>
          <w:sz w:val="24"/>
          <w:szCs w:val="24"/>
          <w:highlight w:val="none"/>
        </w:rPr>
      </w:pPr>
    </w:p>
    <w:p w14:paraId="0F236611">
      <w:pPr>
        <w:pStyle w:val="103"/>
        <w:spacing w:line="400" w:lineRule="exact"/>
        <w:ind w:firstLine="4200" w:firstLineChars="17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采购单位：</w:t>
      </w:r>
      <w:r>
        <w:rPr>
          <w:rFonts w:hint="eastAsia" w:ascii="宋体" w:hAnsi="宋体" w:cs="宋体"/>
          <w:color w:val="auto"/>
          <w:sz w:val="24"/>
          <w:szCs w:val="24"/>
          <w:highlight w:val="none"/>
        </w:rPr>
        <w:t>广西壮族自治区凤山公路养护中心</w:t>
      </w:r>
    </w:p>
    <w:p w14:paraId="4C8D5F73">
      <w:pPr>
        <w:pStyle w:val="103"/>
        <w:spacing w:line="400" w:lineRule="exact"/>
        <w:ind w:firstLine="4200" w:firstLineChars="1750"/>
        <w:rPr>
          <w:rFonts w:hint="eastAsia" w:ascii="宋体" w:hAnsi="宋体" w:cs="宋体"/>
          <w:color w:val="auto"/>
          <w:kern w:val="0"/>
          <w:sz w:val="24"/>
          <w:szCs w:val="24"/>
          <w:highlight w:val="none"/>
        </w:rPr>
      </w:pPr>
    </w:p>
    <w:p w14:paraId="776057CC">
      <w:pPr>
        <w:pStyle w:val="103"/>
        <w:spacing w:line="400" w:lineRule="exact"/>
        <w:ind w:firstLine="4200" w:firstLineChars="1750"/>
        <w:rPr>
          <w:rFonts w:hint="eastAsia" w:ascii="宋体" w:hAnsi="宋体" w:cs="宋体"/>
          <w:color w:val="auto"/>
          <w:kern w:val="0"/>
          <w:sz w:val="24"/>
          <w:szCs w:val="24"/>
          <w:highlight w:val="none"/>
        </w:rPr>
      </w:pPr>
    </w:p>
    <w:p w14:paraId="131823CD">
      <w:pPr>
        <w:pStyle w:val="103"/>
        <w:spacing w:line="400" w:lineRule="exact"/>
        <w:ind w:firstLine="4200" w:firstLineChars="175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采购代理机构：</w:t>
      </w:r>
      <w:r>
        <w:rPr>
          <w:rFonts w:hint="eastAsia" w:ascii="宋体" w:hAnsi="宋体" w:cs="宋体"/>
          <w:color w:val="auto"/>
          <w:sz w:val="24"/>
          <w:szCs w:val="24"/>
          <w:highlight w:val="none"/>
          <w:lang w:eastAsia="zh-CN"/>
        </w:rPr>
        <w:t>广西众联工程项目管理有限公司</w:t>
      </w:r>
    </w:p>
    <w:p w14:paraId="1C6E0944">
      <w:pPr>
        <w:pStyle w:val="103"/>
        <w:spacing w:line="400" w:lineRule="exact"/>
        <w:ind w:firstLine="6360" w:firstLineChars="2650"/>
        <w:rPr>
          <w:rFonts w:hint="eastAsia" w:ascii="宋体" w:hAnsi="宋体" w:cs="宋体"/>
          <w:color w:val="auto"/>
          <w:sz w:val="24"/>
          <w:szCs w:val="24"/>
          <w:highlight w:val="none"/>
        </w:rPr>
        <w:sectPr>
          <w:footerReference r:id="rId6" w:type="default"/>
          <w:pgSz w:w="11910" w:h="16840"/>
          <w:pgMar w:top="0" w:right="995" w:bottom="919" w:left="1298" w:header="918" w:footer="836" w:gutter="0"/>
          <w:cols w:space="720" w:num="1"/>
        </w:sect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年0</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w:t>
      </w:r>
      <w:bookmarkStart w:id="22" w:name="_Toc517163142"/>
      <w:bookmarkStart w:id="23" w:name="_Toc514759022"/>
    </w:p>
    <w:p w14:paraId="1745B0D3">
      <w:pPr>
        <w:pStyle w:val="103"/>
        <w:spacing w:line="400" w:lineRule="exact"/>
        <w:ind w:firstLine="4440" w:firstLineChars="1850"/>
        <w:rPr>
          <w:rFonts w:hint="eastAsia" w:ascii="宋体" w:hAnsi="宋体" w:cs="宋体"/>
          <w:color w:val="auto"/>
          <w:sz w:val="24"/>
          <w:szCs w:val="24"/>
          <w:highlight w:val="none"/>
        </w:rPr>
      </w:pPr>
    </w:p>
    <w:p w14:paraId="5CF9BA42">
      <w:pPr>
        <w:pStyle w:val="4"/>
        <w:tabs>
          <w:tab w:val="left" w:pos="1439"/>
        </w:tabs>
        <w:kinsoku w:val="0"/>
        <w:overflowPunct w:val="0"/>
        <w:spacing w:after="120" w:afterLines="50" w:line="460" w:lineRule="exact"/>
        <w:jc w:val="center"/>
        <w:rPr>
          <w:rFonts w:ascii="宋体" w:hAnsi="宋体" w:eastAsia="宋体" w:cs="宋体"/>
          <w:color w:val="auto"/>
          <w:highlight w:val="none"/>
        </w:rPr>
      </w:pPr>
      <w:r>
        <w:rPr>
          <w:rFonts w:ascii="宋体" w:hAnsi="宋体" w:eastAsia="宋体" w:cs="宋体"/>
          <w:color w:val="auto"/>
          <w:highlight w:val="none"/>
        </w:rPr>
        <w:t>第二章供应商须知</w:t>
      </w:r>
      <w:bookmarkEnd w:id="22"/>
      <w:bookmarkEnd w:id="23"/>
    </w:p>
    <w:p w14:paraId="6D97D62E">
      <w:pPr>
        <w:pStyle w:val="4"/>
        <w:tabs>
          <w:tab w:val="left" w:pos="1439"/>
        </w:tabs>
        <w:kinsoku w:val="0"/>
        <w:overflowPunct w:val="0"/>
        <w:jc w:val="center"/>
        <w:rPr>
          <w:rFonts w:ascii="宋体" w:hAnsi="宋体" w:eastAsia="宋体" w:cs="宋体"/>
          <w:color w:val="auto"/>
          <w:sz w:val="32"/>
          <w:szCs w:val="32"/>
          <w:highlight w:val="none"/>
        </w:rPr>
      </w:pPr>
      <w:bookmarkStart w:id="24" w:name="_Toc514759023"/>
      <w:bookmarkStart w:id="25" w:name="_Toc517163143"/>
      <w:r>
        <w:rPr>
          <w:rFonts w:ascii="宋体" w:hAnsi="宋体" w:eastAsia="宋体" w:cs="宋体"/>
          <w:b/>
          <w:color w:val="auto"/>
          <w:sz w:val="32"/>
          <w:szCs w:val="32"/>
          <w:highlight w:val="none"/>
        </w:rPr>
        <w:t>供应商须知前附表</w:t>
      </w:r>
      <w:bookmarkEnd w:id="24"/>
      <w:bookmarkEnd w:id="25"/>
    </w:p>
    <w:tbl>
      <w:tblPr>
        <w:tblStyle w:val="30"/>
        <w:tblW w:w="10093" w:type="dxa"/>
        <w:jc w:val="center"/>
        <w:tblLayout w:type="fixed"/>
        <w:tblCellMar>
          <w:top w:w="0" w:type="dxa"/>
          <w:left w:w="108" w:type="dxa"/>
          <w:bottom w:w="0" w:type="dxa"/>
          <w:right w:w="108" w:type="dxa"/>
        </w:tblCellMar>
      </w:tblPr>
      <w:tblGrid>
        <w:gridCol w:w="1150"/>
        <w:gridCol w:w="2118"/>
        <w:gridCol w:w="6825"/>
      </w:tblGrid>
      <w:tr w14:paraId="0660C8EE">
        <w:tblPrEx>
          <w:tblCellMar>
            <w:top w:w="0" w:type="dxa"/>
            <w:left w:w="108" w:type="dxa"/>
            <w:bottom w:w="0" w:type="dxa"/>
            <w:right w:w="108" w:type="dxa"/>
          </w:tblCellMar>
        </w:tblPrEx>
        <w:trPr>
          <w:trHeight w:val="463"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F1622CC">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项号</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6E00D139">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内容</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7BC71121">
            <w:pPr>
              <w:pStyle w:val="106"/>
              <w:kinsoku w:val="0"/>
              <w:overflowPunct w:val="0"/>
              <w:spacing w:line="271" w:lineRule="exact"/>
              <w:jc w:val="center"/>
              <w:rPr>
                <w:rFonts w:ascii="宋体" w:hAnsi="宋体" w:cs="宋体"/>
                <w:color w:val="auto"/>
                <w:szCs w:val="24"/>
                <w:highlight w:val="none"/>
              </w:rPr>
            </w:pPr>
            <w:r>
              <w:rPr>
                <w:rFonts w:ascii="宋体" w:hAnsi="宋体" w:cs="宋体"/>
                <w:color w:val="auto"/>
                <w:szCs w:val="24"/>
                <w:highlight w:val="none"/>
              </w:rPr>
              <w:t>说明与要求</w:t>
            </w:r>
          </w:p>
        </w:tc>
      </w:tr>
      <w:tr w14:paraId="7E15C07E">
        <w:tblPrEx>
          <w:tblCellMar>
            <w:top w:w="0" w:type="dxa"/>
            <w:left w:w="108" w:type="dxa"/>
            <w:bottom w:w="0" w:type="dxa"/>
            <w:right w:w="108" w:type="dxa"/>
          </w:tblCellMar>
        </w:tblPrEx>
        <w:trPr>
          <w:trHeight w:val="1807"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A9CD770">
            <w:pPr>
              <w:pStyle w:val="106"/>
              <w:kinsoku w:val="0"/>
              <w:overflowPunct w:val="0"/>
              <w:jc w:val="center"/>
              <w:rPr>
                <w:rFonts w:ascii="宋体" w:hAnsi="宋体" w:cs="宋体"/>
                <w:color w:val="auto"/>
                <w:szCs w:val="24"/>
                <w:highlight w:val="none"/>
              </w:rPr>
            </w:pPr>
            <w:r>
              <w:rPr>
                <w:rFonts w:ascii="宋体" w:hAnsi="宋体" w:cs="宋体"/>
                <w:color w:val="auto"/>
                <w:w w:val="99"/>
                <w:szCs w:val="24"/>
                <w:highlight w:val="none"/>
              </w:rPr>
              <w:t>1</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0EB176BA">
            <w:pPr>
              <w:pStyle w:val="106"/>
              <w:kinsoku w:val="0"/>
              <w:overflowPunct w:val="0"/>
              <w:spacing w:line="360" w:lineRule="exact"/>
              <w:ind w:left="480" w:hanging="480" w:hangingChars="200"/>
              <w:jc w:val="center"/>
              <w:rPr>
                <w:rFonts w:ascii="宋体" w:hAnsi="宋体" w:cs="宋体"/>
                <w:color w:val="auto"/>
                <w:szCs w:val="24"/>
                <w:highlight w:val="none"/>
              </w:rPr>
            </w:pPr>
            <w:r>
              <w:rPr>
                <w:rFonts w:ascii="宋体" w:hAnsi="宋体" w:cs="宋体"/>
                <w:color w:val="auto"/>
                <w:szCs w:val="24"/>
                <w:highlight w:val="none"/>
              </w:rPr>
              <w:t>项目名称及</w:t>
            </w:r>
          </w:p>
          <w:p w14:paraId="1C140AA3">
            <w:pPr>
              <w:pStyle w:val="106"/>
              <w:kinsoku w:val="0"/>
              <w:overflowPunct w:val="0"/>
              <w:spacing w:line="360" w:lineRule="exact"/>
              <w:ind w:firstLine="480" w:firstLineChars="200"/>
              <w:rPr>
                <w:rFonts w:ascii="宋体" w:hAnsi="宋体" w:cs="宋体"/>
                <w:color w:val="auto"/>
                <w:szCs w:val="24"/>
                <w:highlight w:val="none"/>
              </w:rPr>
            </w:pPr>
            <w:r>
              <w:rPr>
                <w:rFonts w:ascii="宋体" w:hAnsi="宋体" w:cs="宋体"/>
                <w:color w:val="auto"/>
                <w:szCs w:val="24"/>
                <w:highlight w:val="none"/>
              </w:rPr>
              <w:t>项目编号</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559A2ADB">
            <w:pPr>
              <w:snapToGrid w:val="0"/>
              <w:spacing w:line="400" w:lineRule="exact"/>
              <w:rPr>
                <w:rFonts w:ascii="宋体" w:hAnsi="宋体" w:cs="宋体"/>
                <w:color w:val="auto"/>
                <w:szCs w:val="24"/>
                <w:highlight w:val="none"/>
              </w:rPr>
            </w:pPr>
            <w:r>
              <w:rPr>
                <w:rFonts w:ascii="宋体" w:hAnsi="宋体" w:cs="宋体"/>
                <w:color w:val="auto"/>
                <w:szCs w:val="24"/>
                <w:highlight w:val="none"/>
              </w:rPr>
              <w:t>项目名称：</w:t>
            </w:r>
            <w:r>
              <w:rPr>
                <w:rFonts w:hint="eastAsia" w:ascii="宋体" w:hAnsi="宋体" w:cs="宋体"/>
                <w:color w:val="auto"/>
                <w:szCs w:val="24"/>
                <w:highlight w:val="none"/>
                <w:lang w:val="zh-CN" w:bidi="zh-CN"/>
              </w:rPr>
              <w:t>广西壮族自治区凤山公路养护中心G357线林佑坳隧道维修处治工程</w:t>
            </w:r>
          </w:p>
          <w:p w14:paraId="75E745B7">
            <w:pPr>
              <w:pStyle w:val="106"/>
              <w:kinsoku w:val="0"/>
              <w:overflowPunct w:val="0"/>
              <w:rPr>
                <w:rFonts w:ascii="宋体" w:hAnsi="宋体" w:cs="宋体"/>
                <w:color w:val="auto"/>
                <w:szCs w:val="24"/>
                <w:highlight w:val="none"/>
              </w:rPr>
            </w:pPr>
            <w:r>
              <w:rPr>
                <w:rFonts w:ascii="宋体" w:hAnsi="宋体" w:cs="宋体"/>
                <w:color w:val="auto"/>
                <w:szCs w:val="24"/>
                <w:highlight w:val="none"/>
              </w:rPr>
              <w:t>项目编号：</w:t>
            </w:r>
            <w:r>
              <w:rPr>
                <w:rFonts w:hint="eastAsia" w:ascii="宋体" w:hAnsi="宋体" w:cs="宋体"/>
                <w:color w:val="auto"/>
                <w:szCs w:val="24"/>
                <w:highlight w:val="none"/>
                <w:lang w:val="zh-CN" w:bidi="zh-CN"/>
              </w:rPr>
              <w:t>GXZC2025-C2-002117-GXZL</w:t>
            </w:r>
          </w:p>
        </w:tc>
      </w:tr>
      <w:tr w14:paraId="2BFF185D">
        <w:tblPrEx>
          <w:tblCellMar>
            <w:top w:w="0" w:type="dxa"/>
            <w:left w:w="108" w:type="dxa"/>
            <w:bottom w:w="0" w:type="dxa"/>
            <w:right w:w="108" w:type="dxa"/>
          </w:tblCellMar>
        </w:tblPrEx>
        <w:trPr>
          <w:trHeight w:val="669"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1D13110">
            <w:pPr>
              <w:pStyle w:val="106"/>
              <w:kinsoku w:val="0"/>
              <w:overflowPunct w:val="0"/>
              <w:jc w:val="center"/>
              <w:rPr>
                <w:rFonts w:ascii="宋体" w:hAnsi="宋体" w:cs="宋体"/>
                <w:color w:val="auto"/>
                <w:szCs w:val="24"/>
                <w:highlight w:val="none"/>
              </w:rPr>
            </w:pPr>
            <w:r>
              <w:rPr>
                <w:rFonts w:ascii="宋体" w:hAnsi="宋体" w:cs="宋体"/>
                <w:color w:val="auto"/>
                <w:w w:val="99"/>
                <w:szCs w:val="24"/>
                <w:highlight w:val="none"/>
              </w:rPr>
              <w:t>2</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7182773C">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建设地点</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11543F0C">
            <w:pPr>
              <w:pStyle w:val="106"/>
              <w:kinsoku w:val="0"/>
              <w:overflowPunct w:val="0"/>
              <w:jc w:val="both"/>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林佑坳隧道位于凤山至凌云（逻楼）G357线</w:t>
            </w:r>
            <w:r>
              <w:rPr>
                <w:rFonts w:hint="eastAsia" w:ascii="宋体" w:hAnsi="宋体" w:cs="宋体"/>
                <w:color w:val="auto"/>
                <w:szCs w:val="24"/>
                <w:highlight w:val="none"/>
                <w:lang w:val="en-US" w:eastAsia="zh-CN"/>
              </w:rPr>
              <w:t>K1907+147处。</w:t>
            </w:r>
          </w:p>
        </w:tc>
      </w:tr>
      <w:tr w14:paraId="735FB373">
        <w:tblPrEx>
          <w:tblCellMar>
            <w:top w:w="0" w:type="dxa"/>
            <w:left w:w="108" w:type="dxa"/>
            <w:bottom w:w="0" w:type="dxa"/>
            <w:right w:w="108" w:type="dxa"/>
          </w:tblCellMar>
        </w:tblPrEx>
        <w:trPr>
          <w:trHeight w:val="639"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F1A2F08">
            <w:pPr>
              <w:pStyle w:val="106"/>
              <w:kinsoku w:val="0"/>
              <w:overflowPunct w:val="0"/>
              <w:jc w:val="center"/>
              <w:rPr>
                <w:rFonts w:ascii="宋体" w:hAnsi="宋体" w:cs="宋体"/>
                <w:color w:val="auto"/>
                <w:szCs w:val="24"/>
                <w:highlight w:val="none"/>
              </w:rPr>
            </w:pPr>
            <w:r>
              <w:rPr>
                <w:rFonts w:ascii="宋体" w:hAnsi="宋体" w:cs="宋体"/>
                <w:color w:val="auto"/>
                <w:w w:val="99"/>
                <w:szCs w:val="24"/>
                <w:highlight w:val="none"/>
              </w:rPr>
              <w:t>3</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42080559">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建设规模</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7C4F9C3A">
            <w:pPr>
              <w:snapToGrid w:val="0"/>
              <w:rPr>
                <w:rFonts w:ascii="宋体" w:hAnsi="宋体" w:cs="宋体"/>
                <w:bCs/>
                <w:color w:val="auto"/>
                <w:szCs w:val="24"/>
                <w:highlight w:val="none"/>
              </w:rPr>
            </w:pPr>
            <w:r>
              <w:rPr>
                <w:rFonts w:ascii="宋体" w:hAnsi="宋体" w:cs="宋体"/>
                <w:bCs/>
                <w:color w:val="auto"/>
                <w:szCs w:val="24"/>
                <w:highlight w:val="none"/>
              </w:rPr>
              <w:t>详见磋商公告</w:t>
            </w:r>
          </w:p>
        </w:tc>
      </w:tr>
      <w:tr w14:paraId="62C3396F">
        <w:tblPrEx>
          <w:tblCellMar>
            <w:top w:w="0" w:type="dxa"/>
            <w:left w:w="108" w:type="dxa"/>
            <w:bottom w:w="0" w:type="dxa"/>
            <w:right w:w="108" w:type="dxa"/>
          </w:tblCellMar>
        </w:tblPrEx>
        <w:trPr>
          <w:trHeight w:val="1335" w:hRule="exact"/>
          <w:jc w:val="center"/>
        </w:trPr>
        <w:tc>
          <w:tcPr>
            <w:tcW w:w="1150" w:type="dxa"/>
            <w:vMerge w:val="restart"/>
            <w:tcBorders>
              <w:top w:val="single" w:color="000000" w:sz="4" w:space="0"/>
              <w:left w:val="single" w:color="000000" w:sz="4" w:space="0"/>
              <w:right w:val="single" w:color="000000" w:sz="4" w:space="0"/>
            </w:tcBorders>
            <w:noWrap w:val="0"/>
            <w:vAlign w:val="center"/>
          </w:tcPr>
          <w:p w14:paraId="2ABB38D6">
            <w:pPr>
              <w:pStyle w:val="106"/>
              <w:kinsoku w:val="0"/>
              <w:overflowPunct w:val="0"/>
              <w:jc w:val="center"/>
              <w:rPr>
                <w:rFonts w:ascii="宋体" w:hAnsi="宋体" w:cs="宋体"/>
                <w:color w:val="auto"/>
                <w:szCs w:val="24"/>
                <w:highlight w:val="none"/>
              </w:rPr>
            </w:pPr>
            <w:r>
              <w:rPr>
                <w:rFonts w:ascii="宋体" w:hAnsi="宋体" w:cs="宋体"/>
                <w:color w:val="auto"/>
                <w:w w:val="99"/>
                <w:szCs w:val="24"/>
                <w:highlight w:val="none"/>
              </w:rPr>
              <w:t>4</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52774F68">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质量标准</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49265494">
            <w:pPr>
              <w:pStyle w:val="106"/>
              <w:tabs>
                <w:tab w:val="left" w:pos="2460"/>
              </w:tabs>
              <w:spacing w:before="11" w:line="360" w:lineRule="exact"/>
              <w:ind w:right="1486"/>
              <w:rPr>
                <w:rFonts w:ascii="宋体" w:hAnsi="宋体" w:cs="宋体"/>
                <w:color w:val="auto"/>
                <w:spacing w:val="-3"/>
                <w:highlight w:val="none"/>
                <w:u w:val="single"/>
              </w:rPr>
            </w:pPr>
            <w:r>
              <w:rPr>
                <w:rFonts w:ascii="宋体" w:hAnsi="宋体" w:cs="宋体"/>
                <w:color w:val="auto"/>
                <w:highlight w:val="none"/>
              </w:rPr>
              <w:t>标段</w:t>
            </w:r>
            <w:r>
              <w:rPr>
                <w:rFonts w:ascii="宋体" w:hAnsi="宋体" w:cs="宋体"/>
                <w:color w:val="auto"/>
                <w:spacing w:val="-3"/>
                <w:highlight w:val="none"/>
              </w:rPr>
              <w:t>工</w:t>
            </w:r>
            <w:r>
              <w:rPr>
                <w:rFonts w:ascii="宋体" w:hAnsi="宋体" w:cs="宋体"/>
                <w:color w:val="auto"/>
                <w:highlight w:val="none"/>
              </w:rPr>
              <w:t>程</w:t>
            </w:r>
            <w:r>
              <w:rPr>
                <w:rFonts w:ascii="宋体" w:hAnsi="宋体" w:cs="宋体"/>
                <w:color w:val="auto"/>
                <w:spacing w:val="-3"/>
                <w:highlight w:val="none"/>
              </w:rPr>
              <w:t>交</w:t>
            </w:r>
            <w:r>
              <w:rPr>
                <w:rFonts w:ascii="宋体" w:hAnsi="宋体" w:cs="宋体"/>
                <w:color w:val="auto"/>
                <w:highlight w:val="none"/>
              </w:rPr>
              <w:t>工</w:t>
            </w:r>
            <w:r>
              <w:rPr>
                <w:rFonts w:ascii="宋体" w:hAnsi="宋体" w:cs="宋体"/>
                <w:color w:val="auto"/>
                <w:spacing w:val="-3"/>
                <w:highlight w:val="none"/>
              </w:rPr>
              <w:t>验</w:t>
            </w:r>
            <w:r>
              <w:rPr>
                <w:rFonts w:ascii="宋体" w:hAnsi="宋体" w:cs="宋体"/>
                <w:color w:val="auto"/>
                <w:highlight w:val="none"/>
              </w:rPr>
              <w:t>收</w:t>
            </w:r>
            <w:r>
              <w:rPr>
                <w:rFonts w:ascii="宋体" w:hAnsi="宋体" w:cs="宋体"/>
                <w:color w:val="auto"/>
                <w:spacing w:val="-3"/>
                <w:highlight w:val="none"/>
              </w:rPr>
              <w:t>的</w:t>
            </w:r>
            <w:r>
              <w:rPr>
                <w:rFonts w:ascii="宋体" w:hAnsi="宋体" w:cs="宋体"/>
                <w:color w:val="auto"/>
                <w:highlight w:val="none"/>
              </w:rPr>
              <w:t>质</w:t>
            </w:r>
            <w:r>
              <w:rPr>
                <w:rFonts w:ascii="宋体" w:hAnsi="宋体" w:cs="宋体"/>
                <w:color w:val="auto"/>
                <w:spacing w:val="-3"/>
                <w:highlight w:val="none"/>
              </w:rPr>
              <w:t>量</w:t>
            </w:r>
            <w:r>
              <w:rPr>
                <w:rFonts w:ascii="宋体" w:hAnsi="宋体" w:cs="宋体"/>
                <w:color w:val="auto"/>
                <w:highlight w:val="none"/>
              </w:rPr>
              <w:t>评定</w:t>
            </w:r>
            <w:r>
              <w:rPr>
                <w:rFonts w:ascii="宋体" w:hAnsi="宋体" w:cs="宋体"/>
                <w:color w:val="auto"/>
                <w:spacing w:val="-3"/>
                <w:highlight w:val="none"/>
              </w:rPr>
              <w:t>：</w:t>
            </w:r>
          </w:p>
          <w:p w14:paraId="2692892B">
            <w:pPr>
              <w:rPr>
                <w:rFonts w:ascii="宋体" w:hAnsi="宋体" w:cs="宋体"/>
                <w:color w:val="auto"/>
                <w:highlight w:val="none"/>
              </w:rPr>
            </w:pPr>
            <w:r>
              <w:rPr>
                <w:rFonts w:ascii="宋体" w:hAnsi="宋体" w:cs="宋体"/>
                <w:color w:val="auto"/>
                <w:highlight w:val="none"/>
              </w:rPr>
              <w:t>合格</w:t>
            </w:r>
          </w:p>
          <w:p w14:paraId="20B7D45B">
            <w:pPr>
              <w:pStyle w:val="106"/>
              <w:tabs>
                <w:tab w:val="left" w:pos="3518"/>
              </w:tabs>
              <w:spacing w:before="11" w:line="360" w:lineRule="exact"/>
              <w:ind w:right="1486"/>
              <w:rPr>
                <w:rFonts w:ascii="宋体" w:hAnsi="宋体" w:cs="宋体"/>
                <w:color w:val="auto"/>
                <w:highlight w:val="none"/>
              </w:rPr>
            </w:pPr>
            <w:r>
              <w:rPr>
                <w:rFonts w:ascii="宋体" w:hAnsi="宋体" w:cs="宋体"/>
                <w:color w:val="auto"/>
                <w:spacing w:val="-1"/>
                <w:highlight w:val="none"/>
              </w:rPr>
              <w:t>竣</w:t>
            </w:r>
            <w:r>
              <w:rPr>
                <w:rFonts w:ascii="宋体" w:hAnsi="宋体" w:cs="宋体"/>
                <w:color w:val="auto"/>
                <w:highlight w:val="none"/>
              </w:rPr>
              <w:t>工</w:t>
            </w:r>
            <w:r>
              <w:rPr>
                <w:rFonts w:ascii="宋体" w:hAnsi="宋体" w:cs="宋体"/>
                <w:color w:val="auto"/>
                <w:spacing w:val="-3"/>
                <w:highlight w:val="none"/>
              </w:rPr>
              <w:t>验</w:t>
            </w:r>
            <w:r>
              <w:rPr>
                <w:rFonts w:ascii="宋体" w:hAnsi="宋体" w:cs="宋体"/>
                <w:color w:val="auto"/>
                <w:highlight w:val="none"/>
              </w:rPr>
              <w:t>收</w:t>
            </w:r>
            <w:r>
              <w:rPr>
                <w:rFonts w:ascii="宋体" w:hAnsi="宋体" w:cs="宋体"/>
                <w:color w:val="auto"/>
                <w:spacing w:val="-3"/>
                <w:highlight w:val="none"/>
              </w:rPr>
              <w:t>的</w:t>
            </w:r>
            <w:r>
              <w:rPr>
                <w:rFonts w:ascii="宋体" w:hAnsi="宋体" w:cs="宋体"/>
                <w:color w:val="auto"/>
                <w:highlight w:val="none"/>
              </w:rPr>
              <w:t>质</w:t>
            </w:r>
            <w:r>
              <w:rPr>
                <w:rFonts w:ascii="宋体" w:hAnsi="宋体" w:cs="宋体"/>
                <w:color w:val="auto"/>
                <w:spacing w:val="-3"/>
                <w:highlight w:val="none"/>
              </w:rPr>
              <w:t>量</w:t>
            </w:r>
            <w:r>
              <w:rPr>
                <w:rFonts w:ascii="宋体" w:hAnsi="宋体" w:cs="宋体"/>
                <w:color w:val="auto"/>
                <w:highlight w:val="none"/>
              </w:rPr>
              <w:t>评</w:t>
            </w:r>
            <w:r>
              <w:rPr>
                <w:rFonts w:ascii="宋体" w:hAnsi="宋体" w:cs="宋体"/>
                <w:color w:val="auto"/>
                <w:spacing w:val="-3"/>
                <w:highlight w:val="none"/>
              </w:rPr>
              <w:t>定</w:t>
            </w:r>
            <w:r>
              <w:rPr>
                <w:rFonts w:ascii="宋体" w:hAnsi="宋体" w:cs="宋体"/>
                <w:color w:val="auto"/>
                <w:highlight w:val="none"/>
              </w:rPr>
              <w:t>：</w:t>
            </w:r>
          </w:p>
          <w:p w14:paraId="066B23BE">
            <w:pPr>
              <w:pStyle w:val="106"/>
              <w:kinsoku w:val="0"/>
              <w:overflowPunct w:val="0"/>
              <w:rPr>
                <w:rFonts w:hint="eastAsia" w:ascii="宋体" w:hAnsi="宋体" w:eastAsia="宋体" w:cs="宋体"/>
                <w:color w:val="auto"/>
                <w:szCs w:val="24"/>
                <w:highlight w:val="none"/>
                <w:lang w:eastAsia="zh-CN"/>
              </w:rPr>
            </w:pPr>
            <w:r>
              <w:rPr>
                <w:rFonts w:hint="eastAsia" w:ascii="宋体" w:hAnsi="宋体" w:cs="宋体"/>
                <w:color w:val="auto"/>
                <w:highlight w:val="none"/>
                <w:lang w:eastAsia="zh-CN"/>
              </w:rPr>
              <w:t>合格</w:t>
            </w:r>
          </w:p>
        </w:tc>
      </w:tr>
      <w:tr w14:paraId="09A8FD65">
        <w:tblPrEx>
          <w:tblCellMar>
            <w:top w:w="0" w:type="dxa"/>
            <w:left w:w="108" w:type="dxa"/>
            <w:bottom w:w="0" w:type="dxa"/>
            <w:right w:w="108" w:type="dxa"/>
          </w:tblCellMar>
        </w:tblPrEx>
        <w:trPr>
          <w:trHeight w:val="755" w:hRule="exact"/>
          <w:jc w:val="center"/>
        </w:trPr>
        <w:tc>
          <w:tcPr>
            <w:tcW w:w="1150" w:type="dxa"/>
            <w:vMerge w:val="continue"/>
            <w:tcBorders>
              <w:left w:val="single" w:color="000000" w:sz="4" w:space="0"/>
              <w:right w:val="single" w:color="000000" w:sz="4" w:space="0"/>
            </w:tcBorders>
            <w:noWrap w:val="0"/>
            <w:vAlign w:val="center"/>
          </w:tcPr>
          <w:p w14:paraId="7477AE9F">
            <w:pPr>
              <w:pStyle w:val="106"/>
              <w:kinsoku w:val="0"/>
              <w:overflowPunct w:val="0"/>
              <w:jc w:val="center"/>
              <w:rPr>
                <w:rFonts w:ascii="宋体" w:hAnsi="宋体" w:cs="宋体"/>
                <w:color w:val="auto"/>
                <w:szCs w:val="24"/>
                <w:highlight w:val="none"/>
              </w:rPr>
            </w:pP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2EC7D7E6">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采购预算价</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69143B0E">
            <w:pPr>
              <w:pStyle w:val="106"/>
              <w:kinsoku w:val="0"/>
              <w:overflowPunct w:val="0"/>
              <w:rPr>
                <w:rFonts w:ascii="宋体" w:hAnsi="宋体" w:cs="宋体"/>
                <w:color w:val="auto"/>
                <w:szCs w:val="24"/>
                <w:highlight w:val="none"/>
              </w:rPr>
            </w:pPr>
            <w:r>
              <w:rPr>
                <w:rFonts w:ascii="宋体" w:hAnsi="宋体" w:cs="宋体"/>
                <w:color w:val="auto"/>
                <w:szCs w:val="24"/>
                <w:highlight w:val="none"/>
              </w:rPr>
              <w:t>采购预算价：</w:t>
            </w:r>
            <w:r>
              <w:rPr>
                <w:rFonts w:hint="eastAsia" w:ascii="宋体" w:hAnsi="宋体" w:cs="宋体"/>
                <w:color w:val="auto"/>
                <w:szCs w:val="24"/>
                <w:highlight w:val="none"/>
                <w:lang w:eastAsia="zh-CN"/>
              </w:rPr>
              <w:t>壹佰陆拾陆万贰仟陆佰元整</w:t>
            </w:r>
            <w:r>
              <w:rPr>
                <w:rFonts w:ascii="宋体" w:hAnsi="宋体" w:cs="宋体"/>
                <w:color w:val="auto"/>
                <w:szCs w:val="24"/>
                <w:highlight w:val="none"/>
              </w:rPr>
              <w:t>（¥</w:t>
            </w:r>
            <w:r>
              <w:rPr>
                <w:rFonts w:hint="eastAsia" w:ascii="宋体" w:hAnsi="宋体" w:cs="宋体"/>
                <w:color w:val="auto"/>
                <w:szCs w:val="24"/>
                <w:highlight w:val="none"/>
                <w:lang w:val="en-US" w:eastAsia="zh-CN"/>
              </w:rPr>
              <w:t>1662600</w:t>
            </w:r>
            <w:r>
              <w:rPr>
                <w:rFonts w:ascii="宋体" w:hAnsi="宋体" w:cs="宋体"/>
                <w:color w:val="auto"/>
                <w:szCs w:val="24"/>
                <w:highlight w:val="none"/>
              </w:rPr>
              <w:t>.00）</w:t>
            </w:r>
          </w:p>
        </w:tc>
      </w:tr>
      <w:tr w14:paraId="27EB38E0">
        <w:tblPrEx>
          <w:tblCellMar>
            <w:top w:w="0" w:type="dxa"/>
            <w:left w:w="108" w:type="dxa"/>
            <w:bottom w:w="0" w:type="dxa"/>
            <w:right w:w="108" w:type="dxa"/>
          </w:tblCellMar>
        </w:tblPrEx>
        <w:trPr>
          <w:trHeight w:val="1335" w:hRule="exact"/>
          <w:jc w:val="center"/>
        </w:trPr>
        <w:tc>
          <w:tcPr>
            <w:tcW w:w="1150" w:type="dxa"/>
            <w:vMerge w:val="continue"/>
            <w:tcBorders>
              <w:left w:val="single" w:color="000000" w:sz="4" w:space="0"/>
              <w:bottom w:val="single" w:color="000000" w:sz="4" w:space="0"/>
              <w:right w:val="single" w:color="000000" w:sz="4" w:space="0"/>
            </w:tcBorders>
            <w:noWrap w:val="0"/>
            <w:vAlign w:val="center"/>
          </w:tcPr>
          <w:p w14:paraId="1EDF16A2">
            <w:pPr>
              <w:pStyle w:val="106"/>
              <w:kinsoku w:val="0"/>
              <w:overflowPunct w:val="0"/>
              <w:jc w:val="center"/>
              <w:rPr>
                <w:rFonts w:ascii="宋体" w:hAnsi="宋体" w:cs="宋体"/>
                <w:color w:val="auto"/>
                <w:szCs w:val="24"/>
                <w:highlight w:val="none"/>
              </w:rPr>
            </w:pP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2E483938">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采购最高限价</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2CE415B5">
            <w:pPr>
              <w:tabs>
                <w:tab w:val="left" w:pos="739"/>
              </w:tabs>
              <w:adjustRightInd/>
              <w:spacing w:line="400" w:lineRule="exact"/>
              <w:ind w:left="72" w:leftChars="30"/>
              <w:jc w:val="both"/>
              <w:rPr>
                <w:rFonts w:ascii="宋体" w:hAnsi="宋体" w:cs="宋体"/>
                <w:color w:val="auto"/>
                <w:szCs w:val="24"/>
                <w:highlight w:val="none"/>
                <w:lang w:bidi="zh-CN"/>
              </w:rPr>
            </w:pPr>
            <w:r>
              <w:rPr>
                <w:rFonts w:ascii="宋体" w:hAnsi="宋体" w:cs="宋体"/>
                <w:color w:val="auto"/>
                <w:szCs w:val="24"/>
                <w:highlight w:val="none"/>
              </w:rPr>
              <w:t>本项目采购最高限价总金额为：</w:t>
            </w:r>
            <w:r>
              <w:rPr>
                <w:rFonts w:hint="eastAsia" w:ascii="宋体" w:hAnsi="宋体" w:cs="宋体"/>
                <w:color w:val="auto"/>
                <w:szCs w:val="24"/>
                <w:highlight w:val="none"/>
              </w:rPr>
              <w:t>壹佰陆拾陆万贰仟陆佰元整（¥1662600.00）</w:t>
            </w:r>
            <w:r>
              <w:rPr>
                <w:rFonts w:ascii="宋体" w:hAnsi="宋体" w:cs="宋体"/>
                <w:color w:val="auto"/>
                <w:szCs w:val="24"/>
                <w:highlight w:val="none"/>
              </w:rPr>
              <w:t>。（注：竞标报价不得超出采购最高限价金额，否则响应文件按无效响应处理。）</w:t>
            </w:r>
          </w:p>
        </w:tc>
      </w:tr>
      <w:tr w14:paraId="262CF792">
        <w:tblPrEx>
          <w:tblCellMar>
            <w:top w:w="0" w:type="dxa"/>
            <w:left w:w="108" w:type="dxa"/>
            <w:bottom w:w="0" w:type="dxa"/>
            <w:right w:w="108" w:type="dxa"/>
          </w:tblCellMar>
        </w:tblPrEx>
        <w:trPr>
          <w:trHeight w:val="1180"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8BC21FF">
            <w:pPr>
              <w:pStyle w:val="106"/>
              <w:kinsoku w:val="0"/>
              <w:overflowPunct w:val="0"/>
              <w:jc w:val="center"/>
              <w:rPr>
                <w:rFonts w:ascii="宋体" w:hAnsi="宋体" w:cs="宋体"/>
                <w:color w:val="auto"/>
                <w:szCs w:val="24"/>
                <w:highlight w:val="none"/>
              </w:rPr>
            </w:pPr>
            <w:r>
              <w:rPr>
                <w:rFonts w:ascii="宋体" w:hAnsi="宋体" w:cs="宋体"/>
                <w:color w:val="auto"/>
                <w:w w:val="99"/>
                <w:szCs w:val="24"/>
                <w:highlight w:val="none"/>
              </w:rPr>
              <w:t>5</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5AB36021">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磋商范围</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66CE8F14">
            <w:pPr>
              <w:snapToGrid w:val="0"/>
              <w:spacing w:line="400" w:lineRule="exact"/>
              <w:rPr>
                <w:rFonts w:ascii="宋体" w:hAnsi="宋体" w:cs="宋体"/>
                <w:color w:val="auto"/>
                <w:szCs w:val="24"/>
                <w:highlight w:val="none"/>
              </w:rPr>
            </w:pPr>
            <w:r>
              <w:rPr>
                <w:rFonts w:hint="eastAsia" w:ascii="宋体" w:hAnsi="宋体" w:cs="宋体"/>
                <w:color w:val="auto"/>
                <w:szCs w:val="24"/>
                <w:highlight w:val="none"/>
                <w:lang w:val="zh-CN" w:bidi="zh-CN"/>
              </w:rPr>
              <w:t>广西壮族自治区凤山公路养护中心G357线林佑坳隧道维修处治工程</w:t>
            </w:r>
            <w:r>
              <w:rPr>
                <w:rFonts w:ascii="宋体" w:hAnsi="宋体" w:cs="宋体"/>
                <w:color w:val="auto"/>
                <w:szCs w:val="24"/>
                <w:highlight w:val="none"/>
              </w:rPr>
              <w:t>工程量清单包含的所有内容。</w:t>
            </w:r>
          </w:p>
        </w:tc>
      </w:tr>
      <w:tr w14:paraId="482B6794">
        <w:tblPrEx>
          <w:tblCellMar>
            <w:top w:w="0" w:type="dxa"/>
            <w:left w:w="108" w:type="dxa"/>
            <w:bottom w:w="0" w:type="dxa"/>
            <w:right w:w="108" w:type="dxa"/>
          </w:tblCellMar>
        </w:tblPrEx>
        <w:trPr>
          <w:trHeight w:val="555"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95243C7">
            <w:pPr>
              <w:pStyle w:val="106"/>
              <w:kinsoku w:val="0"/>
              <w:overflowPunct w:val="0"/>
              <w:jc w:val="center"/>
              <w:rPr>
                <w:rFonts w:ascii="宋体" w:hAnsi="宋体" w:cs="宋体"/>
                <w:color w:val="auto"/>
                <w:w w:val="99"/>
                <w:szCs w:val="24"/>
                <w:highlight w:val="none"/>
              </w:rPr>
            </w:pPr>
            <w:r>
              <w:rPr>
                <w:rFonts w:ascii="宋体" w:hAnsi="宋体" w:cs="宋体"/>
                <w:color w:val="auto"/>
                <w:w w:val="99"/>
                <w:szCs w:val="24"/>
                <w:highlight w:val="none"/>
              </w:rPr>
              <w:t>6</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5D59AAD6">
            <w:pPr>
              <w:pStyle w:val="106"/>
              <w:spacing w:before="92" w:line="250" w:lineRule="exact"/>
              <w:ind w:left="3"/>
              <w:jc w:val="center"/>
              <w:rPr>
                <w:rFonts w:ascii="宋体" w:hAnsi="宋体" w:cs="宋体"/>
                <w:color w:val="auto"/>
                <w:szCs w:val="24"/>
                <w:highlight w:val="none"/>
              </w:rPr>
            </w:pPr>
            <w:r>
              <w:rPr>
                <w:rFonts w:ascii="宋体" w:hAnsi="宋体" w:cs="宋体"/>
                <w:color w:val="auto"/>
                <w:highlight w:val="none"/>
              </w:rPr>
              <w:t>资金来源及比例</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3A4D2ACA">
            <w:pPr>
              <w:rPr>
                <w:rFonts w:ascii="宋体" w:hAnsi="宋体" w:cs="宋体"/>
                <w:bCs/>
                <w:color w:val="auto"/>
                <w:szCs w:val="24"/>
                <w:highlight w:val="none"/>
              </w:rPr>
            </w:pPr>
            <w:r>
              <w:rPr>
                <w:rFonts w:ascii="宋体" w:hAnsi="宋体" w:cs="宋体"/>
                <w:color w:val="auto"/>
                <w:highlight w:val="none"/>
              </w:rPr>
              <w:t>财政资金100%</w:t>
            </w:r>
          </w:p>
        </w:tc>
      </w:tr>
      <w:tr w14:paraId="4C461853">
        <w:tblPrEx>
          <w:tblCellMar>
            <w:top w:w="0" w:type="dxa"/>
            <w:left w:w="108" w:type="dxa"/>
            <w:bottom w:w="0" w:type="dxa"/>
            <w:right w:w="108" w:type="dxa"/>
          </w:tblCellMar>
        </w:tblPrEx>
        <w:trPr>
          <w:trHeight w:val="451"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8804567">
            <w:pPr>
              <w:pStyle w:val="106"/>
              <w:kinsoku w:val="0"/>
              <w:overflowPunct w:val="0"/>
              <w:jc w:val="center"/>
              <w:rPr>
                <w:rFonts w:ascii="宋体" w:hAnsi="宋体" w:cs="宋体"/>
                <w:color w:val="auto"/>
                <w:szCs w:val="24"/>
                <w:highlight w:val="none"/>
              </w:rPr>
            </w:pPr>
            <w:r>
              <w:rPr>
                <w:rFonts w:ascii="宋体" w:hAnsi="宋体" w:cs="宋体"/>
                <w:color w:val="auto"/>
                <w:w w:val="99"/>
                <w:szCs w:val="24"/>
                <w:highlight w:val="none"/>
              </w:rPr>
              <w:t>7</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29A6596B">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工期要求</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59B46120">
            <w:pPr>
              <w:pStyle w:val="106"/>
              <w:kinsoku w:val="0"/>
              <w:overflowPunct w:val="0"/>
              <w:jc w:val="both"/>
              <w:rPr>
                <w:rFonts w:ascii="宋体" w:hAnsi="宋体" w:cs="宋体"/>
                <w:color w:val="auto"/>
                <w:szCs w:val="24"/>
                <w:highlight w:val="none"/>
              </w:rPr>
            </w:pPr>
            <w:r>
              <w:rPr>
                <w:rFonts w:hint="eastAsia" w:ascii="宋体" w:hAnsi="宋体" w:cs="宋体"/>
                <w:color w:val="auto"/>
                <w:szCs w:val="24"/>
                <w:highlight w:val="none"/>
                <w:lang w:val="en-US" w:eastAsia="zh-CN"/>
              </w:rPr>
              <w:t>90</w:t>
            </w:r>
            <w:r>
              <w:rPr>
                <w:rFonts w:ascii="宋体" w:hAnsi="宋体" w:cs="宋体"/>
                <w:color w:val="auto"/>
                <w:szCs w:val="24"/>
                <w:highlight w:val="none"/>
              </w:rPr>
              <w:t>个日历天</w:t>
            </w:r>
          </w:p>
        </w:tc>
      </w:tr>
      <w:tr w14:paraId="632A2071">
        <w:tblPrEx>
          <w:tblCellMar>
            <w:top w:w="0" w:type="dxa"/>
            <w:left w:w="108" w:type="dxa"/>
            <w:bottom w:w="0" w:type="dxa"/>
            <w:right w:w="108" w:type="dxa"/>
          </w:tblCellMar>
        </w:tblPrEx>
        <w:trPr>
          <w:trHeight w:val="825"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0F44EC4F">
            <w:pPr>
              <w:pStyle w:val="106"/>
              <w:kinsoku w:val="0"/>
              <w:overflowPunct w:val="0"/>
              <w:jc w:val="center"/>
              <w:rPr>
                <w:rFonts w:ascii="宋体" w:hAnsi="宋体" w:cs="宋体"/>
                <w:color w:val="auto"/>
                <w:w w:val="99"/>
                <w:szCs w:val="24"/>
                <w:highlight w:val="none"/>
              </w:rPr>
            </w:pPr>
            <w:r>
              <w:rPr>
                <w:rFonts w:ascii="宋体" w:hAnsi="宋体" w:cs="宋体"/>
                <w:color w:val="auto"/>
                <w:w w:val="99"/>
                <w:szCs w:val="24"/>
                <w:highlight w:val="none"/>
              </w:rPr>
              <w:t>8</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0B41A874">
            <w:pPr>
              <w:spacing w:line="300" w:lineRule="auto"/>
              <w:jc w:val="center"/>
              <w:rPr>
                <w:rFonts w:ascii="宋体" w:hAnsi="宋体" w:cs="宋体"/>
                <w:color w:val="auto"/>
                <w:spacing w:val="8"/>
                <w:szCs w:val="24"/>
                <w:highlight w:val="none"/>
              </w:rPr>
            </w:pPr>
            <w:r>
              <w:rPr>
                <w:rFonts w:ascii="宋体" w:hAnsi="宋体" w:cs="宋体"/>
                <w:color w:val="auto"/>
                <w:spacing w:val="8"/>
                <w:szCs w:val="24"/>
                <w:highlight w:val="none"/>
              </w:rPr>
              <w:t>安全生产费用总额</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24481ADA">
            <w:pPr>
              <w:spacing w:line="300" w:lineRule="auto"/>
              <w:rPr>
                <w:rFonts w:hint="eastAsia" w:ascii="宋体" w:hAnsi="宋体" w:eastAsia="宋体" w:cs="宋体"/>
                <w:color w:val="auto"/>
                <w:spacing w:val="8"/>
                <w:szCs w:val="24"/>
                <w:highlight w:val="none"/>
                <w:lang w:val="en-US" w:eastAsia="zh-CN"/>
              </w:rPr>
            </w:pPr>
            <w:r>
              <w:rPr>
                <w:rFonts w:ascii="宋体" w:hAnsi="宋体" w:cs="宋体"/>
                <w:color w:val="auto"/>
                <w:spacing w:val="8"/>
                <w:szCs w:val="24"/>
                <w:highlight w:val="none"/>
              </w:rPr>
              <w:t>安全生产费用按采购人公布的最高</w:t>
            </w:r>
            <w:r>
              <w:rPr>
                <w:rFonts w:hint="eastAsia" w:ascii="宋体" w:hAnsi="宋体" w:cs="宋体"/>
                <w:color w:val="auto"/>
                <w:spacing w:val="8"/>
                <w:szCs w:val="24"/>
                <w:highlight w:val="none"/>
              </w:rPr>
              <w:t>竞标</w:t>
            </w:r>
            <w:r>
              <w:rPr>
                <w:rFonts w:ascii="宋体" w:hAnsi="宋体" w:cs="宋体"/>
                <w:color w:val="auto"/>
                <w:spacing w:val="8"/>
                <w:szCs w:val="24"/>
                <w:highlight w:val="none"/>
              </w:rPr>
              <w:t>限价的</w:t>
            </w:r>
            <w:r>
              <w:rPr>
                <w:rFonts w:ascii="宋体" w:hAnsi="宋体" w:cs="宋体"/>
                <w:b/>
                <w:color w:val="auto"/>
                <w:spacing w:val="8"/>
                <w:szCs w:val="24"/>
                <w:highlight w:val="none"/>
              </w:rPr>
              <w:t>1.5%</w:t>
            </w:r>
            <w:r>
              <w:rPr>
                <w:rFonts w:ascii="宋体" w:hAnsi="宋体" w:cs="宋体"/>
                <w:color w:val="auto"/>
                <w:spacing w:val="8"/>
                <w:szCs w:val="24"/>
                <w:highlight w:val="none"/>
              </w:rPr>
              <w:t>计</w:t>
            </w:r>
            <w:r>
              <w:rPr>
                <w:rFonts w:hint="eastAsia" w:ascii="宋体" w:hAnsi="宋体" w:cs="宋体"/>
                <w:color w:val="auto"/>
                <w:spacing w:val="8"/>
                <w:szCs w:val="24"/>
                <w:highlight w:val="none"/>
                <w:lang w:val="en-US" w:eastAsia="zh-CN"/>
              </w:rPr>
              <w:t>取。</w:t>
            </w:r>
          </w:p>
        </w:tc>
      </w:tr>
      <w:tr w14:paraId="33B4CDEC">
        <w:tblPrEx>
          <w:tblCellMar>
            <w:top w:w="0" w:type="dxa"/>
            <w:left w:w="108" w:type="dxa"/>
            <w:bottom w:w="0" w:type="dxa"/>
            <w:right w:w="108" w:type="dxa"/>
          </w:tblCellMar>
        </w:tblPrEx>
        <w:trPr>
          <w:trHeight w:val="1410"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A01D504">
            <w:pPr>
              <w:pStyle w:val="106"/>
              <w:kinsoku w:val="0"/>
              <w:overflowPunct w:val="0"/>
              <w:jc w:val="center"/>
              <w:rPr>
                <w:rFonts w:ascii="宋体" w:hAnsi="宋体" w:cs="宋体"/>
                <w:color w:val="auto"/>
                <w:szCs w:val="24"/>
                <w:highlight w:val="none"/>
              </w:rPr>
            </w:pPr>
            <w:r>
              <w:rPr>
                <w:rFonts w:ascii="宋体" w:hAnsi="宋体" w:cs="宋体"/>
                <w:color w:val="auto"/>
                <w:w w:val="99"/>
                <w:szCs w:val="24"/>
                <w:highlight w:val="none"/>
              </w:rPr>
              <w:t>9</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40F7ACE2">
            <w:pPr>
              <w:pStyle w:val="106"/>
              <w:kinsoku w:val="0"/>
              <w:overflowPunct w:val="0"/>
              <w:spacing w:line="314" w:lineRule="auto"/>
              <w:jc w:val="center"/>
              <w:rPr>
                <w:rFonts w:ascii="宋体" w:hAnsi="宋体" w:cs="宋体"/>
                <w:color w:val="auto"/>
                <w:szCs w:val="24"/>
                <w:highlight w:val="none"/>
              </w:rPr>
            </w:pPr>
            <w:r>
              <w:rPr>
                <w:rFonts w:ascii="宋体" w:hAnsi="宋体" w:cs="宋体"/>
                <w:color w:val="auto"/>
                <w:szCs w:val="24"/>
                <w:highlight w:val="none"/>
              </w:rPr>
              <w:t>供应商资格要求</w:t>
            </w:r>
          </w:p>
        </w:tc>
        <w:tc>
          <w:tcPr>
            <w:tcW w:w="6825" w:type="dxa"/>
            <w:tcBorders>
              <w:top w:val="single" w:color="000000" w:sz="4" w:space="0"/>
              <w:left w:val="single" w:color="000000" w:sz="4" w:space="0"/>
              <w:bottom w:val="single" w:color="000000" w:sz="4" w:space="0"/>
              <w:right w:val="single" w:color="000000" w:sz="4" w:space="0"/>
            </w:tcBorders>
            <w:noWrap w:val="0"/>
            <w:vAlign w:val="top"/>
          </w:tcPr>
          <w:p w14:paraId="6B0D737E">
            <w:pPr>
              <w:pStyle w:val="106"/>
              <w:kinsoku w:val="0"/>
              <w:overflowPunct w:val="0"/>
              <w:spacing w:line="300" w:lineRule="exact"/>
              <w:rPr>
                <w:rFonts w:ascii="宋体" w:hAnsi="宋体" w:cs="宋体"/>
                <w:color w:val="auto"/>
                <w:szCs w:val="24"/>
                <w:highlight w:val="none"/>
              </w:rPr>
            </w:pPr>
            <w:r>
              <w:rPr>
                <w:rFonts w:ascii="宋体" w:hAnsi="宋体" w:cs="宋体"/>
                <w:color w:val="auto"/>
                <w:szCs w:val="24"/>
                <w:highlight w:val="none"/>
              </w:rPr>
              <w:t xml:space="preserve">资格审查条件（资质最低条件）详见附录1  </w:t>
            </w:r>
          </w:p>
          <w:p w14:paraId="0D0C555C">
            <w:pPr>
              <w:pStyle w:val="106"/>
              <w:kinsoku w:val="0"/>
              <w:overflowPunct w:val="0"/>
              <w:spacing w:line="300" w:lineRule="exact"/>
              <w:rPr>
                <w:rFonts w:ascii="宋体" w:hAnsi="宋体" w:cs="宋体"/>
                <w:color w:val="auto"/>
                <w:szCs w:val="24"/>
                <w:highlight w:val="none"/>
              </w:rPr>
            </w:pPr>
            <w:r>
              <w:rPr>
                <w:rFonts w:ascii="宋体" w:hAnsi="宋体" w:cs="宋体"/>
                <w:color w:val="auto"/>
                <w:szCs w:val="24"/>
                <w:highlight w:val="none"/>
              </w:rPr>
              <w:t xml:space="preserve">资格审查条件（财务最低条件）详见附录2 </w:t>
            </w:r>
          </w:p>
          <w:p w14:paraId="767B9A76">
            <w:pPr>
              <w:pStyle w:val="106"/>
              <w:kinsoku w:val="0"/>
              <w:overflowPunct w:val="0"/>
              <w:spacing w:line="300" w:lineRule="exact"/>
              <w:rPr>
                <w:rFonts w:ascii="宋体" w:hAnsi="宋体" w:cs="宋体"/>
                <w:color w:val="auto"/>
                <w:szCs w:val="24"/>
                <w:highlight w:val="none"/>
              </w:rPr>
            </w:pPr>
            <w:r>
              <w:rPr>
                <w:rFonts w:ascii="宋体" w:hAnsi="宋体" w:cs="宋体"/>
                <w:color w:val="auto"/>
                <w:szCs w:val="24"/>
                <w:highlight w:val="none"/>
              </w:rPr>
              <w:t xml:space="preserve">资格审查条件（信誉最低条件）详见附录3  </w:t>
            </w:r>
          </w:p>
          <w:p w14:paraId="4B558EB9">
            <w:pPr>
              <w:pStyle w:val="106"/>
              <w:kinsoku w:val="0"/>
              <w:overflowPunct w:val="0"/>
              <w:spacing w:line="300" w:lineRule="exact"/>
              <w:rPr>
                <w:rFonts w:ascii="宋体" w:hAnsi="宋体" w:cs="宋体"/>
                <w:color w:val="auto"/>
                <w:szCs w:val="24"/>
                <w:highlight w:val="none"/>
              </w:rPr>
            </w:pPr>
            <w:r>
              <w:rPr>
                <w:rFonts w:ascii="宋体" w:hAnsi="宋体" w:cs="宋体"/>
                <w:color w:val="auto"/>
                <w:szCs w:val="24"/>
                <w:highlight w:val="none"/>
              </w:rPr>
              <w:t xml:space="preserve">资格审查条件（项目经理和项目总工最低要求）详见附录4  </w:t>
            </w:r>
          </w:p>
        </w:tc>
      </w:tr>
      <w:tr w14:paraId="55E6EAA9">
        <w:tblPrEx>
          <w:tblCellMar>
            <w:top w:w="0" w:type="dxa"/>
            <w:left w:w="108" w:type="dxa"/>
            <w:bottom w:w="0" w:type="dxa"/>
            <w:right w:w="108" w:type="dxa"/>
          </w:tblCellMar>
        </w:tblPrEx>
        <w:trPr>
          <w:trHeight w:val="637"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5E9FC44">
            <w:pPr>
              <w:pStyle w:val="106"/>
              <w:kinsoku w:val="0"/>
              <w:overflowPunct w:val="0"/>
              <w:jc w:val="center"/>
              <w:rPr>
                <w:rFonts w:ascii="宋体" w:hAnsi="宋体" w:cs="宋体"/>
                <w:color w:val="auto"/>
                <w:szCs w:val="24"/>
                <w:highlight w:val="none"/>
              </w:rPr>
            </w:pPr>
            <w:r>
              <w:rPr>
                <w:rFonts w:ascii="宋体" w:hAnsi="宋体" w:cs="宋体"/>
                <w:color w:val="auto"/>
                <w:w w:val="99"/>
                <w:szCs w:val="24"/>
                <w:highlight w:val="none"/>
              </w:rPr>
              <w:t>10</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5C4FDB9A">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报价方式</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32071278">
            <w:pPr>
              <w:pStyle w:val="106"/>
              <w:kinsoku w:val="0"/>
              <w:overflowPunct w:val="0"/>
              <w:spacing w:line="300" w:lineRule="exact"/>
              <w:rPr>
                <w:rFonts w:ascii="宋体" w:hAnsi="宋体" w:cs="宋体"/>
                <w:color w:val="auto"/>
                <w:szCs w:val="24"/>
                <w:highlight w:val="none"/>
              </w:rPr>
            </w:pPr>
            <w:r>
              <w:rPr>
                <w:rFonts w:ascii="宋体" w:hAnsi="宋体" w:cs="宋体"/>
                <w:color w:val="auto"/>
                <w:szCs w:val="24"/>
                <w:highlight w:val="none"/>
              </w:rPr>
              <w:t>工程量清单报价</w:t>
            </w:r>
          </w:p>
        </w:tc>
      </w:tr>
      <w:tr w14:paraId="2CA67199">
        <w:tblPrEx>
          <w:tblCellMar>
            <w:top w:w="0" w:type="dxa"/>
            <w:left w:w="108" w:type="dxa"/>
            <w:bottom w:w="0" w:type="dxa"/>
            <w:right w:w="108" w:type="dxa"/>
          </w:tblCellMar>
        </w:tblPrEx>
        <w:trPr>
          <w:trHeight w:val="591"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75076A9">
            <w:pPr>
              <w:pStyle w:val="106"/>
              <w:kinsoku w:val="0"/>
              <w:overflowPunct w:val="0"/>
              <w:jc w:val="center"/>
              <w:rPr>
                <w:rFonts w:ascii="宋体" w:hAnsi="宋体" w:cs="宋体"/>
                <w:color w:val="auto"/>
                <w:szCs w:val="24"/>
                <w:highlight w:val="none"/>
              </w:rPr>
            </w:pPr>
            <w:r>
              <w:rPr>
                <w:rFonts w:ascii="宋体" w:hAnsi="宋体" w:cs="宋体"/>
                <w:color w:val="auto"/>
                <w:w w:val="99"/>
                <w:szCs w:val="24"/>
                <w:highlight w:val="none"/>
              </w:rPr>
              <w:t>11</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54AAE5A6">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竞标有效期</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4C3548FE">
            <w:pPr>
              <w:pStyle w:val="106"/>
              <w:kinsoku w:val="0"/>
              <w:overflowPunct w:val="0"/>
              <w:spacing w:line="300" w:lineRule="exact"/>
              <w:jc w:val="both"/>
              <w:rPr>
                <w:rFonts w:ascii="宋体" w:hAnsi="宋体" w:cs="宋体"/>
                <w:color w:val="auto"/>
                <w:szCs w:val="24"/>
                <w:highlight w:val="none"/>
              </w:rPr>
            </w:pPr>
            <w:r>
              <w:rPr>
                <w:rFonts w:ascii="宋体" w:hAnsi="宋体" w:cs="宋体"/>
                <w:color w:val="auto"/>
                <w:szCs w:val="24"/>
                <w:highlight w:val="none"/>
              </w:rPr>
              <w:t>竞标截止之日后</w:t>
            </w:r>
            <w:r>
              <w:rPr>
                <w:rFonts w:ascii="宋体" w:hAnsi="宋体" w:cs="宋体"/>
                <w:color w:val="auto"/>
                <w:szCs w:val="24"/>
                <w:highlight w:val="none"/>
                <w:u w:val="single"/>
              </w:rPr>
              <w:t>90</w:t>
            </w:r>
            <w:r>
              <w:rPr>
                <w:rFonts w:ascii="宋体" w:hAnsi="宋体" w:cs="宋体"/>
                <w:color w:val="auto"/>
                <w:szCs w:val="24"/>
                <w:highlight w:val="none"/>
              </w:rPr>
              <w:t>日历天</w:t>
            </w:r>
          </w:p>
        </w:tc>
      </w:tr>
      <w:tr w14:paraId="5D3D1887">
        <w:tblPrEx>
          <w:tblCellMar>
            <w:top w:w="0" w:type="dxa"/>
            <w:left w:w="108" w:type="dxa"/>
            <w:bottom w:w="0" w:type="dxa"/>
            <w:right w:w="108" w:type="dxa"/>
          </w:tblCellMar>
        </w:tblPrEx>
        <w:trPr>
          <w:trHeight w:val="563"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E721F08">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12</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2A9719B3">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磋商保证金</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5579EA3C">
            <w:pPr>
              <w:pStyle w:val="106"/>
              <w:kinsoku w:val="0"/>
              <w:overflowPunct w:val="0"/>
              <w:rPr>
                <w:rFonts w:ascii="宋体" w:hAnsi="宋体" w:cs="宋体"/>
                <w:color w:val="auto"/>
                <w:szCs w:val="24"/>
                <w:highlight w:val="none"/>
              </w:rPr>
            </w:pPr>
            <w:r>
              <w:rPr>
                <w:rFonts w:ascii="宋体" w:hAnsi="宋体" w:cs="宋体"/>
                <w:color w:val="auto"/>
                <w:szCs w:val="24"/>
                <w:highlight w:val="none"/>
              </w:rPr>
              <w:t>无</w:t>
            </w:r>
          </w:p>
        </w:tc>
      </w:tr>
      <w:tr w14:paraId="5F52BEA0">
        <w:tblPrEx>
          <w:tblCellMar>
            <w:top w:w="0" w:type="dxa"/>
            <w:left w:w="108" w:type="dxa"/>
            <w:bottom w:w="0" w:type="dxa"/>
            <w:right w:w="108" w:type="dxa"/>
          </w:tblCellMar>
        </w:tblPrEx>
        <w:trPr>
          <w:trHeight w:val="4894"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9D4FA11">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13</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38CEB4BE">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履约保证金</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2FD7242A">
            <w:pPr>
              <w:pStyle w:val="106"/>
              <w:spacing w:line="400" w:lineRule="exact"/>
              <w:rPr>
                <w:rFonts w:ascii="宋体" w:hAnsi="宋体" w:cs="宋体"/>
                <w:color w:val="auto"/>
                <w:highlight w:val="none"/>
              </w:rPr>
            </w:pPr>
            <w:r>
              <w:rPr>
                <w:rFonts w:ascii="宋体" w:hAnsi="宋体" w:cs="宋体"/>
                <w:color w:val="auto"/>
                <w:highlight w:val="none"/>
              </w:rPr>
              <w:t>是否要求</w:t>
            </w:r>
            <w:r>
              <w:rPr>
                <w:rFonts w:hint="eastAsia" w:ascii="宋体" w:hAnsi="宋体" w:cs="宋体"/>
                <w:color w:val="auto"/>
                <w:highlight w:val="none"/>
                <w:lang w:eastAsia="zh-CN"/>
              </w:rPr>
              <w:t>成交</w:t>
            </w:r>
            <w:r>
              <w:rPr>
                <w:rFonts w:ascii="宋体" w:hAnsi="宋体" w:cs="宋体"/>
                <w:color w:val="auto"/>
                <w:highlight w:val="none"/>
              </w:rPr>
              <w:t>人提交履约保证金：</w:t>
            </w:r>
          </w:p>
          <w:p w14:paraId="264769A2">
            <w:pPr>
              <w:pStyle w:val="106"/>
              <w:spacing w:line="400" w:lineRule="exact"/>
              <w:rPr>
                <w:rFonts w:ascii="宋体" w:hAnsi="宋体" w:cs="宋体"/>
                <w:color w:val="auto"/>
                <w:highlight w:val="none"/>
              </w:rPr>
            </w:pPr>
            <w:r>
              <w:rPr>
                <w:rFonts w:ascii="宋体" w:hAnsi="宋体" w:cs="宋体"/>
                <w:color w:val="auto"/>
                <w:highlight w:val="none"/>
              </w:rPr>
              <w:sym w:font="Wingdings" w:char="F0FE"/>
            </w:r>
            <w:r>
              <w:rPr>
                <w:rFonts w:ascii="宋体" w:hAnsi="宋体" w:cs="宋体"/>
                <w:color w:val="auto"/>
                <w:highlight w:val="none"/>
              </w:rPr>
              <w:t>要求，履约保证金的形式：</w:t>
            </w:r>
          </w:p>
          <w:p w14:paraId="0137DBDB">
            <w:pPr>
              <w:spacing w:line="400" w:lineRule="exact"/>
              <w:rPr>
                <w:rFonts w:ascii="宋体" w:hAnsi="宋体" w:cs="宋体"/>
                <w:color w:val="auto"/>
                <w:sz w:val="11"/>
                <w:highlight w:val="none"/>
              </w:rPr>
            </w:pPr>
            <w:r>
              <w:rPr>
                <w:rFonts w:ascii="宋体" w:hAnsi="宋体" w:cs="宋体"/>
                <w:color w:val="auto"/>
                <w:highlight w:val="none"/>
              </w:rPr>
              <w:t>银行转账、支票、汇票、本票或者金融机构、担保机构出具的保函等非现金形式提交。</w:t>
            </w:r>
          </w:p>
          <w:p w14:paraId="2BC105CC">
            <w:pPr>
              <w:pStyle w:val="106"/>
              <w:spacing w:line="400" w:lineRule="exact"/>
              <w:ind w:right="82"/>
              <w:rPr>
                <w:rFonts w:ascii="宋体" w:hAnsi="宋体" w:cs="宋体"/>
                <w:color w:val="auto"/>
                <w:sz w:val="11"/>
                <w:highlight w:val="none"/>
              </w:rPr>
            </w:pPr>
            <w:r>
              <w:rPr>
                <w:rFonts w:ascii="宋体" w:hAnsi="宋体" w:cs="宋体"/>
                <w:color w:val="auto"/>
                <w:highlight w:val="none"/>
              </w:rPr>
              <w:t>履约保证金的金额：2％签约合同价。</w:t>
            </w:r>
          </w:p>
          <w:p w14:paraId="2C5B8DED">
            <w:pPr>
              <w:pStyle w:val="106"/>
              <w:tabs>
                <w:tab w:val="left" w:pos="4955"/>
              </w:tabs>
              <w:spacing w:line="400" w:lineRule="exact"/>
              <w:rPr>
                <w:rFonts w:ascii="宋体" w:hAnsi="宋体" w:cs="宋体"/>
                <w:color w:val="auto"/>
                <w:highlight w:val="none"/>
                <w:u w:val="single"/>
              </w:rPr>
            </w:pPr>
            <w:r>
              <w:rPr>
                <w:rFonts w:ascii="宋体" w:hAnsi="宋体" w:cs="宋体"/>
                <w:color w:val="auto"/>
                <w:highlight w:val="none"/>
              </w:rPr>
              <w:t>采用银行保函时，出具保函的银行级别：</w:t>
            </w:r>
          </w:p>
          <w:p w14:paraId="33A91CBA">
            <w:pPr>
              <w:pStyle w:val="106"/>
              <w:tabs>
                <w:tab w:val="left" w:pos="4955"/>
              </w:tabs>
              <w:spacing w:line="400" w:lineRule="exact"/>
              <w:rPr>
                <w:rFonts w:ascii="宋体" w:hAnsi="宋体" w:cs="宋体"/>
                <w:color w:val="auto"/>
                <w:highlight w:val="none"/>
              </w:rPr>
            </w:pPr>
            <w:bookmarkStart w:id="26" w:name="EB1cbb169eadcd418fb0396e639afbe27a"/>
            <w:r>
              <w:rPr>
                <w:rFonts w:ascii="宋体" w:hAnsi="宋体" w:cs="宋体"/>
                <w:color w:val="auto"/>
                <w:highlight w:val="none"/>
              </w:rPr>
              <w:t>地市级分行（支行）及以上级别银行。</w:t>
            </w:r>
            <w:bookmarkEnd w:id="26"/>
          </w:p>
          <w:p w14:paraId="0029D293">
            <w:pPr>
              <w:pStyle w:val="106"/>
              <w:spacing w:line="400" w:lineRule="exact"/>
              <w:rPr>
                <w:rFonts w:ascii="宋体" w:hAnsi="宋体" w:cs="宋体"/>
                <w:color w:val="auto"/>
                <w:highlight w:val="none"/>
              </w:rPr>
            </w:pPr>
            <w:r>
              <w:rPr>
                <w:rFonts w:ascii="宋体" w:hAnsi="宋体" w:cs="宋体"/>
                <w:color w:val="auto"/>
                <w:highlight w:val="none"/>
              </w:rPr>
              <w:t>其他说明：</w:t>
            </w:r>
            <w:bookmarkStart w:id="27" w:name="EB0673c80ce73e4cf1afe1b97fd678984b"/>
            <w:r>
              <w:rPr>
                <w:rFonts w:ascii="宋体" w:hAnsi="宋体" w:cs="宋体"/>
                <w:color w:val="auto"/>
                <w:highlight w:val="none"/>
              </w:rPr>
              <w:t>\</w:t>
            </w:r>
            <w:bookmarkEnd w:id="27"/>
          </w:p>
          <w:p w14:paraId="0375BA11">
            <w:pPr>
              <w:pStyle w:val="106"/>
              <w:spacing w:line="400" w:lineRule="exact"/>
              <w:rPr>
                <w:rFonts w:ascii="宋体" w:hAnsi="宋体" w:cs="宋体"/>
                <w:color w:val="auto"/>
                <w:highlight w:val="none"/>
              </w:rPr>
            </w:pPr>
            <w:r>
              <w:rPr>
                <w:rFonts w:ascii="宋体" w:hAnsi="宋体" w:cs="宋体"/>
                <w:color w:val="auto"/>
                <w:highlight w:val="none"/>
              </w:rPr>
              <w:t>是否计付利息：</w:t>
            </w:r>
          </w:p>
          <w:p w14:paraId="45AE14DD">
            <w:pPr>
              <w:pStyle w:val="106"/>
              <w:spacing w:line="400" w:lineRule="exact"/>
              <w:rPr>
                <w:rFonts w:ascii="宋体" w:hAnsi="宋体" w:cs="宋体"/>
                <w:color w:val="auto"/>
                <w:highlight w:val="none"/>
              </w:rPr>
            </w:pPr>
            <w:r>
              <w:rPr>
                <w:rFonts w:ascii="宋体" w:hAnsi="宋体" w:cs="宋体"/>
                <w:color w:val="auto"/>
                <w:highlight w:val="none"/>
              </w:rPr>
              <w:t>□是，利息的计算方式：银行同期活期利息</w:t>
            </w:r>
          </w:p>
          <w:p w14:paraId="06E64A42">
            <w:pPr>
              <w:pStyle w:val="106"/>
              <w:spacing w:line="400" w:lineRule="exact"/>
              <w:rPr>
                <w:rFonts w:ascii="宋体" w:hAnsi="宋体" w:cs="宋体"/>
                <w:color w:val="auto"/>
                <w:highlight w:val="none"/>
              </w:rPr>
            </w:pPr>
            <w:r>
              <w:rPr>
                <w:rFonts w:ascii="宋体" w:hAnsi="宋体" w:cs="宋体"/>
                <w:color w:val="auto"/>
                <w:highlight w:val="none"/>
              </w:rPr>
              <w:t>☑否</w:t>
            </w:r>
          </w:p>
        </w:tc>
      </w:tr>
      <w:tr w14:paraId="2784AA82">
        <w:tblPrEx>
          <w:tblCellMar>
            <w:top w:w="0" w:type="dxa"/>
            <w:left w:w="108" w:type="dxa"/>
            <w:bottom w:w="0" w:type="dxa"/>
            <w:right w:w="108" w:type="dxa"/>
          </w:tblCellMar>
        </w:tblPrEx>
        <w:trPr>
          <w:trHeight w:val="821"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49FDC5A">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14</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61690B08">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现场勘查</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583BF6D7">
            <w:pPr>
              <w:pStyle w:val="106"/>
              <w:kinsoku w:val="0"/>
              <w:overflowPunct w:val="0"/>
              <w:spacing w:line="300" w:lineRule="exact"/>
              <w:jc w:val="both"/>
              <w:rPr>
                <w:rFonts w:ascii="宋体" w:hAnsi="宋体" w:cs="宋体"/>
                <w:color w:val="auto"/>
                <w:szCs w:val="24"/>
                <w:highlight w:val="none"/>
              </w:rPr>
            </w:pPr>
            <w:r>
              <w:rPr>
                <w:rFonts w:ascii="宋体" w:hAnsi="宋体" w:cs="宋体"/>
                <w:color w:val="auto"/>
                <w:szCs w:val="24"/>
                <w:highlight w:val="none"/>
              </w:rPr>
              <w:t>现场勘察：1、不组织踏勘现场。2、竞标人可自行对工程现场和周围环境勘察，费用自理、风险自担。</w:t>
            </w:r>
          </w:p>
        </w:tc>
      </w:tr>
      <w:tr w14:paraId="7129E484">
        <w:tblPrEx>
          <w:tblCellMar>
            <w:top w:w="0" w:type="dxa"/>
            <w:left w:w="108" w:type="dxa"/>
            <w:bottom w:w="0" w:type="dxa"/>
            <w:right w:w="108" w:type="dxa"/>
          </w:tblCellMar>
        </w:tblPrEx>
        <w:trPr>
          <w:trHeight w:val="8348"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B16342B">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15</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19A49EB6">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磋商前准备</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768026A6">
            <w:pPr>
              <w:tabs>
                <w:tab w:val="left" w:pos="323"/>
              </w:tabs>
              <w:adjustRightInd/>
              <w:spacing w:line="400" w:lineRule="exact"/>
              <w:ind w:right="88" w:firstLine="240" w:firstLineChars="100"/>
              <w:rPr>
                <w:rFonts w:ascii="宋体" w:hAnsi="宋体" w:cs="宋体"/>
                <w:color w:val="auto"/>
                <w:szCs w:val="24"/>
                <w:highlight w:val="none"/>
                <w:lang w:val="zh-CN" w:bidi="zh-CN"/>
              </w:rPr>
            </w:pPr>
            <w:r>
              <w:rPr>
                <w:rFonts w:ascii="宋体" w:hAnsi="宋体" w:cs="宋体"/>
                <w:color w:val="auto"/>
                <w:szCs w:val="24"/>
                <w:highlight w:val="none"/>
                <w:lang w:bidi="zh-CN"/>
              </w:rPr>
              <w:t>1.</w:t>
            </w:r>
            <w:r>
              <w:rPr>
                <w:rFonts w:ascii="宋体" w:hAnsi="宋体" w:cs="宋体"/>
                <w:color w:val="auto"/>
                <w:szCs w:val="24"/>
                <w:highlight w:val="none"/>
                <w:lang w:val="zh-CN" w:bidi="zh-CN"/>
              </w:rPr>
              <w:t>本项目实行网上竞标，采用电子响应文件。若供应商参与竞标，自行承担竞标的一切费用。</w:t>
            </w:r>
          </w:p>
          <w:p w14:paraId="6804F8B9">
            <w:pPr>
              <w:tabs>
                <w:tab w:val="left" w:pos="323"/>
              </w:tabs>
              <w:adjustRightInd/>
              <w:spacing w:line="400" w:lineRule="exact"/>
              <w:ind w:right="88" w:firstLine="240" w:firstLineChars="100"/>
              <w:jc w:val="both"/>
              <w:rPr>
                <w:rFonts w:ascii="宋体" w:hAnsi="宋体" w:cs="宋体"/>
                <w:color w:val="auto"/>
                <w:szCs w:val="24"/>
                <w:highlight w:val="none"/>
                <w:lang w:val="zh-CN" w:bidi="zh-CN"/>
              </w:rPr>
            </w:pPr>
            <w:r>
              <w:rPr>
                <w:rFonts w:ascii="宋体" w:hAnsi="宋体" w:cs="宋体"/>
                <w:color w:val="auto"/>
                <w:szCs w:val="24"/>
                <w:highlight w:val="none"/>
                <w:lang w:bidi="zh-CN"/>
              </w:rPr>
              <w:t>2.</w:t>
            </w:r>
            <w:r>
              <w:rPr>
                <w:rFonts w:ascii="宋体" w:hAnsi="宋体" w:cs="宋体"/>
                <w:color w:val="auto"/>
                <w:szCs w:val="24"/>
                <w:highlight w:val="none"/>
                <w:lang w:val="zh-CN" w:bidi="zh-CN"/>
              </w:rPr>
              <w:t>各供应商应在响应文件递交截止时间前应确保成为“</w:t>
            </w:r>
            <w:r>
              <w:rPr>
                <w:rFonts w:hint="eastAsia" w:ascii="宋体" w:hAnsi="宋体" w:cs="宋体"/>
                <w:color w:val="auto"/>
                <w:szCs w:val="24"/>
                <w:highlight w:val="none"/>
                <w:lang w:val="en-US" w:bidi="zh-CN"/>
              </w:rPr>
              <w:t>广西</w:t>
            </w:r>
            <w:r>
              <w:rPr>
                <w:rFonts w:ascii="宋体" w:hAnsi="宋体" w:cs="宋体"/>
                <w:color w:val="auto"/>
                <w:szCs w:val="24"/>
                <w:highlight w:val="none"/>
                <w:lang w:val="zh-CN" w:bidi="zh-CN"/>
              </w:rPr>
              <w:t>政府采购云平台”网站正式注册入库供应商，并完成</w:t>
            </w:r>
            <w:r>
              <w:rPr>
                <w:rFonts w:ascii="宋体" w:hAnsi="宋体" w:cs="宋体"/>
                <w:color w:val="auto"/>
                <w:szCs w:val="24"/>
                <w:highlight w:val="none"/>
                <w:lang w:bidi="zh-CN"/>
              </w:rPr>
              <w:t>CA</w:t>
            </w:r>
            <w:r>
              <w:rPr>
                <w:rFonts w:ascii="宋体" w:hAnsi="宋体" w:cs="宋体"/>
                <w:color w:val="auto"/>
                <w:szCs w:val="24"/>
                <w:highlight w:val="none"/>
                <w:lang w:val="zh-CN" w:bidi="zh-CN"/>
              </w:rPr>
              <w:t>数字证书申领。因未注册入库、未办理CA数字证书等原因造成无法竞标或竞标失败等后果由供应商自行承担。</w:t>
            </w:r>
          </w:p>
          <w:p w14:paraId="380C8DA2">
            <w:pPr>
              <w:tabs>
                <w:tab w:val="left" w:pos="323"/>
              </w:tabs>
              <w:adjustRightInd/>
              <w:spacing w:line="400" w:lineRule="exact"/>
              <w:ind w:right="91" w:firstLine="240" w:firstLineChars="100"/>
              <w:rPr>
                <w:rFonts w:ascii="宋体" w:hAnsi="宋体" w:cs="宋体"/>
                <w:color w:val="auto"/>
                <w:szCs w:val="24"/>
                <w:highlight w:val="none"/>
                <w:lang w:val="zh-CN" w:bidi="zh-CN"/>
              </w:rPr>
            </w:pPr>
            <w:r>
              <w:rPr>
                <w:rFonts w:ascii="宋体" w:hAnsi="宋体" w:cs="宋体"/>
                <w:color w:val="auto"/>
                <w:szCs w:val="24"/>
                <w:highlight w:val="none"/>
                <w:lang w:bidi="zh-CN"/>
              </w:rPr>
              <w:t>3.</w:t>
            </w:r>
            <w:r>
              <w:rPr>
                <w:rFonts w:ascii="宋体" w:hAnsi="宋体" w:cs="宋体"/>
                <w:color w:val="auto"/>
                <w:szCs w:val="24"/>
                <w:highlight w:val="none"/>
                <w:lang w:val="zh-CN" w:bidi="zh-CN"/>
              </w:rPr>
              <w:t>供应商将</w:t>
            </w:r>
            <w:r>
              <w:rPr>
                <w:rFonts w:hint="eastAsia" w:ascii="宋体" w:hAnsi="宋体" w:cs="宋体"/>
                <w:color w:val="auto"/>
                <w:szCs w:val="24"/>
                <w:highlight w:val="none"/>
                <w:lang w:val="en-US" w:bidi="zh-CN"/>
              </w:rPr>
              <w:t>广西</w:t>
            </w:r>
            <w:r>
              <w:rPr>
                <w:rFonts w:ascii="宋体" w:hAnsi="宋体" w:cs="宋体"/>
                <w:color w:val="auto"/>
                <w:szCs w:val="24"/>
                <w:highlight w:val="none"/>
                <w:lang w:val="zh-CN" w:bidi="zh-CN"/>
              </w:rPr>
              <w:t>政府采购云平台电子交易客户端下载、安装完成后，可通过账号密码或CA登录客户</w:t>
            </w:r>
            <w:r>
              <w:rPr>
                <w:rFonts w:ascii="宋体" w:hAnsi="宋体" w:cs="宋体"/>
                <w:color w:val="auto"/>
                <w:szCs w:val="24"/>
                <w:highlight w:val="none"/>
                <w:lang w:bidi="zh-CN"/>
              </w:rPr>
              <w:t>端进行响应文件制作</w:t>
            </w:r>
            <w:r>
              <w:rPr>
                <w:rFonts w:ascii="宋体" w:hAnsi="宋体" w:cs="宋体"/>
                <w:color w:val="auto"/>
                <w:szCs w:val="24"/>
                <w:highlight w:val="none"/>
                <w:lang w:val="zh-CN" w:bidi="zh-CN"/>
              </w:rPr>
              <w:t>。客户端请至网站下载专区查看，如有问题可拨打</w:t>
            </w:r>
            <w:r>
              <w:rPr>
                <w:rFonts w:hint="eastAsia" w:ascii="宋体" w:hAnsi="宋体" w:cs="宋体"/>
                <w:color w:val="auto"/>
                <w:szCs w:val="24"/>
                <w:highlight w:val="none"/>
                <w:lang w:val="en-US" w:bidi="zh-CN"/>
              </w:rPr>
              <w:t>广西</w:t>
            </w:r>
            <w:r>
              <w:rPr>
                <w:rFonts w:ascii="宋体" w:hAnsi="宋体" w:cs="宋体"/>
                <w:color w:val="auto"/>
                <w:szCs w:val="24"/>
                <w:highlight w:val="none"/>
                <w:lang w:val="zh-CN" w:bidi="zh-CN"/>
              </w:rPr>
              <w:t>政府采购云平台客户服务热线 95763 进行咨询。</w:t>
            </w:r>
          </w:p>
          <w:p w14:paraId="2F4B1022">
            <w:pPr>
              <w:adjustRightInd/>
              <w:spacing w:line="400" w:lineRule="exact"/>
              <w:ind w:left="72" w:leftChars="30"/>
              <w:rPr>
                <w:rFonts w:ascii="宋体" w:hAnsi="宋体" w:cs="宋体"/>
                <w:color w:val="auto"/>
                <w:szCs w:val="24"/>
                <w:highlight w:val="none"/>
                <w:lang w:val="zh-CN" w:bidi="zh-CN"/>
              </w:rPr>
            </w:pPr>
            <w:r>
              <w:rPr>
                <w:rFonts w:ascii="宋体" w:hAnsi="宋体" w:cs="宋体"/>
                <w:color w:val="auto"/>
                <w:szCs w:val="24"/>
                <w:highlight w:val="none"/>
                <w:lang w:val="zh-CN" w:bidi="zh-CN"/>
              </w:rPr>
              <w:t>响应文件提交截止时间：详见竞争性磋商公告。</w:t>
            </w:r>
          </w:p>
          <w:p w14:paraId="739640D6">
            <w:pPr>
              <w:adjustRightInd/>
              <w:spacing w:line="400" w:lineRule="exact"/>
              <w:ind w:left="72" w:leftChars="30"/>
              <w:rPr>
                <w:rFonts w:ascii="宋体" w:hAnsi="宋体" w:cs="宋体"/>
                <w:color w:val="auto"/>
                <w:szCs w:val="24"/>
                <w:highlight w:val="none"/>
                <w:lang w:val="zh-CN" w:bidi="zh-CN"/>
              </w:rPr>
            </w:pPr>
            <w:r>
              <w:rPr>
                <w:rFonts w:ascii="宋体" w:hAnsi="宋体" w:cs="宋体"/>
                <w:color w:val="auto"/>
                <w:szCs w:val="24"/>
                <w:highlight w:val="none"/>
                <w:lang w:val="zh-CN" w:bidi="zh-CN"/>
              </w:rPr>
              <w:t>响应文件提交地点：详见竞争性磋商公告。</w:t>
            </w:r>
          </w:p>
          <w:p w14:paraId="629F6AE9">
            <w:pPr>
              <w:pStyle w:val="3"/>
              <w:spacing w:line="400" w:lineRule="exact"/>
              <w:ind w:left="-1"/>
              <w:rPr>
                <w:rFonts w:ascii="宋体" w:hAnsi="宋体" w:eastAsia="宋体" w:cs="宋体"/>
                <w:color w:val="auto"/>
                <w:sz w:val="24"/>
                <w:szCs w:val="24"/>
                <w:highlight w:val="none"/>
                <w:lang w:val="zh-CN" w:bidi="zh-CN"/>
              </w:rPr>
            </w:pPr>
            <w:r>
              <w:rPr>
                <w:rFonts w:ascii="宋体" w:hAnsi="宋体" w:eastAsia="宋体" w:cs="宋体"/>
                <w:color w:val="auto"/>
                <w:sz w:val="24"/>
                <w:szCs w:val="24"/>
                <w:highlight w:val="none"/>
                <w:lang w:val="zh-CN" w:bidi="zh-CN"/>
              </w:rPr>
              <w:t>电子响应文件解密时间：首次响应文件提交截止时间后30分钟内，供应商必须在此时间段内登录</w:t>
            </w:r>
            <w:r>
              <w:rPr>
                <w:rFonts w:hint="eastAsia" w:ascii="宋体" w:hAnsi="宋体" w:eastAsia="宋体" w:cs="宋体"/>
                <w:color w:val="auto"/>
                <w:sz w:val="24"/>
                <w:szCs w:val="24"/>
                <w:highlight w:val="none"/>
                <w:lang w:val="en-US" w:bidi="zh-CN"/>
              </w:rPr>
              <w:t>广西</w:t>
            </w:r>
            <w:r>
              <w:rPr>
                <w:rFonts w:ascii="宋体" w:hAnsi="宋体" w:eastAsia="宋体" w:cs="宋体"/>
                <w:color w:val="auto"/>
                <w:sz w:val="24"/>
                <w:szCs w:val="24"/>
                <w:highlight w:val="none"/>
                <w:lang w:val="zh-CN" w:bidi="zh-CN"/>
              </w:rPr>
              <w:t>政府采购云平台，用“项目采购-开标评标”功能完成电子响应文件的解密。若竞标供应商在规定时间内未按时解密的，视为响应文件撤回。</w:t>
            </w:r>
          </w:p>
          <w:p w14:paraId="5BDAEDFD">
            <w:pPr>
              <w:spacing w:line="400" w:lineRule="exact"/>
              <w:ind w:firstLine="240" w:firstLineChars="100"/>
              <w:rPr>
                <w:rFonts w:ascii="宋体" w:hAnsi="宋体" w:cs="宋体"/>
                <w:color w:val="auto"/>
                <w:highlight w:val="none"/>
                <w:lang w:val="zh-CN" w:bidi="zh-CN"/>
              </w:rPr>
            </w:pPr>
            <w:r>
              <w:rPr>
                <w:rFonts w:ascii="宋体" w:hAnsi="宋体" w:cs="宋体"/>
                <w:color w:val="auto"/>
                <w:highlight w:val="none"/>
                <w:lang w:val="zh-CN" w:bidi="zh-CN"/>
              </w:rPr>
              <w:t>4.</w:t>
            </w:r>
            <w:r>
              <w:rPr>
                <w:rFonts w:ascii="宋体" w:hAnsi="宋体" w:cs="宋体"/>
                <w:b/>
                <w:color w:val="auto"/>
                <w:highlight w:val="none"/>
                <w:lang w:val="zh-CN" w:bidi="zh-CN"/>
              </w:rPr>
              <w:t>响应文件份数：</w:t>
            </w:r>
            <w:r>
              <w:rPr>
                <w:rFonts w:ascii="宋体" w:hAnsi="宋体" w:cs="宋体"/>
                <w:b/>
                <w:color w:val="auto"/>
                <w:szCs w:val="21"/>
                <w:highlight w:val="none"/>
              </w:rPr>
              <w:t>磋商响应文件份数为：电子加密响应文件在线上传提交一份。成交单位需在确定成交</w:t>
            </w:r>
            <w:r>
              <w:rPr>
                <w:rFonts w:hint="eastAsia" w:ascii="宋体" w:hAnsi="宋体" w:cs="宋体"/>
                <w:b/>
                <w:color w:val="auto"/>
                <w:szCs w:val="21"/>
                <w:highlight w:val="none"/>
                <w:lang w:val="en-US" w:eastAsia="zh-CN"/>
              </w:rPr>
              <w:t>结果</w:t>
            </w:r>
            <w:r>
              <w:rPr>
                <w:rFonts w:ascii="宋体" w:hAnsi="宋体" w:cs="宋体"/>
                <w:b/>
                <w:color w:val="auto"/>
                <w:szCs w:val="21"/>
                <w:highlight w:val="none"/>
              </w:rPr>
              <w:t>3日内打印盖章三份响应文件提供给</w:t>
            </w:r>
            <w:r>
              <w:rPr>
                <w:rFonts w:hint="eastAsia" w:ascii="宋体" w:hAnsi="宋体" w:cs="宋体"/>
                <w:b/>
                <w:color w:val="auto"/>
                <w:szCs w:val="21"/>
                <w:highlight w:val="none"/>
                <w:lang w:val="en-US" w:eastAsia="zh-CN"/>
              </w:rPr>
              <w:t>采购</w:t>
            </w:r>
            <w:r>
              <w:rPr>
                <w:rFonts w:ascii="宋体" w:hAnsi="宋体" w:cs="宋体"/>
                <w:b/>
                <w:color w:val="auto"/>
                <w:szCs w:val="21"/>
                <w:highlight w:val="none"/>
              </w:rPr>
              <w:t>代理机构，作为成果文件装订使用。</w:t>
            </w:r>
          </w:p>
        </w:tc>
      </w:tr>
      <w:tr w14:paraId="3F6D1703">
        <w:tblPrEx>
          <w:tblCellMar>
            <w:top w:w="0" w:type="dxa"/>
            <w:left w:w="108" w:type="dxa"/>
            <w:bottom w:w="0" w:type="dxa"/>
            <w:right w:w="108" w:type="dxa"/>
          </w:tblCellMar>
        </w:tblPrEx>
        <w:trPr>
          <w:trHeight w:val="3621"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7F12C51">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16</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2F51F982">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磋商响应文件解密时间</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579546CC">
            <w:pPr>
              <w:tabs>
                <w:tab w:val="left" w:pos="323"/>
              </w:tabs>
              <w:adjustRightInd/>
              <w:spacing w:line="400" w:lineRule="exact"/>
              <w:ind w:right="88"/>
              <w:rPr>
                <w:rFonts w:ascii="宋体" w:hAnsi="宋体" w:cs="宋体"/>
                <w:color w:val="auto"/>
                <w:szCs w:val="24"/>
                <w:highlight w:val="none"/>
                <w:lang w:bidi="zh-CN"/>
              </w:rPr>
            </w:pPr>
            <w:r>
              <w:rPr>
                <w:rFonts w:ascii="宋体" w:hAnsi="宋体" w:cs="宋体"/>
                <w:color w:val="auto"/>
                <w:szCs w:val="24"/>
                <w:highlight w:val="none"/>
                <w:lang w:val="zh-CN" w:bidi="zh-CN"/>
              </w:rPr>
              <w:t>截标时间后30分钟内磋商供应商可以登录</w:t>
            </w:r>
            <w:r>
              <w:rPr>
                <w:rFonts w:hint="eastAsia" w:ascii="宋体" w:hAnsi="宋体" w:cs="宋体"/>
                <w:color w:val="auto"/>
                <w:szCs w:val="24"/>
                <w:highlight w:val="none"/>
                <w:lang w:val="en-US" w:bidi="zh-CN"/>
              </w:rPr>
              <w:t>广西</w:t>
            </w:r>
            <w:r>
              <w:rPr>
                <w:rFonts w:ascii="宋体" w:hAnsi="宋体" w:cs="宋体"/>
                <w:color w:val="auto"/>
                <w:szCs w:val="24"/>
                <w:highlight w:val="none"/>
                <w:lang w:val="zh-CN" w:bidi="zh-CN"/>
              </w:rPr>
              <w:t>政府采购云平台，用“项目采购-开标评标”功能进行解密磋商响应文件。</w:t>
            </w:r>
          </w:p>
        </w:tc>
      </w:tr>
      <w:tr w14:paraId="22B1C53E">
        <w:tblPrEx>
          <w:tblCellMar>
            <w:top w:w="0" w:type="dxa"/>
            <w:left w:w="108" w:type="dxa"/>
            <w:bottom w:w="0" w:type="dxa"/>
            <w:right w:w="108" w:type="dxa"/>
          </w:tblCellMar>
        </w:tblPrEx>
        <w:trPr>
          <w:trHeight w:val="8217"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7D8A9CE">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17</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390F9609">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信用查询</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0A428A3B">
            <w:pPr>
              <w:tabs>
                <w:tab w:val="left" w:pos="323"/>
              </w:tabs>
              <w:adjustRightInd/>
              <w:spacing w:line="400" w:lineRule="exact"/>
              <w:ind w:right="91" w:firstLine="240" w:firstLineChars="100"/>
              <w:rPr>
                <w:rFonts w:ascii="宋体" w:hAnsi="宋体" w:cs="宋体"/>
                <w:color w:val="auto"/>
                <w:szCs w:val="24"/>
                <w:highlight w:val="none"/>
                <w:lang w:val="zh-CN" w:bidi="zh-CN"/>
              </w:rPr>
            </w:pPr>
            <w:r>
              <w:rPr>
                <w:rFonts w:ascii="宋体" w:hAnsi="宋体" w:cs="宋体"/>
                <w:color w:val="auto"/>
                <w:szCs w:val="24"/>
                <w:highlight w:val="none"/>
                <w:lang w:val="zh-CN" w:bidi="zh-CN"/>
              </w:rPr>
              <w:t>对在“信用中国”网站</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www.creditchina.gov.cn</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、中国政府采购网</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www.ccgp.gov.cn</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 xml:space="preserve"> 等渠道列入失信被执行人、重大税收违法失信主体、政府采购严重违法失信行为记 录名单及其他不符合《中华人民共和国政府采购法》第二十二条规定条件的供应商，不得参与政府采购活动（采购人或代理机构对供应商资格审查时进行信用查询）：</w:t>
            </w:r>
          </w:p>
          <w:p w14:paraId="6C5CB06E">
            <w:pPr>
              <w:tabs>
                <w:tab w:val="left" w:pos="323"/>
              </w:tabs>
              <w:adjustRightInd/>
              <w:spacing w:line="400" w:lineRule="exact"/>
              <w:ind w:right="91" w:firstLine="240" w:firstLineChars="100"/>
              <w:rPr>
                <w:rFonts w:ascii="宋体" w:hAnsi="宋体" w:cs="宋体"/>
                <w:color w:val="auto"/>
                <w:szCs w:val="24"/>
                <w:highlight w:val="none"/>
                <w:lang w:val="zh-CN" w:bidi="zh-CN"/>
              </w:rPr>
            </w:pP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1</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查询渠道：“信用中国”网站</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www.creditchina.gov.cn</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、中国政府采购网</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www.ccgp.gov.cn</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 xml:space="preserve"> 等；</w:t>
            </w:r>
          </w:p>
          <w:p w14:paraId="19537F10">
            <w:pPr>
              <w:tabs>
                <w:tab w:val="left" w:pos="323"/>
              </w:tabs>
              <w:adjustRightInd/>
              <w:spacing w:line="400" w:lineRule="exact"/>
              <w:ind w:right="91" w:firstLine="240" w:firstLineChars="100"/>
              <w:rPr>
                <w:rFonts w:ascii="宋体" w:hAnsi="宋体" w:cs="宋体"/>
                <w:color w:val="auto"/>
                <w:szCs w:val="24"/>
                <w:highlight w:val="none"/>
                <w:lang w:val="zh-CN" w:bidi="zh-CN"/>
              </w:rPr>
            </w:pP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2</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查询起止时间：</w:t>
            </w:r>
            <w:r>
              <w:rPr>
                <w:rFonts w:hint="eastAsia" w:ascii="宋体" w:hAnsi="宋体" w:cs="宋体"/>
                <w:color w:val="auto"/>
                <w:szCs w:val="24"/>
                <w:highlight w:val="none"/>
                <w:lang w:val="zh-CN" w:bidi="zh-CN"/>
              </w:rPr>
              <w:t>竞标</w:t>
            </w:r>
            <w:r>
              <w:rPr>
                <w:rFonts w:ascii="宋体" w:hAnsi="宋体" w:cs="宋体"/>
                <w:color w:val="auto"/>
                <w:szCs w:val="24"/>
                <w:highlight w:val="none"/>
                <w:lang w:val="zh-CN" w:bidi="zh-CN"/>
              </w:rPr>
              <w:t xml:space="preserve">截止时间前三年内； </w:t>
            </w:r>
          </w:p>
          <w:p w14:paraId="78B8112A">
            <w:pPr>
              <w:tabs>
                <w:tab w:val="left" w:pos="323"/>
              </w:tabs>
              <w:adjustRightInd/>
              <w:spacing w:line="400" w:lineRule="exact"/>
              <w:ind w:right="91" w:firstLine="240" w:firstLineChars="100"/>
              <w:rPr>
                <w:rFonts w:ascii="宋体" w:hAnsi="宋体" w:cs="宋体"/>
                <w:color w:val="auto"/>
                <w:szCs w:val="24"/>
                <w:highlight w:val="none"/>
                <w:lang w:val="zh-CN" w:bidi="zh-CN"/>
              </w:rPr>
            </w:pP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3</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查询记录和证据留存方式：由</w:t>
            </w:r>
            <w:r>
              <w:rPr>
                <w:rFonts w:hint="eastAsia" w:ascii="宋体" w:hAnsi="宋体" w:cs="宋体"/>
                <w:color w:val="auto"/>
                <w:szCs w:val="24"/>
                <w:highlight w:val="none"/>
                <w:lang w:val="en-US" w:bidi="zh-CN"/>
              </w:rPr>
              <w:t>采购代理机构</w:t>
            </w:r>
            <w:r>
              <w:rPr>
                <w:rFonts w:ascii="宋体" w:hAnsi="宋体" w:cs="宋体"/>
                <w:color w:val="auto"/>
                <w:szCs w:val="24"/>
                <w:highlight w:val="none"/>
                <w:lang w:val="zh-CN" w:bidi="zh-CN"/>
              </w:rPr>
              <w:t xml:space="preserve">开标后在查询网站中直接打印查询记录，打印材料作为评审资料保存； </w:t>
            </w:r>
          </w:p>
          <w:p w14:paraId="1DE88D46">
            <w:pPr>
              <w:tabs>
                <w:tab w:val="left" w:pos="323"/>
              </w:tabs>
              <w:adjustRightInd/>
              <w:spacing w:line="400" w:lineRule="exact"/>
              <w:ind w:right="88" w:firstLine="240" w:firstLineChars="100"/>
              <w:rPr>
                <w:rFonts w:ascii="宋体" w:hAnsi="宋体" w:cs="宋体"/>
                <w:color w:val="auto"/>
                <w:szCs w:val="24"/>
                <w:highlight w:val="none"/>
                <w:lang w:val="zh-CN" w:bidi="zh-CN"/>
              </w:rPr>
            </w:pP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4</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信用信息使用规则：对在“信用中国”网站</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www.creditchina.gov.cn</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 xml:space="preserve">、中国政府采购网 </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www.ccgp.gov.cn</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等渠道列入失信被执行人、重大税收违法失信主体、政府采购严 重违法失信行为记录名单及其他不符合《中华人民共和国政府采购法》第二十二条规定条 件的供应商，资格审查不通过，不得参与政府采购活动</w:t>
            </w:r>
            <w:r>
              <w:rPr>
                <w:rFonts w:hint="eastAsia" w:ascii="宋体" w:hAnsi="宋体" w:cs="宋体"/>
                <w:color w:val="auto"/>
                <w:szCs w:val="24"/>
                <w:highlight w:val="none"/>
                <w:lang w:val="zh-CN" w:bidi="zh-CN"/>
              </w:rPr>
              <w:t>。供应商或其法定代表人、拟委任的项目经理在近三年内无行贿犯罪行为。（以“中国裁判文书网”查询结果为准）。</w:t>
            </w:r>
          </w:p>
        </w:tc>
      </w:tr>
      <w:tr w14:paraId="2BEE3FA1">
        <w:tblPrEx>
          <w:tblCellMar>
            <w:top w:w="0" w:type="dxa"/>
            <w:left w:w="108" w:type="dxa"/>
            <w:bottom w:w="0" w:type="dxa"/>
            <w:right w:w="108" w:type="dxa"/>
          </w:tblCellMar>
        </w:tblPrEx>
        <w:trPr>
          <w:trHeight w:val="11793"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680BC48">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18</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376BB3B5">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供应商公章</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3CD5F3A9">
            <w:pPr>
              <w:adjustRightInd/>
              <w:spacing w:line="400" w:lineRule="exact"/>
              <w:ind w:left="72" w:leftChars="30"/>
              <w:rPr>
                <w:rFonts w:ascii="宋体" w:hAnsi="宋体" w:cs="宋体"/>
                <w:color w:val="auto"/>
                <w:szCs w:val="24"/>
                <w:highlight w:val="none"/>
                <w:lang w:val="zh-CN" w:bidi="zh-CN"/>
              </w:rPr>
            </w:pPr>
            <w:r>
              <w:rPr>
                <w:rFonts w:ascii="宋体" w:hAnsi="宋体" w:cs="宋体"/>
                <w:color w:val="auto"/>
                <w:szCs w:val="24"/>
                <w:highlight w:val="none"/>
                <w:lang w:bidi="zh-CN"/>
              </w:rPr>
              <w:t>1.</w:t>
            </w:r>
            <w:r>
              <w:rPr>
                <w:rFonts w:ascii="宋体" w:hAnsi="宋体" w:cs="宋体"/>
                <w:color w:val="auto"/>
                <w:szCs w:val="24"/>
                <w:highlight w:val="none"/>
                <w:lang w:val="zh-CN" w:bidi="zh-CN"/>
              </w:rPr>
              <w:t>本磋商文件中描述供应商的“公章”是指根据我国对公章的管理规定，用供应商法定主体行为名称制作的印章，除本磋商文件有特殊规定外，供应商的财务章、部门章、分公司章、工会章、合同章、竞标专用章、业务专用章及银行的转账章、现金收讫章、现金付讫章等其他形式印章均不能代替公章。</w:t>
            </w:r>
          </w:p>
          <w:p w14:paraId="319E5D92">
            <w:pPr>
              <w:tabs>
                <w:tab w:val="left" w:pos="323"/>
              </w:tabs>
              <w:adjustRightInd/>
              <w:spacing w:line="400" w:lineRule="exact"/>
              <w:ind w:left="72" w:leftChars="30"/>
              <w:jc w:val="both"/>
              <w:rPr>
                <w:rFonts w:ascii="宋体" w:hAnsi="宋体" w:cs="宋体"/>
                <w:color w:val="auto"/>
                <w:szCs w:val="24"/>
                <w:highlight w:val="none"/>
                <w:lang w:val="zh-CN" w:bidi="zh-CN"/>
              </w:rPr>
            </w:pPr>
            <w:r>
              <w:rPr>
                <w:rFonts w:ascii="宋体" w:hAnsi="宋体" w:cs="宋体"/>
                <w:color w:val="auto"/>
                <w:szCs w:val="24"/>
                <w:highlight w:val="none"/>
                <w:lang w:bidi="zh-CN"/>
              </w:rPr>
              <w:t>2.</w:t>
            </w:r>
            <w:r>
              <w:rPr>
                <w:rFonts w:ascii="宋体" w:hAnsi="宋体" w:cs="宋体"/>
                <w:color w:val="auto"/>
                <w:szCs w:val="24"/>
                <w:highlight w:val="none"/>
                <w:lang w:val="zh-CN" w:bidi="zh-CN"/>
              </w:rPr>
              <w:t>电子响应文件中须加盖供应商公章部分均采用CA签章，并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w:t>
            </w:r>
            <w:r>
              <w:rPr>
                <w:rFonts w:hint="eastAsia" w:ascii="宋体" w:hAnsi="宋体" w:cs="宋体"/>
                <w:color w:val="auto"/>
                <w:szCs w:val="24"/>
                <w:highlight w:val="none"/>
                <w:lang w:val="zh-CN" w:bidi="zh-CN"/>
              </w:rPr>
              <w:t>磋商文件</w:t>
            </w:r>
            <w:r>
              <w:rPr>
                <w:rFonts w:ascii="宋体" w:hAnsi="宋体" w:cs="宋体"/>
                <w:color w:val="auto"/>
                <w:szCs w:val="24"/>
                <w:highlight w:val="none"/>
                <w:lang w:val="zh-CN" w:bidi="zh-CN"/>
              </w:rPr>
              <w:t>规定的部位查找不到相关内容的，由供应商自行承担。</w:t>
            </w:r>
          </w:p>
          <w:p w14:paraId="6A5CDA30">
            <w:pPr>
              <w:tabs>
                <w:tab w:val="left" w:pos="323"/>
              </w:tabs>
              <w:adjustRightInd/>
              <w:spacing w:line="400" w:lineRule="exact"/>
              <w:ind w:left="72" w:leftChars="30"/>
              <w:jc w:val="both"/>
              <w:rPr>
                <w:rFonts w:ascii="宋体" w:hAnsi="宋体" w:cs="宋体"/>
                <w:color w:val="auto"/>
                <w:szCs w:val="24"/>
                <w:highlight w:val="none"/>
                <w:lang w:val="zh-CN" w:bidi="zh-CN"/>
              </w:rPr>
            </w:pPr>
            <w:r>
              <w:rPr>
                <w:rFonts w:ascii="宋体" w:hAnsi="宋体" w:cs="宋体"/>
                <w:color w:val="auto"/>
                <w:szCs w:val="24"/>
                <w:highlight w:val="none"/>
                <w:lang w:bidi="zh-CN"/>
              </w:rPr>
              <w:t>3.</w:t>
            </w:r>
            <w:r>
              <w:rPr>
                <w:rFonts w:ascii="宋体" w:hAnsi="宋体" w:cs="宋体"/>
                <w:color w:val="auto"/>
                <w:szCs w:val="24"/>
                <w:highlight w:val="none"/>
                <w:lang w:val="zh-CN" w:bidi="zh-CN"/>
              </w:rPr>
              <w:t>CA签章上关于法人（负责人）或授权代表签字信息，供应商在响应文件中涉及到签字的位置线下【签好字然后扫描或者拍照做成PDF的格式】或【通过</w:t>
            </w:r>
            <w:r>
              <w:rPr>
                <w:rFonts w:hint="eastAsia" w:ascii="宋体" w:hAnsi="宋体" w:cs="宋体"/>
                <w:color w:val="auto"/>
                <w:szCs w:val="24"/>
                <w:highlight w:val="none"/>
                <w:lang w:val="en-US" w:bidi="zh-CN"/>
              </w:rPr>
              <w:t>广西</w:t>
            </w:r>
            <w:r>
              <w:rPr>
                <w:rFonts w:ascii="宋体" w:hAnsi="宋体" w:cs="宋体"/>
                <w:color w:val="auto"/>
                <w:szCs w:val="24"/>
                <w:highlight w:val="none"/>
                <w:lang w:val="zh-CN" w:bidi="zh-CN"/>
              </w:rPr>
              <w:t>政府采购云电子交易客户端使用</w:t>
            </w:r>
            <w:r>
              <w:rPr>
                <w:rFonts w:ascii="宋体" w:hAnsi="宋体" w:cs="宋体"/>
                <w:color w:val="auto"/>
                <w:szCs w:val="24"/>
                <w:highlight w:val="none"/>
                <w:lang w:bidi="zh-CN"/>
              </w:rPr>
              <w:t>CA</w:t>
            </w:r>
            <w:r>
              <w:rPr>
                <w:rFonts w:ascii="宋体" w:hAnsi="宋体" w:cs="宋体"/>
                <w:color w:val="auto"/>
                <w:szCs w:val="24"/>
                <w:highlight w:val="none"/>
                <w:lang w:val="zh-CN" w:bidi="zh-CN"/>
              </w:rPr>
              <w:t>法人（负责人）或授权代表签章】亦可。响应文件中涉及到签字的位置未按要求签字的，提供的材料视为无效。</w:t>
            </w:r>
          </w:p>
          <w:p w14:paraId="20B8E044">
            <w:pPr>
              <w:tabs>
                <w:tab w:val="left" w:pos="324"/>
              </w:tabs>
              <w:adjustRightInd/>
              <w:spacing w:line="400" w:lineRule="exact"/>
              <w:ind w:left="72" w:leftChars="30"/>
              <w:jc w:val="both"/>
              <w:rPr>
                <w:rFonts w:ascii="宋体" w:hAnsi="宋体" w:cs="宋体"/>
                <w:color w:val="auto"/>
                <w:szCs w:val="24"/>
                <w:highlight w:val="none"/>
                <w:lang w:val="zh-CN" w:bidi="zh-CN"/>
              </w:rPr>
            </w:pPr>
            <w:r>
              <w:rPr>
                <w:rFonts w:ascii="宋体" w:hAnsi="宋体" w:cs="宋体"/>
                <w:color w:val="auto"/>
                <w:szCs w:val="24"/>
                <w:highlight w:val="none"/>
                <w:lang w:bidi="zh-CN"/>
              </w:rPr>
              <w:t>4.</w:t>
            </w:r>
            <w:r>
              <w:rPr>
                <w:rFonts w:ascii="宋体" w:hAnsi="宋体" w:cs="宋体"/>
                <w:color w:val="auto"/>
                <w:szCs w:val="24"/>
                <w:highlight w:val="none"/>
                <w:lang w:val="zh-CN" w:bidi="zh-CN"/>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78FC8C6">
            <w:pPr>
              <w:tabs>
                <w:tab w:val="left" w:pos="323"/>
              </w:tabs>
              <w:adjustRightInd/>
              <w:spacing w:line="400" w:lineRule="exact"/>
              <w:ind w:left="72" w:leftChars="30"/>
              <w:rPr>
                <w:rFonts w:ascii="宋体" w:hAnsi="宋体" w:cs="宋体"/>
                <w:color w:val="auto"/>
                <w:szCs w:val="24"/>
                <w:highlight w:val="none"/>
                <w:lang w:val="zh-CN" w:bidi="zh-CN"/>
              </w:rPr>
            </w:pPr>
            <w:r>
              <w:rPr>
                <w:rFonts w:ascii="宋体" w:hAnsi="宋体" w:cs="宋体"/>
                <w:color w:val="auto"/>
                <w:szCs w:val="24"/>
                <w:highlight w:val="none"/>
                <w:lang w:bidi="zh-CN"/>
              </w:rPr>
              <w:t>5.</w:t>
            </w:r>
            <w:r>
              <w:rPr>
                <w:rFonts w:ascii="宋体" w:hAnsi="宋体" w:cs="宋体"/>
                <w:color w:val="auto"/>
                <w:szCs w:val="24"/>
                <w:highlight w:val="none"/>
                <w:lang w:val="zh-CN" w:bidi="zh-CN"/>
              </w:rPr>
              <w:t>自然人竞标的，磋商文件规定盖公章处由自然人摁手指指印。</w:t>
            </w:r>
          </w:p>
          <w:p w14:paraId="714406FE">
            <w:pPr>
              <w:pStyle w:val="106"/>
              <w:kinsoku w:val="0"/>
              <w:overflowPunct w:val="0"/>
              <w:spacing w:line="274" w:lineRule="auto"/>
              <w:ind w:firstLine="120" w:firstLineChars="50"/>
              <w:rPr>
                <w:rFonts w:ascii="宋体" w:hAnsi="宋体" w:cs="宋体"/>
                <w:color w:val="auto"/>
                <w:szCs w:val="24"/>
                <w:highlight w:val="none"/>
              </w:rPr>
            </w:pPr>
            <w:r>
              <w:rPr>
                <w:rFonts w:ascii="宋体" w:hAnsi="宋体" w:cs="宋体"/>
                <w:color w:val="auto"/>
                <w:szCs w:val="24"/>
                <w:highlight w:val="none"/>
                <w:lang w:bidi="zh-CN"/>
              </w:rPr>
              <w:t>6.</w:t>
            </w:r>
            <w:r>
              <w:rPr>
                <w:rFonts w:ascii="宋体" w:hAnsi="宋体" w:cs="宋体"/>
                <w:color w:val="auto"/>
                <w:szCs w:val="24"/>
                <w:highlight w:val="none"/>
                <w:lang w:val="zh-CN" w:bidi="zh-CN"/>
              </w:rPr>
              <w:t>本磋商文件所称的“以上”“以下”“以内”“届满”，包括本数；所称的“不满” “超过”“以外”，不包括本数。</w:t>
            </w:r>
          </w:p>
        </w:tc>
      </w:tr>
      <w:tr w14:paraId="299DE1E0">
        <w:tblPrEx>
          <w:tblCellMar>
            <w:top w:w="0" w:type="dxa"/>
            <w:left w:w="108" w:type="dxa"/>
            <w:bottom w:w="0" w:type="dxa"/>
            <w:right w:w="108" w:type="dxa"/>
          </w:tblCellMar>
        </w:tblPrEx>
        <w:trPr>
          <w:trHeight w:val="3377"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D92C472">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19</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6485599A">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代理服务费</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4619046C">
            <w:pPr>
              <w:tabs>
                <w:tab w:val="left" w:pos="739"/>
              </w:tabs>
              <w:adjustRightInd/>
              <w:spacing w:line="400" w:lineRule="exact"/>
              <w:ind w:left="72" w:leftChars="30"/>
              <w:jc w:val="both"/>
              <w:rPr>
                <w:rFonts w:ascii="宋体" w:hAnsi="宋体" w:cs="宋体"/>
                <w:color w:val="auto"/>
                <w:szCs w:val="24"/>
                <w:highlight w:val="none"/>
                <w:lang w:val="zh-CN" w:bidi="zh-CN"/>
              </w:rPr>
            </w:pPr>
            <w:r>
              <w:rPr>
                <w:rFonts w:ascii="宋体" w:hAnsi="宋体" w:cs="宋体"/>
                <w:color w:val="auto"/>
                <w:szCs w:val="24"/>
                <w:highlight w:val="none"/>
                <w:lang w:bidi="zh-CN"/>
              </w:rPr>
              <w:t>1.</w:t>
            </w:r>
            <w:r>
              <w:rPr>
                <w:rFonts w:ascii="宋体" w:hAnsi="宋体" w:cs="宋体"/>
                <w:color w:val="auto"/>
                <w:szCs w:val="24"/>
                <w:highlight w:val="none"/>
                <w:lang w:val="zh-CN" w:bidi="zh-CN"/>
              </w:rPr>
              <w:t>采购代理费收取方式：本项目代理服务费由</w:t>
            </w:r>
            <w:r>
              <w:rPr>
                <w:rFonts w:hint="eastAsia" w:ascii="宋体" w:hAnsi="宋体" w:cs="宋体"/>
                <w:color w:val="auto"/>
                <w:szCs w:val="24"/>
                <w:highlight w:val="none"/>
                <w:lang w:val="en-US" w:bidi="zh-CN"/>
              </w:rPr>
              <w:t>采购单位</w:t>
            </w:r>
            <w:r>
              <w:rPr>
                <w:rFonts w:ascii="宋体" w:hAnsi="宋体" w:cs="宋体"/>
                <w:color w:val="auto"/>
                <w:szCs w:val="24"/>
                <w:highlight w:val="none"/>
                <w:lang w:val="zh-CN" w:bidi="zh-CN"/>
              </w:rPr>
              <w:t>向采购代理机构支付。</w:t>
            </w:r>
          </w:p>
          <w:p w14:paraId="0CDD22AD">
            <w:pPr>
              <w:tabs>
                <w:tab w:val="left" w:pos="739"/>
              </w:tabs>
              <w:adjustRightInd/>
              <w:spacing w:line="400" w:lineRule="exact"/>
              <w:ind w:left="72" w:leftChars="30"/>
              <w:jc w:val="both"/>
              <w:rPr>
                <w:rFonts w:ascii="宋体" w:hAnsi="宋体" w:cs="宋体"/>
                <w:color w:val="auto"/>
                <w:szCs w:val="24"/>
                <w:highlight w:val="none"/>
                <w:lang w:val="zh-CN" w:bidi="zh-CN"/>
              </w:rPr>
            </w:pPr>
            <w:r>
              <w:rPr>
                <w:rFonts w:ascii="宋体" w:hAnsi="宋体" w:cs="宋体"/>
                <w:color w:val="auto"/>
                <w:szCs w:val="24"/>
                <w:highlight w:val="none"/>
                <w:lang w:val="zh-CN" w:bidi="zh-CN"/>
              </w:rPr>
              <w:t>2.采购代理费收取标准：</w:t>
            </w:r>
            <w:r>
              <w:rPr>
                <w:rFonts w:hint="eastAsia" w:ascii="宋体" w:hAnsi="宋体" w:cs="宋体"/>
                <w:color w:val="auto"/>
                <w:szCs w:val="24"/>
                <w:highlight w:val="none"/>
                <w:lang w:val="zh-CN" w:bidi="zh-CN"/>
              </w:rPr>
              <w:t>按固定金额收取</w:t>
            </w:r>
            <w:r>
              <w:rPr>
                <w:rFonts w:hint="eastAsia" w:ascii="宋体" w:hAnsi="宋体" w:cs="宋体"/>
                <w:color w:val="auto"/>
                <w:szCs w:val="24"/>
                <w:highlight w:val="none"/>
                <w:lang w:eastAsia="zh-CN"/>
              </w:rPr>
              <w:t>壹万</w:t>
            </w:r>
            <w:r>
              <w:rPr>
                <w:rFonts w:hint="eastAsia" w:ascii="宋体" w:hAnsi="宋体" w:cs="宋体"/>
                <w:color w:val="auto"/>
                <w:szCs w:val="24"/>
                <w:highlight w:val="none"/>
                <w:lang w:val="en-US" w:eastAsia="zh-CN"/>
              </w:rPr>
              <w:t>肆</w:t>
            </w:r>
            <w:r>
              <w:rPr>
                <w:rFonts w:hint="eastAsia" w:ascii="宋体" w:hAnsi="宋体" w:cs="宋体"/>
                <w:color w:val="auto"/>
                <w:szCs w:val="24"/>
                <w:highlight w:val="none"/>
                <w:lang w:eastAsia="zh-CN"/>
              </w:rPr>
              <w:t>仟陆佰</w:t>
            </w:r>
            <w:r>
              <w:rPr>
                <w:rFonts w:hint="eastAsia" w:ascii="宋体" w:hAnsi="宋体" w:cs="宋体"/>
                <w:color w:val="auto"/>
                <w:szCs w:val="24"/>
                <w:highlight w:val="none"/>
                <w:lang w:val="en-US" w:eastAsia="zh-CN"/>
              </w:rPr>
              <w:t>叁拾</w:t>
            </w:r>
            <w:r>
              <w:rPr>
                <w:rFonts w:hint="eastAsia" w:ascii="宋体" w:hAnsi="宋体" w:cs="宋体"/>
                <w:color w:val="auto"/>
                <w:szCs w:val="24"/>
                <w:highlight w:val="none"/>
                <w:lang w:eastAsia="zh-CN"/>
              </w:rPr>
              <w:t>元整</w:t>
            </w:r>
            <w:r>
              <w:rPr>
                <w:rFonts w:ascii="宋体" w:hAnsi="宋体" w:cs="宋体"/>
                <w:color w:val="auto"/>
                <w:szCs w:val="24"/>
                <w:highlight w:val="none"/>
              </w:rPr>
              <w:t>（¥</w:t>
            </w:r>
            <w:r>
              <w:rPr>
                <w:rFonts w:hint="eastAsia" w:ascii="宋体" w:hAnsi="宋体" w:cs="宋体"/>
                <w:color w:val="auto"/>
                <w:szCs w:val="24"/>
                <w:highlight w:val="none"/>
                <w:lang w:val="en-US" w:eastAsia="zh-CN"/>
              </w:rPr>
              <w:t>14630</w:t>
            </w:r>
            <w:r>
              <w:rPr>
                <w:rFonts w:ascii="宋体" w:hAnsi="宋体" w:cs="宋体"/>
                <w:color w:val="auto"/>
                <w:szCs w:val="24"/>
                <w:highlight w:val="none"/>
              </w:rPr>
              <w:t>.00）</w:t>
            </w:r>
            <w:r>
              <w:rPr>
                <w:rFonts w:ascii="宋体" w:hAnsi="宋体" w:cs="宋体"/>
                <w:color w:val="auto"/>
                <w:szCs w:val="24"/>
                <w:highlight w:val="none"/>
                <w:lang w:val="zh-CN" w:bidi="zh-CN"/>
              </w:rPr>
              <w:t>。</w:t>
            </w:r>
          </w:p>
          <w:p w14:paraId="4A13DFE2">
            <w:pPr>
              <w:tabs>
                <w:tab w:val="left" w:pos="739"/>
              </w:tabs>
              <w:adjustRightInd/>
              <w:spacing w:line="400" w:lineRule="exact"/>
              <w:ind w:left="72" w:leftChars="30"/>
              <w:jc w:val="both"/>
              <w:rPr>
                <w:rFonts w:ascii="宋体" w:hAnsi="宋体" w:cs="宋体"/>
                <w:color w:val="auto"/>
                <w:szCs w:val="24"/>
                <w:highlight w:val="none"/>
                <w:lang w:val="zh-CN" w:bidi="zh-CN"/>
              </w:rPr>
            </w:pPr>
            <w:r>
              <w:rPr>
                <w:rFonts w:ascii="宋体" w:hAnsi="宋体" w:cs="宋体"/>
                <w:color w:val="auto"/>
                <w:szCs w:val="24"/>
                <w:highlight w:val="none"/>
                <w:lang w:val="zh-CN" w:bidi="zh-CN"/>
              </w:rPr>
              <w:t>3.采购代理费收取银行账户</w:t>
            </w:r>
          </w:p>
          <w:p w14:paraId="6283E80D">
            <w:pPr>
              <w:tabs>
                <w:tab w:val="left" w:pos="739"/>
              </w:tabs>
              <w:adjustRightInd/>
              <w:spacing w:line="400" w:lineRule="exact"/>
              <w:ind w:left="72" w:leftChars="30"/>
              <w:jc w:val="both"/>
              <w:rPr>
                <w:rFonts w:ascii="宋体" w:hAnsi="宋体" w:cs="宋体"/>
                <w:bCs/>
                <w:color w:val="auto"/>
                <w:szCs w:val="24"/>
                <w:highlight w:val="none"/>
                <w:lang w:bidi="zh-CN"/>
              </w:rPr>
            </w:pPr>
            <w:r>
              <w:rPr>
                <w:rFonts w:ascii="宋体" w:hAnsi="宋体" w:cs="宋体"/>
                <w:bCs/>
                <w:color w:val="auto"/>
                <w:szCs w:val="24"/>
                <w:highlight w:val="none"/>
                <w:lang w:bidi="zh-CN"/>
              </w:rPr>
              <w:t>单位名称：</w:t>
            </w:r>
            <w:r>
              <w:rPr>
                <w:rFonts w:hint="eastAsia" w:ascii="宋体" w:hAnsi="宋体" w:cs="宋体"/>
                <w:bCs/>
                <w:color w:val="auto"/>
                <w:szCs w:val="24"/>
                <w:highlight w:val="none"/>
                <w:lang w:bidi="zh-CN"/>
              </w:rPr>
              <w:t>广西众联工程项目管理有限公司</w:t>
            </w:r>
          </w:p>
          <w:p w14:paraId="413A9CF8">
            <w:pPr>
              <w:tabs>
                <w:tab w:val="left" w:pos="739"/>
              </w:tabs>
              <w:adjustRightInd/>
              <w:spacing w:line="400" w:lineRule="exact"/>
              <w:ind w:left="72" w:leftChars="30"/>
              <w:jc w:val="both"/>
              <w:rPr>
                <w:rFonts w:ascii="宋体" w:hAnsi="宋体" w:cs="宋体"/>
                <w:bCs/>
                <w:color w:val="auto"/>
                <w:szCs w:val="24"/>
                <w:highlight w:val="none"/>
                <w:lang w:bidi="zh-CN"/>
              </w:rPr>
            </w:pPr>
            <w:r>
              <w:rPr>
                <w:rFonts w:ascii="宋体" w:hAnsi="宋体" w:cs="宋体"/>
                <w:bCs/>
                <w:color w:val="auto"/>
                <w:szCs w:val="24"/>
                <w:highlight w:val="none"/>
                <w:lang w:bidi="zh-CN"/>
              </w:rPr>
              <w:t>开户行信息：</w:t>
            </w:r>
            <w:r>
              <w:rPr>
                <w:rFonts w:hint="eastAsia" w:ascii="宋体" w:hAnsi="宋体" w:cs="宋体"/>
                <w:bCs/>
                <w:color w:val="auto"/>
                <w:szCs w:val="24"/>
                <w:highlight w:val="none"/>
                <w:lang w:bidi="zh-CN"/>
              </w:rPr>
              <w:t>中国光大银行股份有限公司南宁民主支行</w:t>
            </w:r>
          </w:p>
          <w:p w14:paraId="43468D90">
            <w:pPr>
              <w:tabs>
                <w:tab w:val="left" w:pos="739"/>
              </w:tabs>
              <w:adjustRightInd/>
              <w:spacing w:line="400" w:lineRule="exact"/>
              <w:ind w:left="72" w:leftChars="30"/>
              <w:jc w:val="both"/>
              <w:rPr>
                <w:rFonts w:ascii="宋体" w:hAnsi="宋体" w:cs="宋体"/>
                <w:bCs/>
                <w:color w:val="auto"/>
                <w:szCs w:val="24"/>
                <w:highlight w:val="none"/>
                <w:lang w:bidi="zh-CN"/>
              </w:rPr>
            </w:pPr>
            <w:r>
              <w:rPr>
                <w:rFonts w:ascii="宋体" w:hAnsi="宋体" w:cs="宋体"/>
                <w:bCs/>
                <w:color w:val="auto"/>
                <w:szCs w:val="24"/>
                <w:highlight w:val="none"/>
                <w:lang w:bidi="zh-CN"/>
              </w:rPr>
              <w:t>账    号：</w:t>
            </w:r>
            <w:r>
              <w:rPr>
                <w:rFonts w:hint="eastAsia" w:ascii="宋体" w:hAnsi="宋体" w:cs="宋体"/>
                <w:color w:val="auto"/>
                <w:kern w:val="0"/>
                <w:szCs w:val="21"/>
                <w:highlight w:val="none"/>
                <w:lang w:bidi="ar"/>
              </w:rPr>
              <w:t>78900188000167866</w:t>
            </w:r>
          </w:p>
        </w:tc>
      </w:tr>
      <w:tr w14:paraId="621225B3">
        <w:tblPrEx>
          <w:tblCellMar>
            <w:top w:w="0" w:type="dxa"/>
            <w:left w:w="108" w:type="dxa"/>
            <w:bottom w:w="0" w:type="dxa"/>
            <w:right w:w="108" w:type="dxa"/>
          </w:tblCellMar>
        </w:tblPrEx>
        <w:trPr>
          <w:trHeight w:val="4494"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746B196E">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20</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181C6E0A">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解释</w:t>
            </w:r>
          </w:p>
        </w:tc>
        <w:tc>
          <w:tcPr>
            <w:tcW w:w="6825" w:type="dxa"/>
            <w:tcBorders>
              <w:top w:val="single" w:color="000000" w:sz="4" w:space="0"/>
              <w:left w:val="single" w:color="000000" w:sz="4" w:space="0"/>
              <w:bottom w:val="single" w:color="000000" w:sz="4" w:space="0"/>
              <w:right w:val="single" w:color="000000" w:sz="4" w:space="0"/>
            </w:tcBorders>
            <w:noWrap w:val="0"/>
            <w:vAlign w:val="center"/>
          </w:tcPr>
          <w:p w14:paraId="329601CC">
            <w:pPr>
              <w:tabs>
                <w:tab w:val="left" w:pos="739"/>
              </w:tabs>
              <w:adjustRightInd/>
              <w:spacing w:line="400" w:lineRule="exact"/>
              <w:ind w:left="72" w:leftChars="30"/>
              <w:jc w:val="both"/>
              <w:rPr>
                <w:rFonts w:ascii="宋体" w:hAnsi="宋体" w:cs="宋体"/>
                <w:color w:val="auto"/>
                <w:szCs w:val="24"/>
                <w:highlight w:val="none"/>
                <w:lang w:bidi="zh-CN"/>
              </w:rPr>
            </w:pPr>
            <w:r>
              <w:rPr>
                <w:rFonts w:ascii="宋体" w:hAnsi="宋体" w:cs="宋体"/>
                <w:color w:val="auto"/>
                <w:szCs w:val="24"/>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B1AD0D9">
        <w:tblPrEx>
          <w:tblCellMar>
            <w:top w:w="0" w:type="dxa"/>
            <w:left w:w="108" w:type="dxa"/>
            <w:bottom w:w="0" w:type="dxa"/>
            <w:right w:w="108" w:type="dxa"/>
          </w:tblCellMar>
        </w:tblPrEx>
        <w:trPr>
          <w:trHeight w:val="1910" w:hRule="exact"/>
          <w:jc w:val="center"/>
        </w:trPr>
        <w:tc>
          <w:tcPr>
            <w:tcW w:w="1150" w:type="dxa"/>
            <w:tcBorders>
              <w:top w:val="single" w:color="000000" w:sz="4" w:space="0"/>
              <w:left w:val="single" w:color="000000" w:sz="4" w:space="0"/>
              <w:bottom w:val="single" w:color="000000" w:sz="4" w:space="0"/>
              <w:right w:val="single" w:color="000000" w:sz="4" w:space="0"/>
            </w:tcBorders>
            <w:noWrap w:val="0"/>
            <w:vAlign w:val="center"/>
          </w:tcPr>
          <w:p w14:paraId="2F60F33B">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21</w:t>
            </w:r>
          </w:p>
        </w:tc>
        <w:tc>
          <w:tcPr>
            <w:tcW w:w="2118" w:type="dxa"/>
            <w:tcBorders>
              <w:top w:val="single" w:color="000000" w:sz="4" w:space="0"/>
              <w:left w:val="single" w:color="000000" w:sz="4" w:space="0"/>
              <w:bottom w:val="single" w:color="000000" w:sz="4" w:space="0"/>
              <w:right w:val="single" w:color="000000" w:sz="4" w:space="0"/>
            </w:tcBorders>
            <w:noWrap w:val="0"/>
            <w:vAlign w:val="center"/>
          </w:tcPr>
          <w:p w14:paraId="57FA78F0">
            <w:pPr>
              <w:pStyle w:val="106"/>
              <w:kinsoku w:val="0"/>
              <w:overflowPunct w:val="0"/>
              <w:jc w:val="center"/>
              <w:rPr>
                <w:rFonts w:ascii="宋体" w:hAnsi="宋体" w:cs="宋体"/>
                <w:color w:val="auto"/>
                <w:szCs w:val="24"/>
                <w:highlight w:val="none"/>
              </w:rPr>
            </w:pPr>
            <w:r>
              <w:rPr>
                <w:rFonts w:ascii="宋体" w:hAnsi="宋体" w:cs="宋体"/>
                <w:color w:val="auto"/>
                <w:szCs w:val="24"/>
                <w:highlight w:val="none"/>
              </w:rPr>
              <w:t>所属行业</w:t>
            </w:r>
          </w:p>
        </w:tc>
        <w:tc>
          <w:tcPr>
            <w:tcW w:w="6825" w:type="dxa"/>
            <w:tcBorders>
              <w:top w:val="single" w:color="000000" w:sz="4" w:space="0"/>
              <w:left w:val="single" w:color="000000" w:sz="4" w:space="0"/>
              <w:bottom w:val="single" w:color="auto" w:sz="4" w:space="0"/>
              <w:right w:val="single" w:color="000000" w:sz="4" w:space="0"/>
            </w:tcBorders>
            <w:noWrap w:val="0"/>
            <w:vAlign w:val="center"/>
          </w:tcPr>
          <w:p w14:paraId="6351766D">
            <w:pPr>
              <w:tabs>
                <w:tab w:val="left" w:pos="739"/>
              </w:tabs>
              <w:adjustRightInd/>
              <w:spacing w:line="400" w:lineRule="exact"/>
              <w:ind w:left="72" w:leftChars="30"/>
              <w:jc w:val="both"/>
              <w:rPr>
                <w:rFonts w:ascii="宋体" w:hAnsi="宋体" w:cs="宋体"/>
                <w:color w:val="auto"/>
                <w:szCs w:val="24"/>
                <w:highlight w:val="none"/>
              </w:rPr>
            </w:pPr>
            <w:r>
              <w:rPr>
                <w:rFonts w:ascii="宋体" w:hAnsi="宋体" w:cs="宋体"/>
                <w:color w:val="auto"/>
                <w:szCs w:val="21"/>
                <w:highlight w:val="none"/>
              </w:rPr>
              <w:t>本项目属于</w:t>
            </w:r>
            <w:r>
              <w:rPr>
                <w:rFonts w:ascii="宋体" w:hAnsi="宋体" w:cs="宋体"/>
                <w:b/>
                <w:color w:val="auto"/>
                <w:szCs w:val="21"/>
                <w:highlight w:val="none"/>
              </w:rPr>
              <w:t>建筑业</w:t>
            </w:r>
            <w:r>
              <w:rPr>
                <w:rFonts w:ascii="宋体" w:hAnsi="宋体" w:cs="宋体"/>
                <w:color w:val="auto"/>
                <w:szCs w:val="21"/>
                <w:highlight w:val="none"/>
              </w:rPr>
              <w:t>，《中小企业声明函》格式请参照《政府采购促进中小企业发展管理办法》（财库【2020】46号）规定的格式。</w:t>
            </w:r>
          </w:p>
        </w:tc>
      </w:tr>
    </w:tbl>
    <w:p w14:paraId="7DE11670">
      <w:pPr>
        <w:pStyle w:val="13"/>
        <w:kinsoku w:val="0"/>
        <w:overflowPunct w:val="0"/>
        <w:ind w:left="0"/>
        <w:rPr>
          <w:rFonts w:hint="eastAsia" w:ascii="宋体" w:hAnsi="宋体" w:cs="宋体"/>
          <w:b/>
          <w:color w:val="auto"/>
          <w:szCs w:val="24"/>
          <w:highlight w:val="none"/>
        </w:rPr>
      </w:pPr>
    </w:p>
    <w:p w14:paraId="633923A1">
      <w:pPr>
        <w:pStyle w:val="13"/>
        <w:kinsoku w:val="0"/>
        <w:overflowPunct w:val="0"/>
        <w:ind w:left="0" w:firstLine="480" w:firstLineChars="200"/>
        <w:jc w:val="center"/>
        <w:rPr>
          <w:rFonts w:hint="eastAsia" w:ascii="宋体" w:hAnsi="宋体" w:cs="宋体"/>
          <w:color w:val="auto"/>
          <w:szCs w:val="21"/>
          <w:highlight w:val="none"/>
        </w:rPr>
      </w:pPr>
      <w:bookmarkStart w:id="28" w:name="bookmark1"/>
      <w:bookmarkEnd w:id="28"/>
      <w:bookmarkStart w:id="29" w:name="竞标须知前附表"/>
      <w:bookmarkEnd w:id="29"/>
      <w:r>
        <w:rPr>
          <w:rFonts w:hint="eastAsia" w:ascii="宋体" w:hAnsi="宋体" w:cs="宋体"/>
          <w:color w:val="auto"/>
          <w:szCs w:val="21"/>
          <w:highlight w:val="none"/>
        </w:rPr>
        <w:br w:type="page"/>
      </w:r>
      <w:r>
        <w:rPr>
          <w:rFonts w:hint="eastAsia" w:ascii="宋体" w:hAnsi="宋体" w:cs="宋体"/>
          <w:color w:val="auto"/>
          <w:szCs w:val="21"/>
          <w:highlight w:val="none"/>
        </w:rPr>
        <w:t>附录1  资格审查条件（资质最低条件）</w:t>
      </w:r>
    </w:p>
    <w:p w14:paraId="67E84844">
      <w:pPr>
        <w:pStyle w:val="13"/>
        <w:kinsoku w:val="0"/>
        <w:overflowPunct w:val="0"/>
        <w:ind w:left="0" w:firstLine="480" w:firstLineChars="200"/>
        <w:jc w:val="center"/>
        <w:rPr>
          <w:rFonts w:hint="eastAsia" w:ascii="宋体" w:hAnsi="宋体" w:cs="宋体"/>
          <w:color w:val="auto"/>
          <w:szCs w:val="21"/>
          <w:highlight w:val="none"/>
        </w:rPr>
      </w:pPr>
    </w:p>
    <w:tbl>
      <w:tblPr>
        <w:tblStyle w:val="30"/>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5"/>
      </w:tblGrid>
      <w:tr w14:paraId="1F4C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055" w:type="dxa"/>
            <w:noWrap w:val="0"/>
            <w:vAlign w:val="center"/>
          </w:tcPr>
          <w:p w14:paraId="5814861C">
            <w:pPr>
              <w:pStyle w:val="106"/>
              <w:kinsoku w:val="0"/>
              <w:overflowPunct w:val="0"/>
              <w:jc w:val="center"/>
              <w:rPr>
                <w:rFonts w:ascii="宋体" w:hAnsi="宋体" w:cs="宋体"/>
                <w:color w:val="auto"/>
                <w:highlight w:val="none"/>
              </w:rPr>
            </w:pPr>
            <w:r>
              <w:rPr>
                <w:rFonts w:ascii="宋体" w:hAnsi="宋体" w:cs="宋体"/>
                <w:color w:val="auto"/>
                <w:highlight w:val="none"/>
              </w:rPr>
              <w:t>施工企业资质等级要求</w:t>
            </w:r>
          </w:p>
        </w:tc>
      </w:tr>
      <w:tr w14:paraId="6B9D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5" w:hRule="atLeast"/>
        </w:trPr>
        <w:tc>
          <w:tcPr>
            <w:tcW w:w="10055" w:type="dxa"/>
            <w:noWrap w:val="0"/>
            <w:vAlign w:val="top"/>
          </w:tcPr>
          <w:p w14:paraId="2BDC77A2">
            <w:pPr>
              <w:snapToGrid w:val="0"/>
              <w:spacing w:line="360" w:lineRule="auto"/>
              <w:ind w:firstLine="420" w:firstLineChars="200"/>
              <w:rPr>
                <w:rFonts w:ascii="宋体" w:hAnsi="宋体" w:cs="宋体"/>
                <w:color w:val="auto"/>
                <w:sz w:val="21"/>
                <w:szCs w:val="21"/>
                <w:highlight w:val="none"/>
              </w:rPr>
            </w:pPr>
          </w:p>
          <w:p w14:paraId="14471028">
            <w:pPr>
              <w:tabs>
                <w:tab w:val="left" w:pos="1130"/>
              </w:tabs>
              <w:adjustRightInd/>
              <w:spacing w:line="400" w:lineRule="exact"/>
              <w:ind w:firstLine="480" w:firstLineChars="200"/>
              <w:rPr>
                <w:rFonts w:ascii="宋体" w:hAnsi="宋体" w:cs="宋体"/>
                <w:color w:val="auto"/>
                <w:szCs w:val="24"/>
                <w:highlight w:val="none"/>
              </w:rPr>
            </w:pPr>
            <w:r>
              <w:rPr>
                <w:rFonts w:ascii="宋体" w:hAnsi="宋体" w:cs="宋体"/>
                <w:color w:val="auto"/>
                <w:szCs w:val="24"/>
                <w:highlight w:val="none"/>
              </w:rPr>
              <w:t>1.满足《中华人民共和国政府采购法》第二十二条规定；</w:t>
            </w:r>
          </w:p>
          <w:p w14:paraId="033A724B">
            <w:pPr>
              <w:tabs>
                <w:tab w:val="left" w:pos="1130"/>
              </w:tabs>
              <w:adjustRightInd/>
              <w:spacing w:line="400" w:lineRule="exact"/>
              <w:ind w:firstLine="480" w:firstLineChars="200"/>
              <w:rPr>
                <w:rFonts w:ascii="宋体" w:hAnsi="宋体" w:cs="宋体"/>
                <w:color w:val="auto"/>
                <w:szCs w:val="24"/>
                <w:highlight w:val="none"/>
              </w:rPr>
            </w:pPr>
            <w:r>
              <w:rPr>
                <w:rFonts w:ascii="宋体" w:hAnsi="宋体" w:cs="宋体"/>
                <w:color w:val="auto"/>
                <w:szCs w:val="24"/>
                <w:highlight w:val="none"/>
              </w:rPr>
              <w:t>2.落实政府采购政策需满足的资格要求：按照财政部、工业和信息化部印发《政府采购促进中小企业发展管理办法》（财库〔2020〕46 号）的有关规定，本次</w:t>
            </w:r>
            <w:r>
              <w:rPr>
                <w:rFonts w:hint="eastAsia" w:ascii="宋体" w:hAnsi="宋体" w:cs="宋体"/>
                <w:color w:val="auto"/>
                <w:szCs w:val="24"/>
                <w:highlight w:val="none"/>
                <w:lang w:eastAsia="zh-CN"/>
              </w:rPr>
              <w:t>采购</w:t>
            </w:r>
            <w:r>
              <w:rPr>
                <w:rFonts w:ascii="宋体" w:hAnsi="宋体" w:cs="宋体"/>
                <w:color w:val="auto"/>
                <w:szCs w:val="24"/>
                <w:highlight w:val="none"/>
              </w:rPr>
              <w:t>专门面向中小微企业</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（供应商应为</w:t>
            </w:r>
            <w:r>
              <w:rPr>
                <w:rFonts w:hint="eastAsia" w:ascii="宋体" w:hAnsi="宋体" w:cs="宋体"/>
                <w:color w:val="auto"/>
                <w:szCs w:val="24"/>
                <w:highlight w:val="none"/>
                <w:lang w:val="en-US" w:eastAsia="zh-CN"/>
              </w:rPr>
              <w:t>中</w:t>
            </w:r>
            <w:r>
              <w:rPr>
                <w:rFonts w:hint="eastAsia" w:ascii="宋体" w:hAnsi="宋体" w:cs="宋体"/>
                <w:color w:val="auto"/>
                <w:szCs w:val="24"/>
                <w:highlight w:val="none"/>
              </w:rPr>
              <w:t>小微企业、监狱企业、残疾人福利性单位）</w:t>
            </w:r>
            <w:r>
              <w:rPr>
                <w:rFonts w:ascii="宋体" w:hAnsi="宋体" w:cs="宋体"/>
                <w:color w:val="auto"/>
                <w:szCs w:val="24"/>
                <w:highlight w:val="none"/>
              </w:rPr>
              <w:t>，中小微企业以国家统计局关于印发《统计上大中小微型企业划分办法（2017</w:t>
            </w:r>
            <w:r>
              <w:rPr>
                <w:rFonts w:hint="eastAsia" w:ascii="宋体" w:hAnsi="宋体" w:cs="宋体"/>
                <w:color w:val="auto"/>
                <w:szCs w:val="24"/>
                <w:highlight w:val="none"/>
                <w:lang w:eastAsia="zh-CN"/>
              </w:rPr>
              <w:t>）</w:t>
            </w:r>
            <w:r>
              <w:rPr>
                <w:rFonts w:ascii="宋体" w:hAnsi="宋体" w:cs="宋体"/>
                <w:color w:val="auto"/>
                <w:szCs w:val="24"/>
                <w:highlight w:val="none"/>
              </w:rPr>
              <w:t>》的通知附表为划分标准。</w:t>
            </w:r>
          </w:p>
          <w:p w14:paraId="644A2ED7">
            <w:pPr>
              <w:tabs>
                <w:tab w:val="left" w:pos="1130"/>
              </w:tabs>
              <w:adjustRightInd/>
              <w:spacing w:line="400" w:lineRule="exact"/>
              <w:ind w:firstLine="480" w:firstLineChars="200"/>
              <w:rPr>
                <w:rFonts w:ascii="宋体" w:hAnsi="宋体" w:cs="宋体"/>
                <w:color w:val="auto"/>
                <w:szCs w:val="24"/>
                <w:highlight w:val="none"/>
              </w:rPr>
            </w:pPr>
            <w:r>
              <w:rPr>
                <w:rFonts w:ascii="宋体" w:hAnsi="宋体" w:cs="宋体"/>
                <w:color w:val="auto"/>
                <w:szCs w:val="24"/>
                <w:highlight w:val="none"/>
              </w:rPr>
              <w:t>3.本项目的特定资格要求：</w:t>
            </w:r>
          </w:p>
          <w:p w14:paraId="1B9A7A83">
            <w:pPr>
              <w:tabs>
                <w:tab w:val="left" w:pos="1130"/>
              </w:tabs>
              <w:adjustRightInd/>
              <w:spacing w:line="400" w:lineRule="exact"/>
              <w:ind w:firstLine="480" w:firstLineChars="200"/>
              <w:rPr>
                <w:rFonts w:ascii="宋体" w:hAnsi="宋体" w:cs="宋体"/>
                <w:color w:val="auto"/>
                <w:szCs w:val="24"/>
                <w:highlight w:val="none"/>
                <w:lang w:val="zh-CN" w:bidi="zh-CN"/>
              </w:rPr>
            </w:pPr>
            <w:r>
              <w:rPr>
                <w:rFonts w:ascii="宋体" w:hAnsi="宋体" w:cs="宋体"/>
                <w:color w:val="auto"/>
                <w:szCs w:val="24"/>
                <w:highlight w:val="none"/>
                <w:lang w:val="zh-CN" w:bidi="zh-CN"/>
              </w:rPr>
              <w:t>3.1资质应满足下列条件：</w:t>
            </w:r>
          </w:p>
          <w:p w14:paraId="03EE47EF">
            <w:pPr>
              <w:tabs>
                <w:tab w:val="left" w:pos="1130"/>
              </w:tabs>
              <w:adjustRightInd/>
              <w:spacing w:line="400" w:lineRule="exact"/>
              <w:ind w:firstLine="480" w:firstLineChars="200"/>
              <w:rPr>
                <w:rFonts w:ascii="宋体" w:hAnsi="宋体" w:cs="宋体"/>
                <w:color w:val="auto"/>
                <w:szCs w:val="24"/>
                <w:highlight w:val="none"/>
                <w:lang w:val="zh-CN" w:bidi="zh-CN"/>
              </w:rPr>
            </w:pPr>
            <w:r>
              <w:rPr>
                <w:rFonts w:hint="eastAsia" w:ascii="宋体" w:hAnsi="宋体" w:cs="宋体"/>
                <w:color w:val="auto"/>
                <w:szCs w:val="24"/>
                <w:highlight w:val="none"/>
                <w:lang w:val="zh-CN" w:bidi="zh-CN"/>
              </w:rPr>
              <w:t>供应商具有有效的营业执照、有效的安全生产许可证及有效的</w:t>
            </w:r>
            <w:r>
              <w:rPr>
                <w:rFonts w:hint="eastAsia" w:ascii="宋体" w:hAnsi="宋体" w:cs="宋体"/>
                <w:color w:val="auto"/>
                <w:szCs w:val="24"/>
                <w:highlight w:val="none"/>
                <w:lang w:val="en-US" w:bidi="zh-CN"/>
              </w:rPr>
              <w:t>隧道</w:t>
            </w:r>
            <w:r>
              <w:rPr>
                <w:rFonts w:hint="eastAsia" w:ascii="宋体" w:hAnsi="宋体" w:cs="宋体"/>
                <w:color w:val="auto"/>
                <w:szCs w:val="24"/>
                <w:highlight w:val="none"/>
                <w:lang w:val="zh-CN" w:bidi="zh-CN"/>
              </w:rPr>
              <w:t>养护乙级（含）以上资质，并在人员、设备、资金等方面具有相应的施工能力。</w:t>
            </w:r>
          </w:p>
          <w:p w14:paraId="3EB4501F">
            <w:pPr>
              <w:tabs>
                <w:tab w:val="left" w:pos="1130"/>
              </w:tabs>
              <w:adjustRightInd/>
              <w:spacing w:line="400" w:lineRule="exact"/>
              <w:ind w:firstLine="480" w:firstLineChars="200"/>
              <w:rPr>
                <w:rFonts w:ascii="宋体" w:hAnsi="宋体" w:cs="宋体"/>
                <w:color w:val="auto"/>
                <w:szCs w:val="24"/>
                <w:highlight w:val="none"/>
                <w:lang w:val="zh-CN" w:bidi="zh-CN"/>
              </w:rPr>
            </w:pPr>
            <w:r>
              <w:rPr>
                <w:rFonts w:ascii="宋体" w:hAnsi="宋体" w:cs="宋体"/>
                <w:color w:val="auto"/>
                <w:szCs w:val="24"/>
                <w:highlight w:val="none"/>
                <w:lang w:val="zh-CN" w:bidi="zh-CN"/>
              </w:rPr>
              <w:t>注：（1）公路养护作业单位资质按照《公路养护作业单位资质管理办法》（中华人民共和国交通运输部令2021年第22号）和《广西壮族自治区交通运输厅关于印发广西公路养护作业单位资质管理实施细则的通知》等文件要求，根据</w:t>
            </w:r>
            <w:r>
              <w:rPr>
                <w:rFonts w:hint="eastAsia" w:ascii="宋体" w:hAnsi="宋体" w:cs="宋体"/>
                <w:color w:val="auto"/>
                <w:szCs w:val="24"/>
                <w:highlight w:val="none"/>
                <w:lang w:val="zh-CN" w:bidi="zh-CN"/>
              </w:rPr>
              <w:t>采购</w:t>
            </w:r>
            <w:r>
              <w:rPr>
                <w:rFonts w:ascii="宋体" w:hAnsi="宋体" w:cs="宋体"/>
                <w:color w:val="auto"/>
                <w:szCs w:val="24"/>
                <w:highlight w:val="none"/>
                <w:lang w:val="zh-CN" w:bidi="zh-CN"/>
              </w:rPr>
              <w:t>项目具体特点和实际情况确定。</w:t>
            </w:r>
          </w:p>
          <w:p w14:paraId="38FEEEF6">
            <w:pPr>
              <w:tabs>
                <w:tab w:val="left" w:pos="1130"/>
              </w:tabs>
              <w:adjustRightInd/>
              <w:spacing w:line="400" w:lineRule="exact"/>
              <w:ind w:firstLine="480" w:firstLineChars="200"/>
              <w:rPr>
                <w:rFonts w:ascii="宋体" w:hAnsi="宋体" w:cs="宋体"/>
                <w:color w:val="auto"/>
                <w:szCs w:val="24"/>
                <w:highlight w:val="none"/>
                <w:lang w:val="zh-CN" w:bidi="zh-CN"/>
              </w:rPr>
            </w:pPr>
            <w:r>
              <w:rPr>
                <w:rFonts w:ascii="宋体" w:hAnsi="宋体" w:cs="宋体"/>
                <w:color w:val="auto"/>
                <w:szCs w:val="24"/>
                <w:highlight w:val="none"/>
                <w:lang w:val="zh-CN" w:bidi="zh-CN"/>
              </w:rPr>
              <w:t>（2）</w:t>
            </w:r>
            <w:r>
              <w:rPr>
                <w:rFonts w:hint="eastAsia" w:ascii="宋体" w:hAnsi="宋体" w:cs="宋体"/>
                <w:color w:val="auto"/>
                <w:szCs w:val="24"/>
                <w:highlight w:val="none"/>
                <w:lang w:val="zh-CN" w:bidi="zh-CN"/>
              </w:rPr>
              <w:t>供应商</w:t>
            </w:r>
            <w:r>
              <w:rPr>
                <w:rFonts w:ascii="宋体" w:hAnsi="宋体" w:cs="宋体"/>
                <w:color w:val="auto"/>
                <w:szCs w:val="24"/>
                <w:highlight w:val="none"/>
                <w:lang w:val="zh-CN" w:bidi="zh-CN"/>
              </w:rPr>
              <w:t>应进入交通运输部“全国公路建设市场信用信息管理系</w:t>
            </w:r>
            <w:r>
              <w:rPr>
                <w:rFonts w:hint="eastAsia" w:ascii="宋体" w:hAnsi="宋体" w:cs="宋体"/>
                <w:color w:val="auto"/>
                <w:szCs w:val="24"/>
                <w:highlight w:val="none"/>
                <w:lang w:val="en-US" w:bidi="zh-CN"/>
              </w:rPr>
              <w:t>统</w:t>
            </w:r>
            <w:r>
              <w:rPr>
                <w:rFonts w:ascii="宋体" w:hAnsi="宋体" w:cs="宋体"/>
                <w:color w:val="auto"/>
                <w:szCs w:val="24"/>
                <w:highlight w:val="none"/>
                <w:lang w:val="zh-CN" w:bidi="zh-CN"/>
              </w:rPr>
              <w:t>（http://glxy.mot.gov.cn）”中的公路工程施工资质企业名录，且</w:t>
            </w:r>
            <w:r>
              <w:rPr>
                <w:rFonts w:hint="eastAsia" w:ascii="宋体" w:hAnsi="宋体" w:cs="宋体"/>
                <w:color w:val="auto"/>
                <w:szCs w:val="24"/>
                <w:highlight w:val="none"/>
                <w:lang w:val="zh-CN" w:bidi="zh-CN"/>
              </w:rPr>
              <w:t>供应商</w:t>
            </w:r>
            <w:r>
              <w:rPr>
                <w:rFonts w:ascii="宋体" w:hAnsi="宋体" w:cs="宋体"/>
                <w:color w:val="auto"/>
                <w:szCs w:val="24"/>
                <w:highlight w:val="none"/>
                <w:lang w:val="zh-CN" w:bidi="zh-CN"/>
              </w:rPr>
              <w:t>名称和资质与该名录中的相应企业名称和资质完全一致。</w:t>
            </w:r>
          </w:p>
          <w:p w14:paraId="5BA7F4F7">
            <w:pPr>
              <w:tabs>
                <w:tab w:val="left" w:pos="1130"/>
              </w:tabs>
              <w:adjustRightInd/>
              <w:spacing w:line="400" w:lineRule="exact"/>
              <w:ind w:firstLine="480" w:firstLineChars="200"/>
              <w:rPr>
                <w:rFonts w:ascii="宋体" w:hAnsi="宋体" w:cs="宋体"/>
                <w:color w:val="auto"/>
                <w:szCs w:val="24"/>
                <w:highlight w:val="none"/>
                <w:lang w:val="zh-CN"/>
              </w:rPr>
            </w:pPr>
            <w:r>
              <w:rPr>
                <w:rFonts w:ascii="宋体" w:hAnsi="宋体" w:cs="宋体"/>
                <w:color w:val="auto"/>
                <w:szCs w:val="24"/>
                <w:highlight w:val="none"/>
                <w:lang w:val="zh-CN"/>
              </w:rPr>
              <w:t>3.2具有省级或以上建设行政主管部门颁发的建筑施工企业安全生产许可证，并在人员、设备、资金等方面具有相应的施工能力。</w:t>
            </w:r>
          </w:p>
          <w:p w14:paraId="60AD8CD4">
            <w:pPr>
              <w:tabs>
                <w:tab w:val="left" w:pos="1130"/>
              </w:tabs>
              <w:adjustRightInd/>
              <w:spacing w:line="400" w:lineRule="exact"/>
              <w:ind w:firstLine="420" w:firstLineChars="200"/>
              <w:rPr>
                <w:rFonts w:ascii="宋体" w:hAnsi="宋体" w:cs="宋体"/>
                <w:color w:val="auto"/>
                <w:sz w:val="21"/>
                <w:szCs w:val="21"/>
                <w:highlight w:val="none"/>
              </w:rPr>
            </w:pPr>
          </w:p>
        </w:tc>
      </w:tr>
    </w:tbl>
    <w:p w14:paraId="4B5688D0">
      <w:pPr>
        <w:pStyle w:val="13"/>
        <w:kinsoku w:val="0"/>
        <w:overflowPunct w:val="0"/>
        <w:ind w:left="0" w:firstLine="480" w:firstLineChars="200"/>
        <w:jc w:val="center"/>
        <w:rPr>
          <w:rFonts w:hint="eastAsia" w:ascii="宋体" w:hAnsi="宋体" w:cs="宋体"/>
          <w:color w:val="auto"/>
          <w:szCs w:val="21"/>
          <w:highlight w:val="none"/>
        </w:rPr>
      </w:pPr>
    </w:p>
    <w:p w14:paraId="18C1CE8D">
      <w:pPr>
        <w:tabs>
          <w:tab w:val="left" w:pos="991"/>
        </w:tabs>
        <w:jc w:val="center"/>
        <w:rPr>
          <w:rFonts w:ascii="宋体" w:hAnsi="宋体" w:cs="宋体"/>
          <w:color w:val="auto"/>
          <w:szCs w:val="21"/>
          <w:highlight w:val="none"/>
        </w:rPr>
      </w:pPr>
    </w:p>
    <w:p w14:paraId="5AAF5405">
      <w:pPr>
        <w:pStyle w:val="3"/>
        <w:rPr>
          <w:rFonts w:ascii="宋体" w:hAnsi="宋体" w:eastAsia="宋体" w:cs="宋体"/>
          <w:color w:val="auto"/>
          <w:szCs w:val="21"/>
          <w:highlight w:val="none"/>
        </w:rPr>
      </w:pPr>
    </w:p>
    <w:p w14:paraId="5EC316F5">
      <w:pPr>
        <w:rPr>
          <w:rFonts w:ascii="宋体" w:hAnsi="宋体" w:cs="宋体"/>
          <w:color w:val="auto"/>
          <w:highlight w:val="none"/>
        </w:rPr>
      </w:pPr>
    </w:p>
    <w:p w14:paraId="25BECEC2">
      <w:pPr>
        <w:pStyle w:val="3"/>
        <w:rPr>
          <w:rFonts w:ascii="宋体" w:hAnsi="宋体" w:eastAsia="宋体" w:cs="宋体"/>
          <w:color w:val="auto"/>
          <w:highlight w:val="none"/>
        </w:rPr>
      </w:pPr>
    </w:p>
    <w:p w14:paraId="7319C726">
      <w:pPr>
        <w:rPr>
          <w:rFonts w:ascii="宋体" w:hAnsi="宋体" w:cs="宋体"/>
          <w:color w:val="auto"/>
          <w:highlight w:val="none"/>
        </w:rPr>
      </w:pPr>
    </w:p>
    <w:p w14:paraId="289D99CE">
      <w:pPr>
        <w:pStyle w:val="3"/>
        <w:rPr>
          <w:rFonts w:ascii="宋体" w:hAnsi="宋体" w:eastAsia="宋体" w:cs="宋体"/>
          <w:color w:val="auto"/>
          <w:highlight w:val="none"/>
        </w:rPr>
      </w:pPr>
    </w:p>
    <w:p w14:paraId="12E91F34">
      <w:pPr>
        <w:rPr>
          <w:rFonts w:ascii="宋体" w:hAnsi="宋体" w:cs="宋体"/>
          <w:color w:val="auto"/>
          <w:highlight w:val="none"/>
        </w:rPr>
      </w:pPr>
    </w:p>
    <w:p w14:paraId="09866B50">
      <w:pPr>
        <w:pStyle w:val="3"/>
        <w:rPr>
          <w:rFonts w:ascii="宋体" w:hAnsi="宋体" w:eastAsia="宋体" w:cs="宋体"/>
          <w:color w:val="auto"/>
          <w:highlight w:val="none"/>
        </w:rPr>
      </w:pPr>
    </w:p>
    <w:p w14:paraId="1987CE68">
      <w:pPr>
        <w:rPr>
          <w:rFonts w:ascii="宋体" w:hAnsi="宋体" w:cs="宋体"/>
          <w:color w:val="auto"/>
          <w:highlight w:val="none"/>
        </w:rPr>
      </w:pPr>
    </w:p>
    <w:p w14:paraId="5D5410B2">
      <w:pPr>
        <w:pStyle w:val="3"/>
        <w:rPr>
          <w:rFonts w:ascii="宋体" w:hAnsi="宋体" w:eastAsia="宋体" w:cs="宋体"/>
          <w:color w:val="auto"/>
          <w:highlight w:val="none"/>
        </w:rPr>
      </w:pPr>
    </w:p>
    <w:p w14:paraId="3A02AE59">
      <w:pPr>
        <w:rPr>
          <w:rFonts w:ascii="宋体" w:hAnsi="宋体" w:cs="宋体"/>
          <w:color w:val="auto"/>
          <w:highlight w:val="none"/>
        </w:rPr>
      </w:pPr>
    </w:p>
    <w:p w14:paraId="7401CBB6">
      <w:pPr>
        <w:pStyle w:val="3"/>
        <w:rPr>
          <w:rFonts w:ascii="宋体" w:hAnsi="宋体" w:eastAsia="宋体" w:cs="宋体"/>
          <w:color w:val="auto"/>
          <w:highlight w:val="none"/>
        </w:rPr>
      </w:pPr>
    </w:p>
    <w:p w14:paraId="38047A4B">
      <w:pPr>
        <w:rPr>
          <w:rFonts w:ascii="宋体" w:hAnsi="宋体" w:cs="宋体"/>
          <w:color w:val="auto"/>
          <w:highlight w:val="none"/>
        </w:rPr>
      </w:pPr>
    </w:p>
    <w:p w14:paraId="68C1753D">
      <w:pPr>
        <w:tabs>
          <w:tab w:val="left" w:pos="991"/>
        </w:tabs>
        <w:jc w:val="center"/>
        <w:rPr>
          <w:rFonts w:ascii="宋体" w:hAnsi="宋体" w:cs="宋体"/>
          <w:color w:val="auto"/>
          <w:szCs w:val="21"/>
          <w:highlight w:val="none"/>
        </w:rPr>
      </w:pPr>
    </w:p>
    <w:p w14:paraId="2F7C2320">
      <w:pPr>
        <w:tabs>
          <w:tab w:val="left" w:pos="991"/>
        </w:tabs>
        <w:jc w:val="center"/>
        <w:rPr>
          <w:rFonts w:ascii="宋体" w:hAnsi="宋体" w:cs="宋体"/>
          <w:color w:val="auto"/>
          <w:szCs w:val="21"/>
          <w:highlight w:val="none"/>
        </w:rPr>
      </w:pPr>
      <w:r>
        <w:rPr>
          <w:rFonts w:ascii="宋体" w:hAnsi="宋体" w:cs="宋体"/>
          <w:color w:val="auto"/>
          <w:szCs w:val="21"/>
          <w:highlight w:val="none"/>
        </w:rPr>
        <w:t>附录2  资格审查条件（财务最低条件）</w:t>
      </w:r>
    </w:p>
    <w:p w14:paraId="07E1205F">
      <w:pPr>
        <w:tabs>
          <w:tab w:val="left" w:pos="991"/>
        </w:tabs>
        <w:jc w:val="center"/>
        <w:rPr>
          <w:rFonts w:ascii="宋体" w:hAnsi="宋体" w:cs="宋体"/>
          <w:color w:val="auto"/>
          <w:szCs w:val="21"/>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3"/>
      </w:tblGrid>
      <w:tr w14:paraId="2F98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noWrap w:val="0"/>
            <w:vAlign w:val="center"/>
          </w:tcPr>
          <w:p w14:paraId="3106ACD2">
            <w:pPr>
              <w:spacing w:line="360" w:lineRule="auto"/>
              <w:jc w:val="center"/>
              <w:rPr>
                <w:rFonts w:ascii="宋体" w:hAnsi="宋体" w:cs="宋体"/>
                <w:color w:val="auto"/>
                <w:sz w:val="21"/>
                <w:szCs w:val="21"/>
                <w:highlight w:val="none"/>
              </w:rPr>
            </w:pPr>
            <w:r>
              <w:rPr>
                <w:rFonts w:ascii="宋体" w:hAnsi="宋体" w:cs="宋体"/>
                <w:color w:val="auto"/>
                <w:kern w:val="10"/>
                <w:szCs w:val="21"/>
                <w:highlight w:val="none"/>
                <w:lang w:val="zh-CN"/>
              </w:rPr>
              <w:t>财 务 要 求</w:t>
            </w:r>
          </w:p>
        </w:tc>
      </w:tr>
      <w:tr w14:paraId="0ED5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noWrap w:val="0"/>
            <w:vAlign w:val="top"/>
          </w:tcPr>
          <w:p w14:paraId="1392CDDF">
            <w:pPr>
              <w:spacing w:line="360" w:lineRule="auto"/>
              <w:ind w:firstLine="480" w:firstLineChars="200"/>
              <w:rPr>
                <w:rFonts w:ascii="宋体" w:hAnsi="宋体" w:cs="宋体"/>
                <w:color w:val="auto"/>
                <w:kern w:val="10"/>
                <w:szCs w:val="21"/>
                <w:highlight w:val="none"/>
                <w:lang w:val="zh-CN"/>
              </w:rPr>
            </w:pPr>
          </w:p>
          <w:p w14:paraId="19910F3B">
            <w:pPr>
              <w:snapToGrid w:val="0"/>
              <w:spacing w:line="480" w:lineRule="exact"/>
              <w:ind w:firstLine="480" w:firstLineChars="200"/>
              <w:rPr>
                <w:rFonts w:ascii="宋体" w:hAnsi="宋体" w:cs="宋体"/>
                <w:color w:val="auto"/>
                <w:kern w:val="10"/>
                <w:sz w:val="21"/>
                <w:szCs w:val="21"/>
                <w:highlight w:val="none"/>
                <w:lang w:val="zh-CN"/>
              </w:rPr>
            </w:pPr>
            <w:r>
              <w:rPr>
                <w:rFonts w:hint="eastAsia" w:ascii="宋体" w:hAnsi="宋体" w:eastAsia="宋体" w:cs="宋体"/>
                <w:color w:val="auto"/>
                <w:sz w:val="24"/>
                <w:szCs w:val="24"/>
                <w:highlight w:val="none"/>
                <w:lang w:eastAsia="zh-CN"/>
              </w:rPr>
              <w:t>供应商2023年或2024年经审计的财务状况报告或银行出具的资信证明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从取得营业执照时间起到首次响应文件提交截止时间为止不足要求的，需提供成立之日起至响应文件提交截止时间前的月报表。</w:t>
            </w:r>
            <w:r>
              <w:rPr>
                <w:rFonts w:hint="eastAsia" w:ascii="宋体" w:hAnsi="宋体" w:cs="宋体"/>
                <w:color w:val="auto"/>
                <w:sz w:val="24"/>
                <w:szCs w:val="24"/>
                <w:highlight w:val="none"/>
                <w:lang w:eastAsia="zh-CN"/>
              </w:rPr>
              <w:t>】</w:t>
            </w:r>
          </w:p>
          <w:p w14:paraId="5DF46B1B">
            <w:pPr>
              <w:spacing w:line="360" w:lineRule="auto"/>
              <w:ind w:firstLine="420" w:firstLineChars="200"/>
              <w:rPr>
                <w:rFonts w:ascii="宋体" w:hAnsi="宋体" w:cs="宋体"/>
                <w:color w:val="auto"/>
                <w:kern w:val="10"/>
                <w:sz w:val="21"/>
                <w:szCs w:val="21"/>
                <w:highlight w:val="none"/>
                <w:lang w:val="zh-CN"/>
              </w:rPr>
            </w:pPr>
          </w:p>
          <w:p w14:paraId="208ECB52">
            <w:pPr>
              <w:spacing w:line="360" w:lineRule="auto"/>
              <w:ind w:firstLine="420" w:firstLineChars="200"/>
              <w:rPr>
                <w:rFonts w:ascii="宋体" w:hAnsi="宋体" w:cs="宋体"/>
                <w:color w:val="auto"/>
                <w:kern w:val="10"/>
                <w:sz w:val="21"/>
                <w:szCs w:val="21"/>
                <w:highlight w:val="none"/>
                <w:lang w:val="zh-CN"/>
              </w:rPr>
            </w:pPr>
          </w:p>
          <w:p w14:paraId="2763D2F1">
            <w:pPr>
              <w:spacing w:line="360" w:lineRule="auto"/>
              <w:ind w:firstLine="0" w:firstLineChars="0"/>
              <w:rPr>
                <w:rFonts w:ascii="宋体" w:hAnsi="宋体" w:cs="宋体"/>
                <w:color w:val="auto"/>
                <w:kern w:val="10"/>
                <w:sz w:val="21"/>
                <w:szCs w:val="21"/>
                <w:highlight w:val="none"/>
                <w:lang w:val="zh-CN"/>
              </w:rPr>
            </w:pPr>
          </w:p>
        </w:tc>
      </w:tr>
    </w:tbl>
    <w:p w14:paraId="7A57A48F">
      <w:pPr>
        <w:tabs>
          <w:tab w:val="left" w:pos="991"/>
        </w:tabs>
        <w:jc w:val="center"/>
        <w:rPr>
          <w:rFonts w:ascii="宋体" w:hAnsi="宋体" w:cs="宋体"/>
          <w:color w:val="auto"/>
          <w:szCs w:val="21"/>
          <w:highlight w:val="none"/>
        </w:rPr>
      </w:pPr>
    </w:p>
    <w:p w14:paraId="7921BBA3">
      <w:pPr>
        <w:tabs>
          <w:tab w:val="left" w:pos="991"/>
        </w:tabs>
        <w:jc w:val="center"/>
        <w:rPr>
          <w:rFonts w:ascii="宋体" w:hAnsi="宋体" w:cs="宋体"/>
          <w:color w:val="auto"/>
          <w:szCs w:val="21"/>
          <w:highlight w:val="none"/>
        </w:rPr>
      </w:pPr>
    </w:p>
    <w:p w14:paraId="596AB2B0">
      <w:pPr>
        <w:spacing w:line="360" w:lineRule="auto"/>
        <w:jc w:val="center"/>
        <w:rPr>
          <w:rFonts w:ascii="宋体" w:hAnsi="宋体" w:cs="宋体"/>
          <w:b/>
          <w:bCs/>
          <w:color w:val="auto"/>
          <w:highlight w:val="none"/>
          <w:lang w:val="zh-CN"/>
        </w:rPr>
      </w:pPr>
    </w:p>
    <w:p w14:paraId="306154EC">
      <w:pPr>
        <w:spacing w:line="360" w:lineRule="auto"/>
        <w:jc w:val="center"/>
        <w:rPr>
          <w:rFonts w:ascii="宋体" w:hAnsi="宋体" w:cs="宋体"/>
          <w:b/>
          <w:bCs/>
          <w:color w:val="auto"/>
          <w:highlight w:val="none"/>
          <w:lang w:val="zh-CN"/>
        </w:rPr>
      </w:pPr>
    </w:p>
    <w:p w14:paraId="2EE13D53">
      <w:pPr>
        <w:pStyle w:val="3"/>
        <w:jc w:val="center"/>
        <w:rPr>
          <w:rFonts w:ascii="宋体" w:hAnsi="宋体" w:eastAsia="宋体" w:cs="宋体"/>
          <w:color w:val="auto"/>
          <w:highlight w:val="none"/>
          <w:lang w:val="zh-CN"/>
        </w:rPr>
      </w:pPr>
    </w:p>
    <w:p w14:paraId="36A338A1">
      <w:pPr>
        <w:spacing w:line="360" w:lineRule="auto"/>
        <w:jc w:val="center"/>
        <w:rPr>
          <w:rFonts w:ascii="宋体" w:hAnsi="宋体" w:cs="宋体"/>
          <w:b/>
          <w:bCs/>
          <w:color w:val="auto"/>
          <w:highlight w:val="none"/>
          <w:lang w:val="zh-CN"/>
        </w:rPr>
      </w:pPr>
    </w:p>
    <w:p w14:paraId="1EE69969">
      <w:pPr>
        <w:spacing w:line="360" w:lineRule="auto"/>
        <w:jc w:val="center"/>
        <w:rPr>
          <w:rFonts w:ascii="宋体" w:hAnsi="宋体" w:cs="宋体"/>
          <w:b/>
          <w:bCs/>
          <w:color w:val="auto"/>
          <w:highlight w:val="none"/>
          <w:lang w:val="zh-CN"/>
        </w:rPr>
      </w:pPr>
    </w:p>
    <w:p w14:paraId="25AFFDBB">
      <w:pPr>
        <w:spacing w:line="360" w:lineRule="auto"/>
        <w:jc w:val="center"/>
        <w:rPr>
          <w:rFonts w:ascii="宋体" w:hAnsi="宋体" w:cs="宋体"/>
          <w:b/>
          <w:bCs/>
          <w:color w:val="auto"/>
          <w:highlight w:val="none"/>
        </w:rPr>
      </w:pPr>
      <w:r>
        <w:rPr>
          <w:rFonts w:ascii="宋体" w:hAnsi="宋体" w:cs="宋体"/>
          <w:b/>
          <w:bCs/>
          <w:color w:val="auto"/>
          <w:highlight w:val="none"/>
          <w:lang w:val="zh-CN"/>
        </w:rPr>
        <w:t>附录</w:t>
      </w:r>
      <w:r>
        <w:rPr>
          <w:rFonts w:ascii="宋体" w:hAnsi="宋体" w:cs="宋体"/>
          <w:b/>
          <w:bCs/>
          <w:color w:val="auto"/>
          <w:highlight w:val="none"/>
        </w:rPr>
        <w:t xml:space="preserve">3  </w:t>
      </w:r>
      <w:r>
        <w:rPr>
          <w:rFonts w:ascii="宋体" w:hAnsi="宋体" w:cs="宋体"/>
          <w:b/>
          <w:bCs/>
          <w:color w:val="auto"/>
          <w:highlight w:val="none"/>
          <w:lang w:val="zh-CN"/>
        </w:rPr>
        <w:t>资格审查条件（信誉最低条件）</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73"/>
      </w:tblGrid>
      <w:tr w14:paraId="23ADD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173" w:type="dxa"/>
            <w:tcBorders>
              <w:top w:val="single" w:color="auto" w:sz="4" w:space="0"/>
              <w:bottom w:val="single" w:color="auto" w:sz="4" w:space="0"/>
            </w:tcBorders>
            <w:noWrap w:val="0"/>
            <w:vAlign w:val="center"/>
          </w:tcPr>
          <w:p w14:paraId="70CCB491">
            <w:pPr>
              <w:spacing w:line="360" w:lineRule="auto"/>
              <w:jc w:val="center"/>
              <w:rPr>
                <w:rFonts w:ascii="宋体" w:hAnsi="宋体" w:cs="宋体"/>
                <w:color w:val="auto"/>
                <w:szCs w:val="24"/>
                <w:highlight w:val="none"/>
              </w:rPr>
            </w:pPr>
            <w:r>
              <w:rPr>
                <w:rFonts w:ascii="宋体" w:hAnsi="宋体" w:cs="宋体"/>
                <w:color w:val="auto"/>
                <w:szCs w:val="24"/>
                <w:highlight w:val="none"/>
                <w:lang w:val="zh-CN"/>
              </w:rPr>
              <w:t>信</w:t>
            </w:r>
            <w:r>
              <w:rPr>
                <w:rFonts w:ascii="宋体" w:hAnsi="宋体" w:cs="宋体"/>
                <w:color w:val="auto"/>
                <w:szCs w:val="24"/>
                <w:highlight w:val="none"/>
              </w:rPr>
              <w:t xml:space="preserve"> </w:t>
            </w:r>
            <w:r>
              <w:rPr>
                <w:rFonts w:ascii="宋体" w:hAnsi="宋体" w:cs="宋体"/>
                <w:color w:val="auto"/>
                <w:szCs w:val="24"/>
                <w:highlight w:val="none"/>
                <w:lang w:val="zh-CN"/>
              </w:rPr>
              <w:t>誉</w:t>
            </w:r>
            <w:r>
              <w:rPr>
                <w:rFonts w:ascii="宋体" w:hAnsi="宋体" w:cs="宋体"/>
                <w:color w:val="auto"/>
                <w:szCs w:val="24"/>
                <w:highlight w:val="none"/>
              </w:rPr>
              <w:t xml:space="preserve"> </w:t>
            </w:r>
            <w:r>
              <w:rPr>
                <w:rFonts w:ascii="宋体" w:hAnsi="宋体" w:cs="宋体"/>
                <w:color w:val="auto"/>
                <w:szCs w:val="24"/>
                <w:highlight w:val="none"/>
                <w:lang w:val="zh-CN"/>
              </w:rPr>
              <w:t>要</w:t>
            </w:r>
            <w:r>
              <w:rPr>
                <w:rFonts w:ascii="宋体" w:hAnsi="宋体" w:cs="宋体"/>
                <w:color w:val="auto"/>
                <w:szCs w:val="24"/>
                <w:highlight w:val="none"/>
              </w:rPr>
              <w:t xml:space="preserve"> </w:t>
            </w:r>
            <w:r>
              <w:rPr>
                <w:rFonts w:ascii="宋体" w:hAnsi="宋体" w:cs="宋体"/>
                <w:color w:val="auto"/>
                <w:szCs w:val="24"/>
                <w:highlight w:val="none"/>
                <w:lang w:val="zh-CN"/>
              </w:rPr>
              <w:t>求</w:t>
            </w:r>
          </w:p>
        </w:tc>
      </w:tr>
      <w:tr w14:paraId="00691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73" w:type="dxa"/>
            <w:tcBorders>
              <w:top w:val="single" w:color="auto" w:sz="4" w:space="0"/>
              <w:bottom w:val="single" w:color="auto" w:sz="4" w:space="0"/>
            </w:tcBorders>
            <w:noWrap w:val="0"/>
            <w:vAlign w:val="top"/>
          </w:tcPr>
          <w:p w14:paraId="033243B8">
            <w:pPr>
              <w:spacing w:line="400" w:lineRule="exact"/>
              <w:ind w:firstLine="525"/>
              <w:rPr>
                <w:rFonts w:hint="eastAsia" w:ascii="宋体" w:hAnsi="宋体" w:cs="宋体"/>
                <w:color w:val="auto"/>
                <w:kern w:val="1"/>
                <w:szCs w:val="24"/>
                <w:highlight w:val="none"/>
                <w:lang w:val="zh-CN"/>
              </w:rPr>
            </w:pPr>
            <w:r>
              <w:rPr>
                <w:rFonts w:hint="eastAsia" w:ascii="宋体" w:hAnsi="宋体" w:cs="宋体"/>
                <w:color w:val="auto"/>
                <w:kern w:val="1"/>
                <w:szCs w:val="24"/>
                <w:highlight w:val="none"/>
                <w:lang w:val="zh-CN"/>
              </w:rPr>
              <w:t xml:space="preserve">一、供应商未被在“信用中国”网站（www.creditchina.gov.cn）、中国政府采购网（www.ccgp.gov.cn）等渠道列入失信被执行人、重大税收违法失信主体、政府采购严重违法失信行为记录名单。    </w:t>
            </w:r>
          </w:p>
          <w:p w14:paraId="3A81C7B6">
            <w:pPr>
              <w:spacing w:line="400" w:lineRule="exact"/>
              <w:ind w:firstLine="525"/>
              <w:rPr>
                <w:rFonts w:hint="eastAsia" w:ascii="宋体" w:hAnsi="宋体" w:cs="宋体"/>
                <w:color w:val="auto"/>
                <w:kern w:val="1"/>
                <w:szCs w:val="24"/>
                <w:highlight w:val="none"/>
                <w:lang w:val="zh-CN"/>
              </w:rPr>
            </w:pPr>
            <w:r>
              <w:rPr>
                <w:rFonts w:hint="eastAsia" w:ascii="宋体" w:hAnsi="宋体" w:cs="宋体"/>
                <w:color w:val="auto"/>
                <w:kern w:val="1"/>
                <w:szCs w:val="24"/>
                <w:highlight w:val="none"/>
                <w:lang w:val="zh-CN"/>
              </w:rPr>
              <w:t xml:space="preserve">二、供应商不存在被交通运输部在全国范围内或广西壮族自治区交通运输厅作出取消竞标资格或禁止进入公路建设市场且处于有效期内的行政处罚。   </w:t>
            </w:r>
          </w:p>
          <w:p w14:paraId="6EA79E6C">
            <w:pPr>
              <w:spacing w:line="400" w:lineRule="exact"/>
              <w:ind w:firstLine="525"/>
              <w:rPr>
                <w:rFonts w:ascii="宋体" w:hAnsi="宋体" w:cs="宋体"/>
                <w:color w:val="auto"/>
                <w:kern w:val="1"/>
                <w:szCs w:val="24"/>
                <w:highlight w:val="none"/>
                <w:lang w:val="zh-CN"/>
              </w:rPr>
            </w:pPr>
            <w:r>
              <w:rPr>
                <w:rFonts w:hint="eastAsia" w:ascii="宋体" w:hAnsi="宋体" w:cs="宋体"/>
                <w:color w:val="auto"/>
                <w:kern w:val="1"/>
                <w:szCs w:val="24"/>
                <w:highlight w:val="none"/>
                <w:lang w:val="zh-CN"/>
              </w:rPr>
              <w:t>三、供应商或其法定代表人、拟委任的项目经理在近三年内无行贿犯罪行为。（以“中国裁判文书网”查询结果为准）。</w:t>
            </w:r>
          </w:p>
          <w:p w14:paraId="5923AF94">
            <w:pPr>
              <w:spacing w:line="440" w:lineRule="exact"/>
              <w:ind w:firstLine="420"/>
              <w:rPr>
                <w:rFonts w:ascii="宋体" w:hAnsi="宋体" w:cs="宋体"/>
                <w:color w:val="auto"/>
                <w:szCs w:val="24"/>
                <w:highlight w:val="none"/>
              </w:rPr>
            </w:pPr>
          </w:p>
        </w:tc>
      </w:tr>
    </w:tbl>
    <w:p w14:paraId="5A530162">
      <w:pPr>
        <w:spacing w:line="360" w:lineRule="auto"/>
        <w:jc w:val="center"/>
        <w:rPr>
          <w:rFonts w:ascii="宋体" w:hAnsi="宋体" w:cs="宋体"/>
          <w:b/>
          <w:bCs/>
          <w:color w:val="auto"/>
          <w:highlight w:val="none"/>
          <w:lang w:val="zh-CN"/>
        </w:rPr>
      </w:pPr>
    </w:p>
    <w:p w14:paraId="2C48A349">
      <w:pPr>
        <w:spacing w:line="360" w:lineRule="auto"/>
        <w:jc w:val="center"/>
        <w:rPr>
          <w:rFonts w:ascii="宋体" w:hAnsi="宋体" w:cs="宋体"/>
          <w:b/>
          <w:bCs/>
          <w:color w:val="auto"/>
          <w:highlight w:val="none"/>
          <w:lang w:val="zh-CN"/>
        </w:rPr>
      </w:pPr>
      <w:r>
        <w:rPr>
          <w:rFonts w:ascii="宋体" w:hAnsi="宋体" w:cs="宋体"/>
          <w:b/>
          <w:bCs/>
          <w:color w:val="auto"/>
          <w:highlight w:val="none"/>
          <w:lang w:val="zh-CN"/>
        </w:rPr>
        <w:br w:type="page"/>
      </w:r>
      <w:r>
        <w:rPr>
          <w:rFonts w:ascii="宋体" w:hAnsi="宋体" w:cs="宋体"/>
          <w:b/>
          <w:bCs/>
          <w:color w:val="auto"/>
          <w:highlight w:val="none"/>
          <w:lang w:val="zh-CN"/>
        </w:rPr>
        <w:t>附录4  资格审查条件（项目经理和项目总工最低要求）</w:t>
      </w:r>
    </w:p>
    <w:p w14:paraId="4A4E5442">
      <w:pPr>
        <w:spacing w:line="360" w:lineRule="auto"/>
        <w:jc w:val="center"/>
        <w:rPr>
          <w:rFonts w:ascii="宋体" w:hAnsi="宋体" w:cs="宋体"/>
          <w:b/>
          <w:bCs/>
          <w:color w:val="auto"/>
          <w:highlight w:val="none"/>
          <w:lang w:val="zh-CN"/>
        </w:rPr>
      </w:pPr>
    </w:p>
    <w:tbl>
      <w:tblPr>
        <w:tblStyle w:val="30"/>
        <w:tblW w:w="100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230"/>
        <w:gridCol w:w="4304"/>
        <w:gridCol w:w="2688"/>
      </w:tblGrid>
      <w:tr w14:paraId="3325C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809" w:type="dxa"/>
            <w:noWrap w:val="0"/>
            <w:vAlign w:val="center"/>
          </w:tcPr>
          <w:p w14:paraId="7E753EB0">
            <w:pPr>
              <w:pStyle w:val="106"/>
              <w:tabs>
                <w:tab w:val="left" w:pos="432"/>
              </w:tabs>
              <w:spacing w:before="171"/>
              <w:ind w:left="9"/>
              <w:jc w:val="center"/>
              <w:rPr>
                <w:rFonts w:ascii="宋体" w:hAnsi="宋体" w:cs="宋体"/>
                <w:color w:val="auto"/>
                <w:szCs w:val="24"/>
                <w:highlight w:val="none"/>
              </w:rPr>
            </w:pPr>
            <w:r>
              <w:rPr>
                <w:rFonts w:ascii="宋体" w:hAnsi="宋体" w:cs="宋体"/>
                <w:color w:val="auto"/>
                <w:szCs w:val="24"/>
                <w:highlight w:val="none"/>
              </w:rPr>
              <w:t>人员</w:t>
            </w:r>
          </w:p>
        </w:tc>
        <w:tc>
          <w:tcPr>
            <w:tcW w:w="1230" w:type="dxa"/>
            <w:noWrap w:val="0"/>
            <w:vAlign w:val="center"/>
          </w:tcPr>
          <w:p w14:paraId="4FAEC8C7">
            <w:pPr>
              <w:pStyle w:val="106"/>
              <w:spacing w:before="171"/>
              <w:ind w:left="0"/>
              <w:jc w:val="center"/>
              <w:rPr>
                <w:rFonts w:ascii="宋体" w:hAnsi="宋体" w:cs="宋体"/>
                <w:color w:val="auto"/>
                <w:szCs w:val="24"/>
                <w:highlight w:val="none"/>
              </w:rPr>
            </w:pPr>
            <w:r>
              <w:rPr>
                <w:rFonts w:ascii="宋体" w:hAnsi="宋体" w:cs="宋体"/>
                <w:color w:val="auto"/>
                <w:szCs w:val="24"/>
                <w:highlight w:val="none"/>
              </w:rPr>
              <w:t>数量</w:t>
            </w:r>
          </w:p>
        </w:tc>
        <w:tc>
          <w:tcPr>
            <w:tcW w:w="4304" w:type="dxa"/>
            <w:noWrap w:val="0"/>
            <w:vAlign w:val="center"/>
          </w:tcPr>
          <w:p w14:paraId="2C264954">
            <w:pPr>
              <w:pStyle w:val="106"/>
              <w:spacing w:before="171"/>
              <w:ind w:left="0"/>
              <w:jc w:val="center"/>
              <w:rPr>
                <w:rFonts w:ascii="宋体" w:hAnsi="宋体" w:cs="宋体"/>
                <w:color w:val="auto"/>
                <w:szCs w:val="24"/>
                <w:highlight w:val="none"/>
              </w:rPr>
            </w:pPr>
            <w:r>
              <w:rPr>
                <w:rFonts w:ascii="宋体" w:hAnsi="宋体" w:cs="宋体"/>
                <w:color w:val="auto"/>
                <w:szCs w:val="24"/>
                <w:highlight w:val="none"/>
              </w:rPr>
              <w:t>资格要求</w:t>
            </w:r>
          </w:p>
        </w:tc>
        <w:tc>
          <w:tcPr>
            <w:tcW w:w="2688" w:type="dxa"/>
            <w:noWrap w:val="0"/>
            <w:vAlign w:val="center"/>
          </w:tcPr>
          <w:p w14:paraId="7AE8A312">
            <w:pPr>
              <w:pStyle w:val="106"/>
              <w:spacing w:before="171"/>
              <w:ind w:left="1001" w:right="996"/>
              <w:jc w:val="center"/>
              <w:rPr>
                <w:rFonts w:ascii="宋体" w:hAnsi="宋体" w:cs="宋体"/>
                <w:color w:val="auto"/>
                <w:highlight w:val="none"/>
              </w:rPr>
            </w:pPr>
            <w:r>
              <w:rPr>
                <w:rFonts w:ascii="宋体" w:hAnsi="宋体" w:cs="宋体"/>
                <w:color w:val="auto"/>
                <w:highlight w:val="none"/>
              </w:rPr>
              <w:t>在岗要求</w:t>
            </w:r>
          </w:p>
        </w:tc>
      </w:tr>
      <w:tr w14:paraId="45844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4" w:hRule="atLeast"/>
        </w:trPr>
        <w:tc>
          <w:tcPr>
            <w:tcW w:w="1809" w:type="dxa"/>
            <w:noWrap w:val="0"/>
            <w:vAlign w:val="top"/>
          </w:tcPr>
          <w:p w14:paraId="320EE55B">
            <w:pPr>
              <w:pStyle w:val="106"/>
              <w:spacing w:line="300" w:lineRule="auto"/>
              <w:rPr>
                <w:rFonts w:ascii="宋体" w:hAnsi="宋体" w:cs="宋体"/>
                <w:b/>
                <w:color w:val="auto"/>
                <w:szCs w:val="24"/>
                <w:highlight w:val="none"/>
              </w:rPr>
            </w:pPr>
          </w:p>
          <w:p w14:paraId="40B76108">
            <w:pPr>
              <w:pStyle w:val="106"/>
              <w:spacing w:line="300" w:lineRule="auto"/>
              <w:rPr>
                <w:rFonts w:ascii="宋体" w:hAnsi="宋体" w:cs="宋体"/>
                <w:b/>
                <w:color w:val="auto"/>
                <w:szCs w:val="24"/>
                <w:highlight w:val="none"/>
              </w:rPr>
            </w:pPr>
          </w:p>
          <w:p w14:paraId="42941517">
            <w:pPr>
              <w:pStyle w:val="106"/>
              <w:spacing w:line="300" w:lineRule="auto"/>
              <w:rPr>
                <w:rFonts w:ascii="宋体" w:hAnsi="宋体" w:cs="宋体"/>
                <w:b/>
                <w:color w:val="auto"/>
                <w:szCs w:val="24"/>
                <w:highlight w:val="none"/>
              </w:rPr>
            </w:pPr>
          </w:p>
          <w:p w14:paraId="0E06CB30">
            <w:pPr>
              <w:pStyle w:val="106"/>
              <w:spacing w:line="300" w:lineRule="auto"/>
              <w:rPr>
                <w:rFonts w:ascii="宋体" w:hAnsi="宋体" w:cs="宋体"/>
                <w:b/>
                <w:color w:val="auto"/>
                <w:szCs w:val="24"/>
                <w:highlight w:val="none"/>
              </w:rPr>
            </w:pPr>
          </w:p>
          <w:p w14:paraId="6A796780">
            <w:pPr>
              <w:pStyle w:val="106"/>
              <w:spacing w:before="157" w:line="300" w:lineRule="auto"/>
              <w:ind w:left="12"/>
              <w:jc w:val="center"/>
              <w:rPr>
                <w:rFonts w:ascii="宋体" w:hAnsi="宋体" w:cs="宋体"/>
                <w:color w:val="auto"/>
                <w:szCs w:val="24"/>
                <w:highlight w:val="none"/>
              </w:rPr>
            </w:pPr>
            <w:r>
              <w:rPr>
                <w:rFonts w:ascii="宋体" w:hAnsi="宋体" w:cs="宋体"/>
                <w:color w:val="auto"/>
                <w:szCs w:val="24"/>
                <w:highlight w:val="none"/>
              </w:rPr>
              <w:t>项目经理</w:t>
            </w:r>
          </w:p>
        </w:tc>
        <w:tc>
          <w:tcPr>
            <w:tcW w:w="1230" w:type="dxa"/>
            <w:noWrap w:val="0"/>
            <w:vAlign w:val="center"/>
          </w:tcPr>
          <w:p w14:paraId="522F3956">
            <w:pPr>
              <w:pStyle w:val="106"/>
              <w:spacing w:line="300" w:lineRule="auto"/>
              <w:jc w:val="center"/>
              <w:rPr>
                <w:rFonts w:ascii="宋体" w:hAnsi="宋体" w:cs="宋体"/>
                <w:color w:val="auto"/>
                <w:szCs w:val="24"/>
                <w:highlight w:val="none"/>
              </w:rPr>
            </w:pPr>
            <w:bookmarkStart w:id="30" w:name="EBefae0778e6604490bc0fa64656bcee31"/>
            <w:bookmarkStart w:id="31" w:name="EBddfc4e750773451f912c7c98d0a8b31b"/>
            <w:r>
              <w:rPr>
                <w:rFonts w:ascii="宋体" w:hAnsi="宋体" w:cs="宋体"/>
                <w:color w:val="auto"/>
                <w:szCs w:val="24"/>
                <w:highlight w:val="none"/>
              </w:rPr>
              <w:t>1人</w:t>
            </w:r>
            <w:bookmarkEnd w:id="30"/>
            <w:bookmarkEnd w:id="31"/>
          </w:p>
        </w:tc>
        <w:tc>
          <w:tcPr>
            <w:tcW w:w="4304" w:type="dxa"/>
            <w:noWrap w:val="0"/>
            <w:vAlign w:val="center"/>
          </w:tcPr>
          <w:p w14:paraId="10FBB924">
            <w:pPr>
              <w:pStyle w:val="106"/>
              <w:spacing w:line="300" w:lineRule="auto"/>
              <w:rPr>
                <w:rFonts w:ascii="宋体" w:hAnsi="宋体" w:cs="宋体"/>
                <w:color w:val="auto"/>
                <w:szCs w:val="24"/>
                <w:highlight w:val="none"/>
              </w:rPr>
            </w:pPr>
            <w:bookmarkStart w:id="32" w:name="EB99d55bd9f82241a485dfcd00352df6e4"/>
            <w:r>
              <w:rPr>
                <w:rFonts w:ascii="宋体" w:hAnsi="宋体" w:cs="宋体"/>
                <w:color w:val="auto"/>
                <w:szCs w:val="24"/>
                <w:highlight w:val="none"/>
              </w:rPr>
              <w:t>1、具有工程师（或以上）职称</w:t>
            </w:r>
            <w:r>
              <w:rPr>
                <w:rFonts w:hint="eastAsia" w:ascii="宋体" w:hAnsi="宋体" w:eastAsia="宋体" w:cs="宋体"/>
                <w:color w:val="auto"/>
                <w:sz w:val="24"/>
                <w:szCs w:val="24"/>
                <w:highlight w:val="none"/>
              </w:rPr>
              <w:t>（路桥类专业）</w:t>
            </w:r>
            <w:r>
              <w:rPr>
                <w:rFonts w:ascii="宋体" w:hAnsi="宋体" w:cs="宋体"/>
                <w:color w:val="auto"/>
                <w:szCs w:val="24"/>
                <w:highlight w:val="none"/>
              </w:rPr>
              <w:t xml:space="preserve">。 </w:t>
            </w:r>
          </w:p>
          <w:p w14:paraId="693656F7">
            <w:pPr>
              <w:pStyle w:val="106"/>
              <w:spacing w:line="300" w:lineRule="auto"/>
              <w:rPr>
                <w:rFonts w:ascii="宋体" w:hAnsi="宋体" w:cs="宋体"/>
                <w:color w:val="auto"/>
                <w:szCs w:val="24"/>
                <w:highlight w:val="none"/>
              </w:rPr>
            </w:pPr>
            <w:r>
              <w:rPr>
                <w:rFonts w:ascii="宋体" w:hAnsi="宋体" w:cs="宋体"/>
                <w:color w:val="auto"/>
                <w:szCs w:val="24"/>
                <w:highlight w:val="none"/>
              </w:rPr>
              <w:t>2、具有公路工程专业二级或以上执业注册建造师证和省级或以上交通运输行政主管部门颁发的安全生产考核合格证（“三类人员”B类证书）。</w:t>
            </w:r>
          </w:p>
          <w:bookmarkEnd w:id="32"/>
          <w:p w14:paraId="28745ABF">
            <w:pPr>
              <w:pStyle w:val="106"/>
              <w:spacing w:line="300" w:lineRule="auto"/>
              <w:rPr>
                <w:rFonts w:ascii="宋体" w:hAnsi="宋体" w:cs="宋体"/>
                <w:color w:val="auto"/>
                <w:szCs w:val="24"/>
                <w:highlight w:val="none"/>
              </w:rPr>
            </w:pPr>
          </w:p>
        </w:tc>
        <w:tc>
          <w:tcPr>
            <w:tcW w:w="2688" w:type="dxa"/>
            <w:vMerge w:val="restart"/>
            <w:noWrap w:val="0"/>
            <w:vAlign w:val="center"/>
          </w:tcPr>
          <w:p w14:paraId="7708428C">
            <w:pPr>
              <w:spacing w:line="300" w:lineRule="auto"/>
              <w:rPr>
                <w:rFonts w:hint="eastAsia" w:ascii="宋体" w:hAnsi="宋体" w:cs="宋体"/>
                <w:color w:val="auto"/>
                <w:highlight w:val="none"/>
                <w:lang w:eastAsia="zh-CN"/>
              </w:rPr>
            </w:pPr>
            <w:bookmarkStart w:id="33" w:name="EB56dd2c3b66f74d07a543ece4c9a3ae13"/>
            <w:r>
              <w:rPr>
                <w:rFonts w:ascii="宋体" w:hAnsi="宋体" w:cs="宋体"/>
                <w:color w:val="auto"/>
                <w:highlight w:val="none"/>
              </w:rPr>
              <w:t>无在岗项目（指目前未在其他项目上任职，或有在建项目任职的承包人应提供随时撤离承诺书）</w:t>
            </w:r>
            <w:bookmarkEnd w:id="33"/>
            <w:r>
              <w:rPr>
                <w:rFonts w:hint="eastAsia" w:ascii="宋体" w:hAnsi="宋体" w:cs="宋体"/>
                <w:color w:val="auto"/>
                <w:highlight w:val="none"/>
                <w:lang w:eastAsia="zh-CN"/>
              </w:rPr>
              <w:t>，供应商必须提供无在岗项目承诺书，无在岗项目承诺书详见响应文件格式。若发现供应商有弄虚作假行为，将此行为记录在案，同时上报行业主管部门。</w:t>
            </w:r>
          </w:p>
        </w:tc>
      </w:tr>
      <w:tr w14:paraId="223F5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9" w:hRule="atLeast"/>
        </w:trPr>
        <w:tc>
          <w:tcPr>
            <w:tcW w:w="1809" w:type="dxa"/>
            <w:noWrap w:val="0"/>
            <w:vAlign w:val="top"/>
          </w:tcPr>
          <w:p w14:paraId="2A0D129B">
            <w:pPr>
              <w:pStyle w:val="106"/>
              <w:spacing w:line="300" w:lineRule="auto"/>
              <w:rPr>
                <w:rFonts w:ascii="宋体" w:hAnsi="宋体" w:cs="宋体"/>
                <w:b/>
                <w:color w:val="auto"/>
                <w:szCs w:val="24"/>
                <w:highlight w:val="none"/>
              </w:rPr>
            </w:pPr>
          </w:p>
          <w:p w14:paraId="06AFC8F9">
            <w:pPr>
              <w:pStyle w:val="106"/>
              <w:spacing w:line="300" w:lineRule="auto"/>
              <w:rPr>
                <w:rFonts w:ascii="宋体" w:hAnsi="宋体" w:cs="宋体"/>
                <w:b/>
                <w:color w:val="auto"/>
                <w:szCs w:val="24"/>
                <w:highlight w:val="none"/>
              </w:rPr>
            </w:pPr>
          </w:p>
          <w:p w14:paraId="03C44D9D">
            <w:pPr>
              <w:pStyle w:val="106"/>
              <w:spacing w:line="300" w:lineRule="auto"/>
              <w:rPr>
                <w:rFonts w:ascii="宋体" w:hAnsi="宋体" w:cs="宋体"/>
                <w:b/>
                <w:color w:val="auto"/>
                <w:szCs w:val="24"/>
                <w:highlight w:val="none"/>
              </w:rPr>
            </w:pPr>
          </w:p>
          <w:p w14:paraId="61F33871">
            <w:pPr>
              <w:pStyle w:val="106"/>
              <w:spacing w:line="300" w:lineRule="auto"/>
              <w:rPr>
                <w:rFonts w:ascii="宋体" w:hAnsi="宋体" w:cs="宋体"/>
                <w:b/>
                <w:color w:val="auto"/>
                <w:szCs w:val="24"/>
                <w:highlight w:val="none"/>
              </w:rPr>
            </w:pPr>
          </w:p>
          <w:p w14:paraId="6F4DCA08">
            <w:pPr>
              <w:pStyle w:val="106"/>
              <w:spacing w:before="157" w:line="300" w:lineRule="auto"/>
              <w:ind w:left="12"/>
              <w:jc w:val="center"/>
              <w:rPr>
                <w:rFonts w:ascii="宋体" w:hAnsi="宋体" w:cs="宋体"/>
                <w:color w:val="auto"/>
                <w:szCs w:val="24"/>
                <w:highlight w:val="none"/>
              </w:rPr>
            </w:pPr>
            <w:r>
              <w:rPr>
                <w:rFonts w:ascii="宋体" w:hAnsi="宋体" w:cs="宋体"/>
                <w:color w:val="auto"/>
                <w:szCs w:val="24"/>
                <w:highlight w:val="none"/>
              </w:rPr>
              <w:t>项目总工</w:t>
            </w:r>
          </w:p>
        </w:tc>
        <w:tc>
          <w:tcPr>
            <w:tcW w:w="1230" w:type="dxa"/>
            <w:noWrap w:val="0"/>
            <w:vAlign w:val="center"/>
          </w:tcPr>
          <w:p w14:paraId="33CE88FD">
            <w:pPr>
              <w:pStyle w:val="106"/>
              <w:spacing w:line="300" w:lineRule="auto"/>
              <w:jc w:val="center"/>
              <w:rPr>
                <w:rFonts w:ascii="宋体" w:hAnsi="宋体" w:cs="宋体"/>
                <w:color w:val="auto"/>
                <w:szCs w:val="24"/>
                <w:highlight w:val="none"/>
              </w:rPr>
            </w:pPr>
            <w:bookmarkStart w:id="34" w:name="EB481a8d29070641ae96bcc92b9b1b84ce"/>
            <w:r>
              <w:rPr>
                <w:rFonts w:ascii="宋体" w:hAnsi="宋体" w:cs="宋体"/>
                <w:color w:val="auto"/>
                <w:szCs w:val="24"/>
                <w:highlight w:val="none"/>
              </w:rPr>
              <w:t>1人</w:t>
            </w:r>
            <w:bookmarkEnd w:id="34"/>
          </w:p>
        </w:tc>
        <w:tc>
          <w:tcPr>
            <w:tcW w:w="4304" w:type="dxa"/>
            <w:noWrap w:val="0"/>
            <w:vAlign w:val="center"/>
          </w:tcPr>
          <w:p w14:paraId="69B4A121">
            <w:pPr>
              <w:pStyle w:val="106"/>
              <w:spacing w:line="300" w:lineRule="auto"/>
              <w:rPr>
                <w:rFonts w:ascii="宋体" w:hAnsi="宋体" w:cs="宋体"/>
                <w:color w:val="auto"/>
                <w:szCs w:val="24"/>
                <w:highlight w:val="none"/>
              </w:rPr>
            </w:pPr>
            <w:bookmarkStart w:id="35" w:name="EB667b884a89fb4f7ab94fb5669f9446a2"/>
            <w:r>
              <w:rPr>
                <w:rFonts w:ascii="宋体" w:hAnsi="宋体" w:cs="宋体"/>
                <w:color w:val="auto"/>
                <w:szCs w:val="24"/>
                <w:highlight w:val="none"/>
              </w:rPr>
              <w:t xml:space="preserve">1、具有工程师（或以上）职称（路桥类专业）。   </w:t>
            </w:r>
          </w:p>
          <w:p w14:paraId="3DF997C5">
            <w:pPr>
              <w:pStyle w:val="106"/>
              <w:spacing w:line="300" w:lineRule="auto"/>
              <w:rPr>
                <w:rFonts w:ascii="宋体" w:hAnsi="宋体" w:cs="宋体"/>
                <w:color w:val="auto"/>
                <w:szCs w:val="24"/>
                <w:highlight w:val="none"/>
              </w:rPr>
            </w:pPr>
            <w:r>
              <w:rPr>
                <w:rFonts w:ascii="宋体" w:hAnsi="宋体" w:cs="宋体"/>
                <w:color w:val="auto"/>
                <w:szCs w:val="24"/>
                <w:highlight w:val="none"/>
              </w:rPr>
              <w:t>2、具有省级或以上交通运输行政主管部门颁发的安全生产考核合格证（“三类人员”B类证书）。</w:t>
            </w:r>
          </w:p>
          <w:bookmarkEnd w:id="35"/>
          <w:p w14:paraId="100F0CA3">
            <w:pPr>
              <w:pStyle w:val="106"/>
              <w:spacing w:line="300" w:lineRule="auto"/>
              <w:rPr>
                <w:rFonts w:ascii="宋体" w:hAnsi="宋体" w:cs="宋体"/>
                <w:color w:val="auto"/>
                <w:szCs w:val="24"/>
                <w:highlight w:val="none"/>
              </w:rPr>
            </w:pPr>
          </w:p>
        </w:tc>
        <w:tc>
          <w:tcPr>
            <w:tcW w:w="2688" w:type="dxa"/>
            <w:vMerge w:val="continue"/>
            <w:tcBorders>
              <w:top w:val="nil"/>
            </w:tcBorders>
            <w:noWrap w:val="0"/>
            <w:vAlign w:val="top"/>
          </w:tcPr>
          <w:p w14:paraId="7A49CA90">
            <w:pPr>
              <w:spacing w:line="300" w:lineRule="auto"/>
              <w:rPr>
                <w:rFonts w:ascii="宋体" w:hAnsi="宋体" w:cs="宋体"/>
                <w:color w:val="auto"/>
                <w:sz w:val="2"/>
                <w:szCs w:val="2"/>
                <w:highlight w:val="none"/>
              </w:rPr>
            </w:pPr>
          </w:p>
        </w:tc>
      </w:tr>
    </w:tbl>
    <w:p w14:paraId="7225EB1D">
      <w:pPr>
        <w:spacing w:line="300" w:lineRule="auto"/>
        <w:jc w:val="both"/>
        <w:rPr>
          <w:rFonts w:ascii="宋体" w:hAnsi="宋体" w:cs="宋体"/>
          <w:b/>
          <w:bCs/>
          <w:color w:val="auto"/>
          <w:highlight w:val="none"/>
          <w:lang w:val="zh-CN"/>
        </w:rPr>
      </w:pPr>
    </w:p>
    <w:p w14:paraId="1B2661DA">
      <w:pPr>
        <w:spacing w:line="360" w:lineRule="auto"/>
        <w:rPr>
          <w:rFonts w:ascii="宋体" w:hAnsi="宋体" w:cs="宋体"/>
          <w:color w:val="auto"/>
          <w:sz w:val="21"/>
          <w:szCs w:val="21"/>
          <w:highlight w:val="none"/>
        </w:rPr>
      </w:pPr>
      <w:r>
        <w:rPr>
          <w:rFonts w:ascii="宋体" w:hAnsi="宋体" w:cs="宋体"/>
          <w:color w:val="auto"/>
          <w:sz w:val="21"/>
          <w:szCs w:val="21"/>
          <w:highlight w:val="none"/>
        </w:rPr>
        <w:t>说明：</w:t>
      </w:r>
    </w:p>
    <w:p w14:paraId="1191E709">
      <w:pPr>
        <w:spacing w:line="300" w:lineRule="auto"/>
        <w:ind w:left="12" w:leftChars="5" w:firstLine="452" w:firstLineChars="200"/>
        <w:rPr>
          <w:rFonts w:ascii="宋体" w:hAnsi="宋体" w:cs="宋体"/>
          <w:color w:val="auto"/>
          <w:spacing w:val="8"/>
          <w:sz w:val="21"/>
          <w:szCs w:val="21"/>
          <w:highlight w:val="none"/>
        </w:rPr>
      </w:pPr>
      <w:r>
        <w:rPr>
          <w:rFonts w:ascii="宋体" w:hAnsi="宋体" w:cs="宋体"/>
          <w:color w:val="auto"/>
          <w:spacing w:val="8"/>
          <w:sz w:val="21"/>
          <w:szCs w:val="21"/>
          <w:highlight w:val="none"/>
        </w:rPr>
        <w:t>1、项目总工资格要求</w:t>
      </w:r>
      <w:r>
        <w:rPr>
          <w:rFonts w:ascii="宋体" w:hAnsi="宋体" w:eastAsia="宋体" w:cs="宋体"/>
          <w:color w:val="auto"/>
          <w:spacing w:val="8"/>
          <w:sz w:val="21"/>
          <w:szCs w:val="21"/>
          <w:highlight w:val="none"/>
        </w:rPr>
        <w:t>中的“路桥类”专业是指职称证上的专业，为路桥、公路工程、桥梁工程、交通土建、交通工程、铁路、土木工程、隧道工程、市政桥梁工程等专业均可</w:t>
      </w:r>
      <w:r>
        <w:rPr>
          <w:rFonts w:ascii="宋体" w:hAnsi="宋体" w:cs="宋体"/>
          <w:color w:val="auto"/>
          <w:sz w:val="21"/>
          <w:szCs w:val="21"/>
          <w:highlight w:val="none"/>
        </w:rPr>
        <w:t>。</w:t>
      </w:r>
    </w:p>
    <w:p w14:paraId="18F7AA97">
      <w:pPr>
        <w:spacing w:line="300" w:lineRule="auto"/>
        <w:ind w:left="14" w:leftChars="6" w:firstLine="452" w:firstLineChars="200"/>
        <w:rPr>
          <w:rFonts w:ascii="宋体" w:hAnsi="宋体" w:cs="宋体"/>
          <w:color w:val="auto"/>
          <w:spacing w:val="8"/>
          <w:sz w:val="21"/>
          <w:szCs w:val="21"/>
          <w:highlight w:val="none"/>
        </w:rPr>
      </w:pPr>
      <w:r>
        <w:rPr>
          <w:rFonts w:ascii="宋体" w:hAnsi="宋体" w:cs="宋体"/>
          <w:color w:val="auto"/>
          <w:spacing w:val="8"/>
          <w:sz w:val="21"/>
          <w:szCs w:val="21"/>
          <w:highlight w:val="none"/>
        </w:rPr>
        <w:t>2、</w:t>
      </w:r>
      <w:r>
        <w:rPr>
          <w:rFonts w:hint="eastAsia" w:ascii="宋体" w:hAnsi="宋体" w:cs="宋体"/>
          <w:color w:val="auto"/>
          <w:spacing w:val="8"/>
          <w:sz w:val="21"/>
          <w:szCs w:val="21"/>
          <w:highlight w:val="none"/>
          <w:lang w:val="en-US" w:eastAsia="zh-CN"/>
        </w:rPr>
        <w:t>供应商</w:t>
      </w:r>
      <w:r>
        <w:rPr>
          <w:rFonts w:ascii="宋体" w:hAnsi="宋体" w:cs="宋体"/>
          <w:color w:val="auto"/>
          <w:spacing w:val="8"/>
          <w:sz w:val="21"/>
          <w:szCs w:val="21"/>
          <w:highlight w:val="none"/>
        </w:rPr>
        <w:t>应按本磋商文件第五章响应文件格式“资格审查资料”的“拟委任的项目经理和项目总工资历表”的附注要求，提供符合要求的相关人员资格证书、社保缴费等证明材料</w:t>
      </w:r>
      <w:r>
        <w:rPr>
          <w:rFonts w:ascii="宋体" w:hAnsi="宋体" w:cs="宋体"/>
          <w:b/>
          <w:color w:val="auto"/>
          <w:spacing w:val="8"/>
          <w:sz w:val="21"/>
          <w:szCs w:val="21"/>
          <w:highlight w:val="none"/>
        </w:rPr>
        <w:t>（项目经理或者项目总工的社保缴费单位应是</w:t>
      </w:r>
      <w:r>
        <w:rPr>
          <w:rFonts w:hint="eastAsia" w:ascii="宋体" w:hAnsi="宋体" w:cs="宋体"/>
          <w:b/>
          <w:color w:val="auto"/>
          <w:spacing w:val="8"/>
          <w:sz w:val="21"/>
          <w:szCs w:val="21"/>
          <w:highlight w:val="none"/>
        </w:rPr>
        <w:t>竞标</w:t>
      </w:r>
      <w:r>
        <w:rPr>
          <w:rFonts w:ascii="宋体" w:hAnsi="宋体" w:cs="宋体"/>
          <w:b/>
          <w:color w:val="auto"/>
          <w:spacing w:val="8"/>
          <w:sz w:val="21"/>
          <w:szCs w:val="21"/>
          <w:highlight w:val="none"/>
        </w:rPr>
        <w:t>单位，如不是本单位人员的，该</w:t>
      </w:r>
      <w:r>
        <w:rPr>
          <w:rFonts w:hint="eastAsia" w:ascii="宋体" w:hAnsi="宋体" w:cs="宋体"/>
          <w:b/>
          <w:color w:val="auto"/>
          <w:spacing w:val="8"/>
          <w:sz w:val="21"/>
          <w:szCs w:val="21"/>
          <w:highlight w:val="none"/>
          <w:lang w:eastAsia="zh-CN"/>
        </w:rPr>
        <w:t>供应商</w:t>
      </w:r>
      <w:r>
        <w:rPr>
          <w:rFonts w:ascii="宋体" w:hAnsi="宋体" w:cs="宋体"/>
          <w:b/>
          <w:color w:val="auto"/>
          <w:spacing w:val="8"/>
          <w:sz w:val="21"/>
          <w:szCs w:val="21"/>
          <w:highlight w:val="none"/>
        </w:rPr>
        <w:t>的</w:t>
      </w:r>
      <w:r>
        <w:rPr>
          <w:rFonts w:hint="eastAsia" w:ascii="宋体" w:hAnsi="宋体" w:cs="宋体"/>
          <w:b/>
          <w:color w:val="auto"/>
          <w:spacing w:val="8"/>
          <w:sz w:val="21"/>
          <w:szCs w:val="21"/>
          <w:highlight w:val="none"/>
        </w:rPr>
        <w:t>竞标</w:t>
      </w:r>
      <w:r>
        <w:rPr>
          <w:rFonts w:ascii="宋体" w:hAnsi="宋体" w:cs="宋体"/>
          <w:b/>
          <w:color w:val="auto"/>
          <w:spacing w:val="8"/>
          <w:sz w:val="21"/>
          <w:szCs w:val="21"/>
          <w:highlight w:val="none"/>
        </w:rPr>
        <w:t>作废标处理）</w:t>
      </w:r>
      <w:r>
        <w:rPr>
          <w:rFonts w:ascii="宋体" w:hAnsi="宋体" w:cs="宋体"/>
          <w:color w:val="auto"/>
          <w:spacing w:val="8"/>
          <w:sz w:val="21"/>
          <w:szCs w:val="21"/>
          <w:highlight w:val="none"/>
        </w:rPr>
        <w:t>。</w:t>
      </w:r>
    </w:p>
    <w:p w14:paraId="37C75D31">
      <w:pPr>
        <w:spacing w:line="300" w:lineRule="auto"/>
        <w:ind w:left="14" w:leftChars="6" w:firstLine="452" w:firstLineChars="200"/>
        <w:rPr>
          <w:rFonts w:hint="eastAsia" w:ascii="宋体" w:hAnsi="宋体" w:eastAsia="宋体" w:cs="宋体"/>
          <w:color w:val="auto"/>
          <w:spacing w:val="8"/>
          <w:sz w:val="21"/>
          <w:szCs w:val="21"/>
          <w:highlight w:val="none"/>
          <w:lang w:eastAsia="zh-CN"/>
        </w:rPr>
      </w:pPr>
    </w:p>
    <w:p w14:paraId="2067DCF9">
      <w:pPr>
        <w:spacing w:line="300" w:lineRule="auto"/>
        <w:ind w:left="14" w:leftChars="6" w:firstLine="452" w:firstLineChars="200"/>
        <w:rPr>
          <w:rFonts w:hint="eastAsia" w:ascii="宋体" w:hAnsi="宋体" w:cs="宋体"/>
          <w:color w:val="auto"/>
          <w:spacing w:val="8"/>
          <w:sz w:val="21"/>
          <w:szCs w:val="21"/>
          <w:highlight w:val="none"/>
        </w:rPr>
      </w:pPr>
    </w:p>
    <w:p w14:paraId="31F0CD63">
      <w:pPr>
        <w:spacing w:line="300" w:lineRule="auto"/>
        <w:ind w:firstLine="452" w:firstLineChars="200"/>
        <w:rPr>
          <w:rFonts w:ascii="宋体" w:hAnsi="宋体" w:cs="宋体"/>
          <w:color w:val="auto"/>
          <w:spacing w:val="8"/>
          <w:sz w:val="21"/>
          <w:szCs w:val="21"/>
          <w:highlight w:val="none"/>
        </w:rPr>
      </w:pPr>
    </w:p>
    <w:p w14:paraId="4E6A1BD6">
      <w:pPr>
        <w:spacing w:line="300" w:lineRule="auto"/>
        <w:ind w:firstLine="452" w:firstLineChars="200"/>
        <w:rPr>
          <w:rFonts w:ascii="宋体" w:hAnsi="宋体" w:cs="宋体"/>
          <w:color w:val="auto"/>
          <w:spacing w:val="8"/>
          <w:sz w:val="21"/>
          <w:szCs w:val="21"/>
          <w:highlight w:val="none"/>
        </w:rPr>
      </w:pPr>
    </w:p>
    <w:p w14:paraId="1FB14915">
      <w:pPr>
        <w:rPr>
          <w:rFonts w:hAnsi="宋体" w:cs="宋体"/>
          <w:color w:val="auto"/>
          <w:highlight w:val="none"/>
        </w:rPr>
      </w:pPr>
      <w:bookmarkStart w:id="36" w:name="_Toc508805150"/>
      <w:bookmarkStart w:id="37" w:name="_Toc508779693"/>
      <w:bookmarkStart w:id="38" w:name="_Toc394929394"/>
      <w:r>
        <w:rPr>
          <w:rFonts w:hAnsi="宋体" w:cs="宋体"/>
          <w:color w:val="auto"/>
          <w:highlight w:val="none"/>
        </w:rPr>
        <w:br w:type="page"/>
      </w:r>
    </w:p>
    <w:p w14:paraId="69D44626">
      <w:pPr>
        <w:pStyle w:val="5"/>
        <w:jc w:val="center"/>
        <w:rPr>
          <w:rFonts w:hAnsi="宋体" w:cs="宋体"/>
          <w:color w:val="auto"/>
          <w:highlight w:val="none"/>
        </w:rPr>
      </w:pPr>
      <w:r>
        <w:rPr>
          <w:rFonts w:hAnsi="宋体" w:cs="宋体"/>
          <w:color w:val="auto"/>
          <w:highlight w:val="none"/>
        </w:rPr>
        <w:t>附录5　资格审查条件（业绩最低要求）</w:t>
      </w:r>
      <w:bookmarkEnd w:id="36"/>
      <w:bookmarkEnd w:id="37"/>
      <w:bookmarkEnd w:id="38"/>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C57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060" w:type="dxa"/>
            <w:noWrap w:val="0"/>
            <w:vAlign w:val="center"/>
          </w:tcPr>
          <w:p w14:paraId="08403BA1">
            <w:pPr>
              <w:spacing w:line="440" w:lineRule="exact"/>
              <w:jc w:val="center"/>
              <w:rPr>
                <w:rFonts w:ascii="宋体" w:hAnsi="宋体" w:cs="宋体"/>
                <w:color w:val="auto"/>
                <w:highlight w:val="none"/>
              </w:rPr>
            </w:pPr>
            <w:r>
              <w:rPr>
                <w:rFonts w:ascii="宋体" w:hAnsi="宋体" w:cs="宋体"/>
                <w:color w:val="auto"/>
                <w:highlight w:val="none"/>
              </w:rPr>
              <w:t>业绩要求</w:t>
            </w:r>
          </w:p>
        </w:tc>
      </w:tr>
      <w:tr w14:paraId="4A48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14:paraId="0276A2C8">
            <w:pPr>
              <w:spacing w:line="440" w:lineRule="exact"/>
              <w:ind w:left="420" w:firstLine="480"/>
              <w:rPr>
                <w:rFonts w:ascii="宋体" w:hAnsi="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具有在最近5年中（20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至响应文件递交截止日</w:t>
            </w:r>
            <w:r>
              <w:rPr>
                <w:rFonts w:hint="eastAsia" w:ascii="宋体" w:hAnsi="宋体" w:eastAsia="宋体" w:cs="宋体"/>
                <w:color w:val="auto"/>
                <w:sz w:val="24"/>
                <w:szCs w:val="24"/>
                <w:highlight w:val="none"/>
              </w:rPr>
              <w:t>）</w:t>
            </w:r>
            <w:r>
              <w:rPr>
                <w:rFonts w:hint="eastAsia" w:ascii="宋体" w:hAnsi="宋体" w:eastAsia="宋体" w:cs="宋体"/>
                <w:color w:val="auto"/>
                <w:highlight w:val="none"/>
              </w:rPr>
              <w:t>按单个合同段</w:t>
            </w:r>
            <w:r>
              <w:rPr>
                <w:rFonts w:hint="eastAsia" w:ascii="宋体" w:hAnsi="宋体" w:eastAsia="宋体" w:cs="宋体"/>
                <w:color w:val="auto"/>
                <w:highlight w:val="none"/>
                <w:lang w:eastAsia="zh-CN"/>
              </w:rPr>
              <w:t>承接</w:t>
            </w:r>
            <w:r>
              <w:rPr>
                <w:rFonts w:hint="eastAsia" w:ascii="宋体" w:hAnsi="宋体" w:eastAsia="宋体" w:cs="宋体"/>
                <w:color w:val="auto"/>
                <w:highlight w:val="none"/>
              </w:rPr>
              <w:t>过类似施工业绩</w:t>
            </w:r>
            <w:r>
              <w:rPr>
                <w:rFonts w:hint="eastAsia" w:ascii="宋体" w:hAnsi="宋体" w:eastAsia="宋体" w:cs="宋体"/>
                <w:color w:val="auto"/>
                <w:sz w:val="24"/>
                <w:szCs w:val="24"/>
                <w:highlight w:val="none"/>
                <w:lang w:val="en-US" w:eastAsia="zh-CN"/>
              </w:rPr>
              <w:t>。</w:t>
            </w:r>
          </w:p>
          <w:p w14:paraId="5828AF85">
            <w:pPr>
              <w:spacing w:line="440" w:lineRule="exact"/>
              <w:ind w:left="420" w:firstLine="480"/>
              <w:rPr>
                <w:rFonts w:hint="eastAsia" w:ascii="宋体" w:hAnsi="宋体" w:eastAsia="宋体" w:cs="宋体"/>
                <w:color w:val="auto"/>
                <w:highlight w:val="none"/>
                <w:lang w:eastAsia="zh-CN"/>
              </w:rPr>
            </w:pPr>
            <w:r>
              <w:rPr>
                <w:rFonts w:hint="eastAsia" w:ascii="宋体" w:hAnsi="宋体" w:cs="宋体"/>
                <w:color w:val="auto"/>
                <w:highlight w:val="none"/>
                <w:lang w:eastAsia="zh-CN"/>
              </w:rPr>
              <w:t>类似施工业绩指：</w:t>
            </w:r>
            <w:r>
              <w:rPr>
                <w:rFonts w:hint="eastAsia" w:ascii="宋体" w:hAnsi="宋体" w:eastAsia="宋体" w:cs="宋体"/>
                <w:color w:val="auto"/>
                <w:highlight w:val="none"/>
                <w:lang w:eastAsia="zh-CN"/>
              </w:rPr>
              <w:t>隧道养护、隧道</w:t>
            </w:r>
            <w:r>
              <w:rPr>
                <w:rFonts w:hint="eastAsia" w:ascii="宋体" w:hAnsi="宋体" w:cs="宋体"/>
                <w:color w:val="auto"/>
                <w:highlight w:val="none"/>
                <w:lang w:eastAsia="zh-CN"/>
              </w:rPr>
              <w:t>（加固改造、维修、新建、改建、扩建等）</w:t>
            </w:r>
            <w:r>
              <w:rPr>
                <w:rFonts w:hint="eastAsia" w:ascii="宋体" w:hAnsi="宋体" w:eastAsia="宋体" w:cs="宋体"/>
                <w:color w:val="auto"/>
                <w:highlight w:val="none"/>
                <w:lang w:eastAsia="zh-CN"/>
              </w:rPr>
              <w:t>施工</w:t>
            </w:r>
            <w:r>
              <w:rPr>
                <w:rFonts w:hint="eastAsia" w:ascii="宋体" w:hAnsi="宋体" w:cs="宋体"/>
                <w:color w:val="auto"/>
                <w:highlight w:val="none"/>
                <w:lang w:eastAsia="zh-CN"/>
              </w:rPr>
              <w:t>。</w:t>
            </w:r>
          </w:p>
          <w:p w14:paraId="0DE3946A">
            <w:pPr>
              <w:spacing w:line="440" w:lineRule="exact"/>
              <w:ind w:left="420" w:firstLine="480"/>
              <w:rPr>
                <w:rFonts w:ascii="宋体" w:hAnsi="宋体" w:cs="宋体"/>
                <w:color w:val="auto"/>
                <w:highlight w:val="none"/>
              </w:rPr>
            </w:pPr>
            <w:r>
              <w:rPr>
                <w:rFonts w:hint="eastAsia" w:ascii="宋体" w:hAnsi="宋体" w:cs="宋体"/>
                <w:color w:val="auto"/>
                <w:highlight w:val="none"/>
              </w:rPr>
              <w:t>在建项目须提供中标通知书和施工合同的原件扫描件，已完工项目须同时提供中标通知书和施工合同及竣工验收报告的原件扫描件。</w:t>
            </w:r>
          </w:p>
          <w:p w14:paraId="1B95FCA4">
            <w:pPr>
              <w:spacing w:line="440" w:lineRule="exact"/>
              <w:ind w:left="420" w:firstLine="480"/>
              <w:rPr>
                <w:rFonts w:ascii="宋体" w:hAnsi="宋体" w:cs="宋体"/>
                <w:color w:val="auto"/>
                <w:highlight w:val="none"/>
              </w:rPr>
            </w:pPr>
          </w:p>
          <w:p w14:paraId="2A596726">
            <w:pPr>
              <w:spacing w:line="440" w:lineRule="exact"/>
              <w:ind w:left="420" w:firstLine="480"/>
              <w:rPr>
                <w:rFonts w:ascii="宋体" w:hAnsi="宋体" w:cs="宋体"/>
                <w:color w:val="auto"/>
                <w:highlight w:val="none"/>
              </w:rPr>
            </w:pPr>
          </w:p>
          <w:p w14:paraId="5B5A477E">
            <w:pPr>
              <w:spacing w:line="440" w:lineRule="exact"/>
              <w:ind w:left="420" w:firstLine="480"/>
              <w:rPr>
                <w:rFonts w:ascii="宋体" w:hAnsi="宋体" w:cs="宋体"/>
                <w:color w:val="auto"/>
                <w:highlight w:val="none"/>
              </w:rPr>
            </w:pPr>
          </w:p>
          <w:p w14:paraId="19E9F213">
            <w:pPr>
              <w:spacing w:line="440" w:lineRule="exact"/>
              <w:ind w:left="420" w:firstLine="480"/>
              <w:rPr>
                <w:rFonts w:ascii="宋体" w:hAnsi="宋体" w:cs="宋体"/>
                <w:color w:val="auto"/>
                <w:highlight w:val="none"/>
              </w:rPr>
            </w:pPr>
          </w:p>
          <w:p w14:paraId="6394F6BF">
            <w:pPr>
              <w:spacing w:line="440" w:lineRule="exact"/>
              <w:ind w:left="420" w:firstLine="480"/>
              <w:rPr>
                <w:rFonts w:ascii="宋体" w:hAnsi="宋体" w:cs="宋体"/>
                <w:color w:val="auto"/>
                <w:highlight w:val="none"/>
              </w:rPr>
            </w:pPr>
          </w:p>
          <w:p w14:paraId="3FA6C197">
            <w:pPr>
              <w:spacing w:line="440" w:lineRule="exact"/>
              <w:ind w:left="420" w:firstLine="480"/>
              <w:rPr>
                <w:rFonts w:ascii="宋体" w:hAnsi="宋体" w:cs="宋体"/>
                <w:color w:val="auto"/>
                <w:highlight w:val="none"/>
              </w:rPr>
            </w:pPr>
          </w:p>
          <w:p w14:paraId="0F2D92DF">
            <w:pPr>
              <w:spacing w:line="440" w:lineRule="exact"/>
              <w:ind w:left="420" w:firstLine="480"/>
              <w:rPr>
                <w:rFonts w:ascii="宋体" w:hAnsi="宋体" w:cs="宋体"/>
                <w:color w:val="auto"/>
                <w:highlight w:val="none"/>
              </w:rPr>
            </w:pPr>
          </w:p>
          <w:p w14:paraId="0EDDBE3B">
            <w:pPr>
              <w:spacing w:line="440" w:lineRule="exact"/>
              <w:ind w:left="420" w:firstLine="480"/>
              <w:rPr>
                <w:rFonts w:ascii="宋体" w:hAnsi="宋体" w:cs="宋体"/>
                <w:color w:val="auto"/>
                <w:highlight w:val="none"/>
              </w:rPr>
            </w:pPr>
          </w:p>
          <w:p w14:paraId="41EA662A">
            <w:pPr>
              <w:spacing w:line="440" w:lineRule="exact"/>
              <w:ind w:left="420" w:firstLine="480"/>
              <w:rPr>
                <w:rFonts w:ascii="宋体" w:hAnsi="宋体" w:cs="宋体"/>
                <w:color w:val="auto"/>
                <w:highlight w:val="none"/>
              </w:rPr>
            </w:pPr>
          </w:p>
          <w:p w14:paraId="0BDECFCD">
            <w:pPr>
              <w:spacing w:line="440" w:lineRule="exact"/>
              <w:ind w:left="420" w:firstLine="480"/>
              <w:rPr>
                <w:rFonts w:ascii="宋体" w:hAnsi="宋体" w:cs="宋体"/>
                <w:color w:val="auto"/>
                <w:highlight w:val="none"/>
              </w:rPr>
            </w:pPr>
          </w:p>
          <w:p w14:paraId="68F99BFE">
            <w:pPr>
              <w:spacing w:line="440" w:lineRule="exact"/>
              <w:ind w:left="420" w:firstLine="480"/>
              <w:rPr>
                <w:rFonts w:ascii="宋体" w:hAnsi="宋体" w:cs="宋体"/>
                <w:color w:val="auto"/>
                <w:highlight w:val="none"/>
              </w:rPr>
            </w:pPr>
          </w:p>
          <w:p w14:paraId="3C853072">
            <w:pPr>
              <w:spacing w:line="440" w:lineRule="exact"/>
              <w:ind w:left="420" w:firstLine="480"/>
              <w:rPr>
                <w:rFonts w:ascii="宋体" w:hAnsi="宋体" w:cs="宋体"/>
                <w:color w:val="auto"/>
                <w:highlight w:val="none"/>
              </w:rPr>
            </w:pPr>
          </w:p>
        </w:tc>
      </w:tr>
    </w:tbl>
    <w:p w14:paraId="3030AC89">
      <w:pPr>
        <w:ind w:firstLine="420"/>
        <w:rPr>
          <w:rFonts w:ascii="宋体" w:hAnsi="宋体" w:cs="宋体"/>
          <w:b/>
          <w:color w:val="auto"/>
          <w:szCs w:val="21"/>
          <w:highlight w:val="none"/>
        </w:rPr>
      </w:pPr>
      <w:r>
        <w:rPr>
          <w:rFonts w:ascii="宋体" w:hAnsi="宋体" w:cs="宋体"/>
          <w:color w:val="auto"/>
          <w:szCs w:val="21"/>
          <w:highlight w:val="none"/>
        </w:rPr>
        <w:t>说明：供应商应按本磋商文件第七章响应文件格式“资格审查资料”的“近年完成的类似项目情况表”的附注要求，提供符合要求的业绩证明材料。</w:t>
      </w:r>
    </w:p>
    <w:p w14:paraId="66425FF7">
      <w:pPr>
        <w:tabs>
          <w:tab w:val="left" w:pos="991"/>
        </w:tabs>
        <w:jc w:val="center"/>
        <w:rPr>
          <w:rFonts w:ascii="宋体" w:hAnsi="宋体" w:cs="宋体"/>
          <w:color w:val="auto"/>
          <w:sz w:val="28"/>
          <w:highlight w:val="none"/>
        </w:rPr>
      </w:pPr>
      <w:r>
        <w:rPr>
          <w:rFonts w:ascii="宋体" w:hAnsi="宋体" w:cs="宋体"/>
          <w:color w:val="auto"/>
          <w:szCs w:val="21"/>
          <w:highlight w:val="none"/>
        </w:rPr>
        <w:br w:type="page"/>
      </w:r>
      <w:r>
        <w:rPr>
          <w:rFonts w:ascii="宋体" w:hAnsi="宋体" w:cs="宋体"/>
          <w:color w:val="auto"/>
          <w:sz w:val="28"/>
          <w:highlight w:val="none"/>
        </w:rPr>
        <w:t>供应商须知正文</w:t>
      </w:r>
    </w:p>
    <w:p w14:paraId="2BCC2B2C">
      <w:pPr>
        <w:pStyle w:val="13"/>
        <w:kinsoku w:val="0"/>
        <w:overflowPunct w:val="0"/>
        <w:ind w:left="0" w:firstLine="480" w:firstLineChars="200"/>
        <w:rPr>
          <w:rFonts w:hint="eastAsia" w:ascii="宋体" w:hAnsi="宋体" w:cs="宋体"/>
          <w:color w:val="auto"/>
          <w:szCs w:val="21"/>
          <w:highlight w:val="none"/>
        </w:rPr>
      </w:pPr>
    </w:p>
    <w:p w14:paraId="7D5CDB76">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1"/>
          <w:highlight w:val="none"/>
        </w:rPr>
        <w:t xml:space="preserve">     </w:t>
      </w:r>
      <w:r>
        <w:rPr>
          <w:rFonts w:hint="eastAsia" w:ascii="宋体" w:hAnsi="宋体" w:cs="宋体"/>
          <w:color w:val="auto"/>
          <w:szCs w:val="24"/>
          <w:highlight w:val="none"/>
        </w:rPr>
        <w:t>1.项目说明</w:t>
      </w:r>
    </w:p>
    <w:p w14:paraId="114ADADC">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1.1工程综合说明见供应商须知“供应商须知前附表”。</w:t>
      </w:r>
    </w:p>
    <w:p w14:paraId="0A3FC198">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1.2上述工程按照《中华人民共和国政府采购法》以及有关法律、法规和规章，现通过竞争性磋商采购来择优选定施工单位。</w:t>
      </w:r>
    </w:p>
    <w:p w14:paraId="2765AC9D">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1.3供应商资格要求：符合供应商须知前附表规定。</w:t>
      </w:r>
    </w:p>
    <w:p w14:paraId="50C55B8A">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1.4本项目不接受联合体进行</w:t>
      </w:r>
      <w:r>
        <w:rPr>
          <w:rFonts w:hint="eastAsia" w:ascii="宋体" w:hAnsi="宋体" w:cs="宋体"/>
          <w:color w:val="auto"/>
          <w:highlight w:val="none"/>
          <w:lang w:eastAsia="zh-CN"/>
        </w:rPr>
        <w:t>磋商</w:t>
      </w:r>
      <w:r>
        <w:rPr>
          <w:rFonts w:hint="eastAsia" w:ascii="宋体" w:hAnsi="宋体" w:cs="宋体"/>
          <w:color w:val="auto"/>
          <w:szCs w:val="24"/>
          <w:highlight w:val="none"/>
        </w:rPr>
        <w:t>。</w:t>
      </w:r>
    </w:p>
    <w:p w14:paraId="3F40ABA3">
      <w:pPr>
        <w:pStyle w:val="8"/>
        <w:kinsoku w:val="0"/>
        <w:overflowPunct w:val="0"/>
        <w:spacing w:line="314" w:lineRule="auto"/>
        <w:ind w:left="0" w:firstLine="360" w:firstLineChars="150"/>
        <w:rPr>
          <w:rFonts w:hAnsi="宋体" w:cs="宋体"/>
          <w:color w:val="auto"/>
          <w:szCs w:val="24"/>
          <w:highlight w:val="none"/>
        </w:rPr>
      </w:pPr>
      <w:bookmarkStart w:id="39" w:name="2.资金情况"/>
      <w:bookmarkEnd w:id="39"/>
      <w:bookmarkStart w:id="40" w:name="bookmark2"/>
      <w:bookmarkEnd w:id="40"/>
      <w:bookmarkStart w:id="41" w:name="_Toc514786848"/>
      <w:r>
        <w:rPr>
          <w:rFonts w:hAnsi="宋体" w:cs="宋体"/>
          <w:color w:val="auto"/>
          <w:szCs w:val="24"/>
          <w:highlight w:val="none"/>
        </w:rPr>
        <w:t xml:space="preserve">  2.</w:t>
      </w:r>
      <w:bookmarkEnd w:id="41"/>
      <w:r>
        <w:rPr>
          <w:rFonts w:hAnsi="宋体" w:cs="宋体"/>
          <w:color w:val="auto"/>
          <w:szCs w:val="24"/>
          <w:highlight w:val="none"/>
        </w:rPr>
        <w:t>资金来源</w:t>
      </w:r>
    </w:p>
    <w:p w14:paraId="64D0D7B7">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2.1本竞标工程项目资金来源详见供应商须知前附表第</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项。</w:t>
      </w:r>
    </w:p>
    <w:p w14:paraId="2E43190A">
      <w:pPr>
        <w:pStyle w:val="8"/>
        <w:kinsoku w:val="0"/>
        <w:overflowPunct w:val="0"/>
        <w:spacing w:line="314" w:lineRule="auto"/>
        <w:ind w:left="0" w:firstLine="360" w:firstLineChars="150"/>
        <w:rPr>
          <w:rFonts w:hAnsi="宋体" w:cs="宋体"/>
          <w:color w:val="auto"/>
          <w:szCs w:val="24"/>
          <w:highlight w:val="none"/>
        </w:rPr>
      </w:pPr>
      <w:bookmarkStart w:id="42" w:name="3.竞标费用"/>
      <w:bookmarkEnd w:id="42"/>
      <w:bookmarkStart w:id="43" w:name="bookmark3"/>
      <w:bookmarkEnd w:id="43"/>
      <w:bookmarkStart w:id="44" w:name="_Toc514786849"/>
      <w:r>
        <w:rPr>
          <w:rFonts w:hAnsi="宋体" w:cs="宋体"/>
          <w:color w:val="auto"/>
          <w:szCs w:val="24"/>
          <w:highlight w:val="none"/>
        </w:rPr>
        <w:t xml:space="preserve">  3.竞标费用</w:t>
      </w:r>
      <w:bookmarkEnd w:id="44"/>
    </w:p>
    <w:p w14:paraId="3B51B8F3">
      <w:pPr>
        <w:pStyle w:val="13"/>
        <w:kinsoku w:val="0"/>
        <w:overflowPunct w:val="0"/>
        <w:spacing w:line="314" w:lineRule="auto"/>
        <w:ind w:left="0" w:firstLine="415"/>
        <w:rPr>
          <w:rFonts w:hint="eastAsia" w:ascii="宋体" w:hAnsi="宋体" w:cs="宋体"/>
          <w:color w:val="auto"/>
          <w:szCs w:val="24"/>
          <w:highlight w:val="none"/>
        </w:rPr>
      </w:pPr>
      <w:r>
        <w:rPr>
          <w:rFonts w:hint="eastAsia" w:ascii="宋体" w:hAnsi="宋体" w:cs="宋体"/>
          <w:color w:val="auto"/>
          <w:szCs w:val="24"/>
          <w:highlight w:val="none"/>
        </w:rPr>
        <w:t>供应商准备和参加竞标活动所发生的一切费用自理，不管竞标结果如何，采购人及采购代理机构对上述费用不负任何责任。</w:t>
      </w:r>
    </w:p>
    <w:p w14:paraId="17752D8A">
      <w:pPr>
        <w:pStyle w:val="8"/>
        <w:kinsoku w:val="0"/>
        <w:overflowPunct w:val="0"/>
        <w:spacing w:line="314" w:lineRule="auto"/>
        <w:ind w:left="0" w:firstLine="360" w:firstLineChars="150"/>
        <w:rPr>
          <w:rFonts w:hAnsi="宋体" w:cs="宋体"/>
          <w:color w:val="auto"/>
          <w:szCs w:val="24"/>
          <w:highlight w:val="none"/>
        </w:rPr>
      </w:pPr>
      <w:bookmarkStart w:id="45" w:name="4.竞争性磋商文件的组成"/>
      <w:bookmarkEnd w:id="45"/>
      <w:bookmarkStart w:id="46" w:name="bookmark4"/>
      <w:bookmarkEnd w:id="46"/>
      <w:bookmarkStart w:id="47" w:name="_Toc514786850"/>
      <w:r>
        <w:rPr>
          <w:rFonts w:hAnsi="宋体" w:cs="宋体"/>
          <w:color w:val="auto"/>
          <w:szCs w:val="24"/>
          <w:highlight w:val="none"/>
        </w:rPr>
        <w:t xml:space="preserve"> 4.竞争性磋商文件的组成</w:t>
      </w:r>
      <w:bookmarkEnd w:id="47"/>
    </w:p>
    <w:p w14:paraId="221362CD">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4.1竞争性磋商文件包括下列内容：</w:t>
      </w:r>
    </w:p>
    <w:p w14:paraId="7998961B">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第一章竞争性磋商公告</w:t>
      </w:r>
    </w:p>
    <w:p w14:paraId="3F1CF776">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第二章供应商须知</w:t>
      </w:r>
    </w:p>
    <w:p w14:paraId="2E76E670">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第三章</w:t>
      </w:r>
      <w:r>
        <w:rPr>
          <w:rStyle w:val="38"/>
          <w:rFonts w:ascii="宋体" w:hAnsi="宋体" w:cs="宋体"/>
          <w:i w:val="0"/>
          <w:color w:val="auto"/>
          <w:sz w:val="24"/>
          <w:szCs w:val="24"/>
          <w:highlight w:val="none"/>
        </w:rPr>
        <w:t>合同条款及格式</w:t>
      </w:r>
    </w:p>
    <w:p w14:paraId="5DE40D98">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第四章图纸</w:t>
      </w:r>
    </w:p>
    <w:p w14:paraId="6959A97A">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第五章技术规范</w:t>
      </w:r>
    </w:p>
    <w:p w14:paraId="33509FC4">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第六章工程量清单</w:t>
      </w:r>
    </w:p>
    <w:p w14:paraId="30BFC7B5">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第七章响应文件格式</w:t>
      </w:r>
    </w:p>
    <w:p w14:paraId="1B69C0EC">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第八章</w:t>
      </w:r>
      <w:r>
        <w:rPr>
          <w:rFonts w:hint="eastAsia" w:ascii="宋体" w:hAnsi="宋体" w:cs="宋体"/>
          <w:color w:val="auto"/>
          <w:szCs w:val="24"/>
          <w:highlight w:val="none"/>
          <w:lang w:eastAsia="zh-CN"/>
        </w:rPr>
        <w:t>评审</w:t>
      </w:r>
      <w:r>
        <w:rPr>
          <w:rFonts w:hint="eastAsia" w:ascii="宋体" w:hAnsi="宋体" w:cs="宋体"/>
          <w:color w:val="auto"/>
          <w:szCs w:val="24"/>
          <w:highlight w:val="none"/>
        </w:rPr>
        <w:t>办法</w:t>
      </w:r>
    </w:p>
    <w:p w14:paraId="608E7E76">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根据本章第5条、第6条对竞争性磋商文件所作的澄清、修改，构成竞争性磋商文件组成部。</w:t>
      </w:r>
    </w:p>
    <w:p w14:paraId="6E38747D">
      <w:pPr>
        <w:pStyle w:val="13"/>
        <w:kinsoku w:val="0"/>
        <w:overflowPunct w:val="0"/>
        <w:spacing w:line="314"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4.2供应商应认真审阅竞争性磋商文件中所有的竞标须知、合同格式、技术规范和图纸。</w:t>
      </w:r>
    </w:p>
    <w:p w14:paraId="71A460E0">
      <w:pPr>
        <w:pStyle w:val="8"/>
        <w:kinsoku w:val="0"/>
        <w:overflowPunct w:val="0"/>
        <w:spacing w:line="314" w:lineRule="auto"/>
        <w:ind w:left="0" w:firstLine="480" w:firstLineChars="200"/>
        <w:rPr>
          <w:rFonts w:hAnsi="宋体" w:cs="宋体"/>
          <w:color w:val="auto"/>
          <w:szCs w:val="24"/>
          <w:highlight w:val="none"/>
        </w:rPr>
      </w:pPr>
      <w:bookmarkStart w:id="48" w:name="5.竞争性磋商文件的解释_"/>
      <w:bookmarkEnd w:id="48"/>
      <w:bookmarkStart w:id="49" w:name="bookmark5"/>
      <w:bookmarkEnd w:id="49"/>
      <w:bookmarkStart w:id="50" w:name="_Toc514786851"/>
      <w:r>
        <w:rPr>
          <w:rFonts w:hAnsi="宋体" w:cs="宋体"/>
          <w:color w:val="auto"/>
          <w:szCs w:val="24"/>
          <w:highlight w:val="none"/>
        </w:rPr>
        <w:t>5.竞争性磋商文件的解释</w:t>
      </w:r>
      <w:bookmarkEnd w:id="50"/>
    </w:p>
    <w:p w14:paraId="20DD66F3">
      <w:pPr>
        <w:pStyle w:val="13"/>
        <w:kinsoku w:val="0"/>
        <w:overflowPunct w:val="0"/>
        <w:spacing w:line="314" w:lineRule="auto"/>
        <w:ind w:left="0" w:firstLine="420"/>
        <w:jc w:val="both"/>
        <w:rPr>
          <w:rFonts w:hint="eastAsia" w:ascii="宋体" w:hAnsi="宋体" w:cs="宋体"/>
          <w:color w:val="auto"/>
          <w:szCs w:val="24"/>
          <w:highlight w:val="none"/>
        </w:rPr>
      </w:pPr>
      <w:r>
        <w:rPr>
          <w:rFonts w:hint="eastAsia" w:ascii="宋体" w:hAnsi="宋体" w:cs="宋体"/>
          <w:color w:val="auto"/>
          <w:szCs w:val="24"/>
          <w:highlight w:val="none"/>
        </w:rPr>
        <w:t>供应商在收到竞争性磋商文件后，若有问题需要澄清，应于获取竞争性磋商文件后</w:t>
      </w:r>
      <w:r>
        <w:rPr>
          <w:rFonts w:hint="eastAsia" w:ascii="宋体" w:hAnsi="宋体" w:cs="宋体"/>
          <w:color w:val="auto"/>
          <w:szCs w:val="24"/>
          <w:highlight w:val="none"/>
          <w:u w:val="single"/>
        </w:rPr>
        <w:t>2日</w:t>
      </w:r>
      <w:r>
        <w:rPr>
          <w:rFonts w:hint="eastAsia" w:ascii="宋体" w:hAnsi="宋体" w:cs="宋体"/>
          <w:color w:val="auto"/>
          <w:szCs w:val="24"/>
          <w:highlight w:val="none"/>
        </w:rPr>
        <w:t>内，以书面形式（包括书面文字、电传、传真、电报等，下同）向采购人或采购代理机构提出，采购人或采购代理机构将以书面形式予以解答，答复将送给所有获得竞争性磋商文件的供应商。</w:t>
      </w:r>
    </w:p>
    <w:p w14:paraId="6980A9C5">
      <w:pPr>
        <w:pStyle w:val="8"/>
        <w:kinsoku w:val="0"/>
        <w:overflowPunct w:val="0"/>
        <w:spacing w:line="314" w:lineRule="auto"/>
        <w:ind w:left="0" w:firstLine="480" w:firstLineChars="200"/>
        <w:rPr>
          <w:rFonts w:hAnsi="宋体" w:cs="宋体"/>
          <w:color w:val="auto"/>
          <w:szCs w:val="24"/>
          <w:highlight w:val="none"/>
        </w:rPr>
      </w:pPr>
      <w:bookmarkStart w:id="51" w:name="bookmark6"/>
      <w:bookmarkEnd w:id="51"/>
      <w:bookmarkStart w:id="52" w:name="6.竞争性磋商文件的修改"/>
      <w:bookmarkEnd w:id="52"/>
      <w:bookmarkStart w:id="53" w:name="_Toc514786852"/>
      <w:r>
        <w:rPr>
          <w:rFonts w:hAnsi="宋体" w:cs="宋体"/>
          <w:color w:val="auto"/>
          <w:szCs w:val="24"/>
          <w:highlight w:val="none"/>
        </w:rPr>
        <w:t>6.竞争性磋商文件的修改</w:t>
      </w:r>
      <w:bookmarkEnd w:id="53"/>
    </w:p>
    <w:p w14:paraId="3C832329">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6.1 在竞标截止时间前，采购人可以补充通知的方式对竞争性磋商文件进行修改，这种修改可能是采购人作出的也可能是为了解答供应商要求澄清的问题。</w:t>
      </w:r>
    </w:p>
    <w:p w14:paraId="2F01791C">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6.2补充通知将以书面形式发布公告告知供应商，并作为竞争性磋商文件的组成部分，对供应商起约束作用。</w:t>
      </w:r>
    </w:p>
    <w:p w14:paraId="5757E229">
      <w:pPr>
        <w:pStyle w:val="13"/>
        <w:kinsoku w:val="0"/>
        <w:overflowPunct w:val="0"/>
        <w:spacing w:line="314" w:lineRule="auto"/>
        <w:ind w:left="0" w:firstLine="410"/>
        <w:rPr>
          <w:rFonts w:hint="eastAsia" w:ascii="宋体" w:hAnsi="宋体" w:cs="宋体"/>
          <w:color w:val="auto"/>
          <w:szCs w:val="24"/>
          <w:highlight w:val="none"/>
        </w:rPr>
      </w:pPr>
      <w:r>
        <w:rPr>
          <w:rFonts w:hint="eastAsia" w:ascii="宋体" w:hAnsi="宋体" w:cs="宋体"/>
          <w:color w:val="auto"/>
          <w:szCs w:val="24"/>
          <w:highlight w:val="none"/>
        </w:rPr>
        <w:t>6.3如果竞争性磋商文件原定的编制响应文件的时间没有考虑因竞争性磋商文件修改而引起响应文件修改所必须的时间，采购单位可酌情延长提交响应文件的截止日期。</w:t>
      </w:r>
      <w:bookmarkStart w:id="54" w:name="7.竞标报价及控制价"/>
      <w:bookmarkEnd w:id="54"/>
      <w:bookmarkStart w:id="55" w:name="bookmark7"/>
      <w:bookmarkEnd w:id="55"/>
      <w:bookmarkStart w:id="56" w:name="_Toc514786853"/>
    </w:p>
    <w:p w14:paraId="29B50E25">
      <w:pPr>
        <w:pStyle w:val="13"/>
        <w:kinsoku w:val="0"/>
        <w:overflowPunct w:val="0"/>
        <w:spacing w:line="314" w:lineRule="auto"/>
        <w:ind w:left="0" w:firstLine="410"/>
        <w:rPr>
          <w:rFonts w:hint="eastAsia" w:ascii="宋体" w:hAnsi="宋体" w:cs="宋体"/>
          <w:color w:val="auto"/>
          <w:szCs w:val="24"/>
          <w:highlight w:val="none"/>
        </w:rPr>
      </w:pPr>
      <w:r>
        <w:rPr>
          <w:rFonts w:hint="eastAsia" w:ascii="宋体" w:hAnsi="宋体" w:cs="宋体"/>
          <w:color w:val="auto"/>
          <w:szCs w:val="24"/>
          <w:highlight w:val="none"/>
        </w:rPr>
        <w:t>7.竞标报价及控制价</w:t>
      </w:r>
      <w:bookmarkEnd w:id="56"/>
    </w:p>
    <w:p w14:paraId="340975B8">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7.1 本工程竞标报价采用工程量清单报价（单价合同）。</w:t>
      </w:r>
    </w:p>
    <w:p w14:paraId="56AA00DB">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7.1.1 本工程采用固定综合单价合同，磋商报价为供应商在响应文件中提出的各项支付金额的总和。</w:t>
      </w:r>
    </w:p>
    <w:p w14:paraId="10DCD7A1">
      <w:pPr>
        <w:kinsoku w:val="0"/>
        <w:overflowPunct w:val="0"/>
        <w:spacing w:line="314" w:lineRule="auto"/>
        <w:ind w:firstLine="480" w:firstLineChars="200"/>
        <w:rPr>
          <w:rFonts w:ascii="宋体" w:hAnsi="宋体" w:cs="宋体"/>
          <w:color w:val="auto"/>
          <w:szCs w:val="24"/>
          <w:highlight w:val="none"/>
        </w:rPr>
      </w:pPr>
      <w:r>
        <w:rPr>
          <w:rFonts w:ascii="宋体" w:hAnsi="宋体" w:cs="宋体"/>
          <w:color w:val="auto"/>
          <w:highlight w:val="none"/>
        </w:rPr>
        <w:t>如竞标人的最终报价与前一次报价维持一致的话，只需填报最终报价，可以不上传对应的报价明细。如竞标人的最终报价发生变化的话，填报最终报价的同时还需上传对应的报价明细，否则作无效报价处理。竞标人应当在采购人或采购代理机构发出磋商通知（开启新一轮报价）后在</w:t>
      </w:r>
      <w:r>
        <w:rPr>
          <w:rFonts w:hint="eastAsia" w:ascii="宋体" w:hAnsi="宋体" w:cs="宋体"/>
          <w:color w:val="auto"/>
          <w:highlight w:val="none"/>
          <w:lang w:val="en-US" w:eastAsia="zh-CN"/>
        </w:rPr>
        <w:t>广西</w:t>
      </w:r>
      <w:r>
        <w:rPr>
          <w:rFonts w:ascii="宋体" w:hAnsi="宋体" w:cs="宋体"/>
          <w:color w:val="auto"/>
          <w:highlight w:val="none"/>
        </w:rPr>
        <w:t>政府采购云平台设定的时间内进行响应，否则视同放弃参加磋商权利，其竞标文件按无效响应处理。最后报价高于采购预算价的竞标文件作无效标处理。</w:t>
      </w:r>
    </w:p>
    <w:p w14:paraId="233C80B9">
      <w:pPr>
        <w:pStyle w:val="13"/>
        <w:kinsoku w:val="0"/>
        <w:overflowPunct w:val="0"/>
        <w:spacing w:line="314" w:lineRule="auto"/>
        <w:ind w:left="0" w:firstLine="451"/>
        <w:jc w:val="both"/>
        <w:rPr>
          <w:rFonts w:hint="eastAsia" w:ascii="宋体" w:hAnsi="宋体" w:cs="宋体"/>
          <w:color w:val="auto"/>
          <w:szCs w:val="24"/>
          <w:highlight w:val="none"/>
        </w:rPr>
      </w:pPr>
      <w:r>
        <w:rPr>
          <w:rFonts w:hint="eastAsia" w:ascii="宋体" w:hAnsi="宋体" w:cs="宋体"/>
          <w:color w:val="auto"/>
          <w:szCs w:val="24"/>
          <w:highlight w:val="none"/>
        </w:rPr>
        <w:t>7.1.2 供应商所填报的各项基价中的各种材料单价在合同实施期间不因市场价格变化因素而变动（工程变更、政策性调整除外），供应商在报综合单价时应考虑各种风险因素和自己的承受能力。</w:t>
      </w:r>
    </w:p>
    <w:p w14:paraId="404F2B28">
      <w:pPr>
        <w:pStyle w:val="13"/>
        <w:kinsoku w:val="0"/>
        <w:overflowPunct w:val="0"/>
        <w:spacing w:line="314" w:lineRule="auto"/>
        <w:ind w:left="0" w:firstLine="451"/>
        <w:jc w:val="both"/>
        <w:rPr>
          <w:rFonts w:hint="eastAsia" w:ascii="宋体" w:hAnsi="宋体" w:cs="宋体"/>
          <w:color w:val="auto"/>
          <w:szCs w:val="24"/>
          <w:highlight w:val="none"/>
        </w:rPr>
      </w:pPr>
      <w:r>
        <w:rPr>
          <w:rFonts w:hint="eastAsia" w:ascii="宋体" w:hAnsi="宋体" w:cs="宋体"/>
          <w:color w:val="auto"/>
          <w:szCs w:val="24"/>
          <w:highlight w:val="none"/>
        </w:rPr>
        <w:t>7.1.3 因每年工作计划的调整或者项目变更引起工程项目、工程量变化的，变更合同价款按下列方法进行：</w:t>
      </w:r>
      <w:r>
        <w:rPr>
          <w:rFonts w:hint="eastAsia" w:ascii="宋体" w:hAnsi="宋体" w:cs="宋体"/>
          <w:color w:val="auto"/>
          <w:szCs w:val="24"/>
          <w:highlight w:val="none"/>
          <w:u w:val="single"/>
        </w:rPr>
        <w:t>⑴合同中已有适用于变更工程的价格，按合同已有的价格变更合同价款；⑵合同中只有类似于变更工程的价格，可以参照类似价格变更合同价款；⑶合同中没有适用或类似于变更工程的价格，则有定额的套定额计算，无定额的根据现行平均技术水平消耗量制作补充定额，并乘以下浮系数（成交价/采购预算价）计算，其中材料价格按施工期间的最新《河池</w:t>
      </w:r>
      <w:r>
        <w:rPr>
          <w:rFonts w:hint="eastAsia" w:ascii="宋体" w:hAnsi="宋体" w:cs="宋体"/>
          <w:color w:val="auto"/>
          <w:w w:val="95"/>
          <w:szCs w:val="24"/>
          <w:highlight w:val="none"/>
          <w:u w:val="single"/>
        </w:rPr>
        <w:t>市</w:t>
      </w:r>
      <w:r>
        <w:rPr>
          <w:rFonts w:hint="eastAsia" w:ascii="宋体" w:hAnsi="宋体" w:cs="宋体"/>
          <w:color w:val="auto"/>
          <w:szCs w:val="24"/>
          <w:highlight w:val="none"/>
          <w:u w:val="single"/>
        </w:rPr>
        <w:t>建设工程造价信息》并结合市场调查价格进行</w:t>
      </w:r>
      <w:r>
        <w:rPr>
          <w:rFonts w:hint="eastAsia" w:ascii="宋体" w:hAnsi="宋体" w:cs="宋体"/>
          <w:color w:val="auto"/>
          <w:szCs w:val="24"/>
          <w:highlight w:val="none"/>
          <w:u w:val="single"/>
          <w:lang w:eastAsia="zh-CN"/>
        </w:rPr>
        <w:t>综合</w:t>
      </w:r>
      <w:r>
        <w:rPr>
          <w:rFonts w:hint="eastAsia" w:ascii="宋体" w:hAnsi="宋体" w:cs="宋体"/>
          <w:color w:val="auto"/>
          <w:szCs w:val="24"/>
          <w:highlight w:val="none"/>
          <w:u w:val="single"/>
        </w:rPr>
        <w:t>计算，无信息价的，采用市场价，但必须经双方确认。</w:t>
      </w:r>
    </w:p>
    <w:p w14:paraId="4717D5BB">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7.1.4 供应商应认真填写工程量清单中所列的所有各细目的单价和合价，填写时应注意：</w:t>
      </w:r>
    </w:p>
    <w:p w14:paraId="5351C198">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⑴有工程数量的项目应报单价和合价；</w:t>
      </w:r>
    </w:p>
    <w:p w14:paraId="21C15153">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⑵无工程数量的项目</w:t>
      </w:r>
      <w:r>
        <w:rPr>
          <w:rFonts w:hint="eastAsia" w:ascii="宋体" w:hAnsi="宋体" w:cs="宋体"/>
          <w:b/>
          <w:color w:val="auto"/>
          <w:szCs w:val="24"/>
          <w:highlight w:val="none"/>
        </w:rPr>
        <w:t>必须</w:t>
      </w:r>
      <w:r>
        <w:rPr>
          <w:rFonts w:hint="eastAsia" w:ascii="宋体" w:hAnsi="宋体" w:cs="宋体"/>
          <w:color w:val="auto"/>
          <w:szCs w:val="24"/>
          <w:highlight w:val="none"/>
        </w:rPr>
        <w:t>报价；</w:t>
      </w:r>
    </w:p>
    <w:p w14:paraId="719CC5E1">
      <w:pPr>
        <w:pStyle w:val="13"/>
        <w:kinsoku w:val="0"/>
        <w:overflowPunct w:val="0"/>
        <w:spacing w:line="314"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⑶除非采购人对竞争性磋商文件予以修改，供应商应按采购人或采购代理机构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承包人必须按采购人指令完成工程量清单中未填入单价或总额价的工程细目，但不能得到支付与结算。</w:t>
      </w:r>
    </w:p>
    <w:p w14:paraId="7BAFBEEF">
      <w:pPr>
        <w:pStyle w:val="13"/>
        <w:kinsoku w:val="0"/>
        <w:overflowPunct w:val="0"/>
        <w:spacing w:line="314" w:lineRule="auto"/>
        <w:ind w:left="0" w:firstLine="451"/>
        <w:jc w:val="both"/>
        <w:rPr>
          <w:rFonts w:hint="eastAsia" w:ascii="宋体" w:hAnsi="宋体" w:cs="宋体"/>
          <w:color w:val="auto"/>
          <w:szCs w:val="24"/>
          <w:highlight w:val="none"/>
        </w:rPr>
      </w:pPr>
      <w:r>
        <w:rPr>
          <w:rFonts w:hint="eastAsia" w:ascii="宋体" w:hAnsi="宋体" w:cs="宋体"/>
          <w:color w:val="auto"/>
          <w:szCs w:val="24"/>
          <w:highlight w:val="none"/>
        </w:rPr>
        <w:t>7.1.5 采购人或采购代理机构所提供的工程量清单,应认为已包括完成本工程的所有项目。凡设计图纸已指明的工程或图纸所示的附属工程、相关工程、衔接与后续工程所需的费用，供应商应计入相关项目的单价中。</w:t>
      </w:r>
    </w:p>
    <w:p w14:paraId="60C95BB2">
      <w:pPr>
        <w:pStyle w:val="13"/>
        <w:kinsoku w:val="0"/>
        <w:overflowPunct w:val="0"/>
        <w:spacing w:line="314" w:lineRule="auto"/>
        <w:ind w:left="0" w:firstLine="451"/>
        <w:jc w:val="both"/>
        <w:rPr>
          <w:rFonts w:hint="eastAsia" w:ascii="宋体" w:hAnsi="宋体" w:cs="宋体"/>
          <w:color w:val="auto"/>
          <w:szCs w:val="24"/>
          <w:highlight w:val="none"/>
        </w:rPr>
      </w:pPr>
      <w:r>
        <w:rPr>
          <w:rFonts w:hint="eastAsia" w:ascii="宋体" w:hAnsi="宋体" w:cs="宋体"/>
          <w:color w:val="auto"/>
          <w:szCs w:val="24"/>
          <w:highlight w:val="none"/>
        </w:rPr>
        <w:t>7.1.6承包人的临时占地（含预制厂、料厂、拌和站、借弃土场、项目部驻地等）租用费（含拆迁补偿）、临时用地的环保、恢复及地面附着物发生的费用均由承包人负责；由于承包人原因引起工期延长造成承包人临时占地的租用费增加由承包人负责。以上费用在竞标价中自行考虑。</w:t>
      </w:r>
    </w:p>
    <w:p w14:paraId="3FEBB7B7">
      <w:pPr>
        <w:pStyle w:val="13"/>
        <w:kinsoku w:val="0"/>
        <w:overflowPunct w:val="0"/>
        <w:spacing w:line="314" w:lineRule="auto"/>
        <w:ind w:left="0" w:firstLine="451"/>
        <w:jc w:val="both"/>
        <w:rPr>
          <w:rFonts w:hint="eastAsia" w:ascii="宋体" w:hAnsi="宋体" w:cs="宋体"/>
          <w:color w:val="auto"/>
          <w:szCs w:val="24"/>
          <w:highlight w:val="none"/>
        </w:rPr>
      </w:pPr>
      <w:r>
        <w:rPr>
          <w:rFonts w:hint="eastAsia" w:ascii="宋体" w:hAnsi="宋体" w:cs="宋体"/>
          <w:color w:val="auto"/>
          <w:szCs w:val="24"/>
          <w:highlight w:val="none"/>
        </w:rPr>
        <w:t>7.1.7供应商在所报价的单价和合价，以及竞标报价汇总表中的价格均包括完成该工程项目的成本、利润、税金、开办费、技术措施费、大型机械进出场费、风险费、政策性文件规定费用等所有费用。</w:t>
      </w:r>
    </w:p>
    <w:p w14:paraId="42410229">
      <w:pPr>
        <w:pStyle w:val="13"/>
        <w:kinsoku w:val="0"/>
        <w:overflowPunct w:val="0"/>
        <w:spacing w:line="314" w:lineRule="auto"/>
        <w:ind w:left="0" w:firstLine="420"/>
        <w:jc w:val="both"/>
        <w:rPr>
          <w:rFonts w:hint="eastAsia" w:ascii="宋体" w:hAnsi="宋体" w:cs="宋体"/>
          <w:color w:val="auto"/>
          <w:szCs w:val="24"/>
          <w:highlight w:val="none"/>
        </w:rPr>
      </w:pPr>
      <w:r>
        <w:rPr>
          <w:rFonts w:hint="eastAsia" w:ascii="宋体" w:hAnsi="宋体" w:cs="宋体"/>
          <w:color w:val="auto"/>
          <w:szCs w:val="24"/>
          <w:highlight w:val="none"/>
        </w:rPr>
        <w:t>7.1.8承包人承建本工程所需的水电报装（含设备的购买、安装、维修、使用、拆除、维护及场地租用、恢复等一切与此相关的费用）由承包人负责，以上费用在竞标报价中综合考虑。</w:t>
      </w:r>
    </w:p>
    <w:p w14:paraId="5EB50FA9">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7.1.9工程量清单中涉及混凝土的细目，供应商应综合考虑现行地方政府有关规定，自行报价。</w:t>
      </w:r>
    </w:p>
    <w:p w14:paraId="669FA5DA">
      <w:pPr>
        <w:pStyle w:val="13"/>
        <w:kinsoku w:val="0"/>
        <w:overflowPunct w:val="0"/>
        <w:spacing w:line="314"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7.1.10供应商不得采用总价优惠、总价百分比优惠或以报价调整函的方式进行竞标报价，其优惠应直接体现在各项竞标报价的单价中，竞标函中的报价必须与工程量清单汇总表一致，否则作废标处理。</w:t>
      </w:r>
    </w:p>
    <w:p w14:paraId="62352202">
      <w:pPr>
        <w:pStyle w:val="13"/>
        <w:kinsoku w:val="0"/>
        <w:overflowPunct w:val="0"/>
        <w:spacing w:line="314" w:lineRule="auto"/>
        <w:ind w:left="0" w:firstLine="480"/>
        <w:jc w:val="both"/>
        <w:rPr>
          <w:rFonts w:hint="eastAsia" w:ascii="宋体" w:hAnsi="宋体" w:cs="宋体"/>
          <w:color w:val="auto"/>
          <w:szCs w:val="24"/>
          <w:highlight w:val="none"/>
        </w:rPr>
      </w:pPr>
      <w:r>
        <w:rPr>
          <w:rFonts w:hint="eastAsia" w:ascii="宋体" w:hAnsi="宋体" w:cs="宋体"/>
          <w:color w:val="auto"/>
          <w:szCs w:val="24"/>
          <w:highlight w:val="none"/>
        </w:rPr>
        <w:t>7.1.11因施工产生的污水、废水、建筑垃圾以及噪音扰民等的处置由承包人负责，相关费用结合工程量清单综合考虑。</w:t>
      </w:r>
    </w:p>
    <w:p w14:paraId="56F6ECD4">
      <w:pPr>
        <w:pStyle w:val="13"/>
        <w:kinsoku w:val="0"/>
        <w:overflowPunct w:val="0"/>
        <w:spacing w:line="314" w:lineRule="auto"/>
        <w:ind w:left="0" w:firstLine="480"/>
        <w:jc w:val="both"/>
        <w:rPr>
          <w:rFonts w:hint="eastAsia" w:ascii="宋体" w:hAnsi="宋体" w:cs="宋体"/>
          <w:color w:val="auto"/>
          <w:szCs w:val="24"/>
          <w:highlight w:val="none"/>
        </w:rPr>
      </w:pPr>
      <w:r>
        <w:rPr>
          <w:rFonts w:hint="eastAsia" w:ascii="宋体" w:hAnsi="宋体" w:cs="宋体"/>
          <w:color w:val="auto"/>
          <w:szCs w:val="24"/>
          <w:highlight w:val="none"/>
        </w:rPr>
        <w:t>7.1.12供应商可先到工地踏勘以充分了解工地位置、情况、道路、储存空间、装卸限制及任何其他足以影响承包价的情况，任何因忽视或误解工地情况而导致的索赔或工期延长申请将不被批准。由供应商自行考虑主要材料价格涨跌的风险。因征地拆迁影响及重大设计变更等建设单位原因，在竞标后延迟开工或中途停建重新复工的施工工期内，按有关政府规定执行。</w:t>
      </w:r>
    </w:p>
    <w:p w14:paraId="1FC0DD96">
      <w:pPr>
        <w:pStyle w:val="13"/>
        <w:kinsoku w:val="0"/>
        <w:overflowPunct w:val="0"/>
        <w:spacing w:line="314" w:lineRule="auto"/>
        <w:ind w:left="0" w:firstLine="480"/>
        <w:rPr>
          <w:rFonts w:hint="eastAsia" w:ascii="宋体" w:hAnsi="宋体" w:cs="宋体"/>
          <w:color w:val="auto"/>
          <w:szCs w:val="24"/>
          <w:highlight w:val="none"/>
        </w:rPr>
      </w:pPr>
      <w:r>
        <w:rPr>
          <w:rFonts w:hint="eastAsia" w:ascii="宋体" w:hAnsi="宋体" w:cs="宋体"/>
          <w:color w:val="auto"/>
          <w:szCs w:val="24"/>
          <w:highlight w:val="none"/>
        </w:rPr>
        <w:t>7.1.13供应商应充分考虑沿路单位及过路车辆、行人的交通疏导问题，因交通管理导致的费用由供应商自行承担。</w:t>
      </w:r>
    </w:p>
    <w:p w14:paraId="70C496D0">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7.2计算依据：本工程的计算依据：</w:t>
      </w:r>
      <w:r>
        <w:rPr>
          <w:rFonts w:hint="eastAsia" w:ascii="宋体" w:hAnsi="宋体" w:cs="宋体"/>
          <w:color w:val="auto"/>
          <w:szCs w:val="28"/>
          <w:highlight w:val="none"/>
        </w:rPr>
        <w:t>广西壮族自冶区地方标准《公路养护预算编制办法及定额》</w:t>
      </w:r>
      <w:r>
        <w:rPr>
          <w:rFonts w:hint="eastAsia" w:ascii="宋体" w:hAnsi="宋体" w:cs="宋体"/>
          <w:color w:val="auto"/>
          <w:szCs w:val="28"/>
          <w:highlight w:val="none"/>
          <w:lang w:eastAsia="zh-CN"/>
        </w:rPr>
        <w:t>（</w:t>
      </w:r>
      <w:r>
        <w:rPr>
          <w:rFonts w:hint="eastAsia" w:ascii="宋体" w:hAnsi="宋体" w:cs="宋体"/>
          <w:color w:val="auto"/>
          <w:szCs w:val="28"/>
          <w:highlight w:val="none"/>
        </w:rPr>
        <w:t>DB 45/T 2228.1-2020</w:t>
      </w:r>
      <w:r>
        <w:rPr>
          <w:rFonts w:hint="eastAsia" w:ascii="宋体" w:hAnsi="宋体" w:cs="宋体"/>
          <w:color w:val="auto"/>
          <w:szCs w:val="28"/>
          <w:highlight w:val="none"/>
          <w:lang w:eastAsia="zh-CN"/>
        </w:rPr>
        <w:t>）</w:t>
      </w:r>
      <w:r>
        <w:rPr>
          <w:rFonts w:hint="eastAsia" w:ascii="宋体" w:hAnsi="宋体" w:cs="宋体"/>
          <w:color w:val="auto"/>
          <w:szCs w:val="28"/>
          <w:highlight w:val="none"/>
        </w:rPr>
        <w:t>、《公路工程预算定额》（JTG/T 3832-2018）、《公路工程机械台班费用定额》（JTG/T 3833-2018）、交通运输部《公路工程建设项目概算预算编制办法》（JTG 3830-2018）、交通运输部</w:t>
      </w:r>
      <w:r>
        <w:rPr>
          <w:rFonts w:hint="eastAsia" w:ascii="宋体" w:hAnsi="宋体" w:cs="宋体"/>
          <w:color w:val="auto"/>
          <w:szCs w:val="28"/>
          <w:highlight w:val="none"/>
          <w:lang w:eastAsia="zh-CN"/>
        </w:rPr>
        <w:t>2019年第26号公告</w:t>
      </w:r>
      <w:r>
        <w:rPr>
          <w:rFonts w:hint="eastAsia" w:ascii="宋体" w:hAnsi="宋体" w:cs="宋体"/>
          <w:color w:val="auto"/>
          <w:szCs w:val="28"/>
          <w:highlight w:val="none"/>
        </w:rPr>
        <w:t>《</w:t>
      </w:r>
      <w:r>
        <w:rPr>
          <w:rFonts w:hint="eastAsia" w:ascii="宋体" w:hAnsi="宋体" w:cs="宋体"/>
          <w:color w:val="auto"/>
          <w:szCs w:val="28"/>
          <w:highlight w:val="none"/>
          <w:lang w:eastAsia="zh-CN"/>
        </w:rPr>
        <w:t>关于调整</w:t>
      </w:r>
      <w:r>
        <w:rPr>
          <w:rFonts w:hint="eastAsia" w:ascii="宋体" w:hAnsi="宋体" w:cs="宋体"/>
          <w:color w:val="auto"/>
          <w:szCs w:val="28"/>
          <w:highlight w:val="none"/>
        </w:rPr>
        <w:t>公路工程建设项目概算预算编制办法</w:t>
      </w:r>
      <w:r>
        <w:rPr>
          <w:rFonts w:hint="eastAsia" w:ascii="宋体" w:hAnsi="宋体" w:cs="宋体"/>
          <w:color w:val="auto"/>
          <w:szCs w:val="28"/>
          <w:highlight w:val="none"/>
          <w:lang w:eastAsia="zh-CN"/>
        </w:rPr>
        <w:t>中“税金”有关规定的公告</w:t>
      </w:r>
      <w:r>
        <w:rPr>
          <w:rFonts w:hint="eastAsia" w:ascii="宋体" w:hAnsi="宋体" w:cs="宋体"/>
          <w:color w:val="auto"/>
          <w:szCs w:val="28"/>
          <w:highlight w:val="none"/>
        </w:rPr>
        <w:t>》</w:t>
      </w:r>
      <w:r>
        <w:rPr>
          <w:rFonts w:hint="eastAsia" w:ascii="宋体" w:hAnsi="宋体" w:cs="宋体"/>
          <w:color w:val="auto"/>
          <w:szCs w:val="28"/>
          <w:highlight w:val="none"/>
          <w:lang w:eastAsia="zh-CN"/>
        </w:rPr>
        <w:t>、</w:t>
      </w:r>
      <w:r>
        <w:rPr>
          <w:rFonts w:hint="eastAsia" w:ascii="宋体" w:hAnsi="宋体" w:cs="宋体"/>
          <w:color w:val="auto"/>
          <w:szCs w:val="28"/>
          <w:highlight w:val="none"/>
        </w:rPr>
        <w:t>《广西交通运输厅关于印发公路工程建设项目估算概算预算编制办法广西补充规定的通知》（桂交建管发〔2019〕39号）、《广西壮族自治区交通工程造价管理站关于发布广西公路工程机械台班车船使用税标准的函》（桂交监造价函〔2019〕16号）、《广西壮族自治区公路发展中心关于印发广西普通国省干线公路养护工程</w:t>
      </w:r>
      <w:r>
        <w:rPr>
          <w:rFonts w:hint="eastAsia" w:ascii="宋体" w:hAnsi="宋体" w:cs="宋体"/>
          <w:color w:val="auto"/>
          <w:szCs w:val="28"/>
          <w:highlight w:val="none"/>
          <w:lang w:eastAsia="zh-CN"/>
        </w:rPr>
        <w:t>（</w:t>
      </w:r>
      <w:r>
        <w:rPr>
          <w:rFonts w:hint="eastAsia" w:ascii="宋体" w:hAnsi="宋体" w:cs="宋体"/>
          <w:color w:val="auto"/>
          <w:szCs w:val="28"/>
          <w:highlight w:val="none"/>
        </w:rPr>
        <w:t>路面部分）施工图设计及预算编制指导意见的通知》（桂路养发[2021]-172）</w:t>
      </w:r>
      <w:r>
        <w:rPr>
          <w:rFonts w:hint="eastAsia" w:ascii="宋体" w:hAnsi="宋体" w:cs="宋体"/>
          <w:color w:val="auto"/>
          <w:szCs w:val="24"/>
          <w:highlight w:val="none"/>
        </w:rPr>
        <w:t>。</w:t>
      </w:r>
    </w:p>
    <w:p w14:paraId="253BE035">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7.2.1编制说明</w:t>
      </w:r>
    </w:p>
    <w:p w14:paraId="73203DCB">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（1）供应商应按第六章“工程量清单”的要求填写相应表格。</w:t>
      </w:r>
    </w:p>
    <w:p w14:paraId="4520B546">
      <w:pPr>
        <w:pStyle w:val="13"/>
        <w:kinsoku w:val="0"/>
        <w:overflowPunct w:val="0"/>
        <w:spacing w:line="314" w:lineRule="auto"/>
        <w:ind w:left="0" w:firstLine="480" w:firstLineChars="200"/>
        <w:rPr>
          <w:rFonts w:hint="eastAsia" w:ascii="宋体" w:hAnsi="宋体" w:cs="宋体"/>
          <w:color w:val="auto"/>
          <w:szCs w:val="24"/>
          <w:highlight w:val="none"/>
        </w:rPr>
      </w:pPr>
      <w:bookmarkStart w:id="57" w:name="（2）投标人在投标截止时间前修改投标函中的投标总报价，应同时修改第六章“工程量清"/>
      <w:bookmarkEnd w:id="57"/>
      <w:r>
        <w:rPr>
          <w:rFonts w:hint="eastAsia" w:ascii="宋体" w:hAnsi="宋体" w:cs="宋体"/>
          <w:color w:val="auto"/>
          <w:szCs w:val="24"/>
          <w:highlight w:val="none"/>
        </w:rPr>
        <w:t>（2）供应商在竞标截止时间前修改竞标函中的竞标总报价，应同时修改第六章“工程量清单”中的相应报价。此修改须符合本章“16.响应文件的修改与撤回”的有关要求。</w:t>
      </w:r>
    </w:p>
    <w:p w14:paraId="46DAED86">
      <w:pPr>
        <w:pStyle w:val="9"/>
        <w:kinsoku w:val="0"/>
        <w:overflowPunct w:val="0"/>
        <w:spacing w:line="314" w:lineRule="auto"/>
        <w:ind w:left="0" w:firstLine="600" w:firstLineChars="250"/>
        <w:rPr>
          <w:rFonts w:hAnsi="宋体" w:cs="宋体"/>
          <w:b w:val="0"/>
          <w:color w:val="auto"/>
          <w:sz w:val="24"/>
          <w:szCs w:val="24"/>
          <w:highlight w:val="none"/>
        </w:rPr>
      </w:pPr>
      <w:bookmarkStart w:id="58" w:name="_Toc514786854"/>
      <w:r>
        <w:rPr>
          <w:rFonts w:hAnsi="宋体" w:cs="宋体"/>
          <w:b w:val="0"/>
          <w:color w:val="auto"/>
          <w:sz w:val="24"/>
          <w:szCs w:val="24"/>
          <w:highlight w:val="none"/>
        </w:rPr>
        <w:t>7.2.2本工程的竞标报价不准使用报价调整函、竞标函中的报价必须与工程量清单汇总表一致，否则作无效竞标处理。</w:t>
      </w:r>
      <w:bookmarkEnd w:id="58"/>
    </w:p>
    <w:p w14:paraId="37B8BD18">
      <w:pPr>
        <w:pStyle w:val="13"/>
        <w:kinsoku w:val="0"/>
        <w:overflowPunct w:val="0"/>
        <w:spacing w:line="314" w:lineRule="auto"/>
        <w:rPr>
          <w:rFonts w:hint="eastAsia" w:ascii="宋体" w:hAnsi="宋体" w:cs="宋体"/>
          <w:color w:val="auto"/>
          <w:szCs w:val="24"/>
          <w:highlight w:val="none"/>
        </w:rPr>
      </w:pPr>
      <w:r>
        <w:rPr>
          <w:rFonts w:hint="eastAsia" w:ascii="宋体" w:hAnsi="宋体" w:cs="宋体"/>
          <w:color w:val="auto"/>
          <w:szCs w:val="24"/>
          <w:highlight w:val="none"/>
        </w:rPr>
        <w:t>7.3采购预算价的公布和修改。</w:t>
      </w:r>
    </w:p>
    <w:p w14:paraId="6753C951">
      <w:pPr>
        <w:pStyle w:val="13"/>
        <w:kinsoku w:val="0"/>
        <w:overflowPunct w:val="0"/>
        <w:spacing w:line="314" w:lineRule="auto"/>
        <w:ind w:left="0" w:firstLine="544" w:firstLineChars="227"/>
        <w:rPr>
          <w:rFonts w:hint="eastAsia" w:ascii="宋体" w:hAnsi="宋体" w:cs="宋体"/>
          <w:color w:val="auto"/>
          <w:szCs w:val="24"/>
          <w:highlight w:val="none"/>
        </w:rPr>
      </w:pPr>
      <w:r>
        <w:rPr>
          <w:rFonts w:hint="eastAsia" w:ascii="宋体" w:hAnsi="宋体" w:cs="宋体"/>
          <w:color w:val="auto"/>
          <w:szCs w:val="24"/>
          <w:highlight w:val="none"/>
        </w:rPr>
        <w:t>7.3.1本工程的采购预算价及工程量清单按规定经相关部门审定。</w:t>
      </w:r>
    </w:p>
    <w:p w14:paraId="1FC4FD67">
      <w:pPr>
        <w:pStyle w:val="13"/>
        <w:kinsoku w:val="0"/>
        <w:overflowPunct w:val="0"/>
        <w:spacing w:line="314" w:lineRule="auto"/>
        <w:ind w:left="0" w:firstLine="544" w:firstLineChars="227"/>
        <w:rPr>
          <w:rFonts w:hint="eastAsia" w:ascii="宋体" w:hAnsi="宋体" w:cs="宋体"/>
          <w:color w:val="auto"/>
          <w:szCs w:val="24"/>
          <w:highlight w:val="none"/>
        </w:rPr>
      </w:pPr>
      <w:r>
        <w:rPr>
          <w:rFonts w:hint="eastAsia" w:ascii="宋体" w:hAnsi="宋体" w:cs="宋体"/>
          <w:color w:val="auto"/>
          <w:szCs w:val="24"/>
          <w:highlight w:val="none"/>
        </w:rPr>
        <w:t>7.3.2采购预算价：具体详见竞争性磋商公告内容。</w:t>
      </w:r>
    </w:p>
    <w:p w14:paraId="384949A9">
      <w:pPr>
        <w:pStyle w:val="13"/>
        <w:kinsoku w:val="0"/>
        <w:overflowPunct w:val="0"/>
        <w:spacing w:line="314" w:lineRule="auto"/>
        <w:ind w:left="0" w:firstLine="544" w:firstLineChars="227"/>
        <w:rPr>
          <w:rFonts w:hint="eastAsia" w:ascii="宋体" w:hAnsi="宋体" w:cs="宋体"/>
          <w:color w:val="auto"/>
          <w:szCs w:val="24"/>
          <w:highlight w:val="none"/>
        </w:rPr>
      </w:pPr>
      <w:r>
        <w:rPr>
          <w:rFonts w:hint="eastAsia" w:ascii="宋体" w:hAnsi="宋体" w:cs="宋体"/>
          <w:color w:val="auto"/>
          <w:szCs w:val="24"/>
          <w:highlight w:val="none"/>
        </w:rPr>
        <w:t>7.3.3 供应商应认真对照施工设计图纸等文件核对采购人公布的采购预算价，发现采购预算价有明显误差的，必须在竞标截止时间2天前向采购代理机构提出书面异议或修正要求。</w:t>
      </w:r>
    </w:p>
    <w:p w14:paraId="451800F7">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7.3.4 采购代理机构在收到供应商提出的书面异议或修正要求后，将对异议或修正要求进行核实。如采购人认为有必要对</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控制价进行修正的，将在竞标截止时间1天前重新公布修正后的采购预算价。</w:t>
      </w:r>
    </w:p>
    <w:p w14:paraId="7BDBF6A9">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7.4竞标货币响应文件报价中的单价和合价全部采用人民币表示。</w:t>
      </w:r>
    </w:p>
    <w:p w14:paraId="62B1514F">
      <w:pPr>
        <w:pStyle w:val="8"/>
        <w:kinsoku w:val="0"/>
        <w:overflowPunct w:val="0"/>
        <w:spacing w:line="314" w:lineRule="auto"/>
        <w:ind w:left="120" w:leftChars="50" w:firstLine="360" w:firstLineChars="150"/>
        <w:rPr>
          <w:rFonts w:hAnsi="宋体" w:cs="宋体"/>
          <w:color w:val="auto"/>
          <w:szCs w:val="24"/>
          <w:highlight w:val="none"/>
        </w:rPr>
      </w:pPr>
      <w:bookmarkStart w:id="59" w:name="bookmark8"/>
      <w:bookmarkEnd w:id="59"/>
      <w:bookmarkStart w:id="60" w:name="8.竞标文件的语言"/>
      <w:bookmarkEnd w:id="60"/>
      <w:bookmarkStart w:id="61" w:name="_Toc514786855"/>
      <w:r>
        <w:rPr>
          <w:rFonts w:hAnsi="宋体" w:cs="宋体"/>
          <w:color w:val="auto"/>
          <w:szCs w:val="24"/>
          <w:highlight w:val="none"/>
        </w:rPr>
        <w:t>8.响应文件的语言</w:t>
      </w:r>
      <w:bookmarkEnd w:id="61"/>
    </w:p>
    <w:p w14:paraId="40570FA0">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响应文件及供应商与采购人之间与竞标有关的来往通知、函件和文件均应使用中文。</w:t>
      </w:r>
    </w:p>
    <w:p w14:paraId="72AD154A">
      <w:pPr>
        <w:pStyle w:val="8"/>
        <w:kinsoku w:val="0"/>
        <w:overflowPunct w:val="0"/>
        <w:spacing w:line="314" w:lineRule="auto"/>
        <w:ind w:left="0" w:firstLine="480" w:firstLineChars="200"/>
        <w:rPr>
          <w:rFonts w:hAnsi="宋体" w:cs="宋体"/>
          <w:color w:val="auto"/>
          <w:szCs w:val="24"/>
          <w:highlight w:val="none"/>
        </w:rPr>
      </w:pPr>
      <w:bookmarkStart w:id="62" w:name="bookmark9"/>
      <w:bookmarkEnd w:id="62"/>
      <w:bookmarkStart w:id="63" w:name="9.竞标文件的组成"/>
      <w:bookmarkEnd w:id="63"/>
      <w:bookmarkStart w:id="64" w:name="_Toc514786856"/>
      <w:r>
        <w:rPr>
          <w:rFonts w:hAnsi="宋体" w:cs="宋体"/>
          <w:color w:val="auto"/>
          <w:szCs w:val="24"/>
          <w:highlight w:val="none"/>
        </w:rPr>
        <w:t>9.响应文件的组成</w:t>
      </w:r>
      <w:bookmarkEnd w:id="64"/>
    </w:p>
    <w:p w14:paraId="38CA12B6">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9.1响应文件由资格审查部分、商务部分、技术部分三部分组成。</w:t>
      </w:r>
    </w:p>
    <w:p w14:paraId="3722E92A">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9.2资格审查部分（以下材料“必须提供”的如不提供，竞标无效，所有复印件均加盖供应商公章，否则竞标无效）。</w:t>
      </w:r>
    </w:p>
    <w:p w14:paraId="6FAECC4A">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（1）供应商有效的“法人营业执照”副本复印件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37E9AC7D">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（2）法定代表人</w:t>
      </w:r>
      <w:r>
        <w:rPr>
          <w:rFonts w:hint="eastAsia" w:ascii="宋体" w:hAnsi="宋体" w:cs="宋体"/>
          <w:color w:val="auto"/>
          <w:highlight w:val="none"/>
          <w:lang w:eastAsia="zh-CN"/>
        </w:rPr>
        <w:t>身份</w:t>
      </w:r>
      <w:r>
        <w:rPr>
          <w:rFonts w:hint="eastAsia" w:ascii="宋体" w:hAnsi="宋体" w:cs="宋体"/>
          <w:color w:val="auto"/>
          <w:szCs w:val="24"/>
          <w:highlight w:val="none"/>
        </w:rPr>
        <w:t>资格证明书原件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43E9B90D">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（3）供应商有效的资质证书副本复印件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22A9FA90">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（4）供应商有效的安全生产许可证复印件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214ECA01">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（5）法定代表人身份证复印件</w:t>
      </w:r>
      <w:r>
        <w:rPr>
          <w:rFonts w:hint="eastAsia" w:ascii="宋体" w:hAnsi="宋体" w:cs="宋体"/>
          <w:b/>
          <w:color w:val="auto"/>
          <w:szCs w:val="24"/>
          <w:highlight w:val="none"/>
        </w:rPr>
        <w:t>（法定代表人参加竞标时，必须提供）</w:t>
      </w:r>
      <w:r>
        <w:rPr>
          <w:rFonts w:hint="eastAsia" w:ascii="宋体" w:hAnsi="宋体" w:cs="宋体"/>
          <w:color w:val="auto"/>
          <w:szCs w:val="24"/>
          <w:highlight w:val="none"/>
        </w:rPr>
        <w:t>；</w:t>
      </w:r>
    </w:p>
    <w:p w14:paraId="0119B7DA">
      <w:pPr>
        <w:pStyle w:val="13"/>
        <w:kinsoku w:val="0"/>
        <w:overflowPunct w:val="0"/>
        <w:spacing w:line="314" w:lineRule="auto"/>
        <w:ind w:left="0"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（6）法定代表人授权委托书原件和委托代理人身份证复印件</w:t>
      </w:r>
      <w:r>
        <w:rPr>
          <w:rFonts w:hint="eastAsia" w:ascii="宋体" w:hAnsi="宋体" w:cs="宋体"/>
          <w:b/>
          <w:color w:val="auto"/>
          <w:szCs w:val="24"/>
          <w:highlight w:val="none"/>
        </w:rPr>
        <w:t>（委托代理时必须提供）</w:t>
      </w:r>
      <w:r>
        <w:rPr>
          <w:rFonts w:hint="eastAsia" w:ascii="宋体" w:hAnsi="宋体" w:cs="宋体"/>
          <w:color w:val="auto"/>
          <w:szCs w:val="24"/>
          <w:highlight w:val="none"/>
          <w:lang w:val="en-US" w:eastAsia="zh-CN"/>
        </w:rPr>
        <w:t>；</w:t>
      </w:r>
    </w:p>
    <w:p w14:paraId="6EA1E9A3">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（7）</w:t>
      </w:r>
      <w:r>
        <w:rPr>
          <w:rFonts w:hint="eastAsia" w:ascii="宋体" w:hAnsi="宋体" w:cs="宋体"/>
          <w:color w:val="auto"/>
          <w:szCs w:val="24"/>
          <w:highlight w:val="none"/>
          <w:lang w:val="zh-CN"/>
        </w:rPr>
        <w:t>近年完成的类似项目情况表</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4B1D6276">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（8）拟投入本项目的项目经理注册建造师执业资格证、职称证书</w:t>
      </w:r>
      <w:r>
        <w:rPr>
          <w:rFonts w:hint="eastAsia" w:ascii="宋体" w:hAnsi="宋体" w:cs="宋体"/>
          <w:color w:val="auto"/>
          <w:szCs w:val="24"/>
          <w:highlight w:val="none"/>
          <w:lang w:eastAsia="zh-CN"/>
        </w:rPr>
        <w:t>、</w:t>
      </w:r>
      <w:r>
        <w:rPr>
          <w:rFonts w:hint="eastAsia" w:ascii="宋体" w:hAnsi="宋体" w:cs="宋体"/>
          <w:color w:val="auto"/>
          <w:szCs w:val="24"/>
          <w:highlight w:val="none"/>
        </w:rPr>
        <w:t>有效的安全生产考核合格证书（B证）复印件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486618D3">
      <w:pPr>
        <w:pStyle w:val="13"/>
        <w:kinsoku w:val="0"/>
        <w:overflowPunct w:val="0"/>
        <w:spacing w:line="360" w:lineRule="auto"/>
        <w:ind w:left="0" w:firstLine="48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（9）拟投入本项目的项目总工身份证、职称证复印件，</w:t>
      </w:r>
      <w:r>
        <w:rPr>
          <w:rFonts w:hint="eastAsia" w:ascii="宋体" w:hAnsi="宋体" w:cs="宋体"/>
          <w:color w:val="auto"/>
          <w:spacing w:val="8"/>
          <w:szCs w:val="24"/>
          <w:highlight w:val="none"/>
        </w:rPr>
        <w:t>具有省级或以上交通运输行政主管部门颁发的安全生产考核合格证（“三类人员”B类证书）</w:t>
      </w:r>
      <w:r>
        <w:rPr>
          <w:rFonts w:hint="eastAsia" w:ascii="宋体" w:hAnsi="宋体" w:cs="宋体"/>
          <w:color w:val="auto"/>
          <w:szCs w:val="24"/>
          <w:highlight w:val="none"/>
        </w:rPr>
        <w:t>复印件</w:t>
      </w:r>
      <w:r>
        <w:rPr>
          <w:rFonts w:hint="eastAsia" w:ascii="宋体" w:hAnsi="宋体" w:cs="宋体"/>
          <w:b/>
          <w:color w:val="auto"/>
          <w:sz w:val="24"/>
          <w:szCs w:val="24"/>
          <w:highlight w:val="none"/>
        </w:rPr>
        <w:t>（必须提供）</w:t>
      </w:r>
      <w:r>
        <w:rPr>
          <w:rFonts w:hint="eastAsia" w:ascii="宋体" w:hAnsi="宋体" w:cs="宋体"/>
          <w:b/>
          <w:color w:val="auto"/>
          <w:sz w:val="21"/>
          <w:szCs w:val="21"/>
          <w:highlight w:val="none"/>
          <w:lang w:eastAsia="zh-CN"/>
        </w:rPr>
        <w:t>；</w:t>
      </w:r>
    </w:p>
    <w:p w14:paraId="3A4B66CD">
      <w:pPr>
        <w:pStyle w:val="13"/>
        <w:kinsoku w:val="0"/>
        <w:overflowPunct w:val="0"/>
        <w:spacing w:line="314"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（10）提交拟投入本项目的项目经理、项目总工最近3个月在本单位的社保证明；供应商为新注册成立的企业（距磋商截止日不足三个月），须提供企业自成立至今的社保证明</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56B96C17">
      <w:pPr>
        <w:pStyle w:val="13"/>
        <w:kinsoku w:val="0"/>
        <w:overflowPunct w:val="0"/>
        <w:spacing w:line="314"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（11）供应商最近三个月依法缴纳税费或依法免缴税费的证明（复印件，格式自拟），供应商为新注册成立的企业（距磋商截止日不足三个月），须提供企业自成立至今的依法缴纳税收证明材料</w:t>
      </w:r>
      <w:r>
        <w:rPr>
          <w:rFonts w:hint="eastAsia" w:ascii="宋体" w:hAnsi="宋体" w:cs="宋体"/>
          <w:b/>
          <w:color w:val="auto"/>
          <w:szCs w:val="24"/>
          <w:highlight w:val="none"/>
        </w:rPr>
        <w:t>（必须提供）；</w:t>
      </w:r>
    </w:p>
    <w:p w14:paraId="6C6FEB68">
      <w:pPr>
        <w:pStyle w:val="13"/>
        <w:kinsoku w:val="0"/>
        <w:overflowPunct w:val="0"/>
        <w:spacing w:line="314" w:lineRule="auto"/>
        <w:ind w:left="0" w:firstLine="48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（12）</w:t>
      </w:r>
      <w:r>
        <w:rPr>
          <w:rFonts w:hint="eastAsia" w:ascii="宋体" w:hAnsi="宋体" w:cs="宋体"/>
          <w:color w:val="auto"/>
          <w:szCs w:val="24"/>
          <w:highlight w:val="none"/>
          <w:lang w:val="en-US" w:eastAsia="zh-CN"/>
        </w:rPr>
        <w:t>2023年或2024年</w:t>
      </w:r>
      <w:r>
        <w:rPr>
          <w:rFonts w:hint="eastAsia" w:ascii="宋体" w:hAnsi="宋体" w:cs="宋体"/>
          <w:color w:val="auto"/>
          <w:szCs w:val="24"/>
          <w:highlight w:val="none"/>
        </w:rPr>
        <w:t>经审计的财务会计报表复印件</w:t>
      </w:r>
      <w:r>
        <w:rPr>
          <w:rFonts w:hint="eastAsia" w:ascii="宋体" w:hAnsi="宋体" w:eastAsia="宋体" w:cs="宋体"/>
          <w:color w:val="auto"/>
          <w:sz w:val="24"/>
          <w:szCs w:val="24"/>
          <w:highlight w:val="none"/>
          <w:lang w:eastAsia="zh-CN"/>
        </w:rPr>
        <w:t>或银行出具的资信证明</w:t>
      </w:r>
      <w:r>
        <w:rPr>
          <w:rFonts w:hint="eastAsia" w:ascii="宋体" w:hAnsi="宋体" w:cs="宋体"/>
          <w:color w:val="auto"/>
          <w:szCs w:val="24"/>
          <w:highlight w:val="none"/>
        </w:rPr>
        <w:t>；</w:t>
      </w:r>
      <w:r>
        <w:rPr>
          <w:rFonts w:hint="eastAsia" w:ascii="宋体" w:hAnsi="宋体" w:cs="宋体"/>
          <w:color w:val="auto"/>
          <w:kern w:val="10"/>
          <w:szCs w:val="24"/>
          <w:highlight w:val="none"/>
          <w:lang w:val="zh-CN"/>
        </w:rPr>
        <w:t>【备注：对于从取得营业执照时间起到响应文件递交截止时间为止不足要求年数的企业，只需提交企业取得营业执照年份至所要求最近年份经审计的财务报表】</w:t>
      </w:r>
      <w:r>
        <w:rPr>
          <w:rFonts w:hint="eastAsia" w:ascii="宋体" w:hAnsi="宋体" w:cs="宋体"/>
          <w:b/>
          <w:color w:val="auto"/>
          <w:szCs w:val="24"/>
          <w:highlight w:val="none"/>
        </w:rPr>
        <w:t>（必须提供）</w:t>
      </w:r>
      <w:r>
        <w:rPr>
          <w:rFonts w:hint="eastAsia" w:ascii="宋体" w:hAnsi="宋体" w:cs="宋体"/>
          <w:b/>
          <w:color w:val="auto"/>
          <w:szCs w:val="24"/>
          <w:highlight w:val="none"/>
          <w:lang w:eastAsia="zh-CN"/>
        </w:rPr>
        <w:t>；</w:t>
      </w:r>
    </w:p>
    <w:p w14:paraId="6B401CEE">
      <w:pPr>
        <w:pStyle w:val="13"/>
        <w:kinsoku w:val="0"/>
        <w:overflowPunct w:val="0"/>
        <w:spacing w:line="314" w:lineRule="auto"/>
        <w:ind w:left="0" w:firstLine="523" w:firstLineChars="218"/>
        <w:rPr>
          <w:rFonts w:hint="eastAsia" w:ascii="宋体" w:hAnsi="宋体" w:cs="宋体"/>
          <w:color w:val="auto"/>
          <w:szCs w:val="24"/>
          <w:highlight w:val="none"/>
        </w:rPr>
      </w:pPr>
      <w:r>
        <w:rPr>
          <w:rFonts w:hint="eastAsia" w:ascii="宋体" w:hAnsi="宋体" w:cs="宋体"/>
          <w:color w:val="auto"/>
          <w:szCs w:val="24"/>
          <w:highlight w:val="none"/>
        </w:rPr>
        <w:t>（13）银行开户许可证或基本存款账户信息复印件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7C3F23BB">
      <w:pPr>
        <w:pStyle w:val="13"/>
        <w:kinsoku w:val="0"/>
        <w:overflowPunct w:val="0"/>
        <w:spacing w:line="314" w:lineRule="auto"/>
        <w:ind w:left="0" w:firstLine="523" w:firstLineChars="218"/>
        <w:jc w:val="both"/>
        <w:rPr>
          <w:rFonts w:hint="eastAsia" w:ascii="宋体" w:hAnsi="宋体" w:cs="宋体"/>
          <w:color w:val="auto"/>
          <w:szCs w:val="24"/>
          <w:highlight w:val="none"/>
        </w:rPr>
      </w:pPr>
      <w:r>
        <w:rPr>
          <w:rFonts w:hint="eastAsia" w:ascii="宋体" w:hAnsi="宋体" w:cs="宋体"/>
          <w:color w:val="auto"/>
          <w:szCs w:val="24"/>
          <w:highlight w:val="none"/>
        </w:rPr>
        <w:t>（14）供应商在“信用中国”网站</w:t>
      </w:r>
      <w:r>
        <w:rPr>
          <w:rFonts w:hint="eastAsia" w:ascii="宋体" w:hAnsi="宋体" w:cs="宋体"/>
          <w:color w:val="auto"/>
          <w:szCs w:val="24"/>
          <w:highlight w:val="none"/>
          <w:lang w:eastAsia="zh-CN"/>
        </w:rPr>
        <w:t>（</w:t>
      </w:r>
      <w:r>
        <w:rPr>
          <w:rFonts w:hint="eastAsia" w:ascii="宋体" w:hAnsi="宋体" w:cs="宋体"/>
          <w:color w:val="auto"/>
          <w:szCs w:val="24"/>
          <w:highlight w:val="none"/>
        </w:rPr>
        <w:t>www.creditchina.gov.cn</w:t>
      </w:r>
      <w:r>
        <w:rPr>
          <w:rFonts w:hint="eastAsia" w:ascii="宋体" w:hAnsi="宋体" w:cs="宋体"/>
          <w:color w:val="auto"/>
          <w:szCs w:val="24"/>
          <w:highlight w:val="none"/>
          <w:lang w:eastAsia="zh-CN"/>
        </w:rPr>
        <w:t>）</w:t>
      </w:r>
      <w:r>
        <w:rPr>
          <w:rFonts w:hint="eastAsia" w:ascii="宋体" w:hAnsi="宋体" w:cs="宋体"/>
          <w:color w:val="auto"/>
          <w:szCs w:val="24"/>
          <w:highlight w:val="none"/>
        </w:rPr>
        <w:t>、中国政府采购网</w:t>
      </w:r>
      <w:r>
        <w:rPr>
          <w:rFonts w:hint="eastAsia" w:ascii="宋体" w:hAnsi="宋体" w:cs="宋体"/>
          <w:color w:val="auto"/>
          <w:szCs w:val="24"/>
          <w:highlight w:val="none"/>
          <w:lang w:eastAsia="zh-CN"/>
        </w:rPr>
        <w:t>（</w:t>
      </w:r>
      <w:r>
        <w:rPr>
          <w:rFonts w:hint="eastAsia" w:ascii="宋体" w:hAnsi="宋体" w:cs="宋体"/>
          <w:color w:val="auto"/>
          <w:szCs w:val="24"/>
          <w:highlight w:val="none"/>
        </w:rPr>
        <w:t>www.ccgp.gov.cn</w:t>
      </w:r>
      <w:r>
        <w:rPr>
          <w:rFonts w:hint="eastAsia" w:ascii="宋体" w:hAnsi="宋体" w:cs="宋体"/>
          <w:color w:val="auto"/>
          <w:szCs w:val="24"/>
          <w:highlight w:val="none"/>
          <w:lang w:eastAsia="zh-CN"/>
        </w:rPr>
        <w:t>）</w:t>
      </w:r>
      <w:r>
        <w:rPr>
          <w:rFonts w:hint="eastAsia" w:ascii="宋体" w:hAnsi="宋体" w:cs="宋体"/>
          <w:color w:val="auto"/>
          <w:szCs w:val="24"/>
          <w:highlight w:val="none"/>
        </w:rPr>
        <w:t>查询结果截图，</w:t>
      </w:r>
      <w:r>
        <w:rPr>
          <w:rFonts w:hint="eastAsia" w:ascii="宋体" w:hAnsi="宋体" w:cs="宋体"/>
          <w:color w:val="auto"/>
          <w:szCs w:val="24"/>
          <w:highlight w:val="none"/>
          <w:lang w:val="zh-CN"/>
        </w:rPr>
        <w:t>供应商或其法定代表人、拟委任的项目经理在近三年内无行贿犯罪行为。（以“中国裁判文书网”查询结果为准），</w:t>
      </w:r>
      <w:r>
        <w:rPr>
          <w:rFonts w:hint="eastAsia" w:ascii="宋体" w:hAnsi="宋体" w:cs="宋体"/>
          <w:color w:val="auto"/>
          <w:szCs w:val="24"/>
          <w:highlight w:val="none"/>
        </w:rPr>
        <w:t>同时在诚信声明中声明说明奖惩情况；</w:t>
      </w:r>
    </w:p>
    <w:p w14:paraId="718655A0">
      <w:pPr>
        <w:pStyle w:val="13"/>
        <w:kinsoku w:val="0"/>
        <w:overflowPunct w:val="0"/>
        <w:spacing w:line="314" w:lineRule="auto"/>
        <w:ind w:left="0" w:firstLine="523" w:firstLineChars="218"/>
        <w:jc w:val="both"/>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15</w:t>
      </w:r>
      <w:r>
        <w:rPr>
          <w:rFonts w:hint="eastAsia" w:ascii="宋体" w:hAnsi="宋体" w:cs="宋体"/>
          <w:color w:val="auto"/>
          <w:szCs w:val="24"/>
          <w:highlight w:val="none"/>
          <w:lang w:eastAsia="zh-CN"/>
        </w:rPr>
        <w:t>）</w:t>
      </w:r>
      <w:r>
        <w:rPr>
          <w:rFonts w:ascii="宋体" w:hAnsi="宋体" w:cs="宋体"/>
          <w:color w:val="auto"/>
          <w:szCs w:val="24"/>
          <w:highlight w:val="none"/>
          <w:lang w:val="zh-CN" w:bidi="zh-CN"/>
        </w:rPr>
        <w:t>供应商</w:t>
      </w:r>
      <w:r>
        <w:rPr>
          <w:rFonts w:ascii="宋体" w:hAnsi="宋体" w:cs="宋体"/>
          <w:color w:val="auto"/>
          <w:kern w:val="2"/>
          <w:szCs w:val="24"/>
          <w:highlight w:val="none"/>
        </w:rPr>
        <w:t>的信用评价等级</w:t>
      </w:r>
      <w:r>
        <w:rPr>
          <w:rFonts w:hint="eastAsia" w:ascii="宋体" w:hAnsi="宋体" w:cs="宋体"/>
          <w:color w:val="auto"/>
          <w:kern w:val="2"/>
          <w:szCs w:val="24"/>
          <w:highlight w:val="none"/>
          <w:lang w:eastAsia="zh-CN"/>
        </w:rPr>
        <w:t>；按照《广西壮族自治区交通运输厅关于修订广西公路建设市场施工企业信用评价规则实施细则的通知》（桂交规〔2022〕8号）及《广西壮族自治区交通运输厅关于公布</w:t>
      </w:r>
      <w:r>
        <w:rPr>
          <w:rFonts w:hint="eastAsia" w:ascii="宋体" w:hAnsi="宋体" w:cs="宋体"/>
          <w:color w:val="auto"/>
          <w:kern w:val="2"/>
          <w:szCs w:val="24"/>
          <w:highlight w:val="none"/>
          <w:lang w:eastAsia="zh-CN"/>
        </w:rPr>
        <w:t>2023年度</w:t>
      </w:r>
      <w:r>
        <w:rPr>
          <w:rFonts w:hint="eastAsia" w:ascii="宋体" w:hAnsi="宋体" w:cs="宋体"/>
          <w:color w:val="auto"/>
          <w:kern w:val="2"/>
          <w:szCs w:val="24"/>
          <w:highlight w:val="none"/>
          <w:lang w:eastAsia="zh-CN"/>
        </w:rPr>
        <w:t>广西公路养护工程施工信用评价结果的通知》（桂交建管函〔2024〕181号）</w:t>
      </w:r>
      <w:r>
        <w:rPr>
          <w:rFonts w:hint="eastAsia" w:ascii="宋体" w:hAnsi="宋体" w:cs="宋体"/>
          <w:color w:val="auto"/>
          <w:kern w:val="2"/>
          <w:szCs w:val="24"/>
          <w:highlight w:val="none"/>
          <w:lang w:eastAsia="zh-CN"/>
        </w:rPr>
        <w:t>或</w:t>
      </w:r>
      <w:r>
        <w:rPr>
          <w:rFonts w:hint="eastAsia" w:ascii="宋体" w:hAnsi="宋体" w:cs="宋体"/>
          <w:color w:val="auto"/>
          <w:kern w:val="2"/>
          <w:szCs w:val="24"/>
          <w:highlight w:val="none"/>
          <w:lang w:eastAsia="zh-CN"/>
        </w:rPr>
        <w:t>《广西壮族自治区交通运输厅关于公布广西公路建设市场2023年度公路设计企业、施工企业、监理企业及监理人员信用评价结果的通知》（桂交建管函</w:t>
      </w:r>
      <w:r>
        <w:rPr>
          <w:rFonts w:hint="eastAsia" w:ascii="宋体" w:hAnsi="宋体" w:cs="宋体"/>
          <w:color w:val="auto"/>
          <w:kern w:val="2"/>
          <w:szCs w:val="24"/>
          <w:highlight w:val="none"/>
          <w:lang w:eastAsia="zh-CN"/>
        </w:rPr>
        <w:t>〔2024</w:t>
      </w:r>
      <w:r>
        <w:rPr>
          <w:rFonts w:hint="eastAsia" w:ascii="宋体" w:hAnsi="宋体" w:cs="宋体"/>
          <w:color w:val="auto"/>
          <w:kern w:val="2"/>
          <w:szCs w:val="24"/>
          <w:highlight w:val="none"/>
          <w:lang w:eastAsia="zh-CN"/>
        </w:rPr>
        <w:t>〕208号）的规定执行。按照桂交规〔2022〕8号第十九条规定，初次进入广西公路建设市场的竞标单位，既无全国综合评价等级也无注册地省级交通运输主管部门的省级综合评价等级的施工企业初次进入广西公路建设市场时，应向广西公路建设市场信用评价领导小组办公室报送基本情况表，由领导小组办公室审核确定其信用评价等级</w:t>
      </w:r>
      <w:r>
        <w:rPr>
          <w:rFonts w:hint="eastAsia" w:ascii="宋体" w:hAnsi="宋体" w:cs="宋体"/>
          <w:b/>
          <w:bCs/>
          <w:color w:val="auto"/>
          <w:kern w:val="2"/>
          <w:szCs w:val="24"/>
          <w:highlight w:val="none"/>
          <w:lang w:eastAsia="zh-CN"/>
        </w:rPr>
        <w:t>（必须提供）</w:t>
      </w:r>
      <w:r>
        <w:rPr>
          <w:rFonts w:hint="eastAsia" w:ascii="宋体" w:hAnsi="宋体" w:cs="宋体"/>
          <w:color w:val="auto"/>
          <w:kern w:val="2"/>
          <w:szCs w:val="24"/>
          <w:highlight w:val="none"/>
          <w:lang w:eastAsia="zh-CN"/>
        </w:rPr>
        <w:t>；</w:t>
      </w:r>
    </w:p>
    <w:p w14:paraId="69B16F39">
      <w:pPr>
        <w:pStyle w:val="13"/>
        <w:kinsoku w:val="0"/>
        <w:overflowPunct w:val="0"/>
        <w:spacing w:line="314" w:lineRule="auto"/>
        <w:ind w:left="0" w:firstLine="523" w:firstLineChars="218"/>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）农民工工资保证金承诺书及承诺函</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6D215611">
      <w:pPr>
        <w:pStyle w:val="13"/>
        <w:kinsoku w:val="0"/>
        <w:overflowPunct w:val="0"/>
        <w:spacing w:line="314" w:lineRule="auto"/>
        <w:ind w:left="0" w:firstLine="523" w:firstLineChars="218"/>
        <w:rPr>
          <w:rFonts w:hint="eastAsia" w:ascii="宋体" w:hAnsi="宋体" w:cs="宋体"/>
          <w:b/>
          <w:bCs/>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）中小企业声明函或者残疾人福利性单位声明函或者供应商属于监狱企业的证明材料；</w:t>
      </w:r>
      <w:r>
        <w:rPr>
          <w:rFonts w:hint="eastAsia" w:ascii="宋体" w:hAnsi="宋体" w:cs="宋体"/>
          <w:b/>
          <w:bCs/>
          <w:color w:val="auto"/>
          <w:szCs w:val="24"/>
          <w:highlight w:val="none"/>
        </w:rPr>
        <w:t>（必须提供）</w:t>
      </w:r>
    </w:p>
    <w:p w14:paraId="1BA69C1F">
      <w:pPr>
        <w:pStyle w:val="13"/>
        <w:kinsoku w:val="0"/>
        <w:overflowPunct w:val="0"/>
        <w:spacing w:line="314" w:lineRule="auto"/>
        <w:ind w:left="0" w:firstLine="523" w:firstLineChars="218"/>
        <w:rPr>
          <w:rFonts w:hint="eastAsia" w:ascii="宋体" w:hAnsi="宋体" w:cs="宋体"/>
          <w:b/>
          <w:bCs/>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）无在岗项目承诺书</w:t>
      </w:r>
      <w:r>
        <w:rPr>
          <w:rFonts w:hint="eastAsia" w:ascii="宋体" w:hAnsi="宋体" w:cs="宋体"/>
          <w:b/>
          <w:bCs/>
          <w:color w:val="auto"/>
          <w:szCs w:val="24"/>
          <w:highlight w:val="none"/>
        </w:rPr>
        <w:t>（必须提供）</w:t>
      </w:r>
    </w:p>
    <w:p w14:paraId="1D5274A7">
      <w:pPr>
        <w:pStyle w:val="13"/>
        <w:kinsoku w:val="0"/>
        <w:overflowPunct w:val="0"/>
        <w:spacing w:line="314" w:lineRule="auto"/>
        <w:ind w:left="0" w:firstLine="523" w:firstLineChars="218"/>
        <w:rPr>
          <w:rFonts w:hint="eastAsia" w:ascii="宋体" w:hAnsi="宋体" w:cs="宋体"/>
          <w:color w:val="auto"/>
          <w:szCs w:val="24"/>
          <w:highlight w:val="none"/>
        </w:rPr>
      </w:pP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19</w:t>
      </w:r>
      <w:r>
        <w:rPr>
          <w:rFonts w:hint="eastAsia" w:ascii="宋体" w:hAnsi="宋体" w:cs="宋体"/>
          <w:color w:val="auto"/>
          <w:szCs w:val="24"/>
          <w:highlight w:val="none"/>
        </w:rPr>
        <w:t>）供应商认为必要提供的声明及其它资料。</w:t>
      </w:r>
    </w:p>
    <w:p w14:paraId="44AD292F">
      <w:pPr>
        <w:tabs>
          <w:tab w:val="left" w:pos="323"/>
        </w:tabs>
        <w:adjustRightInd/>
        <w:spacing w:line="400" w:lineRule="exact"/>
        <w:ind w:left="72" w:leftChars="30" w:firstLine="241" w:firstLineChars="100"/>
        <w:rPr>
          <w:rFonts w:ascii="宋体" w:hAnsi="宋体" w:cs="宋体"/>
          <w:b/>
          <w:color w:val="auto"/>
          <w:szCs w:val="24"/>
          <w:highlight w:val="none"/>
          <w:lang w:val="zh-CN" w:bidi="zh-CN"/>
        </w:rPr>
      </w:pPr>
      <w:r>
        <w:rPr>
          <w:rFonts w:ascii="宋体" w:hAnsi="宋体" w:cs="宋体"/>
          <w:b/>
          <w:color w:val="auto"/>
          <w:szCs w:val="24"/>
          <w:highlight w:val="none"/>
          <w:lang w:val="zh-CN" w:bidi="zh-CN"/>
        </w:rPr>
        <w:t>注：</w:t>
      </w:r>
    </w:p>
    <w:p w14:paraId="5F29F5D6">
      <w:pPr>
        <w:numPr>
          <w:ilvl w:val="1"/>
          <w:numId w:val="1"/>
        </w:numPr>
        <w:tabs>
          <w:tab w:val="left" w:pos="736"/>
        </w:tabs>
        <w:adjustRightInd/>
        <w:spacing w:line="400" w:lineRule="exact"/>
        <w:ind w:left="72" w:leftChars="30" w:firstLine="412"/>
        <w:rPr>
          <w:rFonts w:ascii="宋体" w:hAnsi="宋体" w:cs="宋体"/>
          <w:b/>
          <w:color w:val="auto"/>
          <w:szCs w:val="24"/>
          <w:highlight w:val="none"/>
          <w:lang w:val="zh-CN" w:bidi="zh-CN"/>
        </w:rPr>
      </w:pPr>
      <w:r>
        <w:rPr>
          <w:rFonts w:ascii="宋体" w:hAnsi="宋体" w:cs="宋体"/>
          <w:b/>
          <w:color w:val="auto"/>
          <w:szCs w:val="24"/>
          <w:highlight w:val="none"/>
          <w:lang w:val="zh-CN" w:bidi="zh-CN"/>
        </w:rPr>
        <w:t>以上标明“必须提供”的材料属于复印件的，必须加盖供应商公章，否则响应文件按无效响应处理。</w:t>
      </w:r>
    </w:p>
    <w:p w14:paraId="6EAEAB47">
      <w:pPr>
        <w:pStyle w:val="13"/>
        <w:kinsoku w:val="0"/>
        <w:overflowPunct w:val="0"/>
        <w:spacing w:line="400" w:lineRule="exact"/>
        <w:ind w:left="0" w:firstLine="525" w:firstLineChars="218"/>
        <w:rPr>
          <w:rFonts w:hint="eastAsia" w:ascii="宋体" w:hAnsi="宋体" w:cs="宋体"/>
          <w:color w:val="auto"/>
          <w:szCs w:val="24"/>
          <w:highlight w:val="none"/>
        </w:rPr>
      </w:pPr>
      <w:r>
        <w:rPr>
          <w:rFonts w:hint="eastAsia" w:ascii="宋体" w:hAnsi="宋体" w:cs="宋体"/>
          <w:b/>
          <w:color w:val="auto"/>
          <w:szCs w:val="24"/>
          <w:highlight w:val="none"/>
          <w:lang w:val="zh-CN" w:bidi="zh-CN"/>
        </w:rPr>
        <w:t>2.响应文件（包含电子备份响应文件），其中电子响应文件中所须加盖公章部分均采用</w:t>
      </w:r>
      <w:r>
        <w:rPr>
          <w:rFonts w:hint="eastAsia" w:ascii="宋体" w:hAnsi="宋体" w:cs="宋体"/>
          <w:b/>
          <w:color w:val="auto"/>
          <w:szCs w:val="24"/>
          <w:highlight w:val="none"/>
          <w:lang w:bidi="zh-CN"/>
        </w:rPr>
        <w:t>CA</w:t>
      </w:r>
      <w:r>
        <w:rPr>
          <w:rFonts w:hint="eastAsia" w:ascii="宋体" w:hAnsi="宋体" w:cs="宋体"/>
          <w:b/>
          <w:color w:val="auto"/>
          <w:szCs w:val="24"/>
          <w:highlight w:val="none"/>
          <w:lang w:val="zh-CN" w:bidi="zh-CN"/>
        </w:rPr>
        <w:t>签章。若竞争性磋商文件中有专门标注的某关联点，并要求供应商在电子竞标系统中作出竞标响应的，如供应商未对关联点进行响应或者在响应文件其它内容进行描述，造成电子评审不能查询的责任由供应商自行承担。</w:t>
      </w:r>
    </w:p>
    <w:p w14:paraId="290EBDB6">
      <w:pPr>
        <w:pStyle w:val="13"/>
        <w:kinsoku w:val="0"/>
        <w:overflowPunct w:val="0"/>
        <w:spacing w:line="400" w:lineRule="exact"/>
        <w:ind w:left="0" w:firstLine="361" w:firstLineChars="150"/>
        <w:rPr>
          <w:rFonts w:hint="eastAsia" w:ascii="宋体" w:hAnsi="宋体" w:cs="宋体"/>
          <w:color w:val="auto"/>
          <w:szCs w:val="24"/>
          <w:highlight w:val="none"/>
        </w:rPr>
      </w:pPr>
      <w:r>
        <w:rPr>
          <w:rFonts w:hint="eastAsia" w:ascii="宋体" w:hAnsi="宋体" w:cs="宋体"/>
          <w:b/>
          <w:color w:val="auto"/>
          <w:szCs w:val="24"/>
          <w:highlight w:val="none"/>
          <w:lang w:bidi="zh-CN"/>
        </w:rPr>
        <w:t>3.</w:t>
      </w:r>
      <w:r>
        <w:rPr>
          <w:rFonts w:hint="eastAsia" w:ascii="宋体" w:hAnsi="宋体" w:cs="宋体"/>
          <w:b/>
          <w:color w:val="auto"/>
          <w:szCs w:val="24"/>
          <w:highlight w:val="none"/>
          <w:lang w:val="zh-CN" w:bidi="zh-CN"/>
        </w:rPr>
        <w:t>以上材料未附格式的，由供应商自行拟定。</w:t>
      </w:r>
    </w:p>
    <w:p w14:paraId="66F6C853">
      <w:pPr>
        <w:pStyle w:val="13"/>
        <w:kinsoku w:val="0"/>
        <w:overflowPunct w:val="0"/>
        <w:spacing w:line="400" w:lineRule="exact"/>
        <w:ind w:left="120" w:leftChars="50" w:firstLine="361" w:firstLineChars="150"/>
        <w:rPr>
          <w:rFonts w:hint="eastAsia" w:ascii="宋体" w:hAnsi="宋体" w:cs="宋体"/>
          <w:color w:val="auto"/>
          <w:szCs w:val="24"/>
          <w:highlight w:val="none"/>
        </w:rPr>
      </w:pPr>
      <w:r>
        <w:rPr>
          <w:rFonts w:hint="eastAsia" w:ascii="宋体" w:hAnsi="宋体" w:cs="宋体"/>
          <w:b/>
          <w:color w:val="auto"/>
          <w:szCs w:val="24"/>
          <w:highlight w:val="none"/>
        </w:rPr>
        <w:t>9.3商务部分主要包括下列内容：</w:t>
      </w:r>
    </w:p>
    <w:p w14:paraId="341DB4AD">
      <w:pPr>
        <w:pStyle w:val="13"/>
        <w:kinsoku w:val="0"/>
        <w:overflowPunct w:val="0"/>
        <w:spacing w:line="400" w:lineRule="exact"/>
        <w:ind w:left="0" w:firstLine="360" w:firstLineChars="150"/>
        <w:rPr>
          <w:rFonts w:hint="eastAsia" w:ascii="宋体" w:hAnsi="宋体" w:cs="宋体"/>
          <w:color w:val="auto"/>
          <w:szCs w:val="24"/>
          <w:highlight w:val="none"/>
        </w:rPr>
      </w:pPr>
      <w:r>
        <w:rPr>
          <w:rFonts w:hint="eastAsia" w:ascii="宋体" w:hAnsi="宋体" w:cs="宋体"/>
          <w:color w:val="auto"/>
          <w:szCs w:val="24"/>
          <w:highlight w:val="none"/>
        </w:rPr>
        <w:t>（1）竞标函；</w:t>
      </w:r>
      <w:r>
        <w:rPr>
          <w:rFonts w:hint="eastAsia" w:ascii="宋体" w:hAnsi="宋体" w:cs="宋体"/>
          <w:b/>
          <w:color w:val="auto"/>
          <w:szCs w:val="24"/>
          <w:highlight w:val="none"/>
        </w:rPr>
        <w:t>（必须提供）</w:t>
      </w:r>
    </w:p>
    <w:p w14:paraId="21A7FC5B">
      <w:pPr>
        <w:pStyle w:val="13"/>
        <w:kinsoku w:val="0"/>
        <w:overflowPunct w:val="0"/>
        <w:spacing w:line="400" w:lineRule="exact"/>
        <w:ind w:left="0" w:firstLine="360" w:firstLineChars="150"/>
        <w:rPr>
          <w:rFonts w:hint="eastAsia" w:ascii="宋体" w:hAnsi="宋体" w:cs="宋体"/>
          <w:color w:val="auto"/>
          <w:szCs w:val="24"/>
          <w:highlight w:val="none"/>
        </w:rPr>
      </w:pPr>
      <w:r>
        <w:rPr>
          <w:rFonts w:hint="eastAsia" w:ascii="宋体" w:hAnsi="宋体" w:cs="宋体"/>
          <w:color w:val="auto"/>
          <w:szCs w:val="24"/>
          <w:highlight w:val="none"/>
        </w:rPr>
        <w:t>（2）竞标函附录；</w:t>
      </w:r>
      <w:r>
        <w:rPr>
          <w:rFonts w:hint="eastAsia" w:ascii="宋体" w:hAnsi="宋体" w:cs="宋体"/>
          <w:b/>
          <w:color w:val="auto"/>
          <w:szCs w:val="24"/>
          <w:highlight w:val="none"/>
        </w:rPr>
        <w:t>（必须提供）</w:t>
      </w:r>
    </w:p>
    <w:p w14:paraId="328FB796">
      <w:pPr>
        <w:pStyle w:val="13"/>
        <w:kinsoku w:val="0"/>
        <w:overflowPunct w:val="0"/>
        <w:spacing w:line="400" w:lineRule="exact"/>
        <w:ind w:left="0" w:firstLine="360" w:firstLineChars="150"/>
        <w:rPr>
          <w:rFonts w:hint="eastAsia" w:ascii="宋体" w:hAnsi="宋体" w:cs="宋体"/>
          <w:color w:val="auto"/>
          <w:szCs w:val="24"/>
          <w:highlight w:val="none"/>
        </w:rPr>
      </w:pPr>
      <w:r>
        <w:rPr>
          <w:rFonts w:hint="eastAsia" w:ascii="宋体" w:hAnsi="宋体" w:cs="宋体"/>
          <w:color w:val="auto"/>
          <w:szCs w:val="24"/>
          <w:highlight w:val="none"/>
        </w:rPr>
        <w:t>（3）已标价工程量清单。</w:t>
      </w:r>
      <w:r>
        <w:rPr>
          <w:rFonts w:hint="eastAsia" w:ascii="宋体" w:hAnsi="宋体" w:cs="宋体"/>
          <w:b/>
          <w:color w:val="auto"/>
          <w:szCs w:val="24"/>
          <w:highlight w:val="none"/>
        </w:rPr>
        <w:t>（必须提供）</w:t>
      </w:r>
    </w:p>
    <w:p w14:paraId="28170BB3">
      <w:pPr>
        <w:pStyle w:val="13"/>
        <w:kinsoku w:val="0"/>
        <w:overflowPunct w:val="0"/>
        <w:spacing w:line="400" w:lineRule="exact"/>
        <w:ind w:left="0" w:firstLine="360" w:firstLineChars="150"/>
        <w:rPr>
          <w:rFonts w:hint="eastAsia" w:ascii="宋体" w:hAnsi="宋体" w:cs="宋体"/>
          <w:color w:val="auto"/>
          <w:szCs w:val="24"/>
          <w:highlight w:val="none"/>
        </w:rPr>
      </w:pPr>
      <w:r>
        <w:rPr>
          <w:rFonts w:hint="eastAsia" w:ascii="宋体" w:hAnsi="宋体" w:cs="宋体"/>
          <w:color w:val="auto"/>
          <w:szCs w:val="24"/>
          <w:highlight w:val="none"/>
        </w:rPr>
        <w:t>（4）供应商认为必要提供的声明及其它资料。</w:t>
      </w:r>
    </w:p>
    <w:p w14:paraId="670DFA11">
      <w:pPr>
        <w:tabs>
          <w:tab w:val="left" w:pos="323"/>
        </w:tabs>
        <w:adjustRightInd/>
        <w:spacing w:line="400" w:lineRule="exact"/>
        <w:ind w:left="72" w:leftChars="30" w:firstLine="241" w:firstLineChars="100"/>
        <w:rPr>
          <w:rFonts w:ascii="宋体" w:hAnsi="宋体" w:cs="宋体"/>
          <w:b/>
          <w:color w:val="auto"/>
          <w:szCs w:val="24"/>
          <w:highlight w:val="none"/>
          <w:lang w:val="zh-CN" w:bidi="zh-CN"/>
        </w:rPr>
      </w:pPr>
      <w:r>
        <w:rPr>
          <w:rFonts w:ascii="宋体" w:hAnsi="宋体" w:cs="宋体"/>
          <w:b/>
          <w:color w:val="auto"/>
          <w:szCs w:val="24"/>
          <w:highlight w:val="none"/>
          <w:lang w:val="zh-CN" w:bidi="zh-CN"/>
        </w:rPr>
        <w:t>注：</w:t>
      </w:r>
      <w:bookmarkStart w:id="244" w:name="_GoBack"/>
      <w:bookmarkEnd w:id="244"/>
    </w:p>
    <w:p w14:paraId="79D87672">
      <w:pPr>
        <w:numPr>
          <w:ilvl w:val="1"/>
          <w:numId w:val="2"/>
        </w:numPr>
        <w:tabs>
          <w:tab w:val="left" w:pos="426"/>
        </w:tabs>
        <w:adjustRightInd/>
        <w:spacing w:line="400" w:lineRule="exact"/>
        <w:ind w:firstLine="316"/>
        <w:rPr>
          <w:rFonts w:ascii="宋体" w:hAnsi="宋体" w:cs="宋体"/>
          <w:b/>
          <w:color w:val="auto"/>
          <w:szCs w:val="24"/>
          <w:highlight w:val="none"/>
          <w:lang w:val="zh-CN" w:bidi="zh-CN"/>
        </w:rPr>
      </w:pPr>
      <w:r>
        <w:rPr>
          <w:rFonts w:ascii="宋体" w:hAnsi="宋体" w:cs="宋体"/>
          <w:b/>
          <w:color w:val="auto"/>
          <w:szCs w:val="24"/>
          <w:highlight w:val="none"/>
          <w:lang w:val="zh-CN" w:bidi="zh-CN"/>
        </w:rPr>
        <w:t>以上标明“必须提供”的材料属于复印件的，必须加盖供应商公章，否则响应文件按无效响应处理。</w:t>
      </w:r>
    </w:p>
    <w:p w14:paraId="197DE0E8">
      <w:pPr>
        <w:tabs>
          <w:tab w:val="left" w:pos="426"/>
        </w:tabs>
        <w:adjustRightInd/>
        <w:spacing w:line="400" w:lineRule="exact"/>
        <w:ind w:firstLine="482" w:firstLineChars="200"/>
        <w:rPr>
          <w:rFonts w:ascii="宋体" w:hAnsi="宋体" w:cs="宋体"/>
          <w:b/>
          <w:color w:val="auto"/>
          <w:szCs w:val="24"/>
          <w:highlight w:val="none"/>
          <w:lang w:val="zh-CN" w:bidi="zh-CN"/>
        </w:rPr>
      </w:pPr>
      <w:r>
        <w:rPr>
          <w:rFonts w:ascii="宋体" w:hAnsi="宋体" w:cs="宋体"/>
          <w:b/>
          <w:color w:val="auto"/>
          <w:szCs w:val="24"/>
          <w:highlight w:val="none"/>
          <w:lang w:val="zh-CN" w:bidi="zh-CN"/>
        </w:rPr>
        <w:t>2.响应文件（包含电子备份响应文件），其中电子响应文件中所须加盖公章部分均采用CA签章。若竞争性磋商文件中有专门标注的某关联点，并要求供应商在电子竞标系统中作出竞标响应的，如供应商未对关联点进行响应或者在响应文件其它内容进行描述，造成电子评审不能查询的责任由供应商自行承担。</w:t>
      </w:r>
    </w:p>
    <w:p w14:paraId="0F6D64D8">
      <w:pPr>
        <w:pStyle w:val="13"/>
        <w:kinsoku w:val="0"/>
        <w:overflowPunct w:val="0"/>
        <w:spacing w:line="400" w:lineRule="exact"/>
        <w:ind w:left="0" w:firstLine="361" w:firstLineChars="150"/>
        <w:rPr>
          <w:rFonts w:hint="eastAsia" w:ascii="宋体" w:hAnsi="宋体" w:cs="宋体"/>
          <w:color w:val="auto"/>
          <w:szCs w:val="24"/>
          <w:highlight w:val="none"/>
        </w:rPr>
      </w:pPr>
      <w:r>
        <w:rPr>
          <w:rFonts w:hint="eastAsia" w:ascii="宋体" w:hAnsi="宋体" w:cs="宋体"/>
          <w:b/>
          <w:color w:val="auto"/>
          <w:szCs w:val="24"/>
          <w:highlight w:val="none"/>
        </w:rPr>
        <w:t>9.4技术部分</w:t>
      </w:r>
    </w:p>
    <w:p w14:paraId="63D5E275">
      <w:pPr>
        <w:pStyle w:val="13"/>
        <w:kinsoku w:val="0"/>
        <w:overflowPunct w:val="0"/>
        <w:spacing w:line="400" w:lineRule="exact"/>
        <w:ind w:left="0" w:firstLine="360" w:firstLineChars="150"/>
        <w:rPr>
          <w:rFonts w:hint="eastAsia" w:ascii="宋体" w:hAnsi="宋体" w:cs="宋体"/>
          <w:color w:val="auto"/>
          <w:szCs w:val="24"/>
          <w:highlight w:val="none"/>
        </w:rPr>
      </w:pPr>
      <w:r>
        <w:rPr>
          <w:rFonts w:hint="eastAsia" w:ascii="宋体" w:hAnsi="宋体" w:cs="宋体"/>
          <w:color w:val="auto"/>
          <w:szCs w:val="24"/>
          <w:highlight w:val="none"/>
        </w:rPr>
        <w:t>（1）施工组织设计；</w:t>
      </w:r>
      <w:r>
        <w:rPr>
          <w:rFonts w:hint="eastAsia" w:ascii="宋体" w:hAnsi="宋体" w:cs="宋体"/>
          <w:b/>
          <w:color w:val="auto"/>
          <w:szCs w:val="24"/>
          <w:highlight w:val="none"/>
        </w:rPr>
        <w:t>（必须提供）</w:t>
      </w:r>
    </w:p>
    <w:p w14:paraId="06AD9257">
      <w:pPr>
        <w:pStyle w:val="13"/>
        <w:kinsoku w:val="0"/>
        <w:overflowPunct w:val="0"/>
        <w:spacing w:line="400" w:lineRule="exact"/>
        <w:ind w:left="0" w:firstLine="360" w:firstLineChars="150"/>
        <w:rPr>
          <w:rFonts w:hint="eastAsia" w:ascii="宋体" w:hAnsi="宋体" w:cs="宋体"/>
          <w:color w:val="auto"/>
          <w:szCs w:val="24"/>
          <w:highlight w:val="none"/>
        </w:rPr>
      </w:pPr>
      <w:r>
        <w:rPr>
          <w:rFonts w:hint="eastAsia" w:ascii="宋体" w:hAnsi="宋体" w:cs="宋体"/>
          <w:color w:val="auto"/>
          <w:szCs w:val="24"/>
          <w:highlight w:val="none"/>
        </w:rPr>
        <w:t>（2）项目管理机构；</w:t>
      </w:r>
      <w:r>
        <w:rPr>
          <w:rFonts w:hint="eastAsia" w:ascii="宋体" w:hAnsi="宋体" w:cs="宋体"/>
          <w:b/>
          <w:color w:val="auto"/>
          <w:szCs w:val="24"/>
          <w:highlight w:val="none"/>
        </w:rPr>
        <w:t>（必须提供）</w:t>
      </w:r>
    </w:p>
    <w:p w14:paraId="1D26EC67">
      <w:pPr>
        <w:pStyle w:val="13"/>
        <w:kinsoku w:val="0"/>
        <w:overflowPunct w:val="0"/>
        <w:spacing w:line="400" w:lineRule="exact"/>
        <w:ind w:left="0" w:firstLine="360" w:firstLineChars="150"/>
        <w:rPr>
          <w:rFonts w:hint="eastAsia" w:ascii="宋体" w:hAnsi="宋体" w:cs="宋体"/>
          <w:color w:val="auto"/>
          <w:szCs w:val="24"/>
          <w:highlight w:val="none"/>
        </w:rPr>
      </w:pPr>
      <w:r>
        <w:rPr>
          <w:rFonts w:hint="eastAsia" w:ascii="宋体" w:hAnsi="宋体" w:cs="宋体"/>
          <w:color w:val="auto"/>
          <w:szCs w:val="24"/>
          <w:highlight w:val="none"/>
        </w:rPr>
        <w:t>（3）供应商认为必要提供的声明及其它资料。</w:t>
      </w:r>
    </w:p>
    <w:p w14:paraId="12A49CFD">
      <w:pPr>
        <w:tabs>
          <w:tab w:val="left" w:pos="323"/>
        </w:tabs>
        <w:adjustRightInd/>
        <w:spacing w:line="400" w:lineRule="exact"/>
        <w:ind w:left="72" w:leftChars="30" w:firstLine="241" w:firstLineChars="100"/>
        <w:rPr>
          <w:rFonts w:ascii="宋体" w:hAnsi="宋体" w:cs="宋体"/>
          <w:b/>
          <w:color w:val="auto"/>
          <w:szCs w:val="24"/>
          <w:highlight w:val="none"/>
          <w:lang w:val="zh-CN" w:bidi="zh-CN"/>
        </w:rPr>
      </w:pPr>
      <w:bookmarkStart w:id="65" w:name="10.竞标有效期"/>
      <w:bookmarkEnd w:id="65"/>
      <w:bookmarkStart w:id="66" w:name="bookmark10"/>
      <w:bookmarkEnd w:id="66"/>
      <w:bookmarkStart w:id="67" w:name="_Toc514786857"/>
      <w:r>
        <w:rPr>
          <w:rFonts w:ascii="宋体" w:hAnsi="宋体" w:cs="宋体"/>
          <w:b/>
          <w:color w:val="auto"/>
          <w:szCs w:val="24"/>
          <w:highlight w:val="none"/>
          <w:lang w:val="zh-CN" w:bidi="zh-CN"/>
        </w:rPr>
        <w:t>注：</w:t>
      </w:r>
    </w:p>
    <w:p w14:paraId="04168B86">
      <w:pPr>
        <w:numPr>
          <w:ilvl w:val="1"/>
          <w:numId w:val="3"/>
        </w:numPr>
        <w:tabs>
          <w:tab w:val="left" w:pos="426"/>
        </w:tabs>
        <w:adjustRightInd/>
        <w:spacing w:line="400" w:lineRule="exact"/>
        <w:ind w:firstLine="316"/>
        <w:rPr>
          <w:rFonts w:ascii="宋体" w:hAnsi="宋体" w:cs="宋体"/>
          <w:b/>
          <w:color w:val="auto"/>
          <w:szCs w:val="24"/>
          <w:highlight w:val="none"/>
          <w:lang w:val="zh-CN" w:bidi="zh-CN"/>
        </w:rPr>
      </w:pPr>
      <w:r>
        <w:rPr>
          <w:rFonts w:ascii="宋体" w:hAnsi="宋体" w:cs="宋体"/>
          <w:b/>
          <w:color w:val="auto"/>
          <w:szCs w:val="24"/>
          <w:highlight w:val="none"/>
          <w:lang w:val="zh-CN" w:bidi="zh-CN"/>
        </w:rPr>
        <w:t>以上标明“必须提供”的材料属于复印件的，必须加盖供应商公章，否则响应文件按无效响应处理。</w:t>
      </w:r>
    </w:p>
    <w:p w14:paraId="4980D201">
      <w:pPr>
        <w:pStyle w:val="13"/>
        <w:kinsoku w:val="0"/>
        <w:overflowPunct w:val="0"/>
        <w:spacing w:line="400" w:lineRule="exact"/>
        <w:ind w:left="0" w:firstLine="525" w:firstLineChars="218"/>
        <w:rPr>
          <w:rFonts w:hint="eastAsia" w:ascii="宋体" w:hAnsi="宋体" w:cs="宋体"/>
          <w:color w:val="auto"/>
          <w:szCs w:val="24"/>
          <w:highlight w:val="none"/>
        </w:rPr>
      </w:pPr>
      <w:r>
        <w:rPr>
          <w:rFonts w:hint="eastAsia" w:ascii="宋体" w:hAnsi="宋体" w:cs="宋体"/>
          <w:b/>
          <w:color w:val="auto"/>
          <w:szCs w:val="24"/>
          <w:highlight w:val="none"/>
          <w:lang w:val="zh-CN" w:bidi="zh-CN"/>
        </w:rPr>
        <w:t>2.响应文件（包含电子备份响应文件），其中电子响应文件中所须加盖公章部分均采用</w:t>
      </w:r>
      <w:r>
        <w:rPr>
          <w:rFonts w:hint="eastAsia" w:ascii="宋体" w:hAnsi="宋体" w:cs="宋体"/>
          <w:b/>
          <w:color w:val="auto"/>
          <w:szCs w:val="24"/>
          <w:highlight w:val="none"/>
          <w:lang w:bidi="zh-CN"/>
        </w:rPr>
        <w:t>CA</w:t>
      </w:r>
      <w:r>
        <w:rPr>
          <w:rFonts w:hint="eastAsia" w:ascii="宋体" w:hAnsi="宋体" w:cs="宋体"/>
          <w:b/>
          <w:color w:val="auto"/>
          <w:szCs w:val="24"/>
          <w:highlight w:val="none"/>
          <w:lang w:val="zh-CN" w:bidi="zh-CN"/>
        </w:rPr>
        <w:t>签章。若竞争性磋商文件中有专门标注的某关联点，并要求供应商在电子竞标系统中作出竞标响应的，如供应商未对关联点进行响应或者在响应文件其它内容进行描述，造成电子评审不能查询的责任由供应商自行承担。</w:t>
      </w:r>
    </w:p>
    <w:p w14:paraId="3A186D8A">
      <w:pPr>
        <w:pStyle w:val="106"/>
        <w:spacing w:line="400" w:lineRule="exact"/>
        <w:ind w:left="72" w:leftChars="30" w:right="3168"/>
        <w:rPr>
          <w:rFonts w:ascii="宋体" w:hAnsi="宋体" w:cs="宋体"/>
          <w:color w:val="auto"/>
          <w:szCs w:val="24"/>
          <w:highlight w:val="none"/>
        </w:rPr>
      </w:pPr>
      <w:r>
        <w:rPr>
          <w:rFonts w:ascii="宋体" w:hAnsi="宋体" w:cs="宋体"/>
          <w:color w:val="auto"/>
          <w:szCs w:val="24"/>
          <w:highlight w:val="none"/>
        </w:rPr>
        <w:t>10.竞标有效期</w:t>
      </w:r>
      <w:bookmarkEnd w:id="67"/>
    </w:p>
    <w:p w14:paraId="3B1946CF">
      <w:pPr>
        <w:pStyle w:val="13"/>
        <w:kinsoku w:val="0"/>
        <w:overflowPunct w:val="0"/>
        <w:spacing w:line="400" w:lineRule="exact"/>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10.1响应文件在本须知第9条规定的竞标截止日期之后的</w:t>
      </w:r>
      <w:r>
        <w:rPr>
          <w:rFonts w:hint="eastAsia" w:ascii="宋体" w:hAnsi="宋体" w:cs="宋体"/>
          <w:color w:val="auto"/>
          <w:szCs w:val="24"/>
          <w:highlight w:val="none"/>
          <w:u w:val="single"/>
          <w:lang w:val="en-US" w:eastAsia="zh-CN"/>
        </w:rPr>
        <w:t>9</w:t>
      </w:r>
      <w:r>
        <w:rPr>
          <w:rFonts w:hint="eastAsia" w:ascii="宋体" w:hAnsi="宋体" w:cs="宋体"/>
          <w:color w:val="auto"/>
          <w:szCs w:val="24"/>
          <w:highlight w:val="none"/>
          <w:u w:val="single"/>
        </w:rPr>
        <w:t>0</w:t>
      </w:r>
      <w:r>
        <w:rPr>
          <w:rFonts w:hint="eastAsia" w:ascii="宋体" w:hAnsi="宋体" w:cs="宋体"/>
          <w:color w:val="auto"/>
          <w:szCs w:val="24"/>
          <w:highlight w:val="none"/>
        </w:rPr>
        <w:t>天（日历天）内有效。</w:t>
      </w:r>
    </w:p>
    <w:p w14:paraId="24C3A913">
      <w:pPr>
        <w:pStyle w:val="13"/>
        <w:kinsoku w:val="0"/>
        <w:overflowPunct w:val="0"/>
        <w:spacing w:line="400" w:lineRule="exact"/>
        <w:ind w:left="0" w:firstLine="434"/>
        <w:jc w:val="both"/>
        <w:rPr>
          <w:rFonts w:hint="eastAsia" w:ascii="宋体" w:hAnsi="宋体" w:cs="宋体"/>
          <w:color w:val="auto"/>
          <w:szCs w:val="24"/>
          <w:highlight w:val="none"/>
        </w:rPr>
      </w:pPr>
      <w:r>
        <w:rPr>
          <w:rFonts w:hint="eastAsia" w:ascii="宋体" w:hAnsi="宋体" w:cs="宋体"/>
          <w:color w:val="auto"/>
          <w:szCs w:val="24"/>
          <w:highlight w:val="none"/>
        </w:rPr>
        <w:t>10.2在原定竞标有效期满之前，如果出现特殊情况，经监督管理部门核准，采购人可以书面形式向供应商提出延长竞标有效期的要求，供应商须以书面形式予以答复。供应商可以拒绝这种要求而不被没收保证金。同意延长竞标有效期的供应商不允许修改其响应文件，但需要相应地延长磋商保证金的有效期，在延长期内本须知第11条的规定仍然适用。</w:t>
      </w:r>
    </w:p>
    <w:p w14:paraId="7C75BC4E">
      <w:pPr>
        <w:pStyle w:val="8"/>
        <w:kinsoku w:val="0"/>
        <w:overflowPunct w:val="0"/>
        <w:spacing w:line="400" w:lineRule="exact"/>
        <w:ind w:left="0" w:firstLine="480" w:firstLineChars="200"/>
        <w:rPr>
          <w:rFonts w:hAnsi="宋体" w:cs="宋体"/>
          <w:color w:val="auto"/>
          <w:szCs w:val="24"/>
          <w:highlight w:val="none"/>
        </w:rPr>
      </w:pPr>
      <w:bookmarkStart w:id="68" w:name="11.磋商保证金"/>
      <w:bookmarkEnd w:id="68"/>
      <w:bookmarkStart w:id="69" w:name="bookmark11"/>
      <w:bookmarkEnd w:id="69"/>
      <w:bookmarkStart w:id="70" w:name="_Toc514786858"/>
      <w:r>
        <w:rPr>
          <w:rFonts w:hAnsi="宋体" w:cs="宋体"/>
          <w:color w:val="auto"/>
          <w:szCs w:val="24"/>
          <w:highlight w:val="none"/>
        </w:rPr>
        <w:t>11.磋商保证金</w:t>
      </w:r>
      <w:bookmarkEnd w:id="70"/>
    </w:p>
    <w:p w14:paraId="43E1C35F">
      <w:pPr>
        <w:pStyle w:val="13"/>
        <w:kinsoku w:val="0"/>
        <w:overflowPunct w:val="0"/>
        <w:spacing w:line="400" w:lineRule="exact"/>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11.1供应商应提供</w:t>
      </w:r>
      <w:r>
        <w:rPr>
          <w:rFonts w:hint="eastAsia" w:ascii="宋体" w:hAnsi="宋体" w:cs="宋体"/>
          <w:color w:val="auto"/>
          <w:szCs w:val="24"/>
          <w:highlight w:val="none"/>
          <w:u w:val="single"/>
          <w:lang w:eastAsia="zh-CN"/>
        </w:rPr>
        <w:t>供应商</w:t>
      </w:r>
      <w:r>
        <w:rPr>
          <w:rFonts w:hint="eastAsia" w:ascii="宋体" w:hAnsi="宋体" w:cs="宋体"/>
          <w:color w:val="auto"/>
          <w:szCs w:val="24"/>
          <w:highlight w:val="none"/>
          <w:u w:val="single"/>
        </w:rPr>
        <w:t>须知前附表第11项规定</w:t>
      </w:r>
      <w:r>
        <w:rPr>
          <w:rFonts w:hint="eastAsia" w:ascii="宋体" w:hAnsi="宋体" w:cs="宋体"/>
          <w:color w:val="auto"/>
          <w:szCs w:val="24"/>
          <w:highlight w:val="none"/>
        </w:rPr>
        <w:t>的磋商保证金，磋商保证金缴纳凭证是响应文件的一个组成部分。须在</w:t>
      </w:r>
      <w:r>
        <w:rPr>
          <w:rFonts w:hint="eastAsia" w:ascii="宋体" w:hAnsi="宋体" w:cs="宋体"/>
          <w:color w:val="auto"/>
          <w:szCs w:val="24"/>
          <w:highlight w:val="none"/>
          <w:u w:val="single"/>
          <w:lang w:eastAsia="zh-CN"/>
        </w:rPr>
        <w:t>供应商</w:t>
      </w:r>
      <w:r>
        <w:rPr>
          <w:rFonts w:hint="eastAsia" w:ascii="宋体" w:hAnsi="宋体" w:cs="宋体"/>
          <w:color w:val="auto"/>
          <w:szCs w:val="24"/>
          <w:highlight w:val="none"/>
          <w:u w:val="single"/>
        </w:rPr>
        <w:t>须知前附表第11项规定的时间</w:t>
      </w:r>
      <w:r>
        <w:rPr>
          <w:rFonts w:hint="eastAsia" w:ascii="宋体" w:hAnsi="宋体" w:cs="宋体"/>
          <w:color w:val="auto"/>
          <w:szCs w:val="24"/>
          <w:highlight w:val="none"/>
        </w:rPr>
        <w:t>前交到指定账户。因银行流程或供应商办理不及时等任何原因导致未能按时到账，其责任由供应商自行承担。供应商应将银行转账底单复印件粘贴在响应文件相应位置并加盖公章。</w:t>
      </w:r>
    </w:p>
    <w:p w14:paraId="1D91B7B5">
      <w:pPr>
        <w:pStyle w:val="13"/>
        <w:kinsoku w:val="0"/>
        <w:overflowPunct w:val="0"/>
        <w:spacing w:line="400" w:lineRule="exact"/>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11.2对于未能按要求提交磋商保证金的竞标，采购人将视为不响应竞争性磋商文件要求而作无效竞标处理。</w:t>
      </w:r>
    </w:p>
    <w:p w14:paraId="7E92D832">
      <w:pPr>
        <w:pStyle w:val="13"/>
        <w:kinsoku w:val="0"/>
        <w:overflowPunct w:val="0"/>
        <w:spacing w:line="400" w:lineRule="exact"/>
        <w:ind w:left="0" w:firstLine="544" w:firstLineChars="227"/>
        <w:rPr>
          <w:rFonts w:hint="eastAsia" w:ascii="宋体" w:hAnsi="宋体" w:cs="宋体"/>
          <w:color w:val="auto"/>
          <w:szCs w:val="24"/>
          <w:highlight w:val="none"/>
        </w:rPr>
      </w:pPr>
      <w:r>
        <w:rPr>
          <w:rFonts w:hint="eastAsia" w:ascii="宋体" w:hAnsi="宋体" w:cs="宋体"/>
          <w:color w:val="auto"/>
          <w:szCs w:val="24"/>
          <w:highlight w:val="none"/>
        </w:rPr>
        <w:t>11.3未成交的供应商的磋商保证金将尽快退还，最迟不超过成交通知书发出后的5天。</w:t>
      </w:r>
    </w:p>
    <w:p w14:paraId="461EC028">
      <w:pPr>
        <w:pStyle w:val="13"/>
        <w:kinsoku w:val="0"/>
        <w:overflowPunct w:val="0"/>
        <w:spacing w:line="400" w:lineRule="exact"/>
        <w:ind w:left="0" w:firstLine="544" w:firstLineChars="227"/>
        <w:rPr>
          <w:rFonts w:hint="eastAsia" w:ascii="宋体" w:hAnsi="宋体" w:cs="宋体"/>
          <w:color w:val="auto"/>
          <w:szCs w:val="24"/>
          <w:highlight w:val="none"/>
        </w:rPr>
      </w:pPr>
      <w:r>
        <w:rPr>
          <w:rFonts w:hint="eastAsia" w:ascii="宋体" w:hAnsi="宋体" w:cs="宋体"/>
          <w:color w:val="auto"/>
          <w:szCs w:val="24"/>
          <w:highlight w:val="none"/>
        </w:rPr>
        <w:t>11.4成交单位按要求签署合同后5日内，将退还其磋商保证金。</w:t>
      </w:r>
    </w:p>
    <w:p w14:paraId="52456A42">
      <w:pPr>
        <w:pStyle w:val="13"/>
        <w:kinsoku w:val="0"/>
        <w:overflowPunct w:val="0"/>
        <w:spacing w:line="400" w:lineRule="exact"/>
        <w:ind w:left="0" w:firstLine="544" w:firstLineChars="227"/>
        <w:rPr>
          <w:rFonts w:hint="eastAsia" w:ascii="宋体" w:hAnsi="宋体" w:cs="宋体"/>
          <w:color w:val="auto"/>
          <w:szCs w:val="24"/>
          <w:highlight w:val="none"/>
        </w:rPr>
      </w:pPr>
      <w:r>
        <w:rPr>
          <w:rFonts w:hint="eastAsia" w:ascii="宋体" w:hAnsi="宋体" w:cs="宋体"/>
          <w:color w:val="auto"/>
          <w:szCs w:val="24"/>
          <w:highlight w:val="none"/>
        </w:rPr>
        <w:t>11.5如供应商有下列情况，将被没收磋商保证金：</w:t>
      </w:r>
    </w:p>
    <w:p w14:paraId="6CEDE25C">
      <w:pPr>
        <w:pStyle w:val="13"/>
        <w:kinsoku w:val="0"/>
        <w:overflowPunct w:val="0"/>
        <w:spacing w:line="400" w:lineRule="exact"/>
        <w:ind w:left="0" w:firstLine="544" w:firstLineChars="227"/>
        <w:rPr>
          <w:rFonts w:hint="eastAsia" w:ascii="宋体" w:hAnsi="宋体" w:cs="宋体"/>
          <w:color w:val="auto"/>
          <w:szCs w:val="24"/>
          <w:highlight w:val="none"/>
        </w:rPr>
      </w:pPr>
      <w:r>
        <w:rPr>
          <w:rFonts w:hint="eastAsia" w:ascii="宋体" w:hAnsi="宋体" w:cs="宋体"/>
          <w:color w:val="auto"/>
          <w:szCs w:val="24"/>
          <w:highlight w:val="none"/>
        </w:rPr>
        <w:t>11.5.1供应商在竞标有效期内撤回其响应文件；</w:t>
      </w:r>
    </w:p>
    <w:p w14:paraId="1275DA50">
      <w:pPr>
        <w:pStyle w:val="13"/>
        <w:kinsoku w:val="0"/>
        <w:overflowPunct w:val="0"/>
        <w:spacing w:line="400" w:lineRule="exact"/>
        <w:ind w:left="0" w:firstLine="544" w:firstLineChars="227"/>
        <w:rPr>
          <w:rFonts w:hint="eastAsia" w:ascii="宋体" w:hAnsi="宋体" w:cs="宋体"/>
          <w:color w:val="auto"/>
          <w:szCs w:val="24"/>
          <w:highlight w:val="none"/>
        </w:rPr>
      </w:pPr>
      <w:r>
        <w:rPr>
          <w:rFonts w:hint="eastAsia" w:ascii="宋体" w:hAnsi="宋体" w:cs="宋体"/>
          <w:color w:val="auto"/>
          <w:szCs w:val="24"/>
          <w:highlight w:val="none"/>
        </w:rPr>
        <w:t>11.5.2成交单位未能在规定期限内签署合同；</w:t>
      </w:r>
    </w:p>
    <w:p w14:paraId="6B546AB0">
      <w:pPr>
        <w:pStyle w:val="13"/>
        <w:kinsoku w:val="0"/>
        <w:overflowPunct w:val="0"/>
        <w:spacing w:line="400" w:lineRule="exact"/>
        <w:ind w:left="0" w:firstLine="544" w:firstLineChars="227"/>
        <w:rPr>
          <w:rFonts w:hint="eastAsia" w:ascii="宋体" w:hAnsi="宋体" w:cs="宋体"/>
          <w:color w:val="auto"/>
          <w:szCs w:val="24"/>
          <w:highlight w:val="none"/>
        </w:rPr>
      </w:pPr>
      <w:r>
        <w:rPr>
          <w:rFonts w:hint="eastAsia" w:ascii="宋体" w:hAnsi="宋体" w:cs="宋体"/>
          <w:color w:val="auto"/>
          <w:szCs w:val="24"/>
          <w:highlight w:val="none"/>
        </w:rPr>
        <w:t>11.5.3供应商拒绝按本须知第19条规定修正报价。</w:t>
      </w:r>
    </w:p>
    <w:p w14:paraId="547F3AF1">
      <w:pPr>
        <w:pStyle w:val="8"/>
        <w:kinsoku w:val="0"/>
        <w:overflowPunct w:val="0"/>
        <w:spacing w:line="314" w:lineRule="auto"/>
        <w:ind w:left="0" w:firstLine="480" w:firstLineChars="200"/>
        <w:rPr>
          <w:rFonts w:hAnsi="宋体" w:cs="宋体"/>
          <w:color w:val="auto"/>
          <w:szCs w:val="24"/>
          <w:highlight w:val="none"/>
        </w:rPr>
      </w:pPr>
      <w:bookmarkStart w:id="71" w:name="bookmark12"/>
      <w:bookmarkEnd w:id="71"/>
      <w:bookmarkStart w:id="72" w:name="12.竞标预备"/>
      <w:bookmarkEnd w:id="72"/>
      <w:bookmarkStart w:id="73" w:name="_Toc514786859"/>
      <w:r>
        <w:rPr>
          <w:rFonts w:hAnsi="宋体" w:cs="宋体"/>
          <w:color w:val="auto"/>
          <w:szCs w:val="24"/>
          <w:highlight w:val="none"/>
        </w:rPr>
        <w:t>12.竞标预备</w:t>
      </w:r>
      <w:bookmarkEnd w:id="73"/>
    </w:p>
    <w:p w14:paraId="48ECF29E">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12.1勘察现场</w:t>
      </w:r>
    </w:p>
    <w:p w14:paraId="6059870B">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12.1.1供应商可自行对工程施工现场和周围环境进行勘察，以获取编制响应文件和签署合同所需的资料。勘察现场所发生的费用由供应商自己承担。</w:t>
      </w:r>
    </w:p>
    <w:p w14:paraId="2990305D">
      <w:pPr>
        <w:pStyle w:val="13"/>
        <w:kinsoku w:val="0"/>
        <w:overflowPunct w:val="0"/>
        <w:spacing w:line="314" w:lineRule="auto"/>
        <w:ind w:left="0" w:firstLine="480"/>
        <w:jc w:val="both"/>
        <w:rPr>
          <w:rFonts w:hint="eastAsia" w:ascii="宋体" w:hAnsi="宋体" w:cs="宋体"/>
          <w:color w:val="auto"/>
          <w:szCs w:val="24"/>
          <w:highlight w:val="none"/>
        </w:rPr>
      </w:pPr>
      <w:r>
        <w:rPr>
          <w:rFonts w:hint="eastAsia" w:ascii="宋体" w:hAnsi="宋体" w:cs="宋体"/>
          <w:color w:val="auto"/>
          <w:szCs w:val="24"/>
          <w:highlight w:val="none"/>
        </w:rPr>
        <w:t>12.1.2采购人向供应商提供的有关施工现场的地质勘察资料及现场的市政管线资料均是以诚实可信的态度提供的，是采购人现有的能使供应商利用的资料。供应商有义务核实市政管线的真实性。采购人对供应商由此而做出的推论、理解和结论概不负责。</w:t>
      </w:r>
    </w:p>
    <w:p w14:paraId="0563F3FF">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12.2竞标答疑</w:t>
      </w:r>
    </w:p>
    <w:p w14:paraId="265FD6CF">
      <w:pPr>
        <w:pStyle w:val="13"/>
        <w:kinsoku w:val="0"/>
        <w:overflowPunct w:val="0"/>
        <w:spacing w:line="314" w:lineRule="auto"/>
        <w:ind w:left="0" w:firstLine="480"/>
        <w:jc w:val="both"/>
        <w:rPr>
          <w:rFonts w:hint="eastAsia" w:ascii="宋体" w:hAnsi="宋体" w:cs="宋体"/>
          <w:color w:val="auto"/>
          <w:szCs w:val="24"/>
          <w:highlight w:val="none"/>
        </w:rPr>
      </w:pPr>
      <w:r>
        <w:rPr>
          <w:rFonts w:hint="eastAsia" w:ascii="宋体" w:hAnsi="宋体" w:cs="宋体"/>
          <w:color w:val="auto"/>
          <w:szCs w:val="24"/>
          <w:highlight w:val="none"/>
        </w:rPr>
        <w:t>12.2.1供应商提出的与竞标有关的任何问题须在竞标截止日期前3天，以书面形式送达采购人处。如果供应商在规定的时间内提出的问题在采购补遗文件中未得到书面解答的，应立即以书面形式报告政府采购监督管理部门，否则将视为提出的问题不再需要答复。</w:t>
      </w:r>
    </w:p>
    <w:p w14:paraId="39A1CB63">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12.2.2采购补遗文件包括所有问题和答复，补遗文件将迅速提供给所有获得竞争性磋商文件的供应商。由于供应商书面提出而产生的对本须知4.1款中所列竞争性磋商文件的修改，由采购人按照本须知第6条的规定，以补充通知的方式发出。</w:t>
      </w:r>
    </w:p>
    <w:p w14:paraId="713866F5">
      <w:pPr>
        <w:pStyle w:val="8"/>
        <w:kinsoku w:val="0"/>
        <w:overflowPunct w:val="0"/>
        <w:spacing w:line="314" w:lineRule="auto"/>
        <w:ind w:left="0" w:firstLine="480" w:firstLineChars="200"/>
        <w:rPr>
          <w:rFonts w:hAnsi="宋体" w:cs="宋体"/>
          <w:color w:val="auto"/>
          <w:szCs w:val="24"/>
          <w:highlight w:val="none"/>
        </w:rPr>
      </w:pPr>
      <w:bookmarkStart w:id="74" w:name="bookmark13"/>
      <w:bookmarkEnd w:id="74"/>
      <w:bookmarkStart w:id="75" w:name="13.竞标文件的份数和签署"/>
      <w:bookmarkEnd w:id="75"/>
      <w:bookmarkStart w:id="76" w:name="_Toc514786860"/>
      <w:r>
        <w:rPr>
          <w:rFonts w:hAnsi="宋体" w:cs="宋体"/>
          <w:color w:val="auto"/>
          <w:szCs w:val="24"/>
          <w:highlight w:val="none"/>
        </w:rPr>
        <w:t>13.响应文件的份数和签署</w:t>
      </w:r>
      <w:bookmarkEnd w:id="76"/>
    </w:p>
    <w:p w14:paraId="205C13DB">
      <w:pPr>
        <w:tabs>
          <w:tab w:val="left" w:pos="1695"/>
        </w:tabs>
        <w:adjustRightInd/>
        <w:spacing w:line="360" w:lineRule="auto"/>
        <w:ind w:firstLine="480" w:firstLineChars="200"/>
        <w:jc w:val="both"/>
        <w:rPr>
          <w:rFonts w:ascii="宋体" w:hAnsi="宋体" w:cs="宋体"/>
          <w:color w:val="auto"/>
          <w:szCs w:val="24"/>
          <w:highlight w:val="none"/>
          <w:lang w:val="zh-CN" w:bidi="zh-CN"/>
        </w:rPr>
      </w:pPr>
      <w:r>
        <w:rPr>
          <w:rFonts w:ascii="宋体" w:hAnsi="宋体" w:cs="宋体"/>
          <w:color w:val="auto"/>
          <w:szCs w:val="24"/>
          <w:highlight w:val="none"/>
          <w:lang w:bidi="zh-CN"/>
        </w:rPr>
        <w:t>13.1</w:t>
      </w:r>
      <w:r>
        <w:rPr>
          <w:rFonts w:ascii="宋体" w:hAnsi="宋体" w:cs="宋体"/>
          <w:color w:val="auto"/>
          <w:szCs w:val="24"/>
          <w:highlight w:val="none"/>
          <w:lang w:val="zh-CN" w:bidi="zh-CN"/>
        </w:rPr>
        <w:t>供应商应根据“政府采购项目电子交易管理操作指南-供应商”及本竞争性磋商文件规定的格式和顺序编制响应文件，响应文件内容不完整、编排混乱导致响应文件被误读、漏读或者查找不到相关内容的，是供应商的责任。</w:t>
      </w:r>
    </w:p>
    <w:p w14:paraId="3BA58731">
      <w:pPr>
        <w:tabs>
          <w:tab w:val="left" w:pos="1640"/>
        </w:tabs>
        <w:adjustRightInd/>
        <w:spacing w:line="360" w:lineRule="auto"/>
        <w:ind w:firstLine="480" w:firstLineChars="200"/>
        <w:jc w:val="both"/>
        <w:rPr>
          <w:rFonts w:ascii="宋体" w:hAnsi="宋体" w:cs="宋体"/>
          <w:color w:val="auto"/>
          <w:szCs w:val="24"/>
          <w:highlight w:val="none"/>
          <w:lang w:val="zh-CN" w:bidi="zh-CN"/>
        </w:rPr>
      </w:pPr>
      <w:r>
        <w:rPr>
          <w:rFonts w:ascii="宋体" w:hAnsi="宋体" w:cs="宋体"/>
          <w:color w:val="auto"/>
          <w:szCs w:val="24"/>
          <w:highlight w:val="none"/>
          <w:lang w:bidi="zh-CN"/>
        </w:rPr>
        <w:t>13.2</w:t>
      </w:r>
      <w:r>
        <w:rPr>
          <w:rFonts w:ascii="宋体" w:hAnsi="宋体" w:cs="宋体"/>
          <w:color w:val="auto"/>
          <w:szCs w:val="24"/>
          <w:highlight w:val="none"/>
          <w:lang w:val="zh-CN" w:bidi="zh-CN"/>
        </w:rPr>
        <w:t>响应文件电子版：具体材料见“供应商须知前附表”。</w:t>
      </w:r>
    </w:p>
    <w:p w14:paraId="1474E5DE">
      <w:pPr>
        <w:tabs>
          <w:tab w:val="left" w:pos="1647"/>
        </w:tabs>
        <w:adjustRightInd/>
        <w:spacing w:line="360" w:lineRule="auto"/>
        <w:ind w:firstLine="480" w:firstLineChars="200"/>
        <w:jc w:val="both"/>
        <w:rPr>
          <w:rFonts w:ascii="宋体" w:hAnsi="宋体" w:cs="宋体"/>
          <w:color w:val="auto"/>
          <w:szCs w:val="24"/>
          <w:highlight w:val="none"/>
          <w:lang w:val="zh-CN" w:bidi="zh-CN"/>
        </w:rPr>
      </w:pPr>
      <w:r>
        <w:rPr>
          <w:rFonts w:ascii="宋体" w:hAnsi="宋体" w:cs="宋体"/>
          <w:color w:val="auto"/>
          <w:szCs w:val="24"/>
          <w:highlight w:val="none"/>
          <w:lang w:bidi="zh-CN"/>
        </w:rPr>
        <w:t>13.3</w:t>
      </w:r>
      <w:r>
        <w:rPr>
          <w:rFonts w:ascii="宋体" w:hAnsi="宋体" w:cs="宋体"/>
          <w:color w:val="auto"/>
          <w:szCs w:val="24"/>
          <w:highlight w:val="none"/>
          <w:lang w:val="zh-CN" w:bidi="zh-CN"/>
        </w:rPr>
        <w:t>响应文件须由供应商在规定位置盖公章并由法定代表人或委托代理人签字或签章，否则其响应文件按无效响应处理。</w:t>
      </w:r>
    </w:p>
    <w:p w14:paraId="3B803D88">
      <w:pPr>
        <w:tabs>
          <w:tab w:val="left" w:pos="1647"/>
        </w:tabs>
        <w:adjustRightInd/>
        <w:spacing w:line="360" w:lineRule="auto"/>
        <w:ind w:firstLine="480" w:firstLineChars="200"/>
        <w:jc w:val="both"/>
        <w:rPr>
          <w:rFonts w:ascii="宋体" w:hAnsi="宋体" w:cs="宋体"/>
          <w:color w:val="auto"/>
          <w:szCs w:val="24"/>
          <w:highlight w:val="none"/>
          <w:lang w:val="zh-CN" w:bidi="zh-CN"/>
        </w:rPr>
      </w:pPr>
      <w:r>
        <w:rPr>
          <w:rFonts w:ascii="宋体" w:hAnsi="宋体" w:cs="宋体"/>
          <w:color w:val="auto"/>
          <w:szCs w:val="24"/>
          <w:highlight w:val="none"/>
          <w:lang w:bidi="zh-CN"/>
        </w:rPr>
        <w:t>13.4</w:t>
      </w:r>
      <w:r>
        <w:rPr>
          <w:rFonts w:ascii="宋体" w:hAnsi="宋体" w:cs="宋体"/>
          <w:color w:val="auto"/>
          <w:szCs w:val="24"/>
          <w:highlight w:val="none"/>
          <w:lang w:val="zh-CN" w:bidi="zh-CN"/>
        </w:rPr>
        <w:t>响应文件中标注的供应商名称应与营业执照及公章一致，否则其响应文件按无效响应处理。</w:t>
      </w:r>
    </w:p>
    <w:p w14:paraId="6351CA03">
      <w:pPr>
        <w:tabs>
          <w:tab w:val="left" w:pos="1647"/>
        </w:tabs>
        <w:adjustRightInd/>
        <w:spacing w:line="360" w:lineRule="auto"/>
        <w:ind w:firstLine="480" w:firstLineChars="200"/>
        <w:jc w:val="both"/>
        <w:rPr>
          <w:rFonts w:ascii="宋体" w:hAnsi="宋体" w:cs="宋体"/>
          <w:color w:val="auto"/>
          <w:szCs w:val="24"/>
          <w:highlight w:val="none"/>
          <w:lang w:val="zh-CN" w:bidi="zh-CN"/>
        </w:rPr>
      </w:pPr>
      <w:r>
        <w:rPr>
          <w:rFonts w:ascii="宋体" w:hAnsi="宋体" w:cs="宋体"/>
          <w:color w:val="auto"/>
          <w:szCs w:val="24"/>
          <w:highlight w:val="none"/>
          <w:lang w:bidi="zh-CN"/>
        </w:rPr>
        <w:t>13.5</w:t>
      </w:r>
      <w:r>
        <w:rPr>
          <w:rFonts w:ascii="宋体" w:hAnsi="宋体" w:cs="宋体"/>
          <w:color w:val="auto"/>
          <w:szCs w:val="24"/>
          <w:highlight w:val="none"/>
          <w:lang w:val="zh-CN" w:bidi="zh-CN"/>
        </w:rPr>
        <w:t>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14:paraId="29D0B9C9">
      <w:pPr>
        <w:tabs>
          <w:tab w:val="left" w:pos="1640"/>
        </w:tabs>
        <w:adjustRightInd/>
        <w:spacing w:line="360" w:lineRule="auto"/>
        <w:ind w:firstLine="480" w:firstLineChars="200"/>
        <w:jc w:val="both"/>
        <w:rPr>
          <w:rFonts w:ascii="宋体" w:hAnsi="宋体" w:cs="宋体"/>
          <w:color w:val="auto"/>
          <w:szCs w:val="24"/>
          <w:highlight w:val="none"/>
          <w:lang w:val="zh-CN" w:bidi="zh-CN"/>
        </w:rPr>
      </w:pPr>
      <w:r>
        <w:rPr>
          <w:rFonts w:ascii="宋体" w:hAnsi="宋体" w:cs="宋体"/>
          <w:color w:val="auto"/>
          <w:szCs w:val="24"/>
          <w:highlight w:val="none"/>
          <w:lang w:bidi="zh-CN"/>
        </w:rPr>
        <w:t>13.6</w:t>
      </w:r>
      <w:r>
        <w:rPr>
          <w:rFonts w:ascii="宋体" w:hAnsi="宋体" w:cs="宋体"/>
          <w:color w:val="auto"/>
          <w:szCs w:val="24"/>
          <w:highlight w:val="none"/>
          <w:lang w:val="zh-CN" w:bidi="zh-CN"/>
        </w:rPr>
        <w:t>电子响应文件中须加盖供应商公章部分均采用</w:t>
      </w:r>
      <w:r>
        <w:rPr>
          <w:rFonts w:ascii="宋体" w:hAnsi="宋体" w:cs="宋体"/>
          <w:color w:val="auto"/>
          <w:szCs w:val="24"/>
          <w:highlight w:val="none"/>
          <w:lang w:bidi="zh-CN"/>
        </w:rPr>
        <w:t>CA</w:t>
      </w:r>
      <w:r>
        <w:rPr>
          <w:rFonts w:ascii="宋体" w:hAnsi="宋体" w:cs="宋体"/>
          <w:color w:val="auto"/>
          <w:szCs w:val="24"/>
          <w:highlight w:val="none"/>
          <w:lang w:val="zh-CN" w:bidi="zh-CN"/>
        </w:rPr>
        <w:t>签章，并根据“政府采购项目电子交易管理操作指南-供应商”及本竞争性磋商文件规定的格式和顺序编制电子响应文件并进行关联定位，以便评标委员会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w:t>
      </w:r>
      <w:r>
        <w:rPr>
          <w:rFonts w:hint="eastAsia" w:ascii="宋体" w:hAnsi="宋体" w:cs="宋体"/>
          <w:color w:val="auto"/>
          <w:szCs w:val="24"/>
          <w:highlight w:val="none"/>
          <w:lang w:val="zh-CN" w:bidi="zh-CN"/>
        </w:rPr>
        <w:t>磋商文件</w:t>
      </w:r>
      <w:r>
        <w:rPr>
          <w:rFonts w:ascii="宋体" w:hAnsi="宋体" w:cs="宋体"/>
          <w:color w:val="auto"/>
          <w:szCs w:val="24"/>
          <w:highlight w:val="none"/>
          <w:lang w:val="zh-CN" w:bidi="zh-CN"/>
        </w:rPr>
        <w:t>规定的部位查找不到相关内容的，由供应商自行承担。</w:t>
      </w:r>
    </w:p>
    <w:p w14:paraId="505EC511">
      <w:pPr>
        <w:tabs>
          <w:tab w:val="left" w:pos="1671"/>
        </w:tabs>
        <w:adjustRightInd/>
        <w:spacing w:line="360" w:lineRule="auto"/>
        <w:ind w:firstLine="480" w:firstLineChars="200"/>
        <w:jc w:val="both"/>
        <w:rPr>
          <w:rFonts w:ascii="宋体" w:hAnsi="宋体" w:cs="宋体"/>
          <w:color w:val="auto"/>
          <w:szCs w:val="24"/>
          <w:highlight w:val="none"/>
          <w:lang w:val="zh-CN" w:bidi="zh-CN"/>
        </w:rPr>
      </w:pPr>
      <w:r>
        <w:rPr>
          <w:rFonts w:ascii="宋体" w:hAnsi="宋体" w:cs="宋体"/>
          <w:color w:val="auto"/>
          <w:szCs w:val="24"/>
          <w:highlight w:val="none"/>
          <w:lang w:bidi="zh-CN"/>
        </w:rPr>
        <w:t>13</w:t>
      </w:r>
      <w:r>
        <w:rPr>
          <w:rFonts w:ascii="宋体" w:hAnsi="宋体" w:cs="宋体"/>
          <w:color w:val="auto"/>
          <w:szCs w:val="24"/>
          <w:highlight w:val="none"/>
          <w:lang w:val="zh-CN" w:bidi="zh-CN"/>
        </w:rPr>
        <w:t>.</w:t>
      </w:r>
      <w:r>
        <w:rPr>
          <w:rFonts w:ascii="宋体" w:hAnsi="宋体" w:cs="宋体"/>
          <w:color w:val="auto"/>
          <w:szCs w:val="24"/>
          <w:highlight w:val="none"/>
          <w:lang w:bidi="zh-CN"/>
        </w:rPr>
        <w:t xml:space="preserve">7 </w:t>
      </w:r>
      <w:r>
        <w:rPr>
          <w:rFonts w:ascii="宋体" w:hAnsi="宋体" w:cs="宋体"/>
          <w:color w:val="auto"/>
          <w:szCs w:val="24"/>
          <w:highlight w:val="none"/>
          <w:lang w:val="zh-CN" w:bidi="zh-CN"/>
        </w:rPr>
        <w:t>CA签章上关于法人（负责人）或授权代表签字信息，供应商在响应文件中涉及到签字的位置线下【签好字然后扫描或者拍照做成PDF的格式】或【通过</w:t>
      </w:r>
      <w:r>
        <w:rPr>
          <w:rFonts w:hint="eastAsia" w:ascii="宋体" w:hAnsi="宋体" w:cs="宋体"/>
          <w:color w:val="auto"/>
          <w:szCs w:val="24"/>
          <w:highlight w:val="none"/>
          <w:lang w:val="en-US" w:bidi="zh-CN"/>
        </w:rPr>
        <w:t>广西</w:t>
      </w:r>
      <w:r>
        <w:rPr>
          <w:rFonts w:ascii="宋体" w:hAnsi="宋体" w:cs="宋体"/>
          <w:color w:val="auto"/>
          <w:szCs w:val="24"/>
          <w:highlight w:val="none"/>
          <w:lang w:val="zh-CN" w:bidi="zh-CN"/>
        </w:rPr>
        <w:t>政府采购云平台电子交易客户端使用CA法人（负责人）或授权代表签章】亦可。响应文件中涉及到签字的位置未按要求签字的，提供的材料视为无效。</w:t>
      </w:r>
    </w:p>
    <w:p w14:paraId="3B2D77C2">
      <w:pPr>
        <w:tabs>
          <w:tab w:val="left" w:pos="1642"/>
        </w:tabs>
        <w:adjustRightInd/>
        <w:spacing w:line="360" w:lineRule="auto"/>
        <w:ind w:firstLine="480" w:firstLineChars="200"/>
        <w:jc w:val="both"/>
        <w:rPr>
          <w:rFonts w:ascii="宋体" w:hAnsi="宋体" w:cs="宋体"/>
          <w:color w:val="auto"/>
          <w:szCs w:val="24"/>
          <w:highlight w:val="none"/>
          <w:lang w:val="zh-CN" w:bidi="zh-CN"/>
        </w:rPr>
      </w:pPr>
      <w:r>
        <w:rPr>
          <w:rFonts w:ascii="宋体" w:hAnsi="宋体" w:cs="宋体"/>
          <w:color w:val="auto"/>
          <w:szCs w:val="24"/>
          <w:highlight w:val="none"/>
          <w:lang w:bidi="zh-CN"/>
        </w:rPr>
        <w:t>13.8</w:t>
      </w:r>
      <w:r>
        <w:rPr>
          <w:rFonts w:ascii="宋体" w:hAnsi="宋体" w:cs="宋体"/>
          <w:color w:val="auto"/>
          <w:szCs w:val="24"/>
          <w:highlight w:val="none"/>
          <w:lang w:val="zh-CN" w:bidi="zh-CN"/>
        </w:rPr>
        <w:t>响应文件不得涂改，若有修改错漏处，须加盖单位公章或者法定代表人（负责人）或授权委托人签字或盖章。响应文件因字迹潦草或表达不清所引起的后果由供应商负责。</w:t>
      </w:r>
    </w:p>
    <w:p w14:paraId="40477F11">
      <w:pPr>
        <w:pStyle w:val="13"/>
        <w:kinsoku w:val="0"/>
        <w:overflowPunct w:val="0"/>
        <w:spacing w:line="314"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14.响应文件的提交</w:t>
      </w:r>
    </w:p>
    <w:p w14:paraId="17B5FDF1">
      <w:pPr>
        <w:tabs>
          <w:tab w:val="left" w:pos="1647"/>
        </w:tabs>
        <w:adjustRightInd/>
        <w:spacing w:line="360" w:lineRule="auto"/>
        <w:ind w:firstLine="480" w:firstLineChars="200"/>
        <w:jc w:val="both"/>
        <w:rPr>
          <w:rFonts w:ascii="宋体" w:hAnsi="宋体" w:cs="宋体"/>
          <w:color w:val="auto"/>
          <w:szCs w:val="24"/>
          <w:highlight w:val="none"/>
          <w:lang w:val="zh-CN" w:bidi="zh-CN"/>
        </w:rPr>
      </w:pPr>
      <w:bookmarkStart w:id="77" w:name="bookmark16"/>
      <w:bookmarkEnd w:id="77"/>
      <w:bookmarkStart w:id="78" w:name="16.竞标文件的修改与撤回"/>
      <w:bookmarkEnd w:id="78"/>
      <w:bookmarkStart w:id="79" w:name="_Toc514786861"/>
      <w:r>
        <w:rPr>
          <w:rFonts w:ascii="宋体" w:hAnsi="宋体" w:cs="宋体"/>
          <w:color w:val="auto"/>
          <w:szCs w:val="24"/>
          <w:highlight w:val="none"/>
          <w:lang w:bidi="zh-CN"/>
        </w:rPr>
        <w:t>14.1</w:t>
      </w:r>
      <w:r>
        <w:rPr>
          <w:rFonts w:ascii="宋体" w:hAnsi="宋体" w:cs="宋体"/>
          <w:color w:val="auto"/>
          <w:szCs w:val="24"/>
          <w:highlight w:val="none"/>
          <w:lang w:val="zh-CN" w:bidi="zh-CN"/>
        </w:rPr>
        <w:t>所有响应文件应于竞争性磋商文件中规定的时间上传递交至</w:t>
      </w:r>
      <w:r>
        <w:rPr>
          <w:rFonts w:hint="eastAsia" w:ascii="宋体" w:hAnsi="宋体" w:cs="宋体"/>
          <w:color w:val="auto"/>
          <w:szCs w:val="24"/>
          <w:highlight w:val="none"/>
          <w:lang w:val="en-US" w:bidi="zh-CN"/>
        </w:rPr>
        <w:t>广西</w:t>
      </w:r>
      <w:r>
        <w:rPr>
          <w:rFonts w:ascii="宋体" w:hAnsi="宋体" w:cs="宋体"/>
          <w:color w:val="auto"/>
          <w:szCs w:val="24"/>
          <w:highlight w:val="none"/>
          <w:lang w:val="zh-CN" w:bidi="zh-CN"/>
        </w:rPr>
        <w:t>政府采购云平台。</w:t>
      </w:r>
    </w:p>
    <w:p w14:paraId="6EF6C07A">
      <w:pPr>
        <w:tabs>
          <w:tab w:val="left" w:pos="1640"/>
        </w:tabs>
        <w:adjustRightInd/>
        <w:spacing w:line="360" w:lineRule="auto"/>
        <w:ind w:firstLine="480" w:firstLineChars="200"/>
        <w:jc w:val="both"/>
        <w:rPr>
          <w:rFonts w:ascii="宋体" w:hAnsi="宋体" w:cs="宋体"/>
          <w:color w:val="auto"/>
          <w:szCs w:val="24"/>
          <w:highlight w:val="none"/>
          <w:lang w:val="zh-CN" w:bidi="zh-CN"/>
        </w:rPr>
      </w:pPr>
      <w:r>
        <w:rPr>
          <w:rFonts w:ascii="宋体" w:hAnsi="宋体" w:cs="宋体"/>
          <w:color w:val="auto"/>
          <w:szCs w:val="24"/>
          <w:highlight w:val="none"/>
          <w:lang w:bidi="zh-CN"/>
        </w:rPr>
        <w:t>14.2</w:t>
      </w:r>
      <w:r>
        <w:rPr>
          <w:rFonts w:ascii="宋体" w:hAnsi="宋体" w:cs="宋体"/>
          <w:color w:val="auto"/>
          <w:szCs w:val="24"/>
          <w:highlight w:val="none"/>
          <w:lang w:val="zh-CN" w:bidi="zh-CN"/>
        </w:rPr>
        <w:t>电子响应文件的相关说明</w:t>
      </w:r>
    </w:p>
    <w:p w14:paraId="659EF7CC">
      <w:pPr>
        <w:tabs>
          <w:tab w:val="left" w:pos="1858"/>
        </w:tabs>
        <w:adjustRightInd/>
        <w:spacing w:line="360" w:lineRule="auto"/>
        <w:ind w:firstLine="480" w:firstLineChars="200"/>
        <w:jc w:val="both"/>
        <w:rPr>
          <w:rFonts w:ascii="宋体" w:hAnsi="宋体" w:cs="宋体"/>
          <w:color w:val="auto"/>
          <w:szCs w:val="24"/>
          <w:highlight w:val="none"/>
          <w:lang w:val="zh-CN" w:bidi="zh-CN"/>
        </w:rPr>
      </w:pPr>
      <w:r>
        <w:rPr>
          <w:rFonts w:ascii="宋体" w:hAnsi="宋体" w:cs="宋体"/>
          <w:color w:val="auto"/>
          <w:szCs w:val="24"/>
          <w:highlight w:val="none"/>
          <w:lang w:bidi="zh-CN"/>
        </w:rPr>
        <w:t>14.2.1</w:t>
      </w:r>
      <w:r>
        <w:rPr>
          <w:rFonts w:ascii="宋体" w:hAnsi="宋体" w:cs="宋体"/>
          <w:color w:val="auto"/>
          <w:szCs w:val="24"/>
          <w:highlight w:val="none"/>
          <w:lang w:val="zh-CN" w:bidi="zh-CN"/>
        </w:rPr>
        <w:t>供应商进行电子竞标应安装客户端软件，并按照</w:t>
      </w:r>
      <w:r>
        <w:rPr>
          <w:rFonts w:hint="eastAsia" w:ascii="宋体" w:hAnsi="宋体" w:cs="宋体"/>
          <w:color w:val="auto"/>
          <w:szCs w:val="24"/>
          <w:highlight w:val="none"/>
          <w:lang w:val="zh-CN" w:bidi="zh-CN"/>
        </w:rPr>
        <w:t>磋商文件</w:t>
      </w:r>
      <w:r>
        <w:rPr>
          <w:rFonts w:ascii="宋体" w:hAnsi="宋体" w:cs="宋体"/>
          <w:color w:val="auto"/>
          <w:szCs w:val="24"/>
          <w:highlight w:val="none"/>
          <w:lang w:val="zh-CN" w:bidi="zh-CN"/>
        </w:rPr>
        <w:t>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w:t>
      </w:r>
    </w:p>
    <w:p w14:paraId="7CD3AADA">
      <w:pPr>
        <w:pStyle w:val="8"/>
        <w:kinsoku w:val="0"/>
        <w:overflowPunct w:val="0"/>
        <w:spacing w:line="314" w:lineRule="auto"/>
        <w:ind w:left="0" w:firstLine="480" w:firstLineChars="200"/>
        <w:rPr>
          <w:rFonts w:hAnsi="宋体" w:cs="宋体"/>
          <w:color w:val="auto"/>
          <w:szCs w:val="24"/>
          <w:highlight w:val="none"/>
          <w:lang w:val="zh-CN" w:bidi="zh-CN"/>
        </w:rPr>
      </w:pPr>
      <w:r>
        <w:rPr>
          <w:rFonts w:hAnsi="宋体" w:cs="宋体"/>
          <w:color w:val="auto"/>
          <w:szCs w:val="24"/>
          <w:highlight w:val="none"/>
          <w:lang w:bidi="zh-CN"/>
        </w:rPr>
        <w:t>14.2.2</w:t>
      </w:r>
      <w:r>
        <w:rPr>
          <w:rFonts w:hAnsi="宋体" w:cs="宋体"/>
          <w:color w:val="auto"/>
          <w:szCs w:val="24"/>
          <w:highlight w:val="none"/>
          <w:lang w:val="zh-CN" w:bidi="zh-CN"/>
        </w:rPr>
        <w:t>如有特殊情况，本项目延长截止时间和开标时间，采购人、采购代理机构和供应商的权利和义务将受到新的截止时间和开标时间的约束</w:t>
      </w:r>
    </w:p>
    <w:p w14:paraId="786C562C">
      <w:pPr>
        <w:pStyle w:val="8"/>
        <w:kinsoku w:val="0"/>
        <w:overflowPunct w:val="0"/>
        <w:spacing w:line="314" w:lineRule="auto"/>
        <w:ind w:left="0" w:firstLine="480" w:firstLineChars="200"/>
        <w:rPr>
          <w:rFonts w:hAnsi="宋体" w:cs="宋体"/>
          <w:color w:val="auto"/>
          <w:szCs w:val="24"/>
          <w:highlight w:val="none"/>
        </w:rPr>
      </w:pPr>
      <w:r>
        <w:rPr>
          <w:rFonts w:hAnsi="宋体" w:cs="宋体"/>
          <w:color w:val="auto"/>
          <w:szCs w:val="24"/>
          <w:highlight w:val="none"/>
        </w:rPr>
        <w:t>15.响应文件的修改与撤回</w:t>
      </w:r>
      <w:bookmarkEnd w:id="79"/>
    </w:p>
    <w:p w14:paraId="44CEFAAC">
      <w:pPr>
        <w:tabs>
          <w:tab w:val="left" w:pos="1640"/>
        </w:tabs>
        <w:adjustRightInd/>
        <w:spacing w:line="360" w:lineRule="auto"/>
        <w:ind w:firstLine="480" w:firstLineChars="200"/>
        <w:jc w:val="both"/>
        <w:rPr>
          <w:rFonts w:ascii="宋体" w:hAnsi="宋体" w:cs="宋体"/>
          <w:color w:val="auto"/>
          <w:szCs w:val="24"/>
          <w:highlight w:val="none"/>
          <w:lang w:bidi="zh-CN"/>
        </w:rPr>
      </w:pPr>
      <w:bookmarkStart w:id="80" w:name="bookmark17"/>
      <w:bookmarkEnd w:id="80"/>
      <w:bookmarkStart w:id="81" w:name="17.竞标或磋商"/>
      <w:bookmarkEnd w:id="81"/>
      <w:bookmarkStart w:id="82" w:name="_Toc514786862"/>
      <w:r>
        <w:rPr>
          <w:rFonts w:ascii="宋体" w:hAnsi="宋体" w:cs="宋体"/>
          <w:color w:val="auto"/>
          <w:szCs w:val="24"/>
          <w:highlight w:val="none"/>
          <w:lang w:bidi="zh-CN"/>
        </w:rPr>
        <w:t>15.1供应商应当在竞标截止时间前完成响应文件的传输递交，并可以补充、修改或者撤回响应文件。补充或者修改响应文件的，应当先行撤回原文件，补充、修改后重新传输递交。竞标截止时间前未完成传输的，视为撤回响应文件。竞标截止时间后递交的响应文件，</w:t>
      </w:r>
      <w:r>
        <w:rPr>
          <w:rFonts w:hint="eastAsia" w:ascii="宋体" w:hAnsi="宋体" w:cs="宋体"/>
          <w:color w:val="auto"/>
          <w:szCs w:val="24"/>
          <w:highlight w:val="none"/>
          <w:lang w:val="en-US" w:bidi="zh-CN"/>
        </w:rPr>
        <w:t>广西</w:t>
      </w:r>
      <w:r>
        <w:rPr>
          <w:rFonts w:ascii="宋体" w:hAnsi="宋体" w:cs="宋体"/>
          <w:color w:val="auto"/>
          <w:szCs w:val="24"/>
          <w:highlight w:val="none"/>
          <w:lang w:bidi="zh-CN"/>
        </w:rPr>
        <w:t>政府采购云平台将拒收。</w:t>
      </w:r>
    </w:p>
    <w:p w14:paraId="08F0D2E8">
      <w:pPr>
        <w:tabs>
          <w:tab w:val="left" w:pos="1640"/>
        </w:tabs>
        <w:adjustRightInd/>
        <w:spacing w:line="360" w:lineRule="auto"/>
        <w:ind w:firstLine="480" w:firstLineChars="200"/>
        <w:jc w:val="both"/>
        <w:rPr>
          <w:rFonts w:ascii="宋体" w:hAnsi="宋体" w:cs="宋体"/>
          <w:color w:val="auto"/>
          <w:szCs w:val="24"/>
          <w:highlight w:val="none"/>
          <w:lang w:bidi="zh-CN"/>
        </w:rPr>
      </w:pPr>
      <w:r>
        <w:rPr>
          <w:rFonts w:ascii="宋体" w:hAnsi="宋体" w:cs="宋体"/>
          <w:color w:val="auto"/>
          <w:szCs w:val="24"/>
          <w:highlight w:val="none"/>
          <w:lang w:bidi="zh-CN"/>
        </w:rPr>
        <w:t>15.2</w:t>
      </w:r>
      <w:r>
        <w:rPr>
          <w:rFonts w:hint="eastAsia" w:ascii="宋体" w:hAnsi="宋体" w:cs="宋体"/>
          <w:color w:val="auto"/>
          <w:szCs w:val="24"/>
          <w:highlight w:val="none"/>
          <w:lang w:val="en-US" w:bidi="zh-CN"/>
        </w:rPr>
        <w:t>广西</w:t>
      </w:r>
      <w:r>
        <w:rPr>
          <w:rFonts w:ascii="宋体" w:hAnsi="宋体" w:cs="宋体"/>
          <w:color w:val="auto"/>
          <w:szCs w:val="24"/>
          <w:highlight w:val="none"/>
          <w:lang w:bidi="zh-CN"/>
        </w:rPr>
        <w:t>政府采购云平台收到响应文件，将妥善保存并即时向供应商发出确认回执通知。在竞标截止时间前，除供应商补充、修改或者撤回响应文件外，任何单位和个人不得解密或提取响应文件。</w:t>
      </w:r>
    </w:p>
    <w:p w14:paraId="3B5CA5AC">
      <w:pPr>
        <w:pStyle w:val="8"/>
        <w:kinsoku w:val="0"/>
        <w:overflowPunct w:val="0"/>
        <w:spacing w:line="314" w:lineRule="auto"/>
        <w:ind w:left="0" w:firstLine="480" w:firstLineChars="200"/>
        <w:rPr>
          <w:rFonts w:hAnsi="宋体" w:cs="宋体"/>
          <w:color w:val="auto"/>
          <w:szCs w:val="24"/>
          <w:highlight w:val="none"/>
        </w:rPr>
      </w:pPr>
      <w:r>
        <w:rPr>
          <w:rFonts w:hAnsi="宋体" w:cs="宋体"/>
          <w:color w:val="auto"/>
          <w:szCs w:val="24"/>
          <w:highlight w:val="none"/>
        </w:rPr>
        <w:t>16.</w:t>
      </w:r>
      <w:bookmarkEnd w:id="82"/>
      <w:r>
        <w:rPr>
          <w:rFonts w:hAnsi="宋体" w:cs="宋体"/>
          <w:color w:val="auto"/>
          <w:highlight w:val="none"/>
        </w:rPr>
        <w:t xml:space="preserve"> 评审及磋商</w:t>
      </w:r>
    </w:p>
    <w:p w14:paraId="35327411">
      <w:pPr>
        <w:tabs>
          <w:tab w:val="left" w:pos="1594"/>
        </w:tabs>
        <w:spacing w:line="360" w:lineRule="auto"/>
        <w:ind w:firstLine="480" w:firstLineChars="200"/>
        <w:rPr>
          <w:rFonts w:ascii="宋体" w:hAnsi="宋体" w:cs="宋体"/>
          <w:color w:val="auto"/>
          <w:szCs w:val="24"/>
          <w:highlight w:val="none"/>
        </w:rPr>
      </w:pPr>
      <w:bookmarkStart w:id="83" w:name="30.代理服务费"/>
      <w:bookmarkEnd w:id="83"/>
      <w:bookmarkStart w:id="84" w:name="bookmark29"/>
      <w:bookmarkEnd w:id="84"/>
      <w:bookmarkStart w:id="85" w:name="_Toc514786875"/>
      <w:r>
        <w:rPr>
          <w:rFonts w:ascii="宋体" w:hAnsi="宋体" w:cs="宋体"/>
          <w:color w:val="auto"/>
          <w:szCs w:val="24"/>
          <w:highlight w:val="none"/>
        </w:rPr>
        <w:t>16.1 磋商小组成立</w:t>
      </w:r>
    </w:p>
    <w:p w14:paraId="7F4F85AC">
      <w:pPr>
        <w:pStyle w:val="101"/>
        <w:tabs>
          <w:tab w:val="left" w:pos="1642"/>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16.1.1磋商小组由采购人代表和评审专家共3人以上单数组成，具体人数见“供应商须知前附表”，其中评审专家人数不得少于磋商小组成员总数的 2/3。采购人代表不得以评审专家身份参加本部门或者本单位采购项目的评审。采购代理机构人员不得参加本机构代理的采购项目的评审。</w:t>
      </w:r>
    </w:p>
    <w:p w14:paraId="49300485">
      <w:pPr>
        <w:pStyle w:val="101"/>
        <w:tabs>
          <w:tab w:val="left" w:pos="1647"/>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16.1.2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7524964">
      <w:pPr>
        <w:tabs>
          <w:tab w:val="left" w:pos="1594"/>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16.2 响应文件的解密</w:t>
      </w:r>
    </w:p>
    <w:p w14:paraId="5281BCE5">
      <w:pPr>
        <w:pStyle w:val="101"/>
        <w:tabs>
          <w:tab w:val="left" w:pos="1647"/>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16.2.1采购代理机构向各供应商发出电子加密响应文件【开始解密】通知，由供应商按竞争性磋商文件规定的时间内自行进行响应文件解密。磋商供应商在规定的时间内无法完成已递交的“电子加密响应文件”解密的，如已按规定递交了电子备份响应文件的，将由采购组织机构按“</w:t>
      </w:r>
      <w:r>
        <w:rPr>
          <w:rFonts w:hint="eastAsia" w:ascii="宋体" w:hAnsi="宋体" w:cs="宋体"/>
          <w:color w:val="auto"/>
          <w:szCs w:val="24"/>
          <w:highlight w:val="none"/>
          <w:lang w:val="en-US" w:eastAsia="zh-CN"/>
        </w:rPr>
        <w:t>广西</w:t>
      </w:r>
      <w:r>
        <w:rPr>
          <w:rFonts w:ascii="宋体" w:hAnsi="宋体" w:cs="宋体"/>
          <w:color w:val="auto"/>
          <w:szCs w:val="24"/>
          <w:highlight w:val="none"/>
        </w:rPr>
        <w:t>政府采购云平台”操作规范将备份响应文件上传至“</w:t>
      </w:r>
      <w:r>
        <w:rPr>
          <w:rFonts w:hint="eastAsia" w:ascii="宋体" w:hAnsi="宋体" w:cs="宋体"/>
          <w:color w:val="auto"/>
          <w:szCs w:val="24"/>
          <w:highlight w:val="none"/>
          <w:lang w:val="en-US" w:eastAsia="zh-CN"/>
        </w:rPr>
        <w:t>广西</w:t>
      </w:r>
      <w:r>
        <w:rPr>
          <w:rFonts w:ascii="宋体" w:hAnsi="宋体" w:cs="宋体"/>
          <w:color w:val="auto"/>
          <w:szCs w:val="24"/>
          <w:highlight w:val="none"/>
        </w:rPr>
        <w:t>政府采购云平台”，上传成功后，“电子加密响应文件”自动失效。如未提供备份电子响应文件，将不进行再次解密程序。无法按时解密，供应商递交了电子备份响应文件的，以电子备份响应文件为依据，否则视为响应文件撤回。在线解密时间为 30分钟。</w:t>
      </w:r>
    </w:p>
    <w:p w14:paraId="70FD9E41">
      <w:pPr>
        <w:pStyle w:val="101"/>
        <w:tabs>
          <w:tab w:val="left" w:pos="1640"/>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16.2.1响应文件解密结束后，采购活动组织人员在线开启响应文件。</w:t>
      </w:r>
    </w:p>
    <w:p w14:paraId="06DEEDE4">
      <w:pPr>
        <w:pStyle w:val="13"/>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特别说明：如遇“</w:t>
      </w:r>
      <w:r>
        <w:rPr>
          <w:rFonts w:hint="eastAsia" w:ascii="宋体" w:hAnsi="宋体" w:cs="宋体"/>
          <w:color w:val="auto"/>
          <w:szCs w:val="24"/>
          <w:highlight w:val="none"/>
          <w:lang w:val="en-US" w:eastAsia="zh-CN"/>
        </w:rPr>
        <w:t>广西</w:t>
      </w:r>
      <w:r>
        <w:rPr>
          <w:rFonts w:hint="eastAsia" w:ascii="宋体" w:hAnsi="宋体" w:cs="宋体"/>
          <w:color w:val="auto"/>
          <w:szCs w:val="24"/>
          <w:highlight w:val="none"/>
        </w:rPr>
        <w:t>政府采购云平台”电子化开标或评审程序调整的，按调整后程序执行。</w:t>
      </w:r>
    </w:p>
    <w:p w14:paraId="3C9F42D0">
      <w:pPr>
        <w:tabs>
          <w:tab w:val="left" w:pos="1594"/>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16.3 评审程序、评审方法和评审标准</w:t>
      </w:r>
    </w:p>
    <w:p w14:paraId="1AAF08B7">
      <w:pPr>
        <w:pStyle w:val="101"/>
        <w:tabs>
          <w:tab w:val="left" w:pos="1640"/>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16.3.1本项目的评审方法为综合评分法。</w:t>
      </w:r>
    </w:p>
    <w:p w14:paraId="19BA8927">
      <w:pPr>
        <w:pStyle w:val="101"/>
        <w:tabs>
          <w:tab w:val="left" w:pos="1640"/>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16.3.2磋商小组按照“第</w:t>
      </w:r>
      <w:r>
        <w:rPr>
          <w:rFonts w:hint="eastAsia" w:ascii="宋体" w:hAnsi="宋体" w:cs="宋体"/>
          <w:color w:val="auto"/>
          <w:szCs w:val="24"/>
          <w:highlight w:val="none"/>
          <w:lang w:eastAsia="zh-CN"/>
        </w:rPr>
        <w:t>八</w:t>
      </w:r>
      <w:r>
        <w:rPr>
          <w:rFonts w:ascii="宋体" w:hAnsi="宋体" w:cs="宋体"/>
          <w:color w:val="auto"/>
          <w:szCs w:val="24"/>
          <w:highlight w:val="none"/>
        </w:rPr>
        <w:t>章 评审程序、评审方法和评审标准”规定的方法、评审因素、标准和程序对响应文件进行评审。</w:t>
      </w:r>
    </w:p>
    <w:p w14:paraId="1862BDA8">
      <w:pPr>
        <w:pStyle w:val="101"/>
        <w:tabs>
          <w:tab w:val="left" w:pos="1640"/>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16.3.3磋商小组按照“供应商须知前附表”确定的顺序，集中与单一供应商分别进行磋商，并给予所有参加磋商的供应商平等的磋商机会。供应商应当在采购人或采购代理机构发出磋商通知（开启新一轮报价）后在</w:t>
      </w:r>
      <w:r>
        <w:rPr>
          <w:rFonts w:hint="eastAsia" w:ascii="宋体" w:hAnsi="宋体" w:cs="宋体"/>
          <w:color w:val="auto"/>
          <w:szCs w:val="24"/>
          <w:highlight w:val="none"/>
          <w:lang w:val="en-US" w:eastAsia="zh-CN"/>
        </w:rPr>
        <w:t>广西</w:t>
      </w:r>
      <w:r>
        <w:rPr>
          <w:rFonts w:ascii="宋体" w:hAnsi="宋体" w:cs="宋体"/>
          <w:color w:val="auto"/>
          <w:szCs w:val="24"/>
          <w:highlight w:val="none"/>
          <w:lang w:bidi="zh-CN"/>
        </w:rPr>
        <w:t>政府采购云</w:t>
      </w:r>
      <w:r>
        <w:rPr>
          <w:rFonts w:ascii="宋体" w:hAnsi="宋体" w:cs="宋体"/>
          <w:color w:val="auto"/>
          <w:szCs w:val="24"/>
          <w:highlight w:val="none"/>
        </w:rPr>
        <w:t>平台设定的时间内进行响应，否则视同放弃参加磋商权利，其响应文件按无效响应处理。</w:t>
      </w:r>
    </w:p>
    <w:p w14:paraId="5391FD7C">
      <w:pPr>
        <w:pStyle w:val="101"/>
        <w:tabs>
          <w:tab w:val="left" w:pos="1640"/>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16.3.4电子交易活动的中止。采购过程中出现以下情形，导致电子交易平台无法正常运行，或者无法保证电子交易的公平、公正和安全时，采购机构可中止电子交易活动：</w:t>
      </w:r>
    </w:p>
    <w:p w14:paraId="2E2A7BFE">
      <w:pPr>
        <w:pStyle w:val="101"/>
        <w:tabs>
          <w:tab w:val="left" w:pos="1640"/>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 xml:space="preserve">（1）电子交易平台发生故障而无法登录访问的； </w:t>
      </w:r>
    </w:p>
    <w:p w14:paraId="168F2611">
      <w:pPr>
        <w:pStyle w:val="101"/>
        <w:tabs>
          <w:tab w:val="left" w:pos="1640"/>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（2）电子交易平台应用或数据库出现错误，不能进行正常操作的；</w:t>
      </w:r>
    </w:p>
    <w:p w14:paraId="77AE648F">
      <w:pPr>
        <w:pStyle w:val="101"/>
        <w:tabs>
          <w:tab w:val="left" w:pos="1640"/>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（3）电子交易平台发现严重安全漏洞，有潜在泄密危险的；</w:t>
      </w:r>
    </w:p>
    <w:p w14:paraId="29A0622D">
      <w:pPr>
        <w:pStyle w:val="101"/>
        <w:tabs>
          <w:tab w:val="left" w:pos="1640"/>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 xml:space="preserve">（4）病毒发作导致不能进行正常操作的； </w:t>
      </w:r>
    </w:p>
    <w:p w14:paraId="6CBDF3A8">
      <w:pPr>
        <w:pStyle w:val="101"/>
        <w:tabs>
          <w:tab w:val="left" w:pos="1640"/>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（5）其他无法保证电子交易的公平、公正和安全的情况。</w:t>
      </w:r>
    </w:p>
    <w:p w14:paraId="5239CD02">
      <w:pPr>
        <w:pStyle w:val="101"/>
        <w:tabs>
          <w:tab w:val="left" w:pos="1640"/>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16.3.5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监督部门备案。</w:t>
      </w:r>
    </w:p>
    <w:p w14:paraId="0830D624">
      <w:pPr>
        <w:tabs>
          <w:tab w:val="left" w:pos="1594"/>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16.4 确定成交供应商及结果公告</w:t>
      </w:r>
    </w:p>
    <w:p w14:paraId="51F0D126">
      <w:pPr>
        <w:pStyle w:val="101"/>
        <w:tabs>
          <w:tab w:val="left" w:pos="1693"/>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16.4.1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F363F45">
      <w:pPr>
        <w:pStyle w:val="101"/>
        <w:tabs>
          <w:tab w:val="left" w:pos="1642"/>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16.4.2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1A3E46C5">
      <w:pPr>
        <w:pStyle w:val="101"/>
        <w:tabs>
          <w:tab w:val="left" w:pos="1693"/>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16.4.3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DCA8C00">
      <w:pPr>
        <w:pStyle w:val="101"/>
        <w:tabs>
          <w:tab w:val="left" w:pos="1647"/>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16.4.4排名第一的成交候选人放弃成交、因不可抗力提出不能履行合同，采购人可以确定排名第二的成交候选人为成交供应商。排名第二的成交候选人因前款规定的同样原因不能签订合同的， 采购人可以确定排名第三的成交候选人为成交供应商。</w:t>
      </w:r>
    </w:p>
    <w:p w14:paraId="0027DBF2">
      <w:pPr>
        <w:tabs>
          <w:tab w:val="left" w:pos="1594"/>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16.5 履约保证金</w:t>
      </w:r>
    </w:p>
    <w:p w14:paraId="0BFE440A">
      <w:pPr>
        <w:pStyle w:val="101"/>
        <w:tabs>
          <w:tab w:val="left" w:pos="1647"/>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16.5.1履约保证金的金额：详见 “供应商须知前附表”。</w:t>
      </w:r>
    </w:p>
    <w:p w14:paraId="2D140C42">
      <w:pPr>
        <w:pStyle w:val="101"/>
        <w:tabs>
          <w:tab w:val="left" w:pos="1647"/>
        </w:tabs>
        <w:spacing w:line="360" w:lineRule="auto"/>
        <w:ind w:firstLine="480" w:firstLineChars="200"/>
        <w:jc w:val="both"/>
        <w:rPr>
          <w:rFonts w:ascii="宋体" w:hAnsi="宋体" w:cs="宋体"/>
          <w:color w:val="auto"/>
          <w:szCs w:val="24"/>
          <w:highlight w:val="none"/>
          <w:lang w:val="zh-CN"/>
        </w:rPr>
      </w:pPr>
      <w:r>
        <w:rPr>
          <w:rFonts w:ascii="宋体" w:hAnsi="宋体" w:cs="宋体"/>
          <w:color w:val="auto"/>
          <w:szCs w:val="24"/>
          <w:highlight w:val="none"/>
        </w:rPr>
        <w:t>16.5.2签订合同后，如成交供应商不按双方签订的合同规定履约，则没收其全部履约保证金，履约保证金不足以赔偿损失的，按实际损失赔偿。</w:t>
      </w:r>
    </w:p>
    <w:p w14:paraId="666C9C96">
      <w:pPr>
        <w:pStyle w:val="101"/>
        <w:tabs>
          <w:tab w:val="left" w:pos="1647"/>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16.5.3在履约保证金退还日期前，若成交供应商的开户名称、开户银行、帐号有变动的，请以书面形式通知履约保证金收取单位，否则由此产生的后果由成交供应商自行承担。</w:t>
      </w:r>
    </w:p>
    <w:p w14:paraId="2D5020B9">
      <w:pPr>
        <w:tabs>
          <w:tab w:val="left" w:pos="1594"/>
        </w:tabs>
        <w:spacing w:line="360" w:lineRule="auto"/>
        <w:ind w:firstLine="480" w:firstLineChars="200"/>
        <w:rPr>
          <w:rFonts w:ascii="宋体" w:hAnsi="宋体" w:cs="宋体"/>
          <w:color w:val="auto"/>
          <w:szCs w:val="24"/>
          <w:highlight w:val="none"/>
          <w:lang w:val="zh-CN"/>
        </w:rPr>
      </w:pPr>
      <w:r>
        <w:rPr>
          <w:rFonts w:ascii="宋体" w:hAnsi="宋体" w:cs="宋体"/>
          <w:color w:val="auto"/>
          <w:szCs w:val="24"/>
          <w:highlight w:val="none"/>
        </w:rPr>
        <w:t>16.6 签订合同</w:t>
      </w:r>
    </w:p>
    <w:p w14:paraId="4E875F3F">
      <w:pPr>
        <w:pStyle w:val="101"/>
        <w:tabs>
          <w:tab w:val="left" w:pos="1647"/>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16.6.1成交供应商在收到成交通知书后，应当在签订合同时向采购人出示相关证明材料，具体内容详见 “供应商须知前附表”，经采购人核验合格后方可签订合同。</w:t>
      </w:r>
    </w:p>
    <w:p w14:paraId="251A7D86">
      <w:pPr>
        <w:pStyle w:val="101"/>
        <w:tabs>
          <w:tab w:val="left" w:pos="1698"/>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16.6.2签订合同时间：按成交通知书规定的时间与采购人签订政府采购合同。</w:t>
      </w:r>
    </w:p>
    <w:p w14:paraId="3204EAD5">
      <w:pPr>
        <w:pStyle w:val="101"/>
        <w:tabs>
          <w:tab w:val="left" w:pos="1647"/>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16.6.3成交供应商拒绝签订政府采购和或者放弃成交或者因不可抗力提出不能履行合同，采购人可以按照评审报告推荐的成交候选人名单排序，确定下一候选人为成交供应商，也可以重新开展政府采购活动。拒绝签订政府采购合同的成交供应商不得参加对该合同项重新开展的采购活动。</w:t>
      </w:r>
    </w:p>
    <w:p w14:paraId="0D58DA9E">
      <w:pPr>
        <w:tabs>
          <w:tab w:val="left" w:pos="1594"/>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16.7 政府采购合同公告</w:t>
      </w:r>
    </w:p>
    <w:p w14:paraId="2ECA42CD">
      <w:pPr>
        <w:pStyle w:val="13"/>
        <w:spacing w:line="360" w:lineRule="auto"/>
        <w:ind w:left="0" w:firstLine="566" w:firstLineChars="236"/>
        <w:jc w:val="both"/>
        <w:rPr>
          <w:rFonts w:hint="eastAsia" w:ascii="宋体" w:hAnsi="宋体" w:cs="宋体"/>
          <w:color w:val="auto"/>
          <w:szCs w:val="24"/>
          <w:highlight w:val="none"/>
        </w:rPr>
      </w:pPr>
      <w:r>
        <w:rPr>
          <w:rFonts w:hint="eastAsia" w:ascii="宋体" w:hAnsi="宋体" w:cs="宋体"/>
          <w:color w:val="auto"/>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517DE55">
      <w:pPr>
        <w:tabs>
          <w:tab w:val="left" w:pos="1714"/>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16.8 询问、质疑和投诉</w:t>
      </w:r>
    </w:p>
    <w:p w14:paraId="4747F9A2">
      <w:pPr>
        <w:pStyle w:val="101"/>
        <w:tabs>
          <w:tab w:val="left" w:pos="1647"/>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16.8.1供应商对政府采购活动事项有疑问的，可以向采购人、采购代理机构提出询问，采购人或者采购代理机构应当在3个工作日内对供应商依法提出的询问作出答复。</w:t>
      </w:r>
    </w:p>
    <w:p w14:paraId="5C866461">
      <w:pPr>
        <w:pStyle w:val="101"/>
        <w:tabs>
          <w:tab w:val="left" w:pos="1647"/>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16.8.2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具体质疑起算时间如下：</w:t>
      </w:r>
    </w:p>
    <w:p w14:paraId="6C5D0AAC">
      <w:pPr>
        <w:pStyle w:val="101"/>
        <w:tabs>
          <w:tab w:val="left" w:pos="1696"/>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对可以质疑的磋商文件提出质疑的，若在公告期限届满之前下载的，则以获取磋商文件之日起计；若在公告期限届满之后下载的，则以公告期限届满之日起计。对采购过程提出质疑的，为各采购程序环节结束之日；</w:t>
      </w:r>
    </w:p>
    <w:p w14:paraId="7B9AB0EE">
      <w:pPr>
        <w:pStyle w:val="101"/>
        <w:tabs>
          <w:tab w:val="left" w:pos="1696"/>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（2）对成交结果提出质疑的，为成交结果公告期限届满之日。</w:t>
      </w:r>
    </w:p>
    <w:p w14:paraId="2F7BC8AE">
      <w:pPr>
        <w:pStyle w:val="101"/>
        <w:tabs>
          <w:tab w:val="left" w:pos="1647"/>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16.8.3供应商提出的询问或者质疑超出采购人对采购代理机构委托授权范围的，采购代理机构应当告知供应商向采购人提出。政府采购评审专家应当配合采购人或者采购代理机构答复供应商的询问和质疑。</w:t>
      </w:r>
    </w:p>
    <w:p w14:paraId="3A08945B">
      <w:pPr>
        <w:pStyle w:val="101"/>
        <w:tabs>
          <w:tab w:val="left" w:pos="1693"/>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16.8.4供应商提出质疑应当提交质疑函和必要的证明材料，针对同一采购程序环节的质疑必须在法定质疑期内一次性提出。质疑函应当包括下列内容（质疑函格式后附）：</w:t>
      </w:r>
    </w:p>
    <w:p w14:paraId="5C795B81">
      <w:pPr>
        <w:pStyle w:val="101"/>
        <w:tabs>
          <w:tab w:val="left" w:pos="1696"/>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（1）供应商的姓名或者名称、地址、邮编、联系人及联系电话；</w:t>
      </w:r>
    </w:p>
    <w:p w14:paraId="07D91D41">
      <w:pPr>
        <w:pStyle w:val="101"/>
        <w:tabs>
          <w:tab w:val="left" w:pos="1696"/>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（2）质疑项目的名称、编号；</w:t>
      </w:r>
    </w:p>
    <w:p w14:paraId="25793DFF">
      <w:pPr>
        <w:pStyle w:val="101"/>
        <w:tabs>
          <w:tab w:val="left" w:pos="1696"/>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（3）具体、明确的质疑事项和与质疑事项相关的请求；</w:t>
      </w:r>
    </w:p>
    <w:p w14:paraId="47BD709B">
      <w:pPr>
        <w:pStyle w:val="101"/>
        <w:tabs>
          <w:tab w:val="left" w:pos="1696"/>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（4）事实依据；</w:t>
      </w:r>
    </w:p>
    <w:p w14:paraId="2180E97E">
      <w:pPr>
        <w:pStyle w:val="101"/>
        <w:tabs>
          <w:tab w:val="left" w:pos="1696"/>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（5）必要的法律依据；</w:t>
      </w:r>
    </w:p>
    <w:p w14:paraId="52B50BFD">
      <w:pPr>
        <w:pStyle w:val="101"/>
        <w:tabs>
          <w:tab w:val="left" w:pos="1696"/>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（6）提出质疑的日期。</w:t>
      </w:r>
    </w:p>
    <w:p w14:paraId="591792DB">
      <w:pPr>
        <w:pStyle w:val="13"/>
        <w:spacing w:line="360" w:lineRule="auto"/>
        <w:ind w:left="0" w:firstLine="566" w:firstLineChars="236"/>
        <w:rPr>
          <w:rFonts w:hint="eastAsia" w:ascii="宋体" w:hAnsi="宋体" w:cs="宋体"/>
          <w:color w:val="auto"/>
          <w:szCs w:val="24"/>
          <w:highlight w:val="none"/>
        </w:rPr>
      </w:pPr>
      <w:r>
        <w:rPr>
          <w:rFonts w:hint="eastAsia" w:ascii="宋体" w:hAnsi="宋体" w:cs="宋体"/>
          <w:color w:val="auto"/>
          <w:szCs w:val="24"/>
          <w:highlight w:val="none"/>
        </w:rPr>
        <w:t>供应商为自然人的，应当由本人签字；供应商为法人或者其他组织的，应当由法定代表人、主要负责人，或者其委托代理人签字或者盖章，并加盖公章。</w:t>
      </w:r>
    </w:p>
    <w:p w14:paraId="37F18A70">
      <w:pPr>
        <w:pStyle w:val="101"/>
        <w:tabs>
          <w:tab w:val="left" w:pos="1647"/>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16.8.5采购人、采购代理机构认为供应商质疑不成立，或者成立但未对成交结果构成影响的，继续开展采购活动；认为供应商质疑成立且影响或者可能影响成交结果的，按照下列情况处理：</w:t>
      </w:r>
    </w:p>
    <w:p w14:paraId="48F07875">
      <w:pPr>
        <w:pStyle w:val="13"/>
        <w:spacing w:line="360" w:lineRule="auto"/>
        <w:ind w:left="0" w:firstLine="566" w:firstLineChars="236"/>
        <w:rPr>
          <w:rFonts w:hint="eastAsia" w:ascii="宋体" w:hAnsi="宋体" w:cs="宋体"/>
          <w:color w:val="auto"/>
          <w:szCs w:val="24"/>
          <w:highlight w:val="none"/>
        </w:rPr>
      </w:pPr>
      <w:r>
        <w:rPr>
          <w:rFonts w:hint="eastAsia" w:ascii="宋体" w:hAnsi="宋体" w:cs="宋体"/>
          <w:color w:val="auto"/>
          <w:szCs w:val="24"/>
          <w:highlight w:val="none"/>
        </w:rPr>
        <w:t>（一）对</w:t>
      </w:r>
      <w:r>
        <w:rPr>
          <w:rFonts w:hint="eastAsia" w:ascii="宋体" w:hAnsi="宋体" w:cs="宋体"/>
          <w:color w:val="auto"/>
          <w:szCs w:val="24"/>
          <w:highlight w:val="none"/>
          <w:lang w:eastAsia="zh-CN"/>
        </w:rPr>
        <w:t>磋商文件</w:t>
      </w:r>
      <w:r>
        <w:rPr>
          <w:rFonts w:hint="eastAsia" w:ascii="宋体" w:hAnsi="宋体" w:cs="宋体"/>
          <w:color w:val="auto"/>
          <w:szCs w:val="24"/>
          <w:highlight w:val="none"/>
        </w:rPr>
        <w:t>提出的质疑，依法通过澄清或者修改可以继续开展采购活动的，澄清或者修改</w:t>
      </w:r>
      <w:r>
        <w:rPr>
          <w:rFonts w:hint="eastAsia" w:ascii="宋体" w:hAnsi="宋体" w:cs="宋体"/>
          <w:color w:val="auto"/>
          <w:szCs w:val="24"/>
          <w:highlight w:val="none"/>
          <w:lang w:eastAsia="zh-CN"/>
        </w:rPr>
        <w:t>磋商文件</w:t>
      </w:r>
      <w:r>
        <w:rPr>
          <w:rFonts w:hint="eastAsia" w:ascii="宋体" w:hAnsi="宋体" w:cs="宋体"/>
          <w:color w:val="auto"/>
          <w:szCs w:val="24"/>
          <w:highlight w:val="none"/>
        </w:rPr>
        <w:t>后继续开展采购活动；否则应当修改</w:t>
      </w:r>
      <w:r>
        <w:rPr>
          <w:rFonts w:hint="eastAsia" w:ascii="宋体" w:hAnsi="宋体" w:cs="宋体"/>
          <w:color w:val="auto"/>
          <w:szCs w:val="24"/>
          <w:highlight w:val="none"/>
          <w:lang w:eastAsia="zh-CN"/>
        </w:rPr>
        <w:t>磋商文件</w:t>
      </w:r>
      <w:r>
        <w:rPr>
          <w:rFonts w:hint="eastAsia" w:ascii="宋体" w:hAnsi="宋体" w:cs="宋体"/>
          <w:color w:val="auto"/>
          <w:szCs w:val="24"/>
          <w:highlight w:val="none"/>
        </w:rPr>
        <w:t>后重新开展采购活动。</w:t>
      </w:r>
    </w:p>
    <w:p w14:paraId="6E78B5AB">
      <w:pPr>
        <w:pStyle w:val="13"/>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0BAD31F2">
      <w:pPr>
        <w:pStyle w:val="13"/>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质疑答复导致成交结果改变的，采购人或者采购代理机构应当将有关情况书面报告本级财政部门。</w:t>
      </w:r>
    </w:p>
    <w:p w14:paraId="0D082861">
      <w:pPr>
        <w:pStyle w:val="101"/>
        <w:tabs>
          <w:tab w:val="left" w:pos="1647"/>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16.8.6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BEE7C05">
      <w:pPr>
        <w:tabs>
          <w:tab w:val="left" w:pos="1594"/>
        </w:tabs>
        <w:spacing w:line="360" w:lineRule="auto"/>
        <w:ind w:firstLine="482" w:firstLineChars="200"/>
        <w:rPr>
          <w:rFonts w:ascii="宋体" w:hAnsi="宋体" w:cs="宋体"/>
          <w:b/>
          <w:color w:val="auto"/>
          <w:szCs w:val="24"/>
          <w:highlight w:val="none"/>
        </w:rPr>
      </w:pPr>
      <w:r>
        <w:rPr>
          <w:rFonts w:ascii="宋体" w:hAnsi="宋体" w:cs="宋体"/>
          <w:b/>
          <w:color w:val="auto"/>
          <w:szCs w:val="24"/>
          <w:highlight w:val="none"/>
        </w:rPr>
        <w:t>17.其他内容</w:t>
      </w:r>
    </w:p>
    <w:p w14:paraId="28BFABAD">
      <w:pPr>
        <w:pStyle w:val="101"/>
        <w:tabs>
          <w:tab w:val="left" w:pos="1647"/>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17.1代理服务收费标准及缴费账户详见“供应商须知前附表”，由成交供应商向采购代理机构支付代理服务费。</w:t>
      </w:r>
    </w:p>
    <w:p w14:paraId="68C5612F">
      <w:pPr>
        <w:tabs>
          <w:tab w:val="left" w:pos="1594"/>
        </w:tabs>
        <w:spacing w:line="360" w:lineRule="auto"/>
        <w:ind w:firstLine="482" w:firstLineChars="200"/>
        <w:rPr>
          <w:rFonts w:ascii="宋体" w:hAnsi="宋体" w:cs="宋体"/>
          <w:b/>
          <w:color w:val="auto"/>
          <w:szCs w:val="24"/>
          <w:highlight w:val="none"/>
        </w:rPr>
      </w:pPr>
      <w:r>
        <w:rPr>
          <w:rFonts w:ascii="宋体" w:hAnsi="宋体" w:cs="宋体"/>
          <w:b/>
          <w:color w:val="auto"/>
          <w:szCs w:val="24"/>
          <w:highlight w:val="none"/>
        </w:rPr>
        <w:t>18.需要补充的其他内容</w:t>
      </w:r>
    </w:p>
    <w:p w14:paraId="6CBDD484">
      <w:pPr>
        <w:pStyle w:val="101"/>
        <w:tabs>
          <w:tab w:val="left" w:pos="1640"/>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18.1本磋商文件解释规则详见“供应商须知前附表”。</w:t>
      </w:r>
    </w:p>
    <w:p w14:paraId="3C6FBBB6">
      <w:pPr>
        <w:pStyle w:val="101"/>
        <w:tabs>
          <w:tab w:val="left" w:pos="1693"/>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18.2其他事项详见“供应商须知前附表”。</w:t>
      </w:r>
    </w:p>
    <w:p w14:paraId="3D700136">
      <w:pPr>
        <w:pStyle w:val="101"/>
        <w:tabs>
          <w:tab w:val="left" w:pos="1647"/>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18.3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00666E92">
      <w:pPr>
        <w:pStyle w:val="101"/>
        <w:tabs>
          <w:tab w:val="left" w:pos="1696"/>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（1）在货物采购项目中，货物由中小企业制造，即货物由中小企业生产且使用该中小企业商号或者注册商标，不对其中涉及的工程承建商和服务的承接商作出要求；</w:t>
      </w:r>
    </w:p>
    <w:p w14:paraId="2701774A">
      <w:pPr>
        <w:pStyle w:val="101"/>
        <w:tabs>
          <w:tab w:val="left" w:pos="1696"/>
        </w:tabs>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（2）在工程采购项目中，工程由中小企业承建，即工程施工单位为中小企业，不对其中涉及的货物的制造商和服务的承接商作出要求；</w:t>
      </w:r>
    </w:p>
    <w:p w14:paraId="10FE80D5">
      <w:pPr>
        <w:pStyle w:val="101"/>
        <w:tabs>
          <w:tab w:val="left" w:pos="1696"/>
        </w:tabs>
        <w:spacing w:line="360" w:lineRule="auto"/>
        <w:ind w:firstLine="480" w:firstLineChars="200"/>
        <w:jc w:val="both"/>
        <w:rPr>
          <w:rFonts w:ascii="宋体" w:hAnsi="宋体" w:cs="宋体"/>
          <w:color w:val="auto"/>
          <w:szCs w:val="24"/>
          <w:highlight w:val="none"/>
        </w:rPr>
      </w:pPr>
      <w:r>
        <w:rPr>
          <w:rFonts w:ascii="宋体" w:hAnsi="宋体" w:cs="宋体"/>
          <w:color w:val="auto"/>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2A93ECD1">
      <w:pPr>
        <w:pStyle w:val="13"/>
        <w:spacing w:line="360"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在货物采购项目中，供应商提供的货物既有中小企业制造货物，也有大型企业制造货物的， 不享受本文件规定的中小企业扶持政策。以联合体形式参加政府采购活动，联合体各方均为中小企业的，联合体视同中小企业。其中，联合体各方均为小微企业的，联合体视同小微企业。</w:t>
      </w:r>
    </w:p>
    <w:p w14:paraId="50D4FACA">
      <w:pPr>
        <w:pStyle w:val="13"/>
        <w:spacing w:line="360" w:lineRule="auto"/>
        <w:ind w:left="0" w:firstLine="566" w:firstLineChars="236"/>
        <w:rPr>
          <w:rFonts w:hint="eastAsia" w:ascii="宋体" w:hAnsi="宋体" w:cs="宋体"/>
          <w:color w:val="auto"/>
          <w:szCs w:val="24"/>
          <w:highlight w:val="none"/>
        </w:rPr>
      </w:pPr>
      <w:r>
        <w:rPr>
          <w:rFonts w:hint="eastAsia" w:ascii="宋体" w:hAnsi="宋体" w:cs="宋体"/>
          <w:color w:val="auto"/>
          <w:szCs w:val="24"/>
          <w:highlight w:val="none"/>
        </w:rPr>
        <w:t>依据本文件规定享受扶持政策获得政府采购合同的，小微企业不得将合同分包给大中型企业，中型企业不得将合同分包给大型企业。</w:t>
      </w:r>
    </w:p>
    <w:bookmarkEnd w:id="85"/>
    <w:p w14:paraId="180592CD">
      <w:pPr>
        <w:pStyle w:val="8"/>
        <w:kinsoku w:val="0"/>
        <w:overflowPunct w:val="0"/>
        <w:spacing w:line="314" w:lineRule="auto"/>
        <w:ind w:left="0" w:firstLine="480" w:firstLineChars="200"/>
        <w:rPr>
          <w:rFonts w:hAnsi="宋体" w:cs="宋体"/>
          <w:color w:val="auto"/>
          <w:szCs w:val="24"/>
          <w:highlight w:val="none"/>
        </w:rPr>
      </w:pPr>
      <w:bookmarkStart w:id="86" w:name="31.解释权"/>
      <w:bookmarkEnd w:id="86"/>
      <w:bookmarkStart w:id="87" w:name="_Toc514786876"/>
      <w:r>
        <w:rPr>
          <w:rFonts w:hAnsi="宋体" w:cs="宋体"/>
          <w:color w:val="auto"/>
          <w:szCs w:val="24"/>
          <w:highlight w:val="none"/>
        </w:rPr>
        <w:t>18.4解释权</w:t>
      </w:r>
      <w:bookmarkEnd w:id="87"/>
    </w:p>
    <w:p w14:paraId="2D428C40">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本竞争性磋商文件是根据《中华人民共和国政府采购法》及相关法律法规编制，最终解释权属本项目代理机构。</w:t>
      </w:r>
    </w:p>
    <w:p w14:paraId="06F05CF8">
      <w:pPr>
        <w:pStyle w:val="13"/>
        <w:kinsoku w:val="0"/>
        <w:overflowPunct w:val="0"/>
        <w:ind w:left="0"/>
        <w:rPr>
          <w:rFonts w:hint="eastAsia" w:ascii="宋体" w:hAnsi="宋体" w:cs="宋体"/>
          <w:color w:val="auto"/>
          <w:sz w:val="21"/>
          <w:szCs w:val="21"/>
          <w:highlight w:val="none"/>
        </w:rPr>
        <w:sectPr>
          <w:pgSz w:w="11910" w:h="16840"/>
          <w:pgMar w:top="0" w:right="995" w:bottom="919" w:left="1298" w:header="918" w:footer="836" w:gutter="0"/>
          <w:cols w:space="720" w:num="1"/>
        </w:sectPr>
      </w:pPr>
    </w:p>
    <w:p w14:paraId="2EE45A02">
      <w:pPr>
        <w:pStyle w:val="13"/>
        <w:kinsoku w:val="0"/>
        <w:overflowPunct w:val="0"/>
        <w:ind w:left="0"/>
        <w:rPr>
          <w:rFonts w:hint="eastAsia" w:ascii="宋体" w:hAnsi="宋体" w:cs="宋体"/>
          <w:color w:val="auto"/>
          <w:sz w:val="20"/>
          <w:highlight w:val="none"/>
        </w:rPr>
      </w:pPr>
    </w:p>
    <w:p w14:paraId="5F9FE20E">
      <w:pPr>
        <w:pStyle w:val="13"/>
        <w:kinsoku w:val="0"/>
        <w:overflowPunct w:val="0"/>
        <w:ind w:left="0"/>
        <w:rPr>
          <w:rFonts w:hint="eastAsia" w:ascii="宋体" w:hAnsi="宋体" w:cs="宋体"/>
          <w:color w:val="auto"/>
          <w:sz w:val="25"/>
          <w:highlight w:val="none"/>
        </w:rPr>
      </w:pPr>
    </w:p>
    <w:p w14:paraId="28FF2739">
      <w:pPr>
        <w:pStyle w:val="4"/>
        <w:tabs>
          <w:tab w:val="left" w:pos="1444"/>
        </w:tabs>
        <w:kinsoku w:val="0"/>
        <w:overflowPunct w:val="0"/>
        <w:spacing w:line="720" w:lineRule="auto"/>
        <w:jc w:val="center"/>
        <w:rPr>
          <w:rFonts w:ascii="宋体" w:hAnsi="宋体" w:eastAsia="宋体" w:cs="宋体"/>
          <w:b/>
          <w:color w:val="auto"/>
          <w:sz w:val="46"/>
          <w:highlight w:val="none"/>
        </w:rPr>
      </w:pPr>
      <w:bookmarkStart w:id="88" w:name="第三章__合同格式"/>
      <w:bookmarkEnd w:id="88"/>
      <w:bookmarkStart w:id="89" w:name="bookmark31"/>
      <w:bookmarkEnd w:id="89"/>
      <w:bookmarkStart w:id="90" w:name="_Toc514759024"/>
      <w:bookmarkStart w:id="91" w:name="_Toc517163144"/>
      <w:r>
        <w:rPr>
          <w:rFonts w:ascii="宋体" w:hAnsi="宋体" w:eastAsia="宋体" w:cs="宋体"/>
          <w:b/>
          <w:color w:val="auto"/>
          <w:sz w:val="46"/>
          <w:highlight w:val="none"/>
        </w:rPr>
        <w:t>第三章</w:t>
      </w:r>
      <w:r>
        <w:rPr>
          <w:rFonts w:ascii="宋体" w:hAnsi="宋体" w:eastAsia="宋体" w:cs="宋体"/>
          <w:b/>
          <w:color w:val="auto"/>
          <w:sz w:val="46"/>
          <w:highlight w:val="none"/>
        </w:rPr>
        <w:tab/>
      </w:r>
      <w:r>
        <w:rPr>
          <w:rFonts w:ascii="宋体" w:hAnsi="宋体" w:eastAsia="宋体" w:cs="宋体"/>
          <w:b/>
          <w:color w:val="auto"/>
          <w:sz w:val="46"/>
          <w:highlight w:val="none"/>
        </w:rPr>
        <w:t>合同条款及格式</w:t>
      </w:r>
      <w:bookmarkEnd w:id="90"/>
      <w:bookmarkEnd w:id="91"/>
    </w:p>
    <w:p w14:paraId="4FC04A13">
      <w:pPr>
        <w:pStyle w:val="13"/>
        <w:kinsoku w:val="0"/>
        <w:overflowPunct w:val="0"/>
        <w:ind w:left="0"/>
        <w:rPr>
          <w:rFonts w:hint="eastAsia" w:ascii="宋体" w:hAnsi="宋体" w:cs="宋体"/>
          <w:color w:val="auto"/>
          <w:sz w:val="47"/>
          <w:highlight w:val="none"/>
        </w:rPr>
      </w:pPr>
    </w:p>
    <w:p w14:paraId="363B8A39">
      <w:pPr>
        <w:pStyle w:val="13"/>
        <w:kinsoku w:val="0"/>
        <w:overflowPunct w:val="0"/>
        <w:ind w:left="0"/>
        <w:rPr>
          <w:rFonts w:hint="eastAsia" w:ascii="宋体" w:hAnsi="宋体" w:cs="宋体"/>
          <w:color w:val="auto"/>
          <w:sz w:val="47"/>
          <w:highlight w:val="none"/>
        </w:rPr>
      </w:pPr>
    </w:p>
    <w:p w14:paraId="05716F91">
      <w:pPr>
        <w:pStyle w:val="4"/>
        <w:jc w:val="center"/>
        <w:rPr>
          <w:rFonts w:ascii="宋体" w:hAnsi="宋体" w:eastAsia="宋体" w:cs="宋体"/>
          <w:color w:val="auto"/>
          <w:sz w:val="24"/>
          <w:highlight w:val="none"/>
        </w:rPr>
      </w:pPr>
      <w:bookmarkStart w:id="92" w:name="bookmark32"/>
      <w:bookmarkEnd w:id="92"/>
      <w:bookmarkStart w:id="93" w:name="第一部分_合同协议书"/>
      <w:bookmarkEnd w:id="93"/>
      <w:bookmarkStart w:id="94" w:name="_Toc2532"/>
      <w:bookmarkStart w:id="95" w:name="_Toc511595186"/>
      <w:bookmarkStart w:id="96" w:name="_Toc514759025"/>
      <w:bookmarkStart w:id="97" w:name="_Toc367270683"/>
      <w:bookmarkStart w:id="98" w:name="_Toc508779702"/>
      <w:bookmarkStart w:id="99" w:name="_Toc517163145"/>
      <w:bookmarkStart w:id="100" w:name="_Toc394929411"/>
      <w:r>
        <w:rPr>
          <w:rFonts w:ascii="宋体" w:hAnsi="宋体" w:eastAsia="宋体" w:cs="宋体"/>
          <w:color w:val="auto"/>
          <w:highlight w:val="none"/>
        </w:rPr>
        <w:t>第一节  通用合同条款</w:t>
      </w:r>
      <w:bookmarkEnd w:id="94"/>
      <w:bookmarkEnd w:id="95"/>
      <w:bookmarkEnd w:id="96"/>
      <w:bookmarkEnd w:id="97"/>
      <w:bookmarkEnd w:id="98"/>
      <w:bookmarkEnd w:id="99"/>
      <w:bookmarkEnd w:id="100"/>
    </w:p>
    <w:p w14:paraId="58B352CA">
      <w:pPr>
        <w:tabs>
          <w:tab w:val="left" w:pos="1080"/>
        </w:tabs>
        <w:ind w:firstLine="480"/>
        <w:rPr>
          <w:rFonts w:ascii="宋体" w:hAnsi="宋体" w:cs="宋体"/>
          <w:color w:val="auto"/>
          <w:highlight w:val="none"/>
        </w:rPr>
      </w:pPr>
    </w:p>
    <w:p w14:paraId="6D9F5295">
      <w:pPr>
        <w:tabs>
          <w:tab w:val="left" w:pos="1080"/>
        </w:tabs>
        <w:spacing w:line="400" w:lineRule="exact"/>
        <w:ind w:firstLine="480"/>
        <w:rPr>
          <w:rStyle w:val="100"/>
          <w:rFonts w:cs="宋体"/>
          <w:color w:val="auto"/>
          <w:szCs w:val="24"/>
          <w:highlight w:val="none"/>
        </w:rPr>
      </w:pPr>
      <w:r>
        <w:rPr>
          <w:rFonts w:ascii="宋体" w:hAnsi="宋体" w:cs="宋体"/>
          <w:color w:val="auto"/>
          <w:szCs w:val="24"/>
          <w:highlight w:val="none"/>
        </w:rPr>
        <w:t>“</w:t>
      </w:r>
      <w:r>
        <w:rPr>
          <w:rStyle w:val="100"/>
          <w:rFonts w:cs="宋体"/>
          <w:color w:val="auto"/>
          <w:szCs w:val="24"/>
          <w:highlight w:val="none"/>
        </w:rPr>
        <w:t>通用合同条款”采用中华人民共和国交通运输部《公路工程标准施工招标文件》（2018年版）的“通用合同条款”</w:t>
      </w:r>
    </w:p>
    <w:p w14:paraId="69BD50EF">
      <w:pPr>
        <w:tabs>
          <w:tab w:val="left" w:pos="1080"/>
        </w:tabs>
        <w:spacing w:line="400" w:lineRule="exact"/>
        <w:ind w:firstLine="480"/>
        <w:rPr>
          <w:rFonts w:ascii="宋体" w:hAnsi="宋体" w:cs="宋体"/>
          <w:color w:val="auto"/>
          <w:szCs w:val="24"/>
          <w:highlight w:val="none"/>
        </w:rPr>
      </w:pPr>
    </w:p>
    <w:p w14:paraId="7EBE3541">
      <w:pPr>
        <w:tabs>
          <w:tab w:val="left" w:pos="1080"/>
        </w:tabs>
        <w:spacing w:line="400" w:lineRule="exact"/>
        <w:ind w:firstLine="480"/>
        <w:rPr>
          <w:rFonts w:ascii="宋体" w:hAnsi="宋体" w:cs="宋体"/>
          <w:color w:val="auto"/>
          <w:szCs w:val="24"/>
          <w:highlight w:val="none"/>
        </w:rPr>
      </w:pPr>
      <w:r>
        <w:rPr>
          <w:rFonts w:ascii="宋体" w:hAnsi="宋体" w:cs="宋体"/>
          <w:color w:val="auto"/>
          <w:szCs w:val="24"/>
          <w:highlight w:val="none"/>
        </w:rPr>
        <w:t>注：《公路工程标准施工招标文件》（2018年版）由供应商自行到书店购买。</w:t>
      </w:r>
    </w:p>
    <w:p w14:paraId="71AA7F2C">
      <w:pPr>
        <w:tabs>
          <w:tab w:val="left" w:pos="1080"/>
        </w:tabs>
        <w:spacing w:line="400" w:lineRule="exact"/>
        <w:ind w:firstLine="482"/>
        <w:jc w:val="center"/>
        <w:rPr>
          <w:rFonts w:ascii="宋体" w:hAnsi="宋体" w:cs="宋体"/>
          <w:b/>
          <w:color w:val="auto"/>
          <w:sz w:val="21"/>
          <w:szCs w:val="21"/>
          <w:highlight w:val="none"/>
        </w:rPr>
      </w:pPr>
    </w:p>
    <w:p w14:paraId="47B576BC">
      <w:pPr>
        <w:tabs>
          <w:tab w:val="left" w:pos="1080"/>
        </w:tabs>
        <w:spacing w:line="400" w:lineRule="exact"/>
        <w:ind w:firstLine="482"/>
        <w:jc w:val="center"/>
        <w:rPr>
          <w:rFonts w:ascii="宋体" w:hAnsi="宋体" w:cs="宋体"/>
          <w:b/>
          <w:color w:val="auto"/>
          <w:highlight w:val="none"/>
        </w:rPr>
      </w:pPr>
    </w:p>
    <w:p w14:paraId="629727C8">
      <w:pPr>
        <w:tabs>
          <w:tab w:val="left" w:pos="1080"/>
        </w:tabs>
        <w:spacing w:line="400" w:lineRule="exact"/>
        <w:ind w:firstLine="482"/>
        <w:jc w:val="center"/>
        <w:rPr>
          <w:rFonts w:ascii="宋体" w:hAnsi="宋体" w:cs="宋体"/>
          <w:b/>
          <w:color w:val="auto"/>
          <w:highlight w:val="none"/>
        </w:rPr>
      </w:pPr>
    </w:p>
    <w:p w14:paraId="177440D1">
      <w:pPr>
        <w:tabs>
          <w:tab w:val="left" w:pos="1080"/>
        </w:tabs>
        <w:spacing w:line="400" w:lineRule="exact"/>
        <w:ind w:firstLine="482"/>
        <w:jc w:val="center"/>
        <w:rPr>
          <w:rFonts w:ascii="宋体" w:hAnsi="宋体" w:cs="宋体"/>
          <w:b/>
          <w:color w:val="auto"/>
          <w:highlight w:val="none"/>
        </w:rPr>
      </w:pPr>
    </w:p>
    <w:p w14:paraId="3EFE67B6">
      <w:pPr>
        <w:pStyle w:val="4"/>
        <w:jc w:val="center"/>
        <w:rPr>
          <w:rFonts w:ascii="宋体" w:hAnsi="宋体" w:eastAsia="宋体" w:cs="宋体"/>
          <w:color w:val="auto"/>
          <w:highlight w:val="none"/>
        </w:rPr>
      </w:pPr>
      <w:bookmarkStart w:id="101" w:name="_Toc511595187"/>
      <w:bookmarkStart w:id="102" w:name="_Toc514759026"/>
      <w:bookmarkStart w:id="103" w:name="_Toc15755"/>
      <w:bookmarkStart w:id="104" w:name="_Toc508779703"/>
      <w:bookmarkStart w:id="105" w:name="_Toc517163146"/>
      <w:bookmarkStart w:id="106" w:name="_Toc394929412"/>
      <w:r>
        <w:rPr>
          <w:rFonts w:ascii="宋体" w:hAnsi="宋体" w:eastAsia="宋体" w:cs="宋体"/>
          <w:color w:val="auto"/>
          <w:highlight w:val="none"/>
        </w:rPr>
        <w:t>第二节  专用合同条款</w:t>
      </w:r>
      <w:bookmarkEnd w:id="101"/>
      <w:bookmarkEnd w:id="102"/>
      <w:bookmarkEnd w:id="103"/>
      <w:bookmarkEnd w:id="104"/>
      <w:bookmarkEnd w:id="105"/>
      <w:bookmarkEnd w:id="106"/>
    </w:p>
    <w:p w14:paraId="3AD99EB7">
      <w:pPr>
        <w:rPr>
          <w:rFonts w:ascii="宋体" w:hAnsi="宋体" w:cs="宋体"/>
          <w:color w:val="auto"/>
          <w:sz w:val="52"/>
          <w:szCs w:val="52"/>
          <w:highlight w:val="none"/>
        </w:rPr>
      </w:pPr>
    </w:p>
    <w:p w14:paraId="3C0BB427">
      <w:pPr>
        <w:rPr>
          <w:rFonts w:ascii="宋体" w:hAnsi="宋体" w:cs="宋体"/>
          <w:color w:val="auto"/>
          <w:sz w:val="52"/>
          <w:szCs w:val="52"/>
          <w:highlight w:val="none"/>
        </w:rPr>
      </w:pPr>
    </w:p>
    <w:p w14:paraId="1A582212">
      <w:pPr>
        <w:pStyle w:val="5"/>
        <w:spacing w:line="360" w:lineRule="auto"/>
        <w:rPr>
          <w:rFonts w:hAnsi="宋体" w:cs="宋体"/>
          <w:color w:val="auto"/>
          <w:sz w:val="24"/>
          <w:szCs w:val="24"/>
          <w:highlight w:val="none"/>
        </w:rPr>
      </w:pPr>
      <w:bookmarkStart w:id="107" w:name="_Toc394929413"/>
      <w:bookmarkStart w:id="108" w:name="_Toc28084"/>
      <w:bookmarkStart w:id="109" w:name="_Toc508779704"/>
      <w:bookmarkStart w:id="110" w:name="_Toc514759027"/>
      <w:bookmarkStart w:id="111" w:name="_Toc511595188"/>
      <w:r>
        <w:rPr>
          <w:rFonts w:hAnsi="宋体" w:cs="宋体"/>
          <w:color w:val="auto"/>
          <w:sz w:val="24"/>
          <w:szCs w:val="24"/>
          <w:highlight w:val="none"/>
        </w:rPr>
        <w:t>A.公路工程专用合同条款</w:t>
      </w:r>
      <w:bookmarkEnd w:id="107"/>
      <w:bookmarkEnd w:id="108"/>
      <w:bookmarkEnd w:id="109"/>
      <w:bookmarkEnd w:id="110"/>
      <w:bookmarkEnd w:id="111"/>
    </w:p>
    <w:p w14:paraId="3711009F">
      <w:pPr>
        <w:tabs>
          <w:tab w:val="left" w:pos="1080"/>
        </w:tabs>
        <w:spacing w:line="360" w:lineRule="auto"/>
        <w:ind w:firstLine="480"/>
        <w:rPr>
          <w:rFonts w:ascii="宋体" w:hAnsi="宋体" w:cs="宋体"/>
          <w:b/>
          <w:color w:val="auto"/>
          <w:szCs w:val="24"/>
          <w:highlight w:val="none"/>
        </w:rPr>
      </w:pPr>
      <w:r>
        <w:rPr>
          <w:rFonts w:ascii="宋体" w:hAnsi="宋体" w:cs="宋体"/>
          <w:color w:val="auto"/>
          <w:szCs w:val="24"/>
          <w:highlight w:val="none"/>
        </w:rPr>
        <w:t>“</w:t>
      </w:r>
      <w:r>
        <w:rPr>
          <w:rStyle w:val="100"/>
          <w:rFonts w:cs="宋体"/>
          <w:color w:val="auto"/>
          <w:szCs w:val="24"/>
          <w:highlight w:val="none"/>
        </w:rPr>
        <w:t>公路工程专用合同条款”采用交通运输部《公路工程标准施工招标文件》（2018年版）的“公路工程专用合同条款”</w:t>
      </w:r>
    </w:p>
    <w:p w14:paraId="605770DF">
      <w:pPr>
        <w:tabs>
          <w:tab w:val="left" w:pos="1080"/>
        </w:tabs>
        <w:ind w:firstLine="602"/>
        <w:jc w:val="center"/>
        <w:rPr>
          <w:rFonts w:ascii="宋体" w:hAnsi="宋体" w:cs="宋体"/>
          <w:b/>
          <w:color w:val="auto"/>
          <w:szCs w:val="24"/>
          <w:highlight w:val="none"/>
        </w:rPr>
      </w:pPr>
    </w:p>
    <w:p w14:paraId="3758E06A">
      <w:pPr>
        <w:tabs>
          <w:tab w:val="left" w:pos="1080"/>
        </w:tabs>
        <w:ind w:firstLine="602"/>
        <w:jc w:val="center"/>
        <w:rPr>
          <w:rFonts w:ascii="宋体" w:hAnsi="宋体" w:cs="宋体"/>
          <w:b/>
          <w:color w:val="auto"/>
          <w:szCs w:val="24"/>
          <w:highlight w:val="none"/>
        </w:rPr>
      </w:pPr>
    </w:p>
    <w:p w14:paraId="71F4883F">
      <w:pPr>
        <w:tabs>
          <w:tab w:val="left" w:pos="1080"/>
        </w:tabs>
        <w:ind w:firstLine="480"/>
        <w:rPr>
          <w:rFonts w:ascii="宋体" w:hAnsi="宋体" w:cs="宋体"/>
          <w:color w:val="auto"/>
          <w:szCs w:val="24"/>
          <w:highlight w:val="none"/>
        </w:rPr>
      </w:pPr>
      <w:r>
        <w:rPr>
          <w:rFonts w:ascii="宋体" w:hAnsi="宋体" w:cs="宋体"/>
          <w:color w:val="auto"/>
          <w:szCs w:val="24"/>
          <w:highlight w:val="none"/>
        </w:rPr>
        <w:t>注：《公路工程标准施工招标文件》（2018年版）由供应商自行到书店购买。</w:t>
      </w:r>
    </w:p>
    <w:p w14:paraId="5247B196">
      <w:pPr>
        <w:rPr>
          <w:rFonts w:ascii="宋体" w:hAnsi="宋体" w:cs="宋体"/>
          <w:color w:val="auto"/>
          <w:highlight w:val="none"/>
        </w:rPr>
      </w:pPr>
    </w:p>
    <w:p w14:paraId="12E5EBD4">
      <w:pPr>
        <w:rPr>
          <w:rFonts w:ascii="宋体" w:hAnsi="宋体" w:cs="宋体"/>
          <w:color w:val="auto"/>
          <w:highlight w:val="none"/>
        </w:rPr>
      </w:pPr>
    </w:p>
    <w:p w14:paraId="4EC73B9A">
      <w:pPr>
        <w:rPr>
          <w:rFonts w:ascii="宋体" w:hAnsi="宋体" w:cs="宋体"/>
          <w:color w:val="auto"/>
          <w:highlight w:val="none"/>
        </w:rPr>
      </w:pPr>
    </w:p>
    <w:p w14:paraId="31DDB02A">
      <w:pPr>
        <w:rPr>
          <w:rFonts w:ascii="宋体" w:hAnsi="宋体" w:cs="宋体"/>
          <w:color w:val="auto"/>
          <w:highlight w:val="none"/>
        </w:rPr>
      </w:pPr>
      <w:r>
        <w:rPr>
          <w:rFonts w:ascii="宋体" w:hAnsi="宋体" w:cs="宋体"/>
          <w:color w:val="auto"/>
          <w:highlight w:val="none"/>
        </w:rPr>
        <w:br w:type="page"/>
      </w:r>
    </w:p>
    <w:p w14:paraId="2FF283D8">
      <w:pPr>
        <w:pStyle w:val="5"/>
        <w:jc w:val="center"/>
        <w:rPr>
          <w:rFonts w:hAnsi="宋体" w:cs="宋体"/>
          <w:color w:val="auto"/>
          <w:highlight w:val="none"/>
        </w:rPr>
      </w:pPr>
      <w:bookmarkStart w:id="112" w:name="_Toc511595189"/>
      <w:bookmarkStart w:id="113" w:name="_Toc16971"/>
      <w:bookmarkStart w:id="114" w:name="_Toc514759028"/>
      <w:bookmarkStart w:id="115" w:name="_Toc394929414"/>
      <w:bookmarkStart w:id="116" w:name="_Toc508779705"/>
      <w:r>
        <w:rPr>
          <w:rFonts w:hAnsi="宋体" w:cs="宋体"/>
          <w:color w:val="auto"/>
          <w:highlight w:val="none"/>
        </w:rPr>
        <w:t>B.项目专用合同条款</w:t>
      </w:r>
      <w:bookmarkEnd w:id="112"/>
      <w:bookmarkEnd w:id="113"/>
      <w:bookmarkEnd w:id="114"/>
      <w:bookmarkEnd w:id="115"/>
      <w:bookmarkEnd w:id="116"/>
    </w:p>
    <w:p w14:paraId="24D5195F">
      <w:pPr>
        <w:tabs>
          <w:tab w:val="left" w:pos="1080"/>
        </w:tabs>
        <w:spacing w:line="340" w:lineRule="exact"/>
        <w:ind w:firstLine="480"/>
        <w:rPr>
          <w:rFonts w:ascii="宋体" w:hAnsi="宋体" w:cs="宋体"/>
          <w:color w:val="auto"/>
          <w:highlight w:val="none"/>
        </w:rPr>
      </w:pPr>
    </w:p>
    <w:p w14:paraId="17D2DDB2">
      <w:pPr>
        <w:tabs>
          <w:tab w:val="left" w:pos="1080"/>
        </w:tabs>
        <w:spacing w:line="360" w:lineRule="auto"/>
        <w:ind w:firstLine="482"/>
        <w:rPr>
          <w:rFonts w:ascii="宋体" w:hAnsi="宋体" w:cs="宋体"/>
          <w:b/>
          <w:color w:val="auto"/>
          <w:szCs w:val="24"/>
          <w:highlight w:val="none"/>
        </w:rPr>
      </w:pPr>
      <w:r>
        <w:rPr>
          <w:rFonts w:ascii="宋体" w:hAnsi="宋体" w:cs="宋体"/>
          <w:b/>
          <w:color w:val="auto"/>
          <w:szCs w:val="24"/>
          <w:highlight w:val="none"/>
        </w:rPr>
        <w:t>说明：</w:t>
      </w:r>
    </w:p>
    <w:p w14:paraId="21C43E11">
      <w:pPr>
        <w:tabs>
          <w:tab w:val="left" w:pos="1080"/>
        </w:tabs>
        <w:spacing w:line="360" w:lineRule="auto"/>
        <w:ind w:firstLine="420"/>
        <w:rPr>
          <w:rFonts w:ascii="宋体" w:hAnsi="宋体" w:cs="宋体"/>
          <w:color w:val="auto"/>
          <w:szCs w:val="24"/>
          <w:highlight w:val="none"/>
        </w:rPr>
      </w:pPr>
      <w:r>
        <w:rPr>
          <w:rFonts w:ascii="宋体" w:hAnsi="宋体" w:cs="宋体"/>
          <w:color w:val="auto"/>
          <w:szCs w:val="24"/>
          <w:highlight w:val="none"/>
        </w:rPr>
        <w:t>1.采购人在根据《公路工程标准施工招标文件》编制项目谈判文件中的“项目专用合同条款”时，可根据</w:t>
      </w:r>
      <w:r>
        <w:rPr>
          <w:rFonts w:hint="eastAsia" w:ascii="宋体" w:hAnsi="宋体" w:cs="宋体"/>
          <w:color w:val="auto"/>
          <w:szCs w:val="24"/>
          <w:highlight w:val="none"/>
          <w:lang w:eastAsia="zh-CN"/>
        </w:rPr>
        <w:t>采购</w:t>
      </w:r>
      <w:r>
        <w:rPr>
          <w:rFonts w:ascii="宋体" w:hAnsi="宋体" w:cs="宋体"/>
          <w:color w:val="auto"/>
          <w:szCs w:val="24"/>
          <w:highlight w:val="none"/>
        </w:rPr>
        <w:t>项目的具体特点和实际需要，对“通用合同条款”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49A14EDC">
      <w:pPr>
        <w:tabs>
          <w:tab w:val="left" w:pos="1080"/>
        </w:tabs>
        <w:spacing w:line="360" w:lineRule="auto"/>
        <w:ind w:firstLine="420"/>
        <w:rPr>
          <w:rFonts w:ascii="宋体" w:hAnsi="宋体" w:cs="宋体"/>
          <w:color w:val="auto"/>
          <w:szCs w:val="24"/>
          <w:highlight w:val="none"/>
        </w:rPr>
      </w:pPr>
      <w:r>
        <w:rPr>
          <w:rFonts w:ascii="宋体" w:hAnsi="宋体" w:cs="宋体"/>
          <w:color w:val="auto"/>
          <w:szCs w:val="24"/>
          <w:highlight w:val="none"/>
        </w:rPr>
        <w:t>2.项目专用合同条款的编号应与通用合同条款和公路工程专用合同条款一致。</w:t>
      </w:r>
    </w:p>
    <w:p w14:paraId="5C9EC960">
      <w:pPr>
        <w:tabs>
          <w:tab w:val="left" w:pos="1080"/>
        </w:tabs>
        <w:spacing w:line="360" w:lineRule="auto"/>
        <w:ind w:firstLine="420"/>
        <w:rPr>
          <w:rFonts w:ascii="宋体" w:hAnsi="宋体" w:cs="宋体"/>
          <w:color w:val="auto"/>
          <w:szCs w:val="24"/>
          <w:highlight w:val="none"/>
        </w:rPr>
      </w:pPr>
      <w:r>
        <w:rPr>
          <w:rFonts w:ascii="宋体" w:hAnsi="宋体" w:cs="宋体"/>
          <w:color w:val="auto"/>
          <w:szCs w:val="24"/>
          <w:highlight w:val="none"/>
        </w:rPr>
        <w:t>3.项目专用合同条款可对下列内容进行补充和细化：</w:t>
      </w:r>
    </w:p>
    <w:p w14:paraId="673E9BAF">
      <w:pPr>
        <w:tabs>
          <w:tab w:val="left" w:pos="1080"/>
        </w:tabs>
        <w:spacing w:line="360" w:lineRule="auto"/>
        <w:ind w:firstLine="420"/>
        <w:rPr>
          <w:rFonts w:ascii="宋体" w:hAnsi="宋体" w:cs="宋体"/>
          <w:color w:val="auto"/>
          <w:szCs w:val="24"/>
          <w:highlight w:val="none"/>
        </w:rPr>
      </w:pPr>
      <w:r>
        <w:rPr>
          <w:rFonts w:hint="eastAsia" w:ascii="宋体" w:hAnsi="宋体" w:cs="宋体"/>
          <w:color w:val="auto"/>
          <w:szCs w:val="24"/>
          <w:highlight w:val="none"/>
          <w:lang w:eastAsia="zh-CN"/>
        </w:rPr>
        <w:t>（</w:t>
      </w:r>
      <w:r>
        <w:rPr>
          <w:rFonts w:ascii="宋体" w:hAnsi="宋体" w:cs="宋体"/>
          <w:color w:val="auto"/>
          <w:szCs w:val="24"/>
          <w:highlight w:val="none"/>
        </w:rPr>
        <w:t>1</w:t>
      </w:r>
      <w:r>
        <w:rPr>
          <w:rFonts w:hint="eastAsia" w:ascii="宋体" w:hAnsi="宋体" w:cs="宋体"/>
          <w:color w:val="auto"/>
          <w:szCs w:val="24"/>
          <w:highlight w:val="none"/>
          <w:lang w:eastAsia="zh-CN"/>
        </w:rPr>
        <w:t>）</w:t>
      </w:r>
      <w:r>
        <w:rPr>
          <w:rFonts w:ascii="宋体" w:hAnsi="宋体" w:cs="宋体"/>
          <w:color w:val="auto"/>
          <w:szCs w:val="24"/>
          <w:highlight w:val="none"/>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15A133EC">
      <w:pPr>
        <w:tabs>
          <w:tab w:val="left" w:pos="1080"/>
        </w:tabs>
        <w:spacing w:line="360" w:lineRule="auto"/>
        <w:ind w:firstLine="420"/>
        <w:rPr>
          <w:rFonts w:ascii="宋体" w:hAnsi="宋体" w:cs="宋体"/>
          <w:color w:val="auto"/>
          <w:szCs w:val="24"/>
          <w:highlight w:val="none"/>
        </w:rPr>
      </w:pPr>
      <w:r>
        <w:rPr>
          <w:rFonts w:hint="eastAsia" w:ascii="宋体" w:hAnsi="宋体" w:cs="宋体"/>
          <w:color w:val="auto"/>
          <w:szCs w:val="24"/>
          <w:highlight w:val="none"/>
          <w:lang w:eastAsia="zh-CN"/>
        </w:rPr>
        <w:t>（</w:t>
      </w:r>
      <w:r>
        <w:rPr>
          <w:rFonts w:ascii="宋体" w:hAnsi="宋体" w:cs="宋体"/>
          <w:color w:val="auto"/>
          <w:szCs w:val="24"/>
          <w:highlight w:val="none"/>
        </w:rPr>
        <w:t>2</w:t>
      </w:r>
      <w:r>
        <w:rPr>
          <w:rFonts w:hint="eastAsia" w:ascii="宋体" w:hAnsi="宋体" w:cs="宋体"/>
          <w:color w:val="auto"/>
          <w:szCs w:val="24"/>
          <w:highlight w:val="none"/>
          <w:lang w:eastAsia="zh-CN"/>
        </w:rPr>
        <w:t>）</w:t>
      </w:r>
      <w:r>
        <w:rPr>
          <w:rFonts w:ascii="宋体" w:hAnsi="宋体" w:cs="宋体"/>
          <w:color w:val="auto"/>
          <w:szCs w:val="24"/>
          <w:highlight w:val="none"/>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67802775">
      <w:pPr>
        <w:tabs>
          <w:tab w:val="left" w:pos="1080"/>
        </w:tabs>
        <w:spacing w:line="360" w:lineRule="auto"/>
        <w:ind w:firstLine="420"/>
        <w:rPr>
          <w:rFonts w:ascii="宋体" w:hAnsi="宋体" w:cs="宋体"/>
          <w:color w:val="auto"/>
          <w:szCs w:val="24"/>
          <w:highlight w:val="none"/>
        </w:rPr>
      </w:pPr>
      <w:r>
        <w:rPr>
          <w:rFonts w:hint="eastAsia" w:ascii="宋体" w:hAnsi="宋体" w:cs="宋体"/>
          <w:color w:val="auto"/>
          <w:szCs w:val="24"/>
          <w:highlight w:val="none"/>
          <w:lang w:eastAsia="zh-CN"/>
        </w:rPr>
        <w:t>（</w:t>
      </w:r>
      <w:r>
        <w:rPr>
          <w:rFonts w:ascii="宋体" w:hAnsi="宋体" w:cs="宋体"/>
          <w:color w:val="auto"/>
          <w:szCs w:val="24"/>
          <w:highlight w:val="none"/>
        </w:rPr>
        <w:t>3</w:t>
      </w:r>
      <w:r>
        <w:rPr>
          <w:rFonts w:hint="eastAsia" w:ascii="宋体" w:hAnsi="宋体" w:cs="宋体"/>
          <w:color w:val="auto"/>
          <w:szCs w:val="24"/>
          <w:highlight w:val="none"/>
          <w:lang w:eastAsia="zh-CN"/>
        </w:rPr>
        <w:t>）</w:t>
      </w:r>
      <w:r>
        <w:rPr>
          <w:rFonts w:ascii="宋体" w:hAnsi="宋体" w:cs="宋体"/>
          <w:color w:val="auto"/>
          <w:szCs w:val="24"/>
          <w:highlight w:val="none"/>
        </w:rPr>
        <w:t>其他需要补充、细化的内容。</w:t>
      </w:r>
    </w:p>
    <w:p w14:paraId="2CDB1B55">
      <w:pPr>
        <w:tabs>
          <w:tab w:val="left" w:pos="1080"/>
        </w:tabs>
        <w:ind w:firstLine="480"/>
        <w:rPr>
          <w:rFonts w:ascii="宋体" w:hAnsi="宋体" w:cs="宋体"/>
          <w:color w:val="auto"/>
          <w:highlight w:val="none"/>
        </w:rPr>
      </w:pPr>
    </w:p>
    <w:p w14:paraId="4AFAED9F">
      <w:pPr>
        <w:tabs>
          <w:tab w:val="left" w:pos="1080"/>
        </w:tabs>
        <w:ind w:firstLine="480"/>
        <w:rPr>
          <w:rFonts w:ascii="宋体" w:hAnsi="宋体" w:cs="宋体"/>
          <w:color w:val="auto"/>
          <w:highlight w:val="none"/>
        </w:rPr>
      </w:pPr>
    </w:p>
    <w:p w14:paraId="1A3B5788">
      <w:pPr>
        <w:tabs>
          <w:tab w:val="left" w:pos="1080"/>
        </w:tabs>
        <w:ind w:firstLine="480"/>
        <w:rPr>
          <w:rFonts w:ascii="宋体" w:hAnsi="宋体" w:cs="宋体"/>
          <w:color w:val="auto"/>
          <w:highlight w:val="none"/>
        </w:rPr>
      </w:pPr>
    </w:p>
    <w:p w14:paraId="4F37C11D">
      <w:pPr>
        <w:tabs>
          <w:tab w:val="left" w:pos="1080"/>
        </w:tabs>
        <w:ind w:firstLine="482"/>
        <w:jc w:val="center"/>
        <w:rPr>
          <w:rFonts w:ascii="宋体" w:hAnsi="宋体" w:cs="宋体"/>
          <w:b/>
          <w:color w:val="auto"/>
          <w:highlight w:val="none"/>
        </w:rPr>
      </w:pPr>
      <w:r>
        <w:rPr>
          <w:rFonts w:ascii="宋体" w:hAnsi="宋体" w:cs="宋体"/>
          <w:b/>
          <w:color w:val="auto"/>
          <w:highlight w:val="none"/>
        </w:rPr>
        <w:br w:type="page"/>
      </w:r>
    </w:p>
    <w:p w14:paraId="01A2EF9B">
      <w:pPr>
        <w:pStyle w:val="5"/>
        <w:jc w:val="center"/>
        <w:rPr>
          <w:rFonts w:hAnsi="宋体" w:cs="宋体"/>
          <w:color w:val="auto"/>
          <w:highlight w:val="none"/>
        </w:rPr>
      </w:pPr>
      <w:bookmarkStart w:id="117" w:name="_Toc514759029"/>
      <w:bookmarkStart w:id="118" w:name="_Toc508779706"/>
      <w:bookmarkStart w:id="119" w:name="_Toc508"/>
      <w:bookmarkStart w:id="120" w:name="_Toc511595190"/>
      <w:r>
        <w:rPr>
          <w:rFonts w:hAnsi="宋体" w:cs="宋体"/>
          <w:color w:val="auto"/>
          <w:highlight w:val="none"/>
        </w:rPr>
        <w:t>项目专用合同条款数据表</w:t>
      </w:r>
      <w:bookmarkEnd w:id="117"/>
      <w:bookmarkEnd w:id="118"/>
      <w:bookmarkEnd w:id="119"/>
      <w:bookmarkEnd w:id="120"/>
    </w:p>
    <w:p w14:paraId="29D85A56">
      <w:pPr>
        <w:tabs>
          <w:tab w:val="left" w:pos="1080"/>
        </w:tabs>
        <w:spacing w:line="400" w:lineRule="exact"/>
        <w:ind w:firstLine="422"/>
        <w:rPr>
          <w:rFonts w:ascii="宋体" w:hAnsi="宋体" w:cs="宋体"/>
          <w:color w:val="auto"/>
          <w:szCs w:val="24"/>
          <w:highlight w:val="none"/>
        </w:rPr>
      </w:pPr>
      <w:r>
        <w:rPr>
          <w:rFonts w:ascii="宋体" w:hAnsi="宋体" w:cs="宋体"/>
          <w:b/>
          <w:color w:val="auto"/>
          <w:szCs w:val="24"/>
          <w:highlight w:val="none"/>
        </w:rPr>
        <w:t>说明：</w:t>
      </w:r>
      <w:r>
        <w:rPr>
          <w:rFonts w:ascii="宋体" w:hAnsi="宋体" w:cs="宋体"/>
          <w:color w:val="auto"/>
          <w:szCs w:val="24"/>
          <w:highlight w:val="none"/>
        </w:rPr>
        <w:t>本数据表是项目专用合同条款中适用于本项目的信息和数据的归纳与提示，是项目专用合同条款的组成部分。第七章“响应文件格式”的竞标函附录中的数据（供供应商确认）与本表所列有重复。编写</w:t>
      </w:r>
      <w:r>
        <w:rPr>
          <w:rFonts w:hint="eastAsia" w:ascii="宋体" w:hAnsi="宋体" w:cs="宋体"/>
          <w:color w:val="auto"/>
          <w:szCs w:val="24"/>
          <w:highlight w:val="none"/>
          <w:lang w:eastAsia="zh-CN"/>
        </w:rPr>
        <w:t>磋商文件</w:t>
      </w:r>
      <w:r>
        <w:rPr>
          <w:rFonts w:ascii="宋体" w:hAnsi="宋体" w:cs="宋体"/>
          <w:color w:val="auto"/>
          <w:szCs w:val="24"/>
          <w:highlight w:val="none"/>
        </w:rPr>
        <w:t>的单位应仔细校核，不使数据出现差错或不一致。</w:t>
      </w:r>
    </w:p>
    <w:p w14:paraId="5593B2C3">
      <w:pPr>
        <w:tabs>
          <w:tab w:val="left" w:pos="1080"/>
        </w:tabs>
        <w:spacing w:line="100" w:lineRule="exact"/>
        <w:ind w:firstLine="360"/>
        <w:jc w:val="center"/>
        <w:rPr>
          <w:rFonts w:ascii="宋体" w:hAnsi="宋体" w:cs="宋体"/>
          <w:color w:val="auto"/>
          <w:szCs w:val="24"/>
          <w:highlight w:val="none"/>
        </w:rPr>
      </w:pPr>
    </w:p>
    <w:tbl>
      <w:tblPr>
        <w:tblStyle w:val="3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266"/>
      </w:tblGrid>
      <w:tr w14:paraId="3C2D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noWrap w:val="0"/>
            <w:vAlign w:val="center"/>
          </w:tcPr>
          <w:p w14:paraId="064AFA16">
            <w:pPr>
              <w:pStyle w:val="105"/>
              <w:tabs>
                <w:tab w:val="left" w:pos="1080"/>
              </w:tabs>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272" w:type="dxa"/>
            <w:noWrap w:val="0"/>
            <w:vAlign w:val="center"/>
          </w:tcPr>
          <w:p w14:paraId="28C6BA2F">
            <w:pPr>
              <w:pStyle w:val="105"/>
              <w:tabs>
                <w:tab w:val="left" w:pos="1080"/>
              </w:tabs>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条目号</w:t>
            </w:r>
          </w:p>
        </w:tc>
        <w:tc>
          <w:tcPr>
            <w:tcW w:w="7266" w:type="dxa"/>
            <w:noWrap w:val="0"/>
            <w:vAlign w:val="center"/>
          </w:tcPr>
          <w:p w14:paraId="2FF607FF">
            <w:pPr>
              <w:pStyle w:val="105"/>
              <w:tabs>
                <w:tab w:val="left" w:pos="1080"/>
              </w:tabs>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信 息 或 数 据</w:t>
            </w:r>
          </w:p>
        </w:tc>
      </w:tr>
      <w:tr w14:paraId="67FE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18" w:type="dxa"/>
            <w:noWrap w:val="0"/>
            <w:vAlign w:val="center"/>
          </w:tcPr>
          <w:p w14:paraId="2DFAE243">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272" w:type="dxa"/>
            <w:noWrap w:val="0"/>
            <w:vAlign w:val="center"/>
          </w:tcPr>
          <w:p w14:paraId="1BEAA1D4">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1.1.2.2</w:t>
            </w:r>
          </w:p>
        </w:tc>
        <w:tc>
          <w:tcPr>
            <w:tcW w:w="7266" w:type="dxa"/>
            <w:noWrap w:val="0"/>
            <w:vAlign w:val="center"/>
          </w:tcPr>
          <w:p w14:paraId="109A41D5">
            <w:pPr>
              <w:pStyle w:val="105"/>
              <w:autoSpaceDE w:val="0"/>
              <w:autoSpaceDN w:val="0"/>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发包人：广西壮族自治区凤山公路养护中心 </w:t>
            </w:r>
          </w:p>
          <w:p w14:paraId="35AA0EF2">
            <w:pPr>
              <w:pStyle w:val="105"/>
              <w:autoSpaceDE w:val="0"/>
              <w:autoSpaceDN w:val="0"/>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地址：广西壮族自治区河池市凤山县凤城镇凤阳街1726号</w:t>
            </w:r>
          </w:p>
          <w:p w14:paraId="4FB150E7">
            <w:pPr>
              <w:pStyle w:val="105"/>
              <w:autoSpaceDE w:val="0"/>
              <w:autoSpaceDN w:val="0"/>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邮政编码：547699</w:t>
            </w:r>
          </w:p>
        </w:tc>
      </w:tr>
      <w:tr w14:paraId="6D22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8" w:type="dxa"/>
            <w:noWrap w:val="0"/>
            <w:vAlign w:val="center"/>
          </w:tcPr>
          <w:p w14:paraId="4661A7FC">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272" w:type="dxa"/>
            <w:noWrap w:val="0"/>
            <w:vAlign w:val="center"/>
          </w:tcPr>
          <w:p w14:paraId="5712AF36">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1.1.2.6</w:t>
            </w:r>
          </w:p>
        </w:tc>
        <w:tc>
          <w:tcPr>
            <w:tcW w:w="7266" w:type="dxa"/>
            <w:noWrap w:val="0"/>
            <w:vAlign w:val="center"/>
          </w:tcPr>
          <w:p w14:paraId="496C5AE0">
            <w:pPr>
              <w:pStyle w:val="105"/>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 理 人：</w:t>
            </w:r>
            <w:r>
              <w:rPr>
                <w:rFonts w:hint="eastAsia" w:ascii="宋体" w:hAnsi="宋体" w:cs="宋体"/>
                <w:color w:val="auto"/>
                <w:sz w:val="24"/>
                <w:szCs w:val="24"/>
                <w:highlight w:val="none"/>
              </w:rPr>
              <w:t>待定</w:t>
            </w:r>
          </w:p>
          <w:p w14:paraId="0DF788F3">
            <w:pPr>
              <w:pStyle w:val="105"/>
              <w:tabs>
                <w:tab w:val="left" w:pos="1080"/>
              </w:tabs>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 xml:space="preserve">                     邮政编码：</w:t>
            </w:r>
            <w:r>
              <w:rPr>
                <w:rFonts w:hint="eastAsia" w:ascii="宋体" w:hAnsi="宋体" w:cs="宋体"/>
                <w:color w:val="auto"/>
                <w:sz w:val="24"/>
                <w:szCs w:val="24"/>
                <w:highlight w:val="none"/>
                <w:lang w:val="en-US" w:eastAsia="zh-CN"/>
              </w:rPr>
              <w:t>/</w:t>
            </w:r>
          </w:p>
        </w:tc>
      </w:tr>
      <w:tr w14:paraId="7FBC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noWrap w:val="0"/>
            <w:vAlign w:val="center"/>
          </w:tcPr>
          <w:p w14:paraId="4E25C2AC">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272" w:type="dxa"/>
            <w:noWrap w:val="0"/>
            <w:vAlign w:val="center"/>
          </w:tcPr>
          <w:p w14:paraId="003D7B27">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1.1.4.5</w:t>
            </w:r>
          </w:p>
        </w:tc>
        <w:tc>
          <w:tcPr>
            <w:tcW w:w="7266" w:type="dxa"/>
            <w:noWrap w:val="0"/>
            <w:vAlign w:val="center"/>
          </w:tcPr>
          <w:p w14:paraId="3C38F49B">
            <w:pPr>
              <w:pStyle w:val="105"/>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缺陷责任期：自实际交工日期起计算</w:t>
            </w:r>
            <w:r>
              <w:rPr>
                <w:rFonts w:hint="eastAsia" w:ascii="宋体" w:hAnsi="宋体" w:cs="宋体"/>
                <w:color w:val="auto"/>
                <w:sz w:val="24"/>
                <w:szCs w:val="24"/>
                <w:highlight w:val="none"/>
                <w:u w:val="single"/>
              </w:rPr>
              <w:t xml:space="preserve"> 12个月</w:t>
            </w:r>
          </w:p>
        </w:tc>
      </w:tr>
      <w:tr w14:paraId="0EE4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8" w:type="dxa"/>
            <w:noWrap w:val="0"/>
            <w:vAlign w:val="center"/>
          </w:tcPr>
          <w:p w14:paraId="29001EAB">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272" w:type="dxa"/>
            <w:noWrap w:val="0"/>
            <w:vAlign w:val="center"/>
          </w:tcPr>
          <w:p w14:paraId="4025944C">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1.6.3</w:t>
            </w:r>
          </w:p>
        </w:tc>
        <w:tc>
          <w:tcPr>
            <w:tcW w:w="7266" w:type="dxa"/>
            <w:noWrap w:val="0"/>
            <w:vAlign w:val="center"/>
          </w:tcPr>
          <w:p w14:paraId="7B44A29F">
            <w:pPr>
              <w:pStyle w:val="105"/>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图纸需要修改和补充的，应由监理人取得发包人同意后，在该工程或工程相应部位施工前</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 xml:space="preserve">14 </w:t>
            </w:r>
            <w:r>
              <w:rPr>
                <w:rFonts w:hint="eastAsia" w:ascii="宋体" w:hAnsi="宋体" w:cs="宋体"/>
                <w:color w:val="auto"/>
                <w:sz w:val="24"/>
                <w:szCs w:val="24"/>
                <w:highlight w:val="none"/>
              </w:rPr>
              <w:t>天签发图纸修改图给承包人</w:t>
            </w:r>
          </w:p>
        </w:tc>
      </w:tr>
      <w:tr w14:paraId="197A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18" w:type="dxa"/>
            <w:noWrap w:val="0"/>
            <w:vAlign w:val="center"/>
          </w:tcPr>
          <w:p w14:paraId="50F87E39">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272" w:type="dxa"/>
            <w:noWrap w:val="0"/>
            <w:vAlign w:val="center"/>
          </w:tcPr>
          <w:p w14:paraId="062955E8">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3.1.1</w:t>
            </w:r>
          </w:p>
        </w:tc>
        <w:tc>
          <w:tcPr>
            <w:tcW w:w="7266" w:type="dxa"/>
            <w:noWrap w:val="0"/>
            <w:vAlign w:val="center"/>
          </w:tcPr>
          <w:p w14:paraId="23BE77EB">
            <w:pPr>
              <w:pStyle w:val="105"/>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监理人在行使下列权力前需要经发包人事先批准：</w:t>
            </w:r>
          </w:p>
          <w:p w14:paraId="232706EE">
            <w:pPr>
              <w:pStyle w:val="105"/>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（6）根据第15.3款发出的变更指示，其单项工程变更涉及的金额超过了该单项工程签约合同价的</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%或累计变更超过了签约合同价的</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%（即凡涉及费用调整的均应事先取得发包人的专门批准）</w:t>
            </w:r>
          </w:p>
        </w:tc>
      </w:tr>
      <w:tr w14:paraId="6B0A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8" w:type="dxa"/>
            <w:noWrap w:val="0"/>
            <w:vAlign w:val="center"/>
          </w:tcPr>
          <w:p w14:paraId="350DA081">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272" w:type="dxa"/>
            <w:noWrap w:val="0"/>
            <w:vAlign w:val="center"/>
          </w:tcPr>
          <w:p w14:paraId="2CB57E58">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5.2.1</w:t>
            </w:r>
          </w:p>
        </w:tc>
        <w:tc>
          <w:tcPr>
            <w:tcW w:w="7266" w:type="dxa"/>
            <w:noWrap w:val="0"/>
            <w:vAlign w:val="center"/>
          </w:tcPr>
          <w:p w14:paraId="2CC4568F">
            <w:pPr>
              <w:pStyle w:val="105"/>
              <w:tabs>
                <w:tab w:val="left" w:pos="1080"/>
              </w:tabs>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发包人是否提供材料或施工设备：否</w:t>
            </w:r>
          </w:p>
        </w:tc>
      </w:tr>
      <w:tr w14:paraId="2266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noWrap w:val="0"/>
            <w:vAlign w:val="center"/>
          </w:tcPr>
          <w:p w14:paraId="7D6F43A2">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1272" w:type="dxa"/>
            <w:noWrap w:val="0"/>
            <w:vAlign w:val="center"/>
          </w:tcPr>
          <w:p w14:paraId="74BEEE18">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6.2</w:t>
            </w:r>
          </w:p>
        </w:tc>
        <w:tc>
          <w:tcPr>
            <w:tcW w:w="7266" w:type="dxa"/>
            <w:noWrap w:val="0"/>
            <w:vAlign w:val="center"/>
          </w:tcPr>
          <w:p w14:paraId="7F2D8DE0">
            <w:pPr>
              <w:pStyle w:val="105"/>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发包人是否提供施工设备和临时设施：否</w:t>
            </w:r>
          </w:p>
        </w:tc>
      </w:tr>
      <w:tr w14:paraId="3ACF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8" w:type="dxa"/>
            <w:noWrap w:val="0"/>
            <w:vAlign w:val="center"/>
          </w:tcPr>
          <w:p w14:paraId="5138E373">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1272" w:type="dxa"/>
            <w:noWrap w:val="0"/>
            <w:vAlign w:val="center"/>
          </w:tcPr>
          <w:p w14:paraId="1E6A1DE9">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8.1.1</w:t>
            </w:r>
          </w:p>
        </w:tc>
        <w:tc>
          <w:tcPr>
            <w:tcW w:w="7266" w:type="dxa"/>
            <w:noWrap w:val="0"/>
            <w:vAlign w:val="center"/>
          </w:tcPr>
          <w:p w14:paraId="6F0A388C">
            <w:pPr>
              <w:pStyle w:val="105"/>
              <w:tabs>
                <w:tab w:val="left" w:pos="1080"/>
              </w:tabs>
              <w:ind w:firstLine="480" w:firstLineChars="200"/>
              <w:jc w:val="left"/>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rPr>
              <w:t>发包人提供测量基准点、基准线和水准点及其书面资料的期限：</w:t>
            </w:r>
            <w:r>
              <w:rPr>
                <w:rFonts w:hint="eastAsia" w:ascii="宋体" w:hAnsi="宋体" w:cs="宋体"/>
                <w:b/>
                <w:bCs/>
                <w:color w:val="auto"/>
                <w:sz w:val="24"/>
                <w:szCs w:val="24"/>
                <w:highlight w:val="none"/>
                <w:u w:val="single"/>
              </w:rPr>
              <w:t>30天</w:t>
            </w:r>
          </w:p>
          <w:p w14:paraId="27F98FFE">
            <w:pPr>
              <w:pStyle w:val="105"/>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承包人将施工控制网资料报送监理人审批的期限：</w:t>
            </w:r>
            <w:r>
              <w:rPr>
                <w:rFonts w:hint="eastAsia" w:ascii="宋体" w:hAnsi="宋体" w:cs="宋体"/>
                <w:b/>
                <w:bCs/>
                <w:color w:val="auto"/>
                <w:sz w:val="24"/>
                <w:szCs w:val="24"/>
                <w:highlight w:val="none"/>
                <w:u w:val="single"/>
              </w:rPr>
              <w:t>发出开工通知后7天</w:t>
            </w:r>
          </w:p>
        </w:tc>
      </w:tr>
      <w:tr w14:paraId="331F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1EBD4DA2">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1272" w:type="dxa"/>
            <w:noWrap w:val="0"/>
            <w:vAlign w:val="center"/>
          </w:tcPr>
          <w:p w14:paraId="292B7917">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11.5</w:t>
            </w:r>
          </w:p>
        </w:tc>
        <w:tc>
          <w:tcPr>
            <w:tcW w:w="7266" w:type="dxa"/>
            <w:noWrap w:val="0"/>
            <w:vAlign w:val="center"/>
          </w:tcPr>
          <w:p w14:paraId="1EAC7575">
            <w:pPr>
              <w:pStyle w:val="105"/>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逾期交工违约金：5000元/天</w:t>
            </w:r>
          </w:p>
        </w:tc>
      </w:tr>
      <w:tr w14:paraId="2F99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5DFEA4EC">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1272" w:type="dxa"/>
            <w:noWrap w:val="0"/>
            <w:vAlign w:val="center"/>
          </w:tcPr>
          <w:p w14:paraId="4E40C03D">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11.5</w:t>
            </w:r>
          </w:p>
        </w:tc>
        <w:tc>
          <w:tcPr>
            <w:tcW w:w="7266" w:type="dxa"/>
            <w:noWrap w:val="0"/>
            <w:vAlign w:val="center"/>
          </w:tcPr>
          <w:p w14:paraId="51D540FA">
            <w:pPr>
              <w:pStyle w:val="105"/>
              <w:tabs>
                <w:tab w:val="left" w:pos="1080"/>
              </w:tabs>
              <w:ind w:firstLine="480" w:firstLineChars="200"/>
              <w:jc w:val="left"/>
              <w:rPr>
                <w:rFonts w:hint="eastAsia" w:ascii="宋体" w:hAnsi="宋体" w:cs="宋体"/>
                <w:color w:val="auto"/>
                <w:sz w:val="24"/>
                <w:szCs w:val="24"/>
                <w:highlight w:val="none"/>
                <w:vertAlign w:val="superscript"/>
              </w:rPr>
            </w:pPr>
            <w:r>
              <w:rPr>
                <w:rFonts w:hint="eastAsia" w:ascii="宋体" w:hAnsi="宋体" w:cs="宋体"/>
                <w:color w:val="auto"/>
                <w:sz w:val="24"/>
                <w:szCs w:val="24"/>
                <w:highlight w:val="none"/>
              </w:rPr>
              <w:t>逾期交工违约金限额：10%签约合同价</w:t>
            </w:r>
          </w:p>
        </w:tc>
      </w:tr>
      <w:tr w14:paraId="6516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7FAF5CE6">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1272" w:type="dxa"/>
            <w:noWrap w:val="0"/>
            <w:vAlign w:val="center"/>
          </w:tcPr>
          <w:p w14:paraId="3F189CEB">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11.6</w:t>
            </w:r>
          </w:p>
        </w:tc>
        <w:tc>
          <w:tcPr>
            <w:tcW w:w="7266" w:type="dxa"/>
            <w:noWrap w:val="0"/>
            <w:vAlign w:val="center"/>
          </w:tcPr>
          <w:p w14:paraId="3CB3CD6A">
            <w:pPr>
              <w:pStyle w:val="105"/>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提前交工的奖金：</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元/天</w:t>
            </w:r>
          </w:p>
        </w:tc>
      </w:tr>
      <w:tr w14:paraId="557D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0"/>
            <w:vAlign w:val="center"/>
          </w:tcPr>
          <w:p w14:paraId="6CF1FDB0">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1272" w:type="dxa"/>
            <w:noWrap w:val="0"/>
            <w:vAlign w:val="center"/>
          </w:tcPr>
          <w:p w14:paraId="3C0266B9">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11.6</w:t>
            </w:r>
          </w:p>
        </w:tc>
        <w:tc>
          <w:tcPr>
            <w:tcW w:w="7266" w:type="dxa"/>
            <w:noWrap w:val="0"/>
            <w:vAlign w:val="center"/>
          </w:tcPr>
          <w:p w14:paraId="4B2E83A6">
            <w:pPr>
              <w:pStyle w:val="105"/>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提前交工的奖金限额：</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元/天</w:t>
            </w:r>
          </w:p>
        </w:tc>
      </w:tr>
      <w:tr w14:paraId="0C17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8" w:type="dxa"/>
            <w:noWrap w:val="0"/>
            <w:vAlign w:val="center"/>
          </w:tcPr>
          <w:p w14:paraId="12EF5B53">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w:t>
            </w:r>
          </w:p>
        </w:tc>
        <w:tc>
          <w:tcPr>
            <w:tcW w:w="1272" w:type="dxa"/>
            <w:noWrap w:val="0"/>
            <w:vAlign w:val="center"/>
          </w:tcPr>
          <w:p w14:paraId="3293BE1F">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15.5.2</w:t>
            </w:r>
          </w:p>
        </w:tc>
        <w:tc>
          <w:tcPr>
            <w:tcW w:w="7266" w:type="dxa"/>
            <w:noWrap w:val="0"/>
            <w:vAlign w:val="center"/>
          </w:tcPr>
          <w:p w14:paraId="5D950B71">
            <w:pPr>
              <w:pStyle w:val="105"/>
              <w:tabs>
                <w:tab w:val="left" w:pos="1080"/>
              </w:tabs>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p>
        </w:tc>
      </w:tr>
      <w:tr w14:paraId="7010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trPr>
        <w:tc>
          <w:tcPr>
            <w:tcW w:w="818" w:type="dxa"/>
            <w:noWrap w:val="0"/>
            <w:vAlign w:val="center"/>
          </w:tcPr>
          <w:p w14:paraId="77AD1BED">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w:t>
            </w:r>
          </w:p>
        </w:tc>
        <w:tc>
          <w:tcPr>
            <w:tcW w:w="1272" w:type="dxa"/>
            <w:noWrap w:val="0"/>
            <w:vAlign w:val="center"/>
          </w:tcPr>
          <w:p w14:paraId="200329AC">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16.1</w:t>
            </w:r>
          </w:p>
        </w:tc>
        <w:tc>
          <w:tcPr>
            <w:tcW w:w="7266" w:type="dxa"/>
            <w:noWrap w:val="0"/>
            <w:vAlign w:val="center"/>
          </w:tcPr>
          <w:p w14:paraId="3D58AE75">
            <w:pPr>
              <w:pStyle w:val="105"/>
              <w:widowControl/>
              <w:tabs>
                <w:tab w:val="left" w:pos="1080"/>
              </w:tabs>
              <w:ind w:firstLine="6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因物价波动引起的价格调整按照 第 16.1.1 项或第 16.1.2 项 约定的原则处理 ,若按第 16.1.1 项的约定采用价格调整公式进行调价，每半年或一年按价格调 </w:t>
            </w:r>
          </w:p>
          <w:p w14:paraId="3BFEDDE7">
            <w:pPr>
              <w:pStyle w:val="105"/>
              <w:widowControl/>
              <w:spacing w:line="360" w:lineRule="exact"/>
              <w:ind w:firstLine="62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合同期内不调价</w:t>
            </w:r>
          </w:p>
          <w:p w14:paraId="01FEC3B7">
            <w:pPr>
              <w:pStyle w:val="105"/>
              <w:widowControl/>
              <w:tabs>
                <w:tab w:val="left" w:pos="1080"/>
              </w:tabs>
              <w:jc w:val="left"/>
              <w:rPr>
                <w:rFonts w:hint="eastAsia" w:ascii="宋体" w:hAnsi="宋体" w:cs="宋体"/>
                <w:color w:val="auto"/>
                <w:sz w:val="24"/>
                <w:szCs w:val="24"/>
                <w:highlight w:val="none"/>
              </w:rPr>
            </w:pPr>
          </w:p>
        </w:tc>
      </w:tr>
    </w:tbl>
    <w:p w14:paraId="34EB3482">
      <w:pPr>
        <w:tabs>
          <w:tab w:val="left" w:pos="1080"/>
        </w:tabs>
        <w:spacing w:line="100" w:lineRule="exact"/>
        <w:ind w:firstLine="360"/>
        <w:rPr>
          <w:rFonts w:ascii="宋体" w:hAnsi="宋体" w:cs="宋体"/>
          <w:color w:val="auto"/>
          <w:szCs w:val="24"/>
          <w:highlight w:val="none"/>
        </w:rPr>
      </w:pPr>
      <w:r>
        <w:rPr>
          <w:rFonts w:ascii="宋体" w:hAnsi="宋体" w:cs="宋体"/>
          <w:color w:val="auto"/>
          <w:szCs w:val="24"/>
          <w:highlight w:val="none"/>
        </w:rPr>
        <w:br w:type="page"/>
      </w:r>
    </w:p>
    <w:p w14:paraId="2238A89F">
      <w:pPr>
        <w:tabs>
          <w:tab w:val="left" w:pos="1080"/>
        </w:tabs>
        <w:spacing w:before="120" w:beforeLines="50" w:after="120" w:afterLines="50" w:line="280" w:lineRule="exact"/>
        <w:ind w:firstLine="480"/>
        <w:jc w:val="right"/>
        <w:rPr>
          <w:rFonts w:ascii="宋体" w:hAnsi="宋体" w:cs="宋体"/>
          <w:color w:val="auto"/>
          <w:szCs w:val="24"/>
          <w:highlight w:val="none"/>
        </w:rPr>
      </w:pPr>
      <w:r>
        <w:rPr>
          <w:rFonts w:ascii="宋体" w:hAnsi="宋体" w:cs="宋体"/>
          <w:color w:val="auto"/>
          <w:szCs w:val="24"/>
          <w:highlight w:val="none"/>
        </w:rPr>
        <w:t>续上表</w:t>
      </w:r>
    </w:p>
    <w:tbl>
      <w:tblPr>
        <w:tblStyle w:val="3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207"/>
        <w:gridCol w:w="6"/>
      </w:tblGrid>
      <w:tr w14:paraId="402A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noWrap w:val="0"/>
            <w:vAlign w:val="center"/>
          </w:tcPr>
          <w:p w14:paraId="71476D46">
            <w:pPr>
              <w:pStyle w:val="105"/>
              <w:tabs>
                <w:tab w:val="left" w:pos="1080"/>
              </w:tabs>
              <w:ind w:left="420" w:firstLine="36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号</w:t>
            </w:r>
          </w:p>
        </w:tc>
        <w:tc>
          <w:tcPr>
            <w:tcW w:w="1260" w:type="dxa"/>
            <w:noWrap w:val="0"/>
            <w:vAlign w:val="center"/>
          </w:tcPr>
          <w:p w14:paraId="76C9A909">
            <w:pPr>
              <w:pStyle w:val="105"/>
              <w:tabs>
                <w:tab w:val="left" w:pos="1080"/>
              </w:tabs>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条目号</w:t>
            </w:r>
          </w:p>
        </w:tc>
        <w:tc>
          <w:tcPr>
            <w:tcW w:w="7213" w:type="dxa"/>
            <w:gridSpan w:val="2"/>
            <w:noWrap w:val="0"/>
            <w:vAlign w:val="center"/>
          </w:tcPr>
          <w:p w14:paraId="53DB88B9">
            <w:pPr>
              <w:pStyle w:val="105"/>
              <w:tabs>
                <w:tab w:val="left" w:pos="1080"/>
              </w:tabs>
              <w:ind w:left="420" w:firstLine="36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信 息 或 数 据</w:t>
            </w:r>
          </w:p>
        </w:tc>
      </w:tr>
      <w:tr w14:paraId="21C3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5AB14E1C">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15</w:t>
            </w:r>
          </w:p>
        </w:tc>
        <w:tc>
          <w:tcPr>
            <w:tcW w:w="1260" w:type="dxa"/>
            <w:noWrap w:val="0"/>
            <w:vAlign w:val="center"/>
          </w:tcPr>
          <w:p w14:paraId="52465132">
            <w:pPr>
              <w:pStyle w:val="105"/>
              <w:widowControl/>
              <w:tabs>
                <w:tab w:val="left" w:pos="1080"/>
              </w:tabs>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17.2.1（1）</w:t>
            </w:r>
          </w:p>
        </w:tc>
        <w:tc>
          <w:tcPr>
            <w:tcW w:w="7213" w:type="dxa"/>
            <w:gridSpan w:val="2"/>
            <w:noWrap w:val="0"/>
            <w:vAlign w:val="center"/>
          </w:tcPr>
          <w:p w14:paraId="7B2939A4">
            <w:pPr>
              <w:pStyle w:val="105"/>
              <w:widowControl/>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开工预付款金额：</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0%签约合同价</w:t>
            </w:r>
            <w:r>
              <w:rPr>
                <w:rFonts w:hint="eastAsia" w:ascii="宋体" w:hAnsi="宋体" w:cs="宋体"/>
                <w:color w:val="auto"/>
                <w:kern w:val="0"/>
                <w:sz w:val="24"/>
                <w:szCs w:val="24"/>
                <w:highlight w:val="none"/>
                <w:lang w:eastAsia="zh-CN"/>
              </w:rPr>
              <w:t>。</w:t>
            </w:r>
          </w:p>
        </w:tc>
      </w:tr>
      <w:tr w14:paraId="082C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6547EA78">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16</w:t>
            </w:r>
          </w:p>
        </w:tc>
        <w:tc>
          <w:tcPr>
            <w:tcW w:w="1260" w:type="dxa"/>
            <w:noWrap w:val="0"/>
            <w:vAlign w:val="center"/>
          </w:tcPr>
          <w:p w14:paraId="67148875">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17.2.1</w:t>
            </w:r>
          </w:p>
        </w:tc>
        <w:tc>
          <w:tcPr>
            <w:tcW w:w="7213" w:type="dxa"/>
            <w:gridSpan w:val="2"/>
            <w:noWrap w:val="0"/>
            <w:vAlign w:val="center"/>
          </w:tcPr>
          <w:p w14:paraId="02D213AD">
            <w:pPr>
              <w:pStyle w:val="105"/>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材料、设备预付款比例：</w:t>
            </w:r>
            <w:r>
              <w:rPr>
                <w:rFonts w:hint="eastAsia" w:ascii="宋体" w:hAnsi="宋体" w:cs="宋体"/>
                <w:color w:val="auto"/>
                <w:sz w:val="24"/>
                <w:szCs w:val="24"/>
                <w:highlight w:val="none"/>
                <w:u w:val="single"/>
              </w:rPr>
              <w:t xml:space="preserve">  钢筋、水泥、沥青、砂、石 </w:t>
            </w:r>
            <w:r>
              <w:rPr>
                <w:rFonts w:hint="eastAsia" w:ascii="宋体" w:hAnsi="宋体" w:cs="宋体"/>
                <w:color w:val="auto"/>
                <w:sz w:val="24"/>
                <w:szCs w:val="24"/>
                <w:highlight w:val="none"/>
              </w:rPr>
              <w:t>等主要材料、设备单据所列费用的70%</w:t>
            </w:r>
          </w:p>
        </w:tc>
      </w:tr>
      <w:tr w14:paraId="353F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14:paraId="6266A50D">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17</w:t>
            </w:r>
          </w:p>
        </w:tc>
        <w:tc>
          <w:tcPr>
            <w:tcW w:w="1260" w:type="dxa"/>
            <w:noWrap w:val="0"/>
            <w:vAlign w:val="center"/>
          </w:tcPr>
          <w:p w14:paraId="6E49CA2E">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17.3.2</w:t>
            </w:r>
          </w:p>
        </w:tc>
        <w:tc>
          <w:tcPr>
            <w:tcW w:w="7213" w:type="dxa"/>
            <w:gridSpan w:val="2"/>
            <w:noWrap w:val="0"/>
            <w:vAlign w:val="center"/>
          </w:tcPr>
          <w:p w14:paraId="7147F7A0">
            <w:pPr>
              <w:pStyle w:val="105"/>
              <w:tabs>
                <w:tab w:val="left" w:pos="1080"/>
              </w:tabs>
              <w:ind w:left="-29" w:leftChars="-12"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承包人在每个付款周期末向监理人提交进度付款申请单的份数：4份</w:t>
            </w:r>
          </w:p>
        </w:tc>
      </w:tr>
      <w:tr w14:paraId="23D9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14:paraId="1F567E4B">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w:t>
            </w:r>
          </w:p>
        </w:tc>
        <w:tc>
          <w:tcPr>
            <w:tcW w:w="1260" w:type="dxa"/>
            <w:noWrap w:val="0"/>
            <w:vAlign w:val="center"/>
          </w:tcPr>
          <w:p w14:paraId="778E6C16">
            <w:pPr>
              <w:pStyle w:val="105"/>
              <w:tabs>
                <w:tab w:val="left" w:pos="1080"/>
              </w:tabs>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17.3.3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p>
        </w:tc>
        <w:tc>
          <w:tcPr>
            <w:tcW w:w="7213" w:type="dxa"/>
            <w:gridSpan w:val="2"/>
            <w:noWrap w:val="0"/>
            <w:vAlign w:val="center"/>
          </w:tcPr>
          <w:p w14:paraId="3CA88597">
            <w:pPr>
              <w:pStyle w:val="105"/>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进度付款证书最低限额：</w:t>
            </w:r>
            <w:r>
              <w:rPr>
                <w:rFonts w:hint="eastAsia" w:ascii="宋体" w:hAnsi="宋体" w:cs="宋体"/>
                <w:b/>
                <w:bCs/>
                <w:color w:val="auto"/>
                <w:sz w:val="24"/>
                <w:szCs w:val="24"/>
                <w:highlight w:val="none"/>
              </w:rPr>
              <w:t xml:space="preserve"> 5%</w:t>
            </w:r>
            <w:r>
              <w:rPr>
                <w:rFonts w:hint="eastAsia" w:ascii="宋体" w:hAnsi="宋体" w:cs="宋体"/>
                <w:color w:val="auto"/>
                <w:sz w:val="24"/>
                <w:szCs w:val="24"/>
                <w:highlight w:val="none"/>
              </w:rPr>
              <w:t>签约合同价</w:t>
            </w:r>
          </w:p>
        </w:tc>
      </w:tr>
      <w:tr w14:paraId="2832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14:paraId="05617224">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w:t>
            </w:r>
          </w:p>
        </w:tc>
        <w:tc>
          <w:tcPr>
            <w:tcW w:w="1260" w:type="dxa"/>
            <w:noWrap w:val="0"/>
            <w:vAlign w:val="center"/>
          </w:tcPr>
          <w:p w14:paraId="77EAAAAD">
            <w:pPr>
              <w:pStyle w:val="105"/>
              <w:tabs>
                <w:tab w:val="left" w:pos="1080"/>
              </w:tabs>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17.3.3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p>
        </w:tc>
        <w:tc>
          <w:tcPr>
            <w:tcW w:w="7213" w:type="dxa"/>
            <w:gridSpan w:val="2"/>
            <w:noWrap w:val="0"/>
            <w:vAlign w:val="center"/>
          </w:tcPr>
          <w:p w14:paraId="5F1131BF">
            <w:pPr>
              <w:pStyle w:val="105"/>
              <w:tabs>
                <w:tab w:val="left" w:pos="1080"/>
              </w:tabs>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逾期付款违约金的利率：0.15‰/天</w:t>
            </w:r>
          </w:p>
        </w:tc>
      </w:tr>
      <w:tr w14:paraId="509B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28" w:type="dxa"/>
            <w:noWrap w:val="0"/>
            <w:vAlign w:val="center"/>
          </w:tcPr>
          <w:p w14:paraId="31A7631A">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w:t>
            </w:r>
          </w:p>
        </w:tc>
        <w:tc>
          <w:tcPr>
            <w:tcW w:w="1260" w:type="dxa"/>
            <w:noWrap w:val="0"/>
            <w:vAlign w:val="center"/>
          </w:tcPr>
          <w:p w14:paraId="7AE78ABF">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17.4.1</w:t>
            </w:r>
          </w:p>
        </w:tc>
        <w:tc>
          <w:tcPr>
            <w:tcW w:w="7213" w:type="dxa"/>
            <w:gridSpan w:val="2"/>
            <w:noWrap w:val="0"/>
            <w:vAlign w:val="center"/>
          </w:tcPr>
          <w:p w14:paraId="4C128B9A">
            <w:pPr>
              <w:pStyle w:val="105"/>
              <w:tabs>
                <w:tab w:val="left" w:pos="1080"/>
              </w:tabs>
              <w:ind w:left="-29" w:leftChars="-12" w:firstLine="480" w:firstLineChars="200"/>
              <w:jc w:val="left"/>
              <w:rPr>
                <w:rFonts w:hint="eastAsia" w:ascii="宋体" w:hAnsi="宋体" w:cs="宋体"/>
                <w:color w:val="auto"/>
                <w:kern w:val="0"/>
                <w:sz w:val="24"/>
                <w:szCs w:val="24"/>
                <w:highlight w:val="none"/>
                <w:lang w:val="zh-CN" w:bidi="zh-CN"/>
              </w:rPr>
            </w:pPr>
            <w:r>
              <w:rPr>
                <w:rFonts w:hint="eastAsia" w:ascii="宋体" w:hAnsi="宋体" w:cs="宋体"/>
                <w:color w:val="auto"/>
                <w:sz w:val="24"/>
                <w:szCs w:val="24"/>
                <w:highlight w:val="none"/>
              </w:rPr>
              <w:t>质量保证金金额： 3%合同价格，若交工验收时承包人具备被</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项目所在地省级交通运输主管部门评定为最高信用等级的，发包人给予2%合同价格质量保证金的优惠。</w:t>
            </w:r>
          </w:p>
          <w:p w14:paraId="46479E19">
            <w:pPr>
              <w:pStyle w:val="105"/>
              <w:tabs>
                <w:tab w:val="left" w:pos="1080"/>
              </w:tabs>
              <w:ind w:left="-29" w:leftChars="-12"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质量保证金是否计付利息：</w:t>
            </w:r>
          </w:p>
          <w:p w14:paraId="3FB0A686">
            <w:pPr>
              <w:pStyle w:val="105"/>
              <w:tabs>
                <w:tab w:val="left" w:pos="1080"/>
              </w:tabs>
              <w:ind w:left="-29" w:leftChars="-12"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sym w:font="Wingdings 2" w:char="00A3"/>
            </w:r>
            <w:r>
              <w:rPr>
                <w:rFonts w:hint="eastAsia" w:ascii="宋体" w:hAnsi="宋体" w:cs="宋体"/>
                <w:color w:val="auto"/>
                <w:sz w:val="24"/>
                <w:szCs w:val="24"/>
                <w:highlight w:val="none"/>
              </w:rPr>
              <w:t>是，利息的计算方式：</w:t>
            </w:r>
            <w:r>
              <w:rPr>
                <w:rFonts w:hint="eastAsia" w:ascii="宋体" w:hAnsi="宋体" w:cs="宋体"/>
                <w:color w:val="auto"/>
                <w:sz w:val="24"/>
                <w:szCs w:val="24"/>
                <w:highlight w:val="none"/>
                <w:u w:val="single"/>
              </w:rPr>
              <w:t xml:space="preserve">银行同期活期利息 </w:t>
            </w:r>
            <w:r>
              <w:rPr>
                <w:rFonts w:hint="eastAsia" w:ascii="宋体" w:hAnsi="宋体" w:cs="宋体"/>
                <w:color w:val="auto"/>
                <w:sz w:val="24"/>
                <w:szCs w:val="24"/>
                <w:highlight w:val="none"/>
              </w:rPr>
              <w:t xml:space="preserve"> </w:t>
            </w:r>
          </w:p>
          <w:p w14:paraId="2C22C214">
            <w:pPr>
              <w:pStyle w:val="105"/>
              <w:tabs>
                <w:tab w:val="left" w:pos="1080"/>
              </w:tabs>
              <w:ind w:left="-29" w:leftChars="-12"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否</w:t>
            </w:r>
          </w:p>
        </w:tc>
      </w:tr>
      <w:tr w14:paraId="456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14:paraId="1F19EB06">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w:t>
            </w:r>
          </w:p>
        </w:tc>
        <w:tc>
          <w:tcPr>
            <w:tcW w:w="1260" w:type="dxa"/>
            <w:noWrap w:val="0"/>
            <w:vAlign w:val="center"/>
          </w:tcPr>
          <w:p w14:paraId="5A529B84">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17.5.1</w:t>
            </w:r>
          </w:p>
        </w:tc>
        <w:tc>
          <w:tcPr>
            <w:tcW w:w="7213" w:type="dxa"/>
            <w:gridSpan w:val="2"/>
            <w:noWrap w:val="0"/>
            <w:vAlign w:val="center"/>
          </w:tcPr>
          <w:p w14:paraId="015B4C05">
            <w:pPr>
              <w:pStyle w:val="105"/>
              <w:tabs>
                <w:tab w:val="left" w:pos="1080"/>
              </w:tabs>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承包人向监理人提交交工付款申请单（包括相关证明材料）的份数：5份</w:t>
            </w:r>
          </w:p>
        </w:tc>
      </w:tr>
      <w:tr w14:paraId="5038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14:paraId="0AB115FA">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w:t>
            </w:r>
          </w:p>
        </w:tc>
        <w:tc>
          <w:tcPr>
            <w:tcW w:w="1260" w:type="dxa"/>
            <w:noWrap w:val="0"/>
            <w:vAlign w:val="center"/>
          </w:tcPr>
          <w:p w14:paraId="11D475A6">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17.6.1</w:t>
            </w:r>
          </w:p>
        </w:tc>
        <w:tc>
          <w:tcPr>
            <w:tcW w:w="7213" w:type="dxa"/>
            <w:gridSpan w:val="2"/>
            <w:noWrap w:val="0"/>
            <w:vAlign w:val="center"/>
          </w:tcPr>
          <w:p w14:paraId="38E24F5E">
            <w:pPr>
              <w:pStyle w:val="105"/>
              <w:tabs>
                <w:tab w:val="left" w:pos="1080"/>
              </w:tabs>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承包人向监理人提交最终结清申请单（包括相关证明材料）的份数：5份</w:t>
            </w:r>
          </w:p>
        </w:tc>
      </w:tr>
      <w:tr w14:paraId="5708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14:paraId="215F0AB7">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w:t>
            </w:r>
          </w:p>
        </w:tc>
        <w:tc>
          <w:tcPr>
            <w:tcW w:w="1260" w:type="dxa"/>
            <w:noWrap w:val="0"/>
            <w:vAlign w:val="center"/>
          </w:tcPr>
          <w:p w14:paraId="3722F26E">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18.2（2）</w:t>
            </w:r>
          </w:p>
        </w:tc>
        <w:tc>
          <w:tcPr>
            <w:tcW w:w="7213" w:type="dxa"/>
            <w:gridSpan w:val="2"/>
            <w:noWrap w:val="0"/>
            <w:vAlign w:val="center"/>
          </w:tcPr>
          <w:p w14:paraId="4630741E">
            <w:pPr>
              <w:pStyle w:val="105"/>
              <w:tabs>
                <w:tab w:val="left" w:pos="1080"/>
              </w:tabs>
              <w:ind w:left="-29" w:leftChars="-12"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竣工资料的份数：</w:t>
            </w:r>
            <w:r>
              <w:rPr>
                <w:rFonts w:hint="eastAsia" w:ascii="宋体" w:hAnsi="宋体" w:cs="宋体"/>
                <w:b/>
                <w:bCs/>
                <w:color w:val="auto"/>
                <w:sz w:val="24"/>
                <w:szCs w:val="24"/>
                <w:highlight w:val="none"/>
              </w:rPr>
              <w:t>3份</w:t>
            </w:r>
          </w:p>
        </w:tc>
      </w:tr>
      <w:tr w14:paraId="5A55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28" w:type="dxa"/>
            <w:noWrap w:val="0"/>
            <w:vAlign w:val="center"/>
          </w:tcPr>
          <w:p w14:paraId="70787B57">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24</w:t>
            </w:r>
          </w:p>
        </w:tc>
        <w:tc>
          <w:tcPr>
            <w:tcW w:w="1260" w:type="dxa"/>
            <w:noWrap w:val="0"/>
            <w:vAlign w:val="center"/>
          </w:tcPr>
          <w:p w14:paraId="29A6413F">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18.5.1</w:t>
            </w:r>
          </w:p>
        </w:tc>
        <w:tc>
          <w:tcPr>
            <w:tcW w:w="7213" w:type="dxa"/>
            <w:gridSpan w:val="2"/>
            <w:noWrap w:val="0"/>
            <w:vAlign w:val="center"/>
          </w:tcPr>
          <w:p w14:paraId="1D60760D">
            <w:pPr>
              <w:pStyle w:val="105"/>
              <w:tabs>
                <w:tab w:val="left" w:pos="1080"/>
              </w:tabs>
              <w:ind w:left="-29" w:leftChars="-12"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单位工程或工程设备是否需投入施工期运行：是</w:t>
            </w:r>
          </w:p>
          <w:p w14:paraId="53563A72">
            <w:pPr>
              <w:pStyle w:val="105"/>
              <w:tabs>
                <w:tab w:val="left" w:pos="1080"/>
              </w:tabs>
              <w:ind w:left="-29" w:leftChars="-12"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本项目属于隧道专项维修工程，需要在施工期间维持交通畅通。</w:t>
            </w:r>
          </w:p>
        </w:tc>
      </w:tr>
      <w:tr w14:paraId="6584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0"/>
            <w:vAlign w:val="center"/>
          </w:tcPr>
          <w:p w14:paraId="1E5C8012">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25</w:t>
            </w:r>
          </w:p>
        </w:tc>
        <w:tc>
          <w:tcPr>
            <w:tcW w:w="1260" w:type="dxa"/>
            <w:noWrap w:val="0"/>
            <w:vAlign w:val="center"/>
          </w:tcPr>
          <w:p w14:paraId="1DF37198">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18.6.1</w:t>
            </w:r>
          </w:p>
        </w:tc>
        <w:tc>
          <w:tcPr>
            <w:tcW w:w="7213" w:type="dxa"/>
            <w:gridSpan w:val="2"/>
            <w:noWrap w:val="0"/>
            <w:vAlign w:val="center"/>
          </w:tcPr>
          <w:p w14:paraId="3B9B216B">
            <w:pPr>
              <w:pStyle w:val="105"/>
              <w:tabs>
                <w:tab w:val="left" w:pos="1080"/>
              </w:tabs>
              <w:ind w:left="-29" w:leftChars="-12"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本工程及工程设备是否进行试运行：否</w:t>
            </w:r>
          </w:p>
        </w:tc>
      </w:tr>
      <w:tr w14:paraId="5ED6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jc w:val="center"/>
        </w:trPr>
        <w:tc>
          <w:tcPr>
            <w:tcW w:w="828" w:type="dxa"/>
            <w:noWrap w:val="0"/>
            <w:vAlign w:val="center"/>
          </w:tcPr>
          <w:p w14:paraId="3ABD6862">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26</w:t>
            </w:r>
          </w:p>
        </w:tc>
        <w:tc>
          <w:tcPr>
            <w:tcW w:w="1260" w:type="dxa"/>
            <w:noWrap w:val="0"/>
            <w:vAlign w:val="center"/>
          </w:tcPr>
          <w:p w14:paraId="7FAE7279">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19.7（1）</w:t>
            </w:r>
          </w:p>
        </w:tc>
        <w:tc>
          <w:tcPr>
            <w:tcW w:w="7207" w:type="dxa"/>
            <w:noWrap w:val="0"/>
            <w:vAlign w:val="center"/>
          </w:tcPr>
          <w:p w14:paraId="5FD8C5B4">
            <w:pPr>
              <w:pStyle w:val="105"/>
              <w:tabs>
                <w:tab w:val="left" w:pos="1080"/>
              </w:tabs>
              <w:ind w:left="-29" w:leftChars="-12"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保修期：自实际交工日期起计算5年</w:t>
            </w:r>
          </w:p>
        </w:tc>
      </w:tr>
      <w:tr w14:paraId="56D3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exact"/>
          <w:jc w:val="center"/>
        </w:trPr>
        <w:tc>
          <w:tcPr>
            <w:tcW w:w="828" w:type="dxa"/>
            <w:noWrap w:val="0"/>
            <w:vAlign w:val="center"/>
          </w:tcPr>
          <w:p w14:paraId="4138E345">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27</w:t>
            </w:r>
          </w:p>
        </w:tc>
        <w:tc>
          <w:tcPr>
            <w:tcW w:w="1260" w:type="dxa"/>
            <w:noWrap w:val="0"/>
            <w:vAlign w:val="center"/>
          </w:tcPr>
          <w:p w14:paraId="4E7C7173">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20.1</w:t>
            </w:r>
          </w:p>
        </w:tc>
        <w:tc>
          <w:tcPr>
            <w:tcW w:w="7207" w:type="dxa"/>
            <w:noWrap w:val="0"/>
            <w:vAlign w:val="center"/>
          </w:tcPr>
          <w:p w14:paraId="1554B2D1">
            <w:pPr>
              <w:pStyle w:val="105"/>
              <w:tabs>
                <w:tab w:val="left" w:pos="1080"/>
              </w:tabs>
              <w:ind w:left="-29" w:leftChars="-12"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本项目取消建筑工程一切险</w:t>
            </w:r>
          </w:p>
        </w:tc>
      </w:tr>
      <w:tr w14:paraId="76B4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51" w:hRule="atLeast"/>
          <w:jc w:val="center"/>
        </w:trPr>
        <w:tc>
          <w:tcPr>
            <w:tcW w:w="828" w:type="dxa"/>
            <w:noWrap w:val="0"/>
            <w:vAlign w:val="center"/>
          </w:tcPr>
          <w:p w14:paraId="4116441D">
            <w:pPr>
              <w:pStyle w:val="105"/>
              <w:tabs>
                <w:tab w:val="left" w:pos="1080"/>
              </w:tabs>
              <w:autoSpaceDE w:val="0"/>
              <w:autoSpaceDN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28</w:t>
            </w:r>
          </w:p>
        </w:tc>
        <w:tc>
          <w:tcPr>
            <w:tcW w:w="1260" w:type="dxa"/>
            <w:noWrap w:val="0"/>
            <w:vAlign w:val="center"/>
          </w:tcPr>
          <w:p w14:paraId="0A549EA7">
            <w:pPr>
              <w:pStyle w:val="105"/>
              <w:tabs>
                <w:tab w:val="left" w:pos="1080"/>
              </w:tabs>
              <w:autoSpaceDE w:val="0"/>
              <w:autoSpaceDN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20.7</w:t>
            </w:r>
          </w:p>
        </w:tc>
        <w:tc>
          <w:tcPr>
            <w:tcW w:w="7207" w:type="dxa"/>
            <w:noWrap w:val="0"/>
            <w:vAlign w:val="center"/>
          </w:tcPr>
          <w:p w14:paraId="0D47403F">
            <w:pPr>
              <w:pStyle w:val="105"/>
              <w:tabs>
                <w:tab w:val="left" w:pos="1080"/>
              </w:tabs>
              <w:autoSpaceDE w:val="0"/>
              <w:autoSpaceDN w:val="0"/>
              <w:ind w:firstLine="26" w:firstLineChars="1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承包人应根据《广西壮族自治区交通运输厅关于推进实施行业工程建设领域安全生产责任保险工作的通知》（桂交安监函〔2021〕89号）要求购买安全生产责任保险。</w:t>
            </w:r>
            <w:r>
              <w:rPr>
                <w:rFonts w:hint="eastAsia" w:ascii="宋体" w:hAnsi="宋体" w:cs="宋体"/>
                <w:color w:val="auto"/>
                <w:sz w:val="24"/>
                <w:szCs w:val="24"/>
                <w:highlight w:val="none"/>
              </w:rPr>
              <w:t>安全生产责任险的保险费已按固定金额列入工程量清单第100章内，不作为竞争性报价。发包人在接到保险单后，将按照保险单的费用直接向承包人支付</w:t>
            </w:r>
            <w:r>
              <w:rPr>
                <w:rFonts w:hint="eastAsia" w:ascii="宋体" w:hAnsi="宋体" w:cs="宋体"/>
                <w:color w:val="auto"/>
                <w:sz w:val="24"/>
                <w:szCs w:val="24"/>
                <w:highlight w:val="none"/>
              </w:rPr>
              <w:t>。</w:t>
            </w:r>
          </w:p>
        </w:tc>
      </w:tr>
      <w:tr w14:paraId="3B6A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70" w:hRule="atLeast"/>
          <w:jc w:val="center"/>
        </w:trPr>
        <w:tc>
          <w:tcPr>
            <w:tcW w:w="828" w:type="dxa"/>
            <w:noWrap w:val="0"/>
            <w:vAlign w:val="center"/>
          </w:tcPr>
          <w:p w14:paraId="1C56CCD2">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29</w:t>
            </w:r>
          </w:p>
        </w:tc>
        <w:tc>
          <w:tcPr>
            <w:tcW w:w="1260" w:type="dxa"/>
            <w:noWrap w:val="0"/>
            <w:vAlign w:val="center"/>
          </w:tcPr>
          <w:p w14:paraId="12949935">
            <w:pPr>
              <w:pStyle w:val="105"/>
              <w:tabs>
                <w:tab w:val="left" w:pos="1080"/>
              </w:tabs>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24.1</w:t>
            </w:r>
          </w:p>
        </w:tc>
        <w:tc>
          <w:tcPr>
            <w:tcW w:w="7207" w:type="dxa"/>
            <w:noWrap w:val="0"/>
            <w:vAlign w:val="center"/>
          </w:tcPr>
          <w:p w14:paraId="0B0B2E70">
            <w:pPr>
              <w:pStyle w:val="105"/>
              <w:tabs>
                <w:tab w:val="left" w:pos="1080"/>
              </w:tabs>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争议的最终解决方式：</w:t>
            </w:r>
            <w:r>
              <w:rPr>
                <w:rFonts w:hint="eastAsia" w:ascii="宋体" w:hAnsi="宋体" w:cs="宋体"/>
                <w:color w:val="auto"/>
                <w:sz w:val="24"/>
                <w:szCs w:val="24"/>
                <w:highlight w:val="none"/>
                <w:u w:val="single"/>
              </w:rPr>
              <w:t>诉讼</w:t>
            </w:r>
          </w:p>
        </w:tc>
      </w:tr>
    </w:tbl>
    <w:p w14:paraId="2F0E5114">
      <w:pPr>
        <w:tabs>
          <w:tab w:val="left" w:pos="1080"/>
        </w:tabs>
        <w:spacing w:line="280" w:lineRule="exact"/>
        <w:ind w:firstLine="420"/>
        <w:rPr>
          <w:rFonts w:ascii="宋体" w:hAnsi="宋体" w:cs="宋体"/>
          <w:color w:val="auto"/>
          <w:szCs w:val="24"/>
          <w:highlight w:val="none"/>
        </w:rPr>
      </w:pPr>
    </w:p>
    <w:p w14:paraId="12F3BF2B">
      <w:pPr>
        <w:tabs>
          <w:tab w:val="left" w:pos="1080"/>
        </w:tabs>
        <w:spacing w:line="280" w:lineRule="exact"/>
        <w:ind w:firstLine="420"/>
        <w:rPr>
          <w:rFonts w:ascii="宋体" w:hAnsi="宋体" w:cs="宋体"/>
          <w:b/>
          <w:color w:val="auto"/>
          <w:szCs w:val="21"/>
          <w:highlight w:val="none"/>
        </w:rPr>
      </w:pPr>
      <w:r>
        <w:rPr>
          <w:rFonts w:ascii="宋体" w:hAnsi="宋体" w:cs="宋体"/>
          <w:color w:val="auto"/>
          <w:szCs w:val="24"/>
          <w:highlight w:val="none"/>
        </w:rPr>
        <w:br w:type="page"/>
      </w:r>
    </w:p>
    <w:p w14:paraId="59168B5E">
      <w:pPr>
        <w:pStyle w:val="105"/>
        <w:autoSpaceDE w:val="0"/>
        <w:autoSpaceDN w:val="0"/>
        <w:jc w:val="center"/>
        <w:outlineLvl w:val="2"/>
        <w:rPr>
          <w:rFonts w:hint="eastAsia" w:ascii="宋体" w:hAnsi="宋体" w:cs="宋体"/>
          <w:color w:val="auto"/>
          <w:kern w:val="0"/>
          <w:sz w:val="32"/>
          <w:szCs w:val="32"/>
          <w:highlight w:val="none"/>
          <w:lang w:val="zh-CN"/>
        </w:rPr>
      </w:pPr>
      <w:bookmarkStart w:id="121" w:name="_Toc367270685"/>
      <w:bookmarkStart w:id="122" w:name="_Toc367271713"/>
      <w:bookmarkStart w:id="123" w:name="_Toc446943048"/>
      <w:bookmarkStart w:id="124" w:name="_Toc514759030"/>
      <w:bookmarkStart w:id="125" w:name="_Toc1145"/>
      <w:bookmarkStart w:id="126" w:name="_Toc511595191"/>
      <w:r>
        <w:rPr>
          <w:rFonts w:hint="eastAsia" w:ascii="宋体" w:hAnsi="宋体" w:cs="宋体"/>
          <w:color w:val="auto"/>
          <w:kern w:val="0"/>
          <w:sz w:val="32"/>
          <w:szCs w:val="32"/>
          <w:highlight w:val="none"/>
          <w:lang w:val="zh-CN"/>
        </w:rPr>
        <w:t>项目专用合同条款</w:t>
      </w:r>
    </w:p>
    <w:p w14:paraId="603BD940">
      <w:pPr>
        <w:pStyle w:val="105"/>
        <w:autoSpaceDE w:val="0"/>
        <w:autoSpaceDN w:val="0"/>
        <w:spacing w:before="120" w:after="120"/>
        <w:ind w:left="42" w:firstLine="562"/>
        <w:jc w:val="center"/>
        <w:outlineLvl w:val="4"/>
        <w:rPr>
          <w:rFonts w:hint="eastAsia" w:ascii="宋体" w:hAnsi="宋体" w:cs="宋体"/>
          <w:color w:val="auto"/>
          <w:kern w:val="0"/>
          <w:sz w:val="36"/>
          <w:szCs w:val="36"/>
          <w:highlight w:val="none"/>
          <w:lang w:val="zh-CN"/>
        </w:rPr>
      </w:pPr>
      <w:r>
        <w:rPr>
          <w:rFonts w:hint="eastAsia" w:ascii="宋体" w:hAnsi="宋体" w:cs="宋体"/>
          <w:color w:val="auto"/>
          <w:kern w:val="0"/>
          <w:sz w:val="36"/>
          <w:szCs w:val="36"/>
          <w:highlight w:val="none"/>
          <w:lang w:val="zh-CN"/>
        </w:rPr>
        <w:t>4.1  承包人的一般义务</w:t>
      </w:r>
    </w:p>
    <w:p w14:paraId="358D7D2E">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4.1.10  其他义务</w:t>
      </w:r>
    </w:p>
    <w:p w14:paraId="6D2A22D9">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70582ECF">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增加）供应商应严格落实《保障农民工工资支付条例》（中华人民共和国国务院令第724号）的相关要求，规范农民工工资支付等行为。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九章竞标文件格式“四、农民工工资保证金承诺书”。</w:t>
      </w:r>
    </w:p>
    <w:p w14:paraId="4CA72910">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（4）（增加）承包人应履行的其他义务：</w:t>
      </w:r>
    </w:p>
    <w:p w14:paraId="729776CE">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a.与本工程项目相关的审计和稽查、检查、视察等活动，承包人应高度重视并有义务委派专人积极予以配合。</w:t>
      </w:r>
    </w:p>
    <w:p w14:paraId="7E1A3834">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b.发包人和监理有权监督检查承包人的供货合同。</w:t>
      </w:r>
    </w:p>
    <w:p w14:paraId="64BA0901">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c.对项目使用的原有道路的维护和管理，以确保正常通行。</w:t>
      </w:r>
    </w:p>
    <w:p w14:paraId="132B9E22">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d.维护社会稳定，避免发生因承包人原因引起施工队伍或施工引起周边群众等群体性上访事件</w:t>
      </w:r>
    </w:p>
    <w:p w14:paraId="6A392949">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e.承包人应自觉接受交通主管部门、质量监督单位、公路管理机构的监督，对指出的问题进行认真的整改，及时报告处理结果。</w:t>
      </w:r>
    </w:p>
    <w:p w14:paraId="58EA5001">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5）修改为：合同实施时承包人应投入足够的技术和管理人员以满足工程施工需要，发包人要求承包人应投入本合同的最低人员要求见合同附件四（含相应要求的备选人员），在不少于合同附件四要求前提下，为确保工程进度，监理工程师有权要求承包人增加相应技术和管理人员以满足施工需要。</w:t>
      </w:r>
    </w:p>
    <w:p w14:paraId="3987D5CF">
      <w:pPr>
        <w:pStyle w:val="105"/>
        <w:autoSpaceDE w:val="0"/>
        <w:autoSpaceDN w:val="0"/>
        <w:adjustRightInd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4.1.11（增加） 承包人响应“美丽广西·清洁乡村”行动</w:t>
      </w:r>
    </w:p>
    <w:p w14:paraId="2CEE95D0">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18C637AA">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55FEFB92">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p>
    <w:p w14:paraId="5E559102">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4.6  承包人人员的管理</w:t>
      </w:r>
    </w:p>
    <w:p w14:paraId="76A60C67">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（增加）4.6.5  项目经理、总工每月驻工地现场时间不应少于22天，项目经理、总工及主要管理人员，技术骨干离开工地必须向监理书面请假，并经项目建设管理机构相关负责人、监理工程师书面同意方能离开，否则视为违约并按22.1款执行。</w:t>
      </w:r>
    </w:p>
    <w:p w14:paraId="4C1207E8">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4.9工程价款应专款专用</w:t>
      </w:r>
    </w:p>
    <w:p w14:paraId="5482A918">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在原条款末增加：项目法人向承包人支付的预付款、工程进度款等为本工程的专款专用资金，承包人违反下述规定的，项目法人将中止其任何款项的支付。</w:t>
      </w:r>
    </w:p>
    <w:p w14:paraId="3BCD8985">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（1）凡不在项目法人指定银行开户的承包人，项目法人将不对其支付任何款项。</w:t>
      </w:r>
    </w:p>
    <w:p w14:paraId="33274111">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根据中国人民银行有关规定，每个承包人只能在一个银行开立一个结算帐户，不允许多头开户。项目法人按合同条款规定对承包人支付的款项，只对合同规定的法人或者法人代表的授权代理人支付，不对其内部独立核算单位或经批准的分包人直接支付（合同有专项规定者除外）。</w:t>
      </w:r>
    </w:p>
    <w:p w14:paraId="5993ADA4">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53EB50B8">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36E0A2D0">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5）在合同执行期间，为确保工程建设资金专款专用，承包人在收到业主支付的款项后，须向业主提供资金使用计划，详细说明资金使用流向，经业主批准并在业主的监督下使用，必须优先支付工人特别是农民工的工资，其次是材料价款以及工程建设直接的成本。</w:t>
      </w:r>
    </w:p>
    <w:p w14:paraId="50613AE2">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4.11 不利物质条件</w:t>
      </w:r>
    </w:p>
    <w:p w14:paraId="508F3F00">
      <w:pPr>
        <w:pStyle w:val="105"/>
        <w:tabs>
          <w:tab w:val="left" w:pos="1080"/>
        </w:tabs>
        <w:autoSpaceDE w:val="0"/>
        <w:autoSpaceDN w:val="0"/>
        <w:ind w:firstLine="480"/>
        <w:jc w:val="left"/>
        <w:rPr>
          <w:rFonts w:hint="eastAsia"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lang w:val="zh-CN"/>
        </w:rPr>
        <w:t>4.11.1 不利物质条件的范围：</w:t>
      </w:r>
      <w:r>
        <w:rPr>
          <w:rFonts w:hint="eastAsia" w:ascii="宋体" w:hAnsi="宋体" w:cs="宋体"/>
          <w:color w:val="auto"/>
          <w:kern w:val="0"/>
          <w:sz w:val="24"/>
          <w:szCs w:val="24"/>
          <w:highlight w:val="none"/>
          <w:u w:val="single"/>
          <w:lang w:val="zh-CN"/>
        </w:rPr>
        <w:t xml:space="preserve">  / </w:t>
      </w:r>
    </w:p>
    <w:p w14:paraId="4848F27E">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7.3 场外交通</w:t>
      </w:r>
    </w:p>
    <w:p w14:paraId="615B0383">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（增加）7.3.3为保证道路交通安全及运输畅通，承包人应采取以下措施：</w:t>
      </w:r>
    </w:p>
    <w:p w14:paraId="16395A62">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监理人可指令采取任何措施疏通，一切费用由承包人承担。</w:t>
      </w:r>
    </w:p>
    <w:p w14:paraId="44D41800">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7.3.4 承包人应加强文明施工，保障道路通畅的管理</w:t>
      </w:r>
    </w:p>
    <w:p w14:paraId="1FBA004B">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（1）承包人在施工期内应按国家、交通主管部门与公路管理机构有关文明施工，保障畅通的规定组织施工，对出现的交通堵塞无条件地采取措施进行疏通。</w:t>
      </w:r>
    </w:p>
    <w:p w14:paraId="7A95024E">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对于旧路改建或养护大中修工程项目：破坏旧路必须作出交通维持与恢复路面通行条件方案并必须取得监理工程师与项目建设办公室的书面批准，未经批准进行旧路开挖与填筑的，项目建设办公室和监理工程师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059F3E52">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9.2  承包人的施工安全责任</w:t>
      </w:r>
    </w:p>
    <w:p w14:paraId="34489893">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9.2.5 条款末增加： 如项目法人或监理在日常检查中发现承包人用于危险路段、有安全隐患路段施工安全防护的设施和用具（含交通标志牌、安全危险告知牌、安全隐患告知牌等）不齐全或缺乏，并且承包人没有按规定及时添置安放的情况，则项目法人及监理工程师应按照合同有关规定指令承包人纠正和整改，承包人拒不整改或整改不彻底的，项目法人有权进行直接购置施工安全施工安全防护设施和用具（含交通标志牌、安全危险告知牌、安全隐患告知牌等）并安排专人进行设置管理等安全管理工作，所发生的费用由承包人负责，并由项目法人在承包人合同价中计量扣除。</w:t>
      </w:r>
    </w:p>
    <w:p w14:paraId="3B5FA50E">
      <w:pPr>
        <w:pStyle w:val="105"/>
        <w:tabs>
          <w:tab w:val="left" w:pos="1080"/>
        </w:tabs>
        <w:autoSpaceDE w:val="0"/>
        <w:autoSpaceDN w:val="0"/>
        <w:jc w:val="left"/>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9.6运营中的公路道路施工安全（增加）</w:t>
      </w:r>
    </w:p>
    <w:p w14:paraId="44CD17EA">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9.6.1承包人进场施工前需到路政部门和安监部门办理上路施工许可证和安全监督等手续，签订路上施工安全协议书，并接受监督。</w:t>
      </w:r>
    </w:p>
    <w:p w14:paraId="0F4FEF96">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9.6.2 在运营公路上进行施工，必须严格执行国家颁布的《公路法》、《安全生产法》、《道路交通标志和标线》（GB5768</w:t>
      </w:r>
      <w:r>
        <w:rPr>
          <w:rFonts w:hint="eastAsia" w:ascii="宋体" w:hAnsi="宋体" w:cs="宋体"/>
          <w:color w:val="auto"/>
          <w:kern w:val="0"/>
          <w:sz w:val="24"/>
          <w:szCs w:val="24"/>
          <w:highlight w:val="none"/>
          <w:lang w:val="en-US" w:eastAsia="zh-CN"/>
        </w:rPr>
        <w:t>.1-8</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2009-2018</w:t>
      </w:r>
      <w:r>
        <w:rPr>
          <w:rFonts w:hint="eastAsia" w:ascii="宋体" w:hAnsi="宋体" w:cs="宋体"/>
          <w:color w:val="auto"/>
          <w:kern w:val="0"/>
          <w:sz w:val="24"/>
          <w:szCs w:val="24"/>
          <w:highlight w:val="none"/>
          <w:lang w:val="zh-CN"/>
        </w:rPr>
        <w:t>）、《公路工程施工安全技术规程》（JTG F90-2015）、《公路养护安全作业规程》（JTG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磋商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GB5768</w:t>
      </w:r>
      <w:r>
        <w:rPr>
          <w:rFonts w:hint="eastAsia" w:ascii="宋体" w:hAnsi="宋体" w:cs="宋体"/>
          <w:color w:val="auto"/>
          <w:kern w:val="0"/>
          <w:sz w:val="24"/>
          <w:szCs w:val="24"/>
          <w:highlight w:val="none"/>
          <w:lang w:val="zh-CN" w:eastAsia="zh-CN"/>
        </w:rPr>
        <w:t>.1-8</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eastAsia="zh-CN"/>
        </w:rPr>
        <w:t>2009-2018</w:t>
      </w:r>
      <w:r>
        <w:rPr>
          <w:rFonts w:hint="eastAsia" w:ascii="宋体" w:hAnsi="宋体" w:cs="宋体"/>
          <w:color w:val="auto"/>
          <w:kern w:val="0"/>
          <w:sz w:val="24"/>
          <w:szCs w:val="24"/>
          <w:highlight w:val="none"/>
          <w:lang w:val="zh-CN"/>
        </w:rPr>
        <w:t>《道路交通标志和标线》的三级标准。</w:t>
      </w:r>
    </w:p>
    <w:p w14:paraId="61B515FF">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9.6.3工程使用的水泥、碎石、砂等材料不得堆放在公路上，工棚搭设应设置在公路行车看不到的位置，如确需搭棚看守机械设备的，应按业主规定的式样搭设；机械设备摆放不得有碍路容路貌和行车安全。</w:t>
      </w:r>
    </w:p>
    <w:p w14:paraId="112D5929">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9.6.6破除的公路废弃材料应集中废弃到弃土场。</w:t>
      </w:r>
    </w:p>
    <w:p w14:paraId="6ACB4080">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bookmarkStart w:id="127" w:name="OLE_LINK2"/>
      <w:bookmarkStart w:id="128" w:name="OLE_LINK1"/>
      <w:r>
        <w:rPr>
          <w:rFonts w:hint="eastAsia" w:ascii="宋体" w:hAnsi="宋体" w:cs="宋体"/>
          <w:color w:val="auto"/>
          <w:kern w:val="0"/>
          <w:sz w:val="24"/>
          <w:szCs w:val="24"/>
          <w:highlight w:val="none"/>
          <w:lang w:val="zh-CN"/>
        </w:rPr>
        <w:t>9.6.7大修工程施工时，应设置相应防护措施确保公路行人及车流的安全畅通，由于未采用防护措施或防护措施不力而造成公路上行人、车流受影响的，由承包人承担其责任。</w:t>
      </w:r>
    </w:p>
    <w:bookmarkEnd w:id="127"/>
    <w:bookmarkEnd w:id="128"/>
    <w:p w14:paraId="01086AE9">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9.6.8承包人不得在公路路面上拌和公路材料。</w:t>
      </w:r>
    </w:p>
    <w:p w14:paraId="51EE8E97">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9.6.9承包人须将拟施工点报监理人审批后，方可进行施工。</w:t>
      </w:r>
    </w:p>
    <w:p w14:paraId="6B3EFFE6">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10.1  合同进度计划</w:t>
      </w:r>
    </w:p>
    <w:p w14:paraId="60D431AD">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承包人编制施工方案的内容：承包人应在签订合同协议书后7天内，向监理人提交2份其格式和内容符合监理人规定的工程进度计划，以及为完成该计划而建议采用的实施性的施工安排和施工方案的说明。监理人应在收到该计划后7天内审查同意或提出修改意见，否则该进度计划视为已得到批准。经监理人批准的施工进度计划称为合同进度计划，是控制合同工程进度的依据。工程进度计划应按照关键线路网络图和主要工作横道图两种形式分别绘制，并应包括每月预计完成的工作量和形象进度。</w:t>
      </w:r>
    </w:p>
    <w:p w14:paraId="5618F32D">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11.4  异常恶劣的气候条件</w:t>
      </w:r>
    </w:p>
    <w:p w14:paraId="1C2C1A2F">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异常恶劣的气候条件的范围：对本项目而言，指发生烈度7度（含7度）以上地震、龙卷风、施工场地受淹超过项目法人提供的设计图纸指明的设计洪水水位引起的延误的情况。</w:t>
      </w:r>
    </w:p>
    <w:p w14:paraId="0356A482">
      <w:pPr>
        <w:pStyle w:val="105"/>
        <w:tabs>
          <w:tab w:val="left" w:pos="1080"/>
        </w:tabs>
        <w:autoSpaceDE w:val="0"/>
        <w:autoSpaceDN w:val="0"/>
        <w:ind w:firstLine="480"/>
        <w:jc w:val="left"/>
        <w:rPr>
          <w:rFonts w:hint="eastAsia" w:ascii="宋体" w:hAnsi="宋体" w:cs="宋体"/>
          <w:b/>
          <w:bCs/>
          <w:color w:val="auto"/>
          <w:kern w:val="0"/>
          <w:sz w:val="24"/>
          <w:szCs w:val="24"/>
          <w:highlight w:val="none"/>
          <w:lang w:val="zh-CN"/>
        </w:rPr>
      </w:pPr>
      <w:r>
        <w:rPr>
          <w:rFonts w:hint="eastAsia" w:ascii="宋体" w:hAnsi="宋体" w:cs="宋体"/>
          <w:color w:val="auto"/>
          <w:kern w:val="0"/>
          <w:sz w:val="24"/>
          <w:szCs w:val="24"/>
          <w:highlight w:val="none"/>
          <w:lang w:val="zh-CN"/>
        </w:rPr>
        <w:t>增加：异常恶劣的气候条件，政府及有关部门预先有预报的，由于承包人没有应急措施或没有采取应急措施的，造成的损失和工期延误，由承包人负责。</w:t>
      </w:r>
    </w:p>
    <w:p w14:paraId="398E1705">
      <w:pPr>
        <w:pStyle w:val="105"/>
        <w:autoSpaceDE w:val="0"/>
        <w:autoSpaceDN w:val="0"/>
        <w:spacing w:before="120" w:after="120"/>
        <w:ind w:left="42" w:firstLine="562"/>
        <w:jc w:val="center"/>
        <w:outlineLvl w:val="4"/>
        <w:rPr>
          <w:rFonts w:hint="eastAsia" w:ascii="宋体" w:hAnsi="宋体" w:cs="宋体"/>
          <w:b/>
          <w:bCs/>
          <w:color w:val="auto"/>
          <w:kern w:val="0"/>
          <w:sz w:val="28"/>
          <w:szCs w:val="28"/>
          <w:highlight w:val="none"/>
          <w:lang w:val="zh-CN"/>
        </w:rPr>
      </w:pPr>
      <w:r>
        <w:rPr>
          <w:rFonts w:hint="eastAsia" w:ascii="宋体" w:hAnsi="宋体" w:cs="宋体"/>
          <w:color w:val="auto"/>
          <w:kern w:val="0"/>
          <w:sz w:val="36"/>
          <w:szCs w:val="36"/>
          <w:highlight w:val="none"/>
          <w:lang w:val="zh-CN"/>
        </w:rPr>
        <w:t>（增加）11.8 其它进度要求</w:t>
      </w:r>
    </w:p>
    <w:p w14:paraId="3F301814">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（1）承包人应加强工程进度计划管理，努力实现均衡组织施工的目标。</w:t>
      </w:r>
    </w:p>
    <w:p w14:paraId="34F0DF77">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a.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7864783E">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b.路面碎石材料的采备应与路基施工进度同步，以保证路面施工进度。</w:t>
      </w:r>
    </w:p>
    <w:p w14:paraId="59FE2821">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c.桥梁、主要涵洞、高大支挡结构、旧路改建（破坏旧路路面）的路面等关键工程及分项应有独立详细的施工组织设计，并采取措施确保落实。</w:t>
      </w:r>
    </w:p>
    <w:p w14:paraId="7D34ACF8">
      <w:pPr>
        <w:pStyle w:val="105"/>
        <w:tabs>
          <w:tab w:val="left" w:pos="1080"/>
        </w:tabs>
        <w:autoSpaceDE w:val="0"/>
        <w:autoSpaceDN w:val="0"/>
        <w:ind w:firstLine="480"/>
        <w:jc w:val="left"/>
        <w:rPr>
          <w:rFonts w:hint="eastAsia" w:ascii="宋体" w:hAnsi="宋体" w:cs="宋体"/>
          <w:color w:val="auto"/>
          <w:kern w:val="0"/>
          <w:sz w:val="24"/>
          <w:szCs w:val="24"/>
          <w:highlight w:val="none"/>
          <w:u w:val="single"/>
          <w:lang w:val="zh-CN"/>
        </w:rPr>
      </w:pPr>
    </w:p>
    <w:p w14:paraId="74D2F3A5">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12．暂停施工</w:t>
      </w:r>
    </w:p>
    <w:p w14:paraId="5C2AB38F">
      <w:pPr>
        <w:pStyle w:val="105"/>
        <w:autoSpaceDE w:val="0"/>
        <w:autoSpaceDN w:val="0"/>
        <w:ind w:left="228" w:leftChars="95" w:firstLine="316" w:firstLineChars="132"/>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12. 1承包人暂停施工的责任</w:t>
      </w:r>
    </w:p>
    <w:p w14:paraId="1D484352">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公路工程专用合同条款12.1.（6）项约定:</w:t>
      </w:r>
    </w:p>
    <w:p w14:paraId="6ECF45DD">
      <w:pPr>
        <w:pStyle w:val="105"/>
        <w:tabs>
          <w:tab w:val="left" w:pos="1080"/>
        </w:tabs>
        <w:autoSpaceDE w:val="0"/>
        <w:autoSpaceDN w:val="0"/>
        <w:ind w:firstLine="480"/>
        <w:jc w:val="left"/>
        <w:rPr>
          <w:rFonts w:hint="eastAsia"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lang w:val="zh-CN"/>
        </w:rPr>
        <w:t>（6）由承包人承担的其他暂停施工：</w:t>
      </w:r>
      <w:r>
        <w:rPr>
          <w:rFonts w:hint="eastAsia" w:ascii="宋体" w:hAnsi="宋体" w:cs="宋体"/>
          <w:color w:val="auto"/>
          <w:kern w:val="0"/>
          <w:sz w:val="24"/>
          <w:szCs w:val="24"/>
          <w:highlight w:val="none"/>
          <w:u w:val="single"/>
          <w:lang w:val="zh-CN"/>
        </w:rPr>
        <w:t xml:space="preserve">   ／  </w:t>
      </w:r>
    </w:p>
    <w:p w14:paraId="378A0B25">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p>
    <w:p w14:paraId="5A6FB9B6">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13.3承包人的质量检查</w:t>
      </w:r>
    </w:p>
    <w:p w14:paraId="66642AC5">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增加内容：</w:t>
      </w:r>
    </w:p>
    <w:p w14:paraId="1FDBAB71">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（1）落实质量责任制和质量保证体系</w:t>
      </w:r>
    </w:p>
    <w:p w14:paraId="11CD3116">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分项工程施工现场应实行质量责任牌管理，写明作业内容、项目质量管理责任人（施工单位、监理单位、建设管理机构）和质量管理举报电话； </w:t>
      </w:r>
    </w:p>
    <w:p w14:paraId="5C582C18">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（2）认真执行质量检查制度：</w:t>
      </w:r>
    </w:p>
    <w:p w14:paraId="72BA70E4">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施工作业管理的专业工程师在测量、试验工程师配合下完成施工自检并作施工记录（工艺及原材料使用等）；</w:t>
      </w:r>
    </w:p>
    <w:p w14:paraId="17EF7357">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质检工程师在测量、试验工程师配合下加强中间质量检测，严格控制工序质量，及时完成工序、分项完工检验并提交质量检验记录，收集工序、分项资料与检验申请经项目总工签认后报送监理工程师。</w:t>
      </w:r>
    </w:p>
    <w:p w14:paraId="553FFDBD">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试验、测量工程师根据施工质检需要完成试验与测量作业并及时交检验结果报告专业工程师、质检工程师。</w:t>
      </w:r>
    </w:p>
    <w:p w14:paraId="71A0604E">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14:paraId="3C808F86">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（3）质量管理记录的原始记录包括作业记录、测量记录、试验记录、检验记录及验收记录，地基、基础、填挖交界碾压，墙台背回填等隐蔽工程应摄象或照相作为现场记录保存。</w:t>
      </w:r>
    </w:p>
    <w:p w14:paraId="0AE140EB">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 承包人应加强文明施工，保障道路通畅的管理</w:t>
      </w:r>
    </w:p>
    <w:p w14:paraId="40502772">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a.承包人在施工期内应按国家、交通主管部门与公路管理机构文明施工，保障畅通的有关规定组织施工，对出现的交通堵塞无条件地采取措施进行疏通。</w:t>
      </w:r>
    </w:p>
    <w:p w14:paraId="050D2F4A">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b.旧路改建工程项目</w:t>
      </w:r>
    </w:p>
    <w:p w14:paraId="2FEF8EEC">
      <w:pPr>
        <w:pStyle w:val="105"/>
        <w:tabs>
          <w:tab w:val="left" w:pos="1080"/>
        </w:tabs>
        <w:autoSpaceDE w:val="0"/>
        <w:autoSpaceDN w:val="0"/>
        <w:ind w:left="42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（i）破坏旧路必须作出交通维持与恢复路面通行条件方案并必须取得监理工程师与业主的批准，未经批准进行旧路开挖与填筑的，业主和监理工程师 有权责令停工，并由承包人恢复原良好的通车条件，并需承担一切费用。</w:t>
      </w:r>
    </w:p>
    <w:p w14:paraId="62968662">
      <w:pPr>
        <w:pStyle w:val="105"/>
        <w:tabs>
          <w:tab w:val="left" w:pos="1080"/>
        </w:tabs>
        <w:autoSpaceDE w:val="0"/>
        <w:autoSpaceDN w:val="0"/>
        <w:ind w:left="42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（ii）不得在道路上堆放材料或占道施工影响交通。路基、路面施工应避免出现晴天扬尘，雨天打滑影响安全与交通和影响群众生活、生产的现象。维持交通的路基施工应保证表面平整，保证通畅。</w:t>
      </w:r>
    </w:p>
    <w:p w14:paraId="6564D493">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（5） 承包人应自觉接受交通主管部门、质量监督单位、公路管理机构的监督，对指出的问题进行认真的整改，及时报告处理结果。</w:t>
      </w:r>
    </w:p>
    <w:p w14:paraId="37AAD7DB">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在整个施工过程中，监理工程师、业主对承包人履行责任有权进行监督，并向承包人提出整改要求。承包人应认真履行责任，执行业主、监理工程师的指令，否则将按第22.1款视为承包人违约。</w:t>
      </w:r>
    </w:p>
    <w:p w14:paraId="2C23070F">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13.5工程隐蔽部位覆盖前的检查</w:t>
      </w:r>
    </w:p>
    <w:p w14:paraId="2079D823">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（增加）13.5.1项补充：</w:t>
      </w:r>
    </w:p>
    <w:p w14:paraId="7AB59041">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隐蔽部位覆盖前应经监理人检查确认,分阶段（工序）进行拍摄或照相,并向监理人提供相关影像相片等书面资料作为计量支付的依据，否则不应给予计量.</w:t>
      </w:r>
    </w:p>
    <w:p w14:paraId="36EAFB0A">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15.3 变更</w:t>
      </w:r>
    </w:p>
    <w:p w14:paraId="0E5E4DBC">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（增加）15.3.5项补充： 设计变更除遵守交通运输部、交通运输厅的现行设计变更管理办法外，还应执行《广西壮族自治区公路管理局关于印发&lt;广西壮族自治区普通干线公路养护工程管理实施细则（修订）&gt;的通知》（桂路养发〔2018〕105号）中有关变更的规定。</w:t>
      </w:r>
    </w:p>
    <w:p w14:paraId="7E378EFB">
      <w:pPr>
        <w:pStyle w:val="105"/>
        <w:autoSpaceDE w:val="0"/>
        <w:autoSpaceDN w:val="0"/>
        <w:spacing w:before="120" w:after="120"/>
        <w:ind w:left="42" w:firstLine="562"/>
        <w:jc w:val="center"/>
        <w:outlineLvl w:val="4"/>
        <w:rPr>
          <w:rFonts w:hint="eastAsia" w:ascii="宋体" w:hAnsi="宋体" w:eastAsia="宋体" w:cs="宋体"/>
          <w:color w:val="auto"/>
          <w:kern w:val="0"/>
          <w:sz w:val="36"/>
          <w:szCs w:val="36"/>
          <w:highlight w:val="none"/>
          <w:lang w:val="zh-CN"/>
        </w:rPr>
      </w:pPr>
      <w:r>
        <w:rPr>
          <w:rFonts w:hint="eastAsia" w:ascii="宋体" w:hAnsi="宋体" w:eastAsia="宋体" w:cs="宋体"/>
          <w:color w:val="auto"/>
          <w:kern w:val="0"/>
          <w:sz w:val="36"/>
          <w:szCs w:val="36"/>
          <w:highlight w:val="none"/>
          <w:lang w:val="zh-CN"/>
        </w:rPr>
        <w:t>16. 价格调整</w:t>
      </w:r>
    </w:p>
    <w:p w14:paraId="078651AF">
      <w:pPr>
        <w:pStyle w:val="105"/>
        <w:keepNext/>
        <w:keepLines/>
        <w:spacing w:before="240" w:after="240" w:line="380" w:lineRule="atLeast"/>
        <w:rPr>
          <w:rFonts w:hint="eastAsia" w:ascii="宋体" w:hAnsi="宋体" w:cs="宋体"/>
          <w:color w:val="auto"/>
          <w:kern w:val="44"/>
          <w:sz w:val="24"/>
          <w:szCs w:val="24"/>
          <w:highlight w:val="none"/>
          <w:lang w:val="zh-CN"/>
        </w:rPr>
      </w:pPr>
      <w:r>
        <w:rPr>
          <w:rFonts w:hint="eastAsia" w:ascii="宋体" w:hAnsi="宋体" w:cs="宋体"/>
          <w:color w:val="auto"/>
          <w:kern w:val="44"/>
          <w:sz w:val="24"/>
          <w:szCs w:val="24"/>
          <w:highlight w:val="none"/>
          <w:lang w:val="zh-CN"/>
        </w:rPr>
        <w:t>16.1 物价波动引起的价格调整</w:t>
      </w:r>
    </w:p>
    <w:p w14:paraId="210426C7">
      <w:pPr>
        <w:pStyle w:val="105"/>
        <w:autoSpaceDE w:val="0"/>
        <w:autoSpaceDN w:val="0"/>
        <w:spacing w:line="312" w:lineRule="auto"/>
        <w:ind w:right="305" w:firstLine="479"/>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在合同执行期间（包括工期拖延期间）由于人工、材料和设备价格的上涨而引起工程施工成本增加的风险由承包人自行承担，合同价格不会因此而调整。</w:t>
      </w:r>
    </w:p>
    <w:p w14:paraId="0B8B9F4C">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17.1  计量</w:t>
      </w:r>
    </w:p>
    <w:p w14:paraId="2EEB7FDE">
      <w:pPr>
        <w:pStyle w:val="105"/>
        <w:autoSpaceDE w:val="0"/>
        <w:autoSpaceDN w:val="0"/>
        <w:spacing w:line="400" w:lineRule="exact"/>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17.1.5  本项目工程量清单中总额价子目的支付原则和支付进度：</w:t>
      </w:r>
    </w:p>
    <w:p w14:paraId="08930971">
      <w:pPr>
        <w:pStyle w:val="105"/>
        <w:autoSpaceDE w:val="0"/>
        <w:autoSpaceDN w:val="0"/>
        <w:spacing w:line="400" w:lineRule="exact"/>
        <w:jc w:val="left"/>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lang w:val="zh-CN" w:bidi="zh-CN"/>
        </w:rPr>
        <w:t>（1）.安全生产责任保险费用，发包人在承包人按要求购买安全生产责任保险并提交保险单后，</w:t>
      </w:r>
      <w:r>
        <w:rPr>
          <w:rFonts w:hint="eastAsia" w:ascii="宋体" w:hAnsi="宋体" w:cs="宋体"/>
          <w:b/>
          <w:bCs/>
          <w:color w:val="auto"/>
          <w:kern w:val="0"/>
          <w:sz w:val="24"/>
          <w:szCs w:val="24"/>
          <w:highlight w:val="none"/>
          <w:lang w:val="zh-CN"/>
        </w:rPr>
        <w:t>将按照保险单的费用</w:t>
      </w:r>
      <w:r>
        <w:rPr>
          <w:rFonts w:hint="eastAsia" w:ascii="宋体" w:hAnsi="宋体" w:cs="宋体"/>
          <w:b/>
          <w:bCs/>
          <w:color w:val="auto"/>
          <w:kern w:val="0"/>
          <w:sz w:val="24"/>
          <w:highlight w:val="none"/>
          <w:lang w:val="zh-CN" w:bidi="zh-CN"/>
        </w:rPr>
        <w:t>直接向承包人支付。</w:t>
      </w:r>
    </w:p>
    <w:p w14:paraId="5BCBD6FB">
      <w:pPr>
        <w:pStyle w:val="105"/>
        <w:autoSpaceDE w:val="0"/>
        <w:autoSpaceDN w:val="0"/>
        <w:spacing w:line="400" w:lineRule="exact"/>
        <w:jc w:val="left"/>
        <w:rPr>
          <w:rFonts w:hint="eastAsia" w:ascii="宋体" w:hAnsi="宋体" w:cs="宋体"/>
          <w:b/>
          <w:bCs/>
          <w:color w:val="auto"/>
          <w:kern w:val="0"/>
          <w:sz w:val="24"/>
          <w:highlight w:val="none"/>
          <w:lang w:val="zh-CN" w:bidi="zh-CN"/>
        </w:rPr>
      </w:pPr>
      <w:r>
        <w:rPr>
          <w:rFonts w:hint="eastAsia" w:ascii="宋体" w:hAnsi="宋体" w:cs="宋体"/>
          <w:b/>
          <w:bCs/>
          <w:color w:val="auto"/>
          <w:kern w:val="0"/>
          <w:sz w:val="24"/>
          <w:highlight w:val="none"/>
          <w:lang w:val="zh-CN" w:bidi="zh-CN"/>
        </w:rPr>
        <w:t>（</w:t>
      </w:r>
      <w:r>
        <w:rPr>
          <w:rFonts w:hint="eastAsia" w:ascii="宋体" w:hAnsi="宋体" w:cs="宋体"/>
          <w:b/>
          <w:bCs/>
          <w:color w:val="auto"/>
          <w:kern w:val="0"/>
          <w:sz w:val="24"/>
          <w:highlight w:val="none"/>
          <w:lang w:bidi="zh-CN"/>
        </w:rPr>
        <w:t>2</w:t>
      </w:r>
      <w:r>
        <w:rPr>
          <w:rFonts w:hint="eastAsia" w:ascii="宋体" w:hAnsi="宋体" w:cs="宋体"/>
          <w:b/>
          <w:bCs/>
          <w:color w:val="auto"/>
          <w:kern w:val="0"/>
          <w:sz w:val="24"/>
          <w:highlight w:val="none"/>
          <w:lang w:val="zh-CN" w:bidi="zh-CN"/>
        </w:rPr>
        <w:t>）.安全生产费：子目费用由监理人发出开工通知后支付总额的50%；在承包人的施工进度计划和施工方案说明被监理人批复后支付总额的25%；按规范要求及监理人的指示落实安全生产措施后支付剩余的25%。</w:t>
      </w:r>
    </w:p>
    <w:p w14:paraId="4E8CAB80">
      <w:pPr>
        <w:pStyle w:val="105"/>
        <w:autoSpaceDE w:val="0"/>
        <w:autoSpaceDN w:val="0"/>
        <w:spacing w:line="400" w:lineRule="exact"/>
        <w:jc w:val="left"/>
        <w:rPr>
          <w:rFonts w:hint="eastAsia" w:ascii="宋体" w:hAnsi="宋体" w:cs="宋体"/>
          <w:b/>
          <w:bCs/>
          <w:color w:val="auto"/>
          <w:kern w:val="0"/>
          <w:sz w:val="24"/>
          <w:highlight w:val="none"/>
          <w:lang w:val="zh-CN" w:bidi="zh-CN"/>
        </w:rPr>
      </w:pPr>
      <w:r>
        <w:rPr>
          <w:rFonts w:hint="eastAsia" w:ascii="宋体" w:hAnsi="宋体" w:cs="宋体"/>
          <w:b/>
          <w:bCs/>
          <w:color w:val="auto"/>
          <w:kern w:val="0"/>
          <w:sz w:val="24"/>
          <w:highlight w:val="none"/>
          <w:lang w:val="zh-CN" w:bidi="zh-CN"/>
        </w:rPr>
        <w:t>（</w:t>
      </w:r>
      <w:r>
        <w:rPr>
          <w:rFonts w:hint="eastAsia" w:ascii="宋体" w:hAnsi="宋体" w:cs="宋体"/>
          <w:b/>
          <w:bCs/>
          <w:color w:val="auto"/>
          <w:kern w:val="0"/>
          <w:sz w:val="24"/>
          <w:highlight w:val="none"/>
          <w:lang w:bidi="zh-CN"/>
        </w:rPr>
        <w:t>3</w:t>
      </w:r>
      <w:r>
        <w:rPr>
          <w:rFonts w:hint="eastAsia" w:ascii="宋体" w:hAnsi="宋体" w:cs="宋体"/>
          <w:b/>
          <w:bCs/>
          <w:color w:val="auto"/>
          <w:kern w:val="0"/>
          <w:sz w:val="24"/>
          <w:highlight w:val="none"/>
          <w:lang w:val="zh-CN" w:bidi="zh-CN"/>
        </w:rPr>
        <w:t>）承包人驻地建设：所报总价的90％在第l次进度付款证书中支付，余下的10％，在承包人驻地建设已经移走和清除，并经监理人验收合格时予以支付。</w:t>
      </w:r>
    </w:p>
    <w:p w14:paraId="4581B980">
      <w:pPr>
        <w:pStyle w:val="105"/>
        <w:autoSpaceDE w:val="0"/>
        <w:autoSpaceDN w:val="0"/>
        <w:spacing w:line="400" w:lineRule="exact"/>
        <w:jc w:val="left"/>
        <w:rPr>
          <w:rFonts w:hint="eastAsia" w:ascii="宋体" w:hAnsi="宋体" w:cs="宋体"/>
          <w:b/>
          <w:bCs/>
          <w:color w:val="auto"/>
          <w:kern w:val="0"/>
          <w:sz w:val="24"/>
          <w:highlight w:val="none"/>
          <w:lang w:val="zh-CN" w:bidi="zh-CN"/>
        </w:rPr>
      </w:pPr>
      <w:r>
        <w:rPr>
          <w:rFonts w:hint="eastAsia" w:ascii="宋体" w:hAnsi="宋体" w:cs="宋体"/>
          <w:b/>
          <w:bCs/>
          <w:color w:val="auto"/>
          <w:kern w:val="0"/>
          <w:sz w:val="24"/>
          <w:highlight w:val="none"/>
          <w:lang w:val="zh-CN" w:bidi="zh-CN"/>
        </w:rPr>
        <w:t>（</w:t>
      </w:r>
      <w:r>
        <w:rPr>
          <w:rFonts w:hint="eastAsia" w:ascii="宋体" w:hAnsi="宋体" w:cs="宋体"/>
          <w:b/>
          <w:bCs/>
          <w:color w:val="auto"/>
          <w:kern w:val="0"/>
          <w:sz w:val="24"/>
          <w:highlight w:val="none"/>
          <w:lang w:bidi="zh-CN"/>
        </w:rPr>
        <w:t>4</w:t>
      </w:r>
      <w:r>
        <w:rPr>
          <w:rFonts w:hint="eastAsia" w:ascii="宋体" w:hAnsi="宋体" w:cs="宋体"/>
          <w:b/>
          <w:bCs/>
          <w:color w:val="auto"/>
          <w:kern w:val="0"/>
          <w:sz w:val="24"/>
          <w:highlight w:val="none"/>
          <w:lang w:val="zh-CN" w:bidi="zh-CN"/>
        </w:rPr>
        <w:t>）各合同段工程量清单第100章总则部分，除所列子目单独计量外，其他未列入本次采购工程量清单的子目费用均包含在工程量清单相关子目单价或价格中，发包人不另单独计量支付。</w:t>
      </w:r>
    </w:p>
    <w:p w14:paraId="50A8AADF">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u w:val="single"/>
          <w:lang w:val="zh-CN"/>
        </w:rPr>
        <w:t xml:space="preserve">（增加）17.1.6  </w:t>
      </w:r>
      <w:r>
        <w:rPr>
          <w:rFonts w:hint="eastAsia" w:ascii="宋体" w:hAnsi="宋体" w:cs="宋体"/>
          <w:color w:val="auto"/>
          <w:kern w:val="0"/>
          <w:sz w:val="24"/>
          <w:szCs w:val="24"/>
          <w:highlight w:val="none"/>
          <w:lang w:val="zh-CN"/>
        </w:rPr>
        <w:t>项目合同应当约定合同款支付的方式、时间和条件，明确逾期支付合同款的违约责任。</w:t>
      </w:r>
    </w:p>
    <w:p w14:paraId="6705ED57">
      <w:pPr>
        <w:pStyle w:val="118"/>
        <w:kinsoku w:val="0"/>
        <w:overflowPunct w:val="0"/>
        <w:autoSpaceDE w:val="0"/>
        <w:autoSpaceDN w:val="0"/>
        <w:adjustRightInd w:val="0"/>
        <w:spacing w:before="66" w:line="380" w:lineRule="exact"/>
        <w:ind w:right="29"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如果该付款周期应结算的价款经扣留和扣回后的款额少于项目专用合同条款数据表中列明的进度付款证书的最低金额，则该付款周期监理人可不核证支付，上述</w:t>
      </w:r>
      <w:r>
        <w:rPr>
          <w:rFonts w:hint="eastAsia" w:ascii="宋体" w:hAnsi="宋体" w:cs="宋体"/>
          <w:color w:val="auto"/>
          <w:spacing w:val="-95"/>
          <w:kern w:val="0"/>
          <w:sz w:val="24"/>
          <w:highlight w:val="none"/>
        </w:rPr>
        <w:t xml:space="preserve"> </w:t>
      </w:r>
      <w:r>
        <w:rPr>
          <w:rFonts w:hint="eastAsia" w:ascii="宋体" w:hAnsi="宋体" w:cs="宋体"/>
          <w:color w:val="auto"/>
          <w:kern w:val="0"/>
          <w:sz w:val="24"/>
          <w:highlight w:val="none"/>
        </w:rPr>
        <w:t>款额将按付款周期结转，直至累计应支付的款额达到项目专用合同条款数据表中列</w:t>
      </w:r>
      <w:r>
        <w:rPr>
          <w:rFonts w:hint="eastAsia" w:ascii="宋体" w:hAnsi="宋体" w:cs="宋体"/>
          <w:color w:val="auto"/>
          <w:spacing w:val="-92"/>
          <w:kern w:val="0"/>
          <w:sz w:val="24"/>
          <w:highlight w:val="none"/>
        </w:rPr>
        <w:t xml:space="preserve"> </w:t>
      </w:r>
      <w:r>
        <w:rPr>
          <w:rFonts w:hint="eastAsia" w:ascii="宋体" w:hAnsi="宋体" w:cs="宋体"/>
          <w:color w:val="auto"/>
          <w:kern w:val="0"/>
          <w:sz w:val="24"/>
          <w:highlight w:val="none"/>
        </w:rPr>
        <w:t>明的进度付款证书的最低金额为止。</w:t>
      </w:r>
    </w:p>
    <w:p w14:paraId="5C002665">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highlight w:val="none"/>
        </w:rPr>
        <w:t>发包人应在监理人收到进度付款申请单且承包人提交了合格的增值税专用发票后的28 天内，将进度应付款支付给承包人。 发包人不按期支付的，按项目专用合同条款数据表中约定的利率向承包人支付逾期付款违约金。违约金计算基数为发包人的全部未付款额，时间从应付而未付该</w:t>
      </w:r>
      <w:r>
        <w:rPr>
          <w:rFonts w:hint="eastAsia" w:ascii="宋体" w:hAnsi="宋体" w:cs="宋体"/>
          <w:color w:val="auto"/>
          <w:spacing w:val="-94"/>
          <w:kern w:val="0"/>
          <w:sz w:val="24"/>
          <w:highlight w:val="none"/>
        </w:rPr>
        <w:t xml:space="preserve"> </w:t>
      </w:r>
      <w:r>
        <w:rPr>
          <w:rFonts w:hint="eastAsia" w:ascii="宋体" w:hAnsi="宋体" w:cs="宋体"/>
          <w:color w:val="auto"/>
          <w:spacing w:val="-10"/>
          <w:kern w:val="0"/>
          <w:sz w:val="24"/>
          <w:highlight w:val="none"/>
        </w:rPr>
        <w:t>款额之日算起（不计复利）。</w:t>
      </w:r>
    </w:p>
    <w:p w14:paraId="175414A0">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17.2预付款</w:t>
      </w:r>
    </w:p>
    <w:p w14:paraId="6CB1A78D">
      <w:pPr>
        <w:pStyle w:val="105"/>
        <w:numPr>
          <w:ilvl w:val="0"/>
          <w:numId w:val="0"/>
        </w:numPr>
        <w:tabs>
          <w:tab w:val="left" w:pos="1080"/>
        </w:tabs>
        <w:autoSpaceDE w:val="0"/>
        <w:autoSpaceDN w:val="0"/>
        <w:ind w:firstLine="48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bidi="ar-SA"/>
        </w:rPr>
        <w:t>（1）</w:t>
      </w:r>
      <w:r>
        <w:rPr>
          <w:rFonts w:hint="eastAsia" w:ascii="宋体" w:hAnsi="宋体" w:cs="宋体"/>
          <w:color w:val="auto"/>
          <w:kern w:val="0"/>
          <w:sz w:val="24"/>
          <w:szCs w:val="24"/>
          <w:highlight w:val="none"/>
          <w:lang w:val="zh-CN"/>
        </w:rPr>
        <w:t>（修改）开工预付款的金额在项目专用合同条款数据表中约定。在承包人签订了合同协议书并提交了履约保证金后，且在承包人承诺的主要设备进场后，开工预付款分</w:t>
      </w:r>
      <w:r>
        <w:rPr>
          <w:rFonts w:hint="eastAsia" w:ascii="宋体" w:hAnsi="宋体" w:eastAsia="宋体" w:cs="宋体"/>
          <w:color w:val="auto"/>
          <w:kern w:val="0"/>
          <w:sz w:val="24"/>
          <w:szCs w:val="24"/>
          <w:highlight w:val="none"/>
          <w:lang w:val="zh-CN"/>
        </w:rPr>
        <w:t>1次支付。承包人向项目法人提供资金使用计划，经批准后在项目法人的监督下用于工程建设直接费上。</w:t>
      </w:r>
    </w:p>
    <w:p w14:paraId="5A6B293D">
      <w:pPr>
        <w:pStyle w:val="105"/>
        <w:numPr>
          <w:ilvl w:val="0"/>
          <w:numId w:val="0"/>
        </w:numPr>
        <w:tabs>
          <w:tab w:val="left" w:pos="1080"/>
        </w:tabs>
        <w:autoSpaceDE w:val="0"/>
        <w:autoSpaceDN w:val="0"/>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17.2.3预付款的扣回与还清</w:t>
      </w:r>
    </w:p>
    <w:p w14:paraId="5E2035DA">
      <w:pPr>
        <w:pStyle w:val="105"/>
        <w:numPr>
          <w:ilvl w:val="0"/>
          <w:numId w:val="0"/>
        </w:numPr>
        <w:tabs>
          <w:tab w:val="left" w:pos="1080"/>
        </w:tabs>
        <w:autoSpaceDE w:val="0"/>
        <w:autoSpaceDN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本项约定为：</w:t>
      </w:r>
    </w:p>
    <w:p w14:paraId="33E5E317">
      <w:pPr>
        <w:pStyle w:val="105"/>
        <w:numPr>
          <w:ilvl w:val="0"/>
          <w:numId w:val="0"/>
        </w:numPr>
        <w:tabs>
          <w:tab w:val="left" w:pos="1080"/>
        </w:tabs>
        <w:autoSpaceDE w:val="0"/>
        <w:autoSpaceDN w:val="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（1）开工预付款在进度付款证书的累计金额未达到签约合同价的 30%之前不予 扣回，在达到签约合同价 30%之后，开始按工程进度以固定比例（即每完成签约合 同价的 1%，扣回开工预付款的 2%）分期从各月的进度付款证书中扣回，全部金额 在进度付款证书的累计金额达到签约合同价的 80%时扣完。</w:t>
      </w:r>
    </w:p>
    <w:p w14:paraId="01D0DAD1">
      <w:pPr>
        <w:pStyle w:val="105"/>
        <w:tabs>
          <w:tab w:val="left" w:pos="1080"/>
        </w:tabs>
        <w:autoSpaceDE w:val="0"/>
        <w:autoSpaceDN w:val="0"/>
        <w:ind w:firstLine="480"/>
        <w:jc w:val="center"/>
        <w:rPr>
          <w:rFonts w:hint="eastAsia" w:ascii="宋体" w:hAnsi="宋体" w:cs="宋体"/>
          <w:color w:val="auto"/>
          <w:kern w:val="0"/>
          <w:sz w:val="24"/>
          <w:szCs w:val="24"/>
          <w:highlight w:val="none"/>
          <w:lang w:val="zh-CN"/>
        </w:rPr>
      </w:pPr>
      <w:r>
        <w:rPr>
          <w:rFonts w:hint="eastAsia" w:ascii="宋体" w:hAnsi="宋体" w:eastAsia="宋体" w:cs="宋体"/>
          <w:color w:val="auto"/>
          <w:kern w:val="0"/>
          <w:sz w:val="36"/>
          <w:szCs w:val="36"/>
          <w:highlight w:val="none"/>
          <w:lang w:val="zh-CN"/>
        </w:rPr>
        <w:t>17.3  工程进度付款</w:t>
      </w:r>
    </w:p>
    <w:p w14:paraId="60E3502A">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17.3.5农民工工资保证金的缴存时间：</w:t>
      </w:r>
      <w:r>
        <w:rPr>
          <w:rFonts w:hint="eastAsia" w:ascii="宋体" w:hAnsi="宋体" w:cs="宋体"/>
          <w:color w:val="auto"/>
          <w:kern w:val="0"/>
          <w:sz w:val="24"/>
          <w:szCs w:val="24"/>
          <w:highlight w:val="none"/>
          <w:u w:val="single"/>
          <w:lang w:val="zh-CN"/>
        </w:rPr>
        <w:t xml:space="preserve"> 签订合同后20天内        </w:t>
      </w:r>
    </w:p>
    <w:p w14:paraId="5066AE7C">
      <w:pPr>
        <w:pStyle w:val="105"/>
        <w:widowControl/>
        <w:autoSpaceDE w:val="0"/>
        <w:autoSpaceDN w:val="0"/>
        <w:ind w:firstLine="480"/>
        <w:jc w:val="left"/>
        <w:rPr>
          <w:rFonts w:hint="eastAsia"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lang w:val="zh-CN"/>
        </w:rPr>
        <w:t>农民工工资保证金的缴存金额：</w:t>
      </w:r>
      <w:r>
        <w:rPr>
          <w:rFonts w:hint="eastAsia" w:ascii="宋体" w:hAnsi="宋体" w:cs="宋体"/>
          <w:color w:val="auto"/>
          <w:kern w:val="0"/>
          <w:sz w:val="24"/>
          <w:szCs w:val="24"/>
          <w:highlight w:val="none"/>
          <w:u w:val="single"/>
          <w:lang w:val="zh-CN"/>
        </w:rPr>
        <w:t xml:space="preserve">  详见4.9款</w:t>
      </w:r>
    </w:p>
    <w:p w14:paraId="2F15C95F">
      <w:pPr>
        <w:pStyle w:val="105"/>
        <w:widowControl/>
        <w:shd w:val="clear" w:color="auto" w:fill="FFFFFF"/>
        <w:autoSpaceDE w:val="0"/>
        <w:autoSpaceDN w:val="0"/>
        <w:ind w:firstLine="480"/>
        <w:jc w:val="left"/>
        <w:rPr>
          <w:rFonts w:hint="eastAsia"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u w:val="single"/>
          <w:lang w:val="zh-CN"/>
        </w:rPr>
        <w:t>及（人社部发[2021]65号）人力资源社会保障部_住房和城乡建设部_交通运输部_水利部_银保监会_铁路局_民航局关于印发《工程建设领域农民工工资保证金规定》的通知规定</w:t>
      </w:r>
    </w:p>
    <w:p w14:paraId="424925B0">
      <w:pPr>
        <w:pStyle w:val="105"/>
        <w:tabs>
          <w:tab w:val="left" w:pos="1080"/>
        </w:tabs>
        <w:autoSpaceDE w:val="0"/>
        <w:autoSpaceDN w:val="0"/>
        <w:ind w:firstLine="480"/>
        <w:jc w:val="left"/>
        <w:rPr>
          <w:rFonts w:hint="eastAsia"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lang w:val="zh-CN"/>
        </w:rPr>
        <w:t>农民工工资保证金的扣留条件：</w:t>
      </w:r>
      <w:r>
        <w:rPr>
          <w:rFonts w:hint="eastAsia" w:ascii="宋体" w:hAnsi="宋体" w:cs="宋体"/>
          <w:color w:val="auto"/>
          <w:kern w:val="0"/>
          <w:sz w:val="24"/>
          <w:szCs w:val="24"/>
          <w:highlight w:val="none"/>
          <w:u w:val="single"/>
          <w:lang w:val="zh-CN"/>
        </w:rPr>
        <w:t xml:space="preserve"> 按（人社部发[2021]65号）人力资源社会保障部_住房和城乡建设部_交通运输部_水利部_银保监会_铁路局_民航局关于印发《工程建设领域农民工工资保证金规定》的通知规定</w:t>
      </w:r>
    </w:p>
    <w:p w14:paraId="32FC3842">
      <w:pPr>
        <w:pStyle w:val="105"/>
        <w:tabs>
          <w:tab w:val="left" w:pos="1080"/>
        </w:tabs>
        <w:autoSpaceDE w:val="0"/>
        <w:autoSpaceDN w:val="0"/>
        <w:ind w:firstLine="480"/>
        <w:jc w:val="left"/>
        <w:rPr>
          <w:rFonts w:hint="eastAsia"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lang w:val="zh-CN"/>
        </w:rPr>
        <w:t>农民工工资保证金的返还时间：</w:t>
      </w:r>
      <w:r>
        <w:rPr>
          <w:rFonts w:hint="eastAsia" w:ascii="宋体" w:hAnsi="宋体" w:cs="宋体"/>
          <w:color w:val="auto"/>
          <w:kern w:val="0"/>
          <w:sz w:val="24"/>
          <w:szCs w:val="24"/>
          <w:highlight w:val="none"/>
          <w:u w:val="single"/>
          <w:lang w:val="zh-CN"/>
        </w:rPr>
        <w:t xml:space="preserve"> 按（人社部发[2021]65号）人力资源社会保障部_住房和城乡建设部_交通运输部_水利部_银保监会_铁路局_民航局关于印发《工程建设领域农民工工资保证金规定》的通知规定  </w:t>
      </w:r>
    </w:p>
    <w:p w14:paraId="1CDA538A">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p>
    <w:p w14:paraId="36C67A37">
      <w:pPr>
        <w:pStyle w:val="105"/>
        <w:tabs>
          <w:tab w:val="left" w:pos="1080"/>
        </w:tabs>
        <w:autoSpaceDE w:val="0"/>
        <w:autoSpaceDN w:val="0"/>
        <w:ind w:firstLine="482"/>
        <w:jc w:val="left"/>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17.5款增加：竣工结算审核</w:t>
      </w:r>
    </w:p>
    <w:p w14:paraId="512923B8">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本工程最终竣工结算达到《自治区本级财政投资评审实施办法》（桂财办〔2015〕70号）规定的评审范围的，需报财政部门审定，承包人所编制的工程竣工资料经发包人审核后，送到财政部门之日起，承包人所遗漏的与工程造价有关的签证不再作为结算审核依据，按自动放弃处理。</w:t>
      </w:r>
    </w:p>
    <w:p w14:paraId="1FD66C9B">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（2）如承包人报送的工程结算总价过高，造成该结算审减率超过6%以上的，则超出6%以上部分的审核费由承包人承担，费用由发包人从承包人工程结算款中扣除。计算公式如下：</w:t>
      </w:r>
    </w:p>
    <w:p w14:paraId="0FE19586">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审减率=（送审造价-审定造价）/送审造价*100%；</w:t>
      </w:r>
    </w:p>
    <w:p w14:paraId="27AD58D7">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当审减率大于6%时，承包人应承担的审核费=（净审减额-送审额*6%）*3.5%”，净核减额=送审额-审定额。</w:t>
      </w:r>
    </w:p>
    <w:p w14:paraId="2E65F1A2">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结算审核约定：发包人完成竣工付款的期限：竣工结算报告经三方签字盖章后28天内。</w:t>
      </w:r>
    </w:p>
    <w:p w14:paraId="7A297302">
      <w:pPr>
        <w:pStyle w:val="105"/>
        <w:numPr>
          <w:ilvl w:val="0"/>
          <w:numId w:val="0"/>
        </w:numPr>
        <w:tabs>
          <w:tab w:val="left" w:pos="1080"/>
        </w:tabs>
        <w:autoSpaceDE w:val="0"/>
        <w:autoSpaceDN w:val="0"/>
        <w:ind w:left="0" w:leftChars="0" w:firstLine="480" w:firstLineChars="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eastAsia="zh-CN" w:bidi="ar-SA"/>
        </w:rPr>
        <w:t>（</w:t>
      </w:r>
      <w:r>
        <w:rPr>
          <w:rFonts w:hint="eastAsia" w:ascii="宋体" w:hAnsi="宋体" w:cs="宋体"/>
          <w:color w:val="auto"/>
          <w:kern w:val="0"/>
          <w:sz w:val="24"/>
          <w:szCs w:val="24"/>
          <w:highlight w:val="none"/>
          <w:lang w:val="en-US" w:eastAsia="zh-CN" w:bidi="ar-SA"/>
        </w:rPr>
        <w:t>3</w:t>
      </w:r>
      <w:r>
        <w:rPr>
          <w:rFonts w:hint="eastAsia" w:ascii="宋体" w:hAnsi="宋体" w:cs="宋体"/>
          <w:color w:val="auto"/>
          <w:kern w:val="0"/>
          <w:sz w:val="24"/>
          <w:szCs w:val="24"/>
          <w:highlight w:val="none"/>
          <w:lang w:val="zh-CN" w:eastAsia="zh-CN" w:bidi="ar-SA"/>
        </w:rPr>
        <w:t>）</w:t>
      </w:r>
      <w:r>
        <w:rPr>
          <w:rFonts w:hint="eastAsia" w:ascii="宋体" w:hAnsi="宋体" w:cs="宋体"/>
          <w:color w:val="auto"/>
          <w:kern w:val="0"/>
          <w:sz w:val="24"/>
          <w:szCs w:val="24"/>
          <w:highlight w:val="none"/>
          <w:lang w:val="zh-CN"/>
        </w:rPr>
        <w:t>合同段中含多个项目的须每个项目单独办理结算。</w:t>
      </w:r>
    </w:p>
    <w:p w14:paraId="7BADDA73">
      <w:pPr>
        <w:pStyle w:val="105"/>
        <w:numPr>
          <w:ilvl w:val="0"/>
          <w:numId w:val="0"/>
        </w:numPr>
        <w:tabs>
          <w:tab w:val="left" w:pos="1080"/>
        </w:tabs>
        <w:autoSpaceDE w:val="0"/>
        <w:autoSpaceDN w:val="0"/>
        <w:ind w:left="0" w:leftChars="0" w:firstLine="480" w:firstLineChars="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工程交工验收报告经发包人确认后30天内，承包人应向发包人递交竣工验收合格资料及完整的结算资料和报告，双方按照本工程合同约定的价格形式及价款调整办法进行工程竣工结算。如承包人逾期递交竣工验收合格资料及完整的结算资料和报告，每延误一天，按签约合同价的万分之二计算逾期违约金，违约金直接从结算价款中扣除。违约金上限：签约合同价扣除发包人材料价款、暂估专业工程、暂列金额后的百分之三。</w:t>
      </w:r>
    </w:p>
    <w:p w14:paraId="63AC9E2A">
      <w:pPr>
        <w:pStyle w:val="105"/>
        <w:numPr>
          <w:ilvl w:val="0"/>
          <w:numId w:val="0"/>
        </w:numPr>
        <w:tabs>
          <w:tab w:val="left" w:pos="1080"/>
        </w:tabs>
        <w:autoSpaceDE w:val="0"/>
        <w:autoSpaceDN w:val="0"/>
        <w:ind w:left="480" w:leftChars="0"/>
        <w:jc w:val="left"/>
        <w:rPr>
          <w:rFonts w:hint="eastAsia" w:ascii="宋体" w:hAnsi="宋体" w:cs="宋体"/>
          <w:color w:val="auto"/>
          <w:kern w:val="0"/>
          <w:sz w:val="24"/>
          <w:szCs w:val="24"/>
          <w:highlight w:val="none"/>
          <w:lang w:val="zh-CN"/>
        </w:rPr>
      </w:pPr>
    </w:p>
    <w:p w14:paraId="1AD38DBB">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18.9 竣工文件</w:t>
      </w:r>
    </w:p>
    <w:p w14:paraId="2623EE11">
      <w:pPr>
        <w:pStyle w:val="105"/>
        <w:tabs>
          <w:tab w:val="left" w:pos="1080"/>
        </w:tabs>
        <w:autoSpaceDE w:val="0"/>
        <w:autoSpaceDN w:val="0"/>
        <w:ind w:firstLine="482"/>
        <w:jc w:val="left"/>
        <w:rPr>
          <w:rFonts w:hint="eastAsia" w:ascii="宋体" w:hAnsi="宋体" w:cs="宋体"/>
          <w:color w:val="auto"/>
          <w:kern w:val="0"/>
          <w:sz w:val="24"/>
          <w:szCs w:val="24"/>
          <w:highlight w:val="none"/>
          <w:lang w:val="zh-CN"/>
        </w:rPr>
      </w:pPr>
      <w:r>
        <w:rPr>
          <w:rFonts w:hint="eastAsia" w:ascii="宋体" w:hAnsi="宋体" w:cs="宋体"/>
          <w:b/>
          <w:bCs/>
          <w:color w:val="auto"/>
          <w:kern w:val="0"/>
          <w:sz w:val="24"/>
          <w:szCs w:val="24"/>
          <w:highlight w:val="none"/>
          <w:lang w:val="zh-CN"/>
        </w:rPr>
        <w:t xml:space="preserve"> （增加）</w:t>
      </w:r>
      <w:r>
        <w:rPr>
          <w:rFonts w:hint="eastAsia" w:ascii="宋体" w:hAnsi="宋体" w:cs="宋体"/>
          <w:color w:val="auto"/>
          <w:kern w:val="0"/>
          <w:sz w:val="24"/>
          <w:szCs w:val="24"/>
          <w:highlight w:val="none"/>
          <w:lang w:val="zh-CN"/>
        </w:rPr>
        <w:t>工程竣工文件的立卷归档按交通部《公路工程竣工文件材料立卷归档管理办法》（交办发[2010]382号）和广西壮族自治区公路管理局《广西公路网建设工程档案验收办法》执行。合同段中含多个项目的须每个项目单独立卷归档。</w:t>
      </w:r>
    </w:p>
    <w:p w14:paraId="41DFEF1B">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20保险</w:t>
      </w:r>
    </w:p>
    <w:p w14:paraId="71041BE6">
      <w:pPr>
        <w:pStyle w:val="105"/>
        <w:tabs>
          <w:tab w:val="left" w:pos="1080"/>
        </w:tabs>
        <w:autoSpaceDE w:val="0"/>
        <w:autoSpaceDN w:val="0"/>
        <w:ind w:firstLine="482"/>
        <w:jc w:val="left"/>
        <w:rPr>
          <w:rFonts w:hint="eastAsia" w:ascii="宋体" w:hAnsi="宋体" w:cs="宋体"/>
          <w:color w:val="auto"/>
          <w:kern w:val="0"/>
          <w:sz w:val="24"/>
          <w:szCs w:val="24"/>
          <w:highlight w:val="none"/>
          <w:lang w:val="zh-CN"/>
        </w:rPr>
      </w:pPr>
    </w:p>
    <w:p w14:paraId="37C9C117">
      <w:pPr>
        <w:pStyle w:val="105"/>
        <w:ind w:left="228" w:leftChars="95" w:firstLine="199" w:firstLineChars="83"/>
        <w:rPr>
          <w:rFonts w:hint="eastAsia" w:ascii="宋体" w:hAnsi="宋体" w:cs="宋体"/>
          <w:color w:val="auto"/>
          <w:sz w:val="24"/>
          <w:szCs w:val="24"/>
          <w:highlight w:val="none"/>
        </w:rPr>
      </w:pPr>
      <w:r>
        <w:rPr>
          <w:rFonts w:hint="eastAsia" w:ascii="宋体" w:hAnsi="宋体" w:cs="宋体"/>
          <w:color w:val="auto"/>
          <w:sz w:val="24"/>
          <w:szCs w:val="24"/>
          <w:highlight w:val="none"/>
        </w:rPr>
        <w:t>删除本条款，以下文代替：</w:t>
      </w:r>
    </w:p>
    <w:p w14:paraId="721302B1">
      <w:pPr>
        <w:pStyle w:val="105"/>
        <w:autoSpaceDE w:val="0"/>
        <w:autoSpaceDN w:val="0"/>
        <w:adjustRightInd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承包人须购买安全生产责任险，要求累计责任限额不底于500万元，每次事故限额不底于500万元，每人伤亡责任限额不底于100万元，每人医疗费用责任限额不底于30万元，三者财产损失赔偿限额不底于150万元，保险期限为自施工队伍进场之日起至工程通过竣工验收时止。</w:t>
      </w:r>
    </w:p>
    <w:p w14:paraId="21353AB6">
      <w:pPr>
        <w:pStyle w:val="105"/>
        <w:tabs>
          <w:tab w:val="left" w:pos="1080"/>
        </w:tabs>
        <w:autoSpaceDE w:val="0"/>
        <w:autoSpaceDN w:val="0"/>
        <w:ind w:firstLine="480"/>
        <w:jc w:val="left"/>
        <w:rPr>
          <w:rFonts w:hint="eastAsia" w:ascii="宋体" w:hAnsi="宋体" w:cs="宋体"/>
          <w:b/>
          <w:bCs/>
          <w:color w:val="auto"/>
          <w:sz w:val="24"/>
          <w:szCs w:val="24"/>
          <w:highlight w:val="none"/>
          <w:lang w:val="zh-CN"/>
        </w:rPr>
      </w:pPr>
      <w:r>
        <w:rPr>
          <w:rFonts w:hint="eastAsia" w:ascii="宋体" w:hAnsi="宋体" w:cs="宋体"/>
          <w:color w:val="auto"/>
          <w:kern w:val="0"/>
          <w:sz w:val="24"/>
          <w:szCs w:val="24"/>
          <w:highlight w:val="none"/>
          <w:lang w:val="zh-CN"/>
        </w:rPr>
        <w:t>施工合同签订后工程开工前</w:t>
      </w:r>
      <w:r>
        <w:rPr>
          <w:rFonts w:hint="eastAsia" w:ascii="宋体" w:hAnsi="宋体" w:cs="宋体"/>
          <w:b/>
          <w:bCs/>
          <w:color w:val="auto"/>
          <w:kern w:val="0"/>
          <w:sz w:val="24"/>
          <w:szCs w:val="24"/>
          <w:highlight w:val="none"/>
          <w:lang w:val="zh-CN"/>
        </w:rPr>
        <w:t>15</w:t>
      </w:r>
      <w:r>
        <w:rPr>
          <w:rFonts w:hint="eastAsia" w:ascii="宋体" w:hAnsi="宋体" w:cs="宋体"/>
          <w:color w:val="auto"/>
          <w:kern w:val="0"/>
          <w:sz w:val="24"/>
          <w:szCs w:val="24"/>
          <w:highlight w:val="none"/>
          <w:lang w:val="zh-CN"/>
        </w:rPr>
        <w:t>日，承包人必须与保险公司签订安全生产责任险的保险合同</w:t>
      </w:r>
      <w:r>
        <w:rPr>
          <w:rFonts w:hint="eastAsia" w:ascii="宋体" w:hAnsi="宋体" w:cs="宋体"/>
          <w:color w:val="auto"/>
          <w:kern w:val="0"/>
          <w:sz w:val="22"/>
          <w:highlight w:val="none"/>
          <w:lang w:val="zh-CN"/>
        </w:rPr>
        <w:t>。</w:t>
      </w:r>
    </w:p>
    <w:p w14:paraId="23CED6E1">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21.1不可抗力的确认</w:t>
      </w:r>
    </w:p>
    <w:p w14:paraId="24B2BC61">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公路工程专用合同条款21. 1款</w:t>
      </w:r>
    </w:p>
    <w:p w14:paraId="606954FC">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21.1.1  （6）项目专用合同条款约定的其他情形：</w:t>
      </w:r>
      <w:r>
        <w:rPr>
          <w:rFonts w:hint="eastAsia" w:ascii="宋体" w:hAnsi="宋体" w:cs="宋体"/>
          <w:color w:val="auto"/>
          <w:kern w:val="0"/>
          <w:sz w:val="24"/>
          <w:szCs w:val="24"/>
          <w:highlight w:val="none"/>
          <w:u w:val="single"/>
          <w:lang w:val="zh-CN"/>
        </w:rPr>
        <w:t xml:space="preserve">   /  </w:t>
      </w:r>
      <w:r>
        <w:rPr>
          <w:rFonts w:hint="eastAsia" w:ascii="宋体" w:hAnsi="宋体" w:cs="宋体"/>
          <w:color w:val="auto"/>
          <w:kern w:val="0"/>
          <w:sz w:val="24"/>
          <w:szCs w:val="24"/>
          <w:highlight w:val="none"/>
          <w:lang w:val="zh-CN"/>
        </w:rPr>
        <w:t xml:space="preserve"> </w:t>
      </w:r>
    </w:p>
    <w:p w14:paraId="441BE8A2">
      <w:pPr>
        <w:pStyle w:val="105"/>
        <w:autoSpaceDE w:val="0"/>
        <w:autoSpaceDN w:val="0"/>
        <w:spacing w:before="120" w:after="120"/>
        <w:ind w:left="42" w:firstLine="562"/>
        <w:jc w:val="center"/>
        <w:outlineLvl w:val="4"/>
        <w:rPr>
          <w:rFonts w:hint="eastAsia" w:ascii="宋体" w:hAnsi="宋体" w:cs="宋体"/>
          <w:color w:val="auto"/>
          <w:kern w:val="0"/>
          <w:sz w:val="28"/>
          <w:szCs w:val="28"/>
          <w:highlight w:val="none"/>
          <w:lang w:val="zh-CN"/>
        </w:rPr>
      </w:pPr>
      <w:r>
        <w:rPr>
          <w:rFonts w:hint="eastAsia" w:ascii="宋体" w:hAnsi="宋体" w:cs="宋体"/>
          <w:color w:val="auto"/>
          <w:kern w:val="0"/>
          <w:sz w:val="36"/>
          <w:szCs w:val="36"/>
          <w:highlight w:val="none"/>
          <w:lang w:val="zh-CN"/>
        </w:rPr>
        <w:t>22.1  承包人违约</w:t>
      </w:r>
    </w:p>
    <w:p w14:paraId="1A214A14">
      <w:pPr>
        <w:pStyle w:val="105"/>
        <w:autoSpaceDE w:val="0"/>
        <w:autoSpaceDN w:val="0"/>
        <w:ind w:left="228" w:leftChars="95" w:firstLine="318" w:firstLineChars="132"/>
        <w:jc w:val="left"/>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22.1.1承包人违约的情形</w:t>
      </w:r>
    </w:p>
    <w:p w14:paraId="039F5761">
      <w:pPr>
        <w:pStyle w:val="105"/>
        <w:autoSpaceDE w:val="0"/>
        <w:autoSpaceDN w:val="0"/>
        <w:ind w:firstLine="480"/>
        <w:jc w:val="left"/>
        <w:rPr>
          <w:rFonts w:hint="eastAsia" w:ascii="宋体" w:hAnsi="宋体" w:cs="宋体"/>
          <w:color w:val="auto"/>
          <w:kern w:val="0"/>
          <w:sz w:val="24"/>
          <w:szCs w:val="24"/>
          <w:highlight w:val="none"/>
          <w:lang w:val="zh-CN"/>
        </w:rPr>
      </w:pPr>
    </w:p>
    <w:p w14:paraId="4078DA61">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（1）承包人违反第1.8款或第4.3款的约定，私自将合同的全部或部分权利转让给其他人，或私自将合同的全部或部分义务转移给其他人；</w:t>
      </w:r>
    </w:p>
    <w:p w14:paraId="3DF5DAB9">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（2）承包人违反第5.3款或第6.4款的约定，未经监理人批准，私自将已按合同约定进入施工场地的施工设备、临时设施、材料或工程设备撤离施工场地；</w:t>
      </w:r>
    </w:p>
    <w:p w14:paraId="2A58A100">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（3）承包人违反第5.4款的约定使用了不合格材料或工程设备，工程质量达不到标准要求，又拒绝清理不合格工程；</w:t>
      </w:r>
    </w:p>
    <w:p w14:paraId="0BD8EC05">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（4）承包人未能按合同进度计划及时完成合同约定的工作，己造成或预期造成工期延误；</w:t>
      </w:r>
    </w:p>
    <w:p w14:paraId="6DD4C6C3">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（5）承包人在缺陷责任期内，未能对工程接受证书所列的缺陷清单的内容或缺陷责任期内发生的缺陷进行修复，而又拒绝按监理人指示再进行修补；</w:t>
      </w:r>
    </w:p>
    <w:p w14:paraId="6D0BD44D">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（6）承包人无法继续履行或明确表示不履行或实质上己停止履行合同；</w:t>
      </w:r>
    </w:p>
    <w:p w14:paraId="75928BDE">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（7）承包人未能按期开工；</w:t>
      </w:r>
    </w:p>
    <w:p w14:paraId="5C334339">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（8）承包人违反第4.6款或第6.3款的规定，未按承诺或未按监理人的要求及时配备称职的主要管理人员、技术骨干或关键施工设备；</w:t>
      </w:r>
    </w:p>
    <w:p w14:paraId="26E2278F">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（9）经监理人和发包人检查，发现承包人有安全问题或有违反安全管理规章制度的情况；</w:t>
      </w:r>
    </w:p>
    <w:p w14:paraId="51DCB6A3">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（10）承包人不按合同约定履行义务的其他情况。</w:t>
      </w:r>
    </w:p>
    <w:p w14:paraId="160707F7">
      <w:pPr>
        <w:pStyle w:val="105"/>
        <w:tabs>
          <w:tab w:val="left" w:pos="1080"/>
        </w:tabs>
        <w:autoSpaceDE w:val="0"/>
        <w:autoSpaceDN w:val="0"/>
        <w:ind w:firstLine="361" w:firstLineChars="150"/>
        <w:jc w:val="left"/>
        <w:rPr>
          <w:rFonts w:hint="eastAsia" w:ascii="宋体" w:hAnsi="宋体" w:cs="宋体"/>
          <w:b/>
          <w:bCs/>
          <w:color w:val="auto"/>
          <w:kern w:val="0"/>
          <w:sz w:val="24"/>
          <w:szCs w:val="24"/>
          <w:highlight w:val="none"/>
          <w:lang w:val="zh-CN"/>
        </w:rPr>
      </w:pPr>
    </w:p>
    <w:p w14:paraId="31A5F867">
      <w:pPr>
        <w:pStyle w:val="105"/>
        <w:autoSpaceDE w:val="0"/>
        <w:autoSpaceDN w:val="0"/>
        <w:ind w:left="228" w:leftChars="95" w:firstLine="318" w:firstLineChars="132"/>
        <w:jc w:val="left"/>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22.1.2  对承包人违约的处理</w:t>
      </w:r>
    </w:p>
    <w:p w14:paraId="335BA836">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（1）承包人发生第22.1.1⑹目约定的违约情形时，发包人可通知承包人立即解除合同，并按有关法律处理。</w:t>
      </w:r>
    </w:p>
    <w:p w14:paraId="10E50B24">
      <w:pPr>
        <w:pStyle w:val="105"/>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（2）承包人发生第22.1.1⑹目约定以外的违约情形时，监理人可向承包人发出整改通知，要求其在指定的期限内改正。承包人应承担其违约所引起的费用增加和（或）工期延误。</w:t>
      </w:r>
    </w:p>
    <w:p w14:paraId="5DF8D03B">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（3）经检查证明承包人已采取了有效措施纠正违约行为，具备复工条件的可由监理人签发复工通知进行复工。</w:t>
      </w:r>
    </w:p>
    <w:p w14:paraId="75F4EF10">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18383DD3">
      <w:pPr>
        <w:pStyle w:val="105"/>
        <w:tabs>
          <w:tab w:val="left" w:pos="1080"/>
        </w:tabs>
        <w:autoSpaceDE w:val="0"/>
        <w:autoSpaceDN w:val="0"/>
        <w:ind w:firstLine="562"/>
        <w:jc w:val="left"/>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增加</w:t>
      </w:r>
    </w:p>
    <w:p w14:paraId="2FC7941B">
      <w:pPr>
        <w:pStyle w:val="105"/>
        <w:tabs>
          <w:tab w:val="left" w:pos="1080"/>
        </w:tabs>
        <w:autoSpaceDE w:val="0"/>
        <w:autoSpaceDN w:val="0"/>
        <w:ind w:firstLine="562"/>
        <w:jc w:val="left"/>
        <w:rPr>
          <w:rFonts w:hint="eastAsia" w:ascii="宋体" w:hAnsi="宋体" w:cs="宋体"/>
          <w:color w:val="auto"/>
          <w:kern w:val="0"/>
          <w:sz w:val="24"/>
          <w:szCs w:val="24"/>
          <w:highlight w:val="none"/>
          <w:lang w:val="zh-CN"/>
        </w:rPr>
      </w:pPr>
      <w:r>
        <w:rPr>
          <w:rFonts w:hint="eastAsia" w:ascii="宋体" w:hAnsi="宋体" w:cs="宋体"/>
          <w:b/>
          <w:bCs/>
          <w:color w:val="auto"/>
          <w:kern w:val="0"/>
          <w:sz w:val="24"/>
          <w:szCs w:val="24"/>
          <w:highlight w:val="none"/>
          <w:lang w:val="zh-CN"/>
        </w:rPr>
        <w:t>（5）承包人发生第22.1.1项（5）目情形，按第19.2.4款规定处理；</w:t>
      </w:r>
    </w:p>
    <w:p w14:paraId="26A0C4C9">
      <w:pPr>
        <w:pStyle w:val="105"/>
        <w:tabs>
          <w:tab w:val="left" w:pos="1080"/>
        </w:tabs>
        <w:autoSpaceDE w:val="0"/>
        <w:autoSpaceDN w:val="0"/>
        <w:ind w:firstLine="562"/>
        <w:jc w:val="left"/>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（6）有22.1.1.（8）款行为或以下行为的，视为承包人违约，可对承包人处以以下的违约金：</w:t>
      </w:r>
    </w:p>
    <w:p w14:paraId="0AA2F5D1">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a.承包人更换主要人员的（不管是否经项目法人或监理工程师同意），项目经理处10万元/人次，总工（或技术负责人）处5万元/人次，其他主要人员（指结构专业工程师、路基路面专业工程师、测量工程师、计量工程师和试验工程师）处2万元/人次；</w:t>
      </w:r>
    </w:p>
    <w:p w14:paraId="1695B11C">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b．项目经理或项目技术负责人未经发包人同意擅自离开工地，每天课以违约金500元／人；若虽经批准离开工地但每月在工地天数不足22天（特殊情况经监理人批准报发包人同意例外）的，每不足一天课以违约金500元／人。其它主要技术骨干人员每月在工地天数不足22天（特殊情况经监理人批准报发包人同意例外）的,每不足一天课以违约金300元／人；</w:t>
      </w:r>
    </w:p>
    <w:p w14:paraId="21A40AB8">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c．主要设备没有按进度和合同规定承诺进场的处500元/日台。</w:t>
      </w:r>
    </w:p>
    <w:p w14:paraId="34F86A6D">
      <w:pPr>
        <w:pStyle w:val="105"/>
        <w:tabs>
          <w:tab w:val="left" w:pos="1080"/>
        </w:tabs>
        <w:autoSpaceDE w:val="0"/>
        <w:autoSpaceDN w:val="0"/>
        <w:ind w:firstLine="562"/>
        <w:jc w:val="left"/>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（7）承包存在以下情形的，可对承包人处以以下违约金：</w:t>
      </w:r>
    </w:p>
    <w:p w14:paraId="5DFF4497">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a.发生质量事故，未按有关规定和时间向有关部门报告的,处2000元/次；</w:t>
      </w:r>
    </w:p>
    <w:p w14:paraId="67E62439">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b.出现二、三级一般质量事故，且承包人负有直接责任，或不能证明其履行其职责的,可处5000元/次；</w:t>
      </w:r>
    </w:p>
    <w:p w14:paraId="10E768D7">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c.发生一级一般质量事故或重大质量事故，且承包人负有直接责任，或不能证明其履行其职责的,可处10000元/次；</w:t>
      </w:r>
    </w:p>
    <w:p w14:paraId="09DE5B25">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d.因质量问题被地市级及以上交通主管部门、质量监督单位、公路管理机构通报（批评）的，可对承包人处以20000元违约金/次，红牌警告10000元/次，黄牌警告5000元/次。</w:t>
      </w:r>
    </w:p>
    <w:p w14:paraId="24F7D33D">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e．出现一般安全生事故负有责任的或发生重大安全事故不按规定报告的,可处1000元/处·次。</w:t>
      </w:r>
    </w:p>
    <w:p w14:paraId="39110F31">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f.出现重大安全生产事故负有责任的，可处10000元/处·次。</w:t>
      </w:r>
    </w:p>
    <w:p w14:paraId="18D8B13C">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g．由于施工原因造成污染、破坏被群众向政府、主管单位投诉或被环保、水利部门责令整改的，处1000元/次。</w:t>
      </w:r>
    </w:p>
    <w:p w14:paraId="16F9464C">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79547292">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j．劳务人员未按规定签订聘用合同并向项目法人、监理工程师报备的,处500元/人次。</w:t>
      </w:r>
    </w:p>
    <w:p w14:paraId="61957220">
      <w:pPr>
        <w:pStyle w:val="105"/>
        <w:tabs>
          <w:tab w:val="left" w:pos="1080"/>
        </w:tabs>
        <w:autoSpaceDE w:val="0"/>
        <w:autoSpaceDN w:val="0"/>
        <w:ind w:firstLine="562"/>
        <w:jc w:val="left"/>
        <w:rPr>
          <w:rFonts w:hint="eastAsia" w:ascii="宋体" w:hAns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（8）有以下情形的，可对承包人处以违约金。</w:t>
      </w:r>
    </w:p>
    <w:p w14:paraId="096115D3">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a.质量管理</w:t>
      </w:r>
    </w:p>
    <w:p w14:paraId="38BEC3CF">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（a）出现下列行为之一可处200元/（人）次。</w:t>
      </w:r>
    </w:p>
    <w:p w14:paraId="6F4102FC">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Ⅰ 分项工程施工现场无合格的施工责任牌；或</w:t>
      </w:r>
    </w:p>
    <w:p w14:paraId="24C7AFE4">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Ⅱ 分项工程施工现场无其相关责任人；或</w:t>
      </w:r>
    </w:p>
    <w:p w14:paraId="74686EBB">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Ⅲ 施工现场无基本的检测检验工具；或</w:t>
      </w:r>
    </w:p>
    <w:p w14:paraId="6B78CBF0">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Ⅳ 施工现场相关责任人无检查检验记录表；或</w:t>
      </w:r>
    </w:p>
    <w:p w14:paraId="5B5FA0E6">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Ⅴ 现场已完成工作无检查记录。</w:t>
      </w:r>
    </w:p>
    <w:p w14:paraId="047964CA">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（b）出现以下行为之一，可处1000元/次。</w:t>
      </w:r>
    </w:p>
    <w:p w14:paraId="4AF242E7">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Ⅰ　未按工序申请检验进入下一道工序的；或</w:t>
      </w:r>
    </w:p>
    <w:p w14:paraId="0D215F91">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Ⅱ　隐蔽工程记录文件不全；或</w:t>
      </w:r>
    </w:p>
    <w:p w14:paraId="2217EC93">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Ⅲ　施工试验检验频率不符合施工规范规定；或</w:t>
      </w:r>
    </w:p>
    <w:p w14:paraId="45950308">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Ⅳ　分项工程质量自检验收检验频率不符合质量评定标准规定的。</w:t>
      </w:r>
    </w:p>
    <w:p w14:paraId="72EF83BE">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（c）出现以下行为之一，可处2000元/次。</w:t>
      </w:r>
    </w:p>
    <w:p w14:paraId="7A6A0464">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Ⅰ　出现质量问题，且承包人负有直接责任的，或不能证明其履行其职责的。或</w:t>
      </w:r>
    </w:p>
    <w:p w14:paraId="6BAD79D9">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Ⅱ　发生质量事故，未按有关规定和时间向有关部门报告的；</w:t>
      </w:r>
    </w:p>
    <w:p w14:paraId="42C2261C">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Ⅲ　已经施工完成的工程没有按竣工文件收集归档管理办法要求依分项工程、工序将施工作业记录、测量记录、试验检测记录及工序报验审批记录等收集归档。</w:t>
      </w:r>
    </w:p>
    <w:p w14:paraId="04D113E9">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（d ）出现以下行为之一，可处5000元/次。</w:t>
      </w:r>
    </w:p>
    <w:p w14:paraId="3EAC3222">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Ⅰ　施工单位不接受质监机构监督；或</w:t>
      </w:r>
    </w:p>
    <w:p w14:paraId="7D529792">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Ⅱ　出现二、三级一般质量事故，且承包人负有直接责任，或不能证明其履行其职责的；或</w:t>
      </w:r>
    </w:p>
    <w:p w14:paraId="50AE5431">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Ⅲ　未按规定建立合格的工地试验室的；或</w:t>
      </w:r>
    </w:p>
    <w:p w14:paraId="40A7375D">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Ⅳ　路基土石方，路面各结构层一次单项单点实体抽查合格率为50%—70%的；或</w:t>
      </w:r>
    </w:p>
    <w:p w14:paraId="623CA5B2">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Ⅴ　使用主要材料（钢筋、水泥、沥青、碎石、砂、砂砾等）不合格的。或</w:t>
      </w:r>
    </w:p>
    <w:p w14:paraId="521269B4">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Ⅷ　已经施工完成的工程无法提供按竣工文件收集归档管理办法要求应收集的分项工程、工序的施工作业记录、测量记录、试验检测记录及工序报验审批记录等质量管理文件的。</w:t>
      </w:r>
    </w:p>
    <w:p w14:paraId="4E8EBCEA">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（e）出现以下行为之一，可处10000元/次。</w:t>
      </w:r>
    </w:p>
    <w:p w14:paraId="6DE43DCA">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Ⅰ　发生一级一般质量事故或重大质量事故，且承包人负有直接责任，或不能证明其履行其职责的； </w:t>
      </w:r>
    </w:p>
    <w:p w14:paraId="0E8BEEDC">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Ⅱ　路基土石方，路面各结构一次单项单点实体抽查合格率在50%以下的（单点合格率计算以设计值为准，达不到设计值的点为不合格点，下同）；或</w:t>
      </w:r>
    </w:p>
    <w:p w14:paraId="16EBF709">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Ⅲ　砌筑、排水、小桥、涵洞等构造物，中小型预制构件，房建工程等一次单点实体抽查合格率小于50%的；或</w:t>
      </w:r>
    </w:p>
    <w:p w14:paraId="5342D5B7">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Ⅳ　未按要求进行自检，弄虚作假、捏造数据、伪造试验报告的。</w:t>
      </w:r>
    </w:p>
    <w:p w14:paraId="019DD7A6">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（f）因质量问题被地市级及以上交通主管部门、质量监督单位、公路管理机构通报（批评）的，可对承包人处以100000元违约金，红牌警告50000元，黄牌警告30000元。</w:t>
      </w:r>
    </w:p>
    <w:p w14:paraId="57812220">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（g）因</w:t>
      </w:r>
      <w:r>
        <w:rPr>
          <w:rFonts w:hint="eastAsia" w:ascii="宋体" w:hAnsi="宋体" w:cs="宋体"/>
          <w:color w:val="auto"/>
          <w:kern w:val="0"/>
          <w:sz w:val="24"/>
          <w:szCs w:val="24"/>
          <w:highlight w:val="none"/>
          <w:u w:val="single"/>
          <w:lang w:val="zh-CN"/>
        </w:rPr>
        <w:t>上级部门</w:t>
      </w:r>
      <w:r>
        <w:rPr>
          <w:rFonts w:hint="eastAsia" w:ascii="宋体" w:hAnsi="宋体" w:cs="宋体"/>
          <w:color w:val="auto"/>
          <w:kern w:val="0"/>
          <w:sz w:val="24"/>
          <w:szCs w:val="24"/>
          <w:highlight w:val="none"/>
          <w:lang w:val="zh-CN"/>
        </w:rPr>
        <w:t>对施工现场抽检不合格的，按每项对承包人处以100000元罚款。</w:t>
      </w:r>
    </w:p>
    <w:p w14:paraId="1F4FCF62">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b．安全生产管理</w:t>
      </w:r>
    </w:p>
    <w:p w14:paraId="1518FFAA">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（a）出现下列行为之一可处200元/（人）次。</w:t>
      </w:r>
    </w:p>
    <w:p w14:paraId="4DCD5387">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Ⅰ　需持证上岗人员无证上岗的；或</w:t>
      </w:r>
    </w:p>
    <w:p w14:paraId="2B43E6BF">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Ⅱ　需配戴安全防护用具作业的；或</w:t>
      </w:r>
    </w:p>
    <w:p w14:paraId="06009AB9">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Ⅲ　未经登记、安全培训教育上岗的。</w:t>
      </w:r>
    </w:p>
    <w:p w14:paraId="39F818A1">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（b）出现下列行为之一可处500元/处次。</w:t>
      </w:r>
    </w:p>
    <w:p w14:paraId="2A40433B">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Ⅰ　无专职安全检查人员；或</w:t>
      </w:r>
    </w:p>
    <w:p w14:paraId="08976EAF">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Ⅱ　无安全生产检查日志；或</w:t>
      </w:r>
    </w:p>
    <w:p w14:paraId="05BCACFC">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Ⅲ　作业点或危险施工路段安全标志不全；或</w:t>
      </w:r>
    </w:p>
    <w:p w14:paraId="03AE28DB">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Ⅳ　安全标志（牌）、线（绳）不符国家规定的；或</w:t>
      </w:r>
    </w:p>
    <w:p w14:paraId="52C4A79F">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Ⅴ　易燃易爆物品管理不符合管理要求。</w:t>
      </w:r>
    </w:p>
    <w:p w14:paraId="15E98616">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（c）出现下列行为之一可处1000元/处次。</w:t>
      </w:r>
    </w:p>
    <w:p w14:paraId="606BDA06">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Ⅰ　施工作业点或施工形成的危险路段无规定的安全标志；或</w:t>
      </w:r>
    </w:p>
    <w:p w14:paraId="22FDD886">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Ⅱ　需设安全防护设施的未按规定设置；或</w:t>
      </w:r>
    </w:p>
    <w:p w14:paraId="425F4277">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Ⅲ　出现一般安全生事故负有责任的；或</w:t>
      </w:r>
    </w:p>
    <w:p w14:paraId="3B95FE27">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Ⅳ　发生重大安全事故不按规定报告的。</w:t>
      </w:r>
    </w:p>
    <w:p w14:paraId="53E16559">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（d）出现下列行为之一可处10000元/处次。</w:t>
      </w:r>
    </w:p>
    <w:p w14:paraId="44659B0F">
      <w:pPr>
        <w:pStyle w:val="105"/>
        <w:tabs>
          <w:tab w:val="left" w:pos="1080"/>
        </w:tabs>
        <w:autoSpaceDE w:val="0"/>
        <w:autoSpaceDN w:val="0"/>
        <w:ind w:left="420"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出现重大安全生产事故负有责任的。</w:t>
      </w:r>
    </w:p>
    <w:p w14:paraId="01DDE452">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c．文明施工与环境保护，交通通畅</w:t>
      </w:r>
    </w:p>
    <w:p w14:paraId="00F1F5BA">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（a）路基路面施工扬尘影响交通安全的处500元/处天；</w:t>
      </w:r>
    </w:p>
    <w:p w14:paraId="09D1F701">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（b）由于施工原因造成污染、破坏被群众向政府、主管单位投诉或被环保、水利部门责令整改的，处1000元/次。</w:t>
      </w:r>
    </w:p>
    <w:p w14:paraId="158E6739">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c）由于承包人原因包括不及时处理堵车造成交通堵塞，堵车30分钟至一小时的处5000元/次，堵车一小时至二小时的处1万元/次，堵车二小时以上的处每小时（不满1小时按1小时计）1万元，并建议上级主管单位进行通报。</w:t>
      </w:r>
    </w:p>
    <w:p w14:paraId="5102FD99">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d．其他重要规定违约处理</w:t>
      </w:r>
    </w:p>
    <w:p w14:paraId="3DD01E6B">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有下列行为之一的处500元/人次违约金并责令承包人进行整改。</w:t>
      </w:r>
    </w:p>
    <w:p w14:paraId="7B340500">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（a）劳务人员未按规定签订聘用合同并向业主、监理工程师报备；或</w:t>
      </w:r>
    </w:p>
    <w:p w14:paraId="457491ED">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（b）签订的劳务合同不符合劳动法等法规要求；或</w:t>
      </w:r>
    </w:p>
    <w:p w14:paraId="0904363C">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（c）劳务人员未编入承包人施工班组，并持项目经理签发的劳务上岗证上岗。</w:t>
      </w:r>
    </w:p>
    <w:p w14:paraId="14D07E50">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（11）上述被处的违约金在计量支付时从履约担保金中扣除，当扣除额达履约担保金总额30%时，承包人无条件进行足额补充。</w:t>
      </w:r>
    </w:p>
    <w:p w14:paraId="145A282F">
      <w:pPr>
        <w:pStyle w:val="105"/>
        <w:tabs>
          <w:tab w:val="left" w:pos="1080"/>
        </w:tabs>
        <w:autoSpaceDE w:val="0"/>
        <w:autoSpaceDN w:val="0"/>
        <w:ind w:firstLine="48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（12）业主（采购人）按合同进行违约处理后，并不解除承包人按照国家法规与合同应承担的责任与义务。</w:t>
      </w:r>
    </w:p>
    <w:p w14:paraId="393C7C8B">
      <w:pPr>
        <w:pStyle w:val="105"/>
        <w:spacing w:after="251"/>
        <w:jc w:val="left"/>
        <w:rPr>
          <w:rFonts w:hint="eastAsia" w:ascii="宋体" w:hAnsi="宋体" w:cs="宋体"/>
          <w:color w:val="auto"/>
          <w:spacing w:val="10"/>
          <w:kern w:val="0"/>
          <w:sz w:val="22"/>
          <w:highlight w:val="none"/>
        </w:rPr>
      </w:pPr>
      <w:r>
        <w:rPr>
          <w:rFonts w:hint="eastAsia" w:ascii="宋体" w:hAnsi="宋体" w:cs="宋体"/>
          <w:color w:val="auto"/>
          <w:spacing w:val="10"/>
          <w:kern w:val="0"/>
          <w:sz w:val="24"/>
          <w:szCs w:val="24"/>
          <w:highlight w:val="none"/>
        </w:rPr>
        <w:t xml:space="preserve">22.2  </w:t>
      </w:r>
      <w:r>
        <w:rPr>
          <w:rFonts w:hint="eastAsia" w:ascii="宋体" w:hAnsi="宋体" w:cs="宋体"/>
          <w:b/>
          <w:bCs/>
          <w:color w:val="auto"/>
          <w:kern w:val="0"/>
          <w:sz w:val="22"/>
          <w:highlight w:val="none"/>
          <w:lang w:val="zh-CN"/>
        </w:rPr>
        <w:t>发包人违约</w:t>
      </w:r>
    </w:p>
    <w:p w14:paraId="7C4F3AD6">
      <w:pPr>
        <w:pStyle w:val="105"/>
        <w:tabs>
          <w:tab w:val="left" w:leader="underscore" w:pos="8669"/>
        </w:tabs>
        <w:autoSpaceDE w:val="0"/>
        <w:autoSpaceDN w:val="0"/>
        <w:ind w:firstLine="440"/>
        <w:jc w:val="left"/>
        <w:rPr>
          <w:rFonts w:hint="eastAsia" w:ascii="宋体" w:hAnsi="宋体" w:cs="宋体"/>
          <w:color w:val="auto"/>
          <w:kern w:val="0"/>
          <w:sz w:val="22"/>
          <w:highlight w:val="none"/>
          <w:lang w:val="zh-CN"/>
        </w:rPr>
      </w:pPr>
      <w:r>
        <w:rPr>
          <w:rFonts w:hint="eastAsia" w:ascii="宋体" w:hAnsi="宋体" w:cs="宋体"/>
          <w:color w:val="auto"/>
          <w:kern w:val="0"/>
          <w:sz w:val="22"/>
          <w:highlight w:val="none"/>
          <w:shd w:val="clear" w:color="auto" w:fill="FFFFFF"/>
          <w:lang w:val="zh-CN"/>
        </w:rPr>
        <w:t>22.2.2发包人无正当理由不按时返还履约保证金、质量保证金或农民工资保证金的，发包人应向承包人支付的违约金如下：</w:t>
      </w:r>
      <w:r>
        <w:rPr>
          <w:rFonts w:hint="eastAsia" w:ascii="宋体" w:hAnsi="宋体" w:cs="宋体"/>
          <w:color w:val="auto"/>
          <w:kern w:val="0"/>
          <w:sz w:val="22"/>
          <w:highlight w:val="none"/>
          <w:u w:val="single"/>
          <w:shd w:val="clear" w:color="auto" w:fill="FFFFFF"/>
          <w:lang w:val="zh-CN"/>
        </w:rPr>
        <w:t xml:space="preserve">   /   </w:t>
      </w:r>
    </w:p>
    <w:p w14:paraId="74A7FCFB">
      <w:pPr>
        <w:pStyle w:val="105"/>
        <w:autoSpaceDE w:val="0"/>
        <w:autoSpaceDN w:val="0"/>
        <w:spacing w:before="2"/>
        <w:jc w:val="left"/>
        <w:rPr>
          <w:rFonts w:hint="eastAsia" w:ascii="宋体" w:hAnsi="宋体" w:cs="宋体"/>
          <w:color w:val="auto"/>
          <w:kern w:val="0"/>
          <w:sz w:val="43"/>
          <w:szCs w:val="43"/>
          <w:highlight w:val="none"/>
          <w:lang w:val="zh-CN"/>
        </w:rPr>
      </w:pPr>
    </w:p>
    <w:p w14:paraId="23782FA8">
      <w:pPr>
        <w:rPr>
          <w:rFonts w:ascii="宋体" w:hAnsi="宋体" w:cs="宋体"/>
          <w:color w:val="auto"/>
          <w:sz w:val="20"/>
          <w:highlight w:val="none"/>
        </w:rPr>
      </w:pPr>
      <w:r>
        <w:rPr>
          <w:rFonts w:ascii="宋体" w:hAnsi="宋体" w:cs="宋体"/>
          <w:color w:val="auto"/>
          <w:sz w:val="20"/>
          <w:highlight w:val="none"/>
        </w:rPr>
        <w:t xml:space="preserve"> </w:t>
      </w:r>
    </w:p>
    <w:bookmarkEnd w:id="121"/>
    <w:bookmarkEnd w:id="122"/>
    <w:bookmarkEnd w:id="123"/>
    <w:bookmarkEnd w:id="124"/>
    <w:bookmarkEnd w:id="125"/>
    <w:bookmarkEnd w:id="126"/>
    <w:p w14:paraId="66EADB1A">
      <w:pPr>
        <w:pStyle w:val="3"/>
        <w:rPr>
          <w:rFonts w:ascii="宋体" w:hAnsi="宋体" w:eastAsia="宋体" w:cs="宋体"/>
          <w:b/>
          <w:color w:val="auto"/>
          <w:sz w:val="32"/>
          <w:szCs w:val="32"/>
          <w:highlight w:val="none"/>
        </w:rPr>
      </w:pPr>
    </w:p>
    <w:p w14:paraId="049AA77E">
      <w:pPr>
        <w:rPr>
          <w:rFonts w:ascii="宋体" w:hAnsi="宋体" w:cs="宋体"/>
          <w:color w:val="auto"/>
          <w:highlight w:val="none"/>
        </w:rPr>
      </w:pPr>
    </w:p>
    <w:p w14:paraId="0481A519">
      <w:pPr>
        <w:ind w:firstLine="420"/>
        <w:rPr>
          <w:rFonts w:ascii="宋体" w:hAnsi="宋体" w:cs="宋体"/>
          <w:color w:val="auto"/>
          <w:highlight w:val="none"/>
        </w:rPr>
      </w:pPr>
    </w:p>
    <w:p w14:paraId="74C4B6F0">
      <w:pPr>
        <w:pStyle w:val="4"/>
        <w:jc w:val="center"/>
        <w:rPr>
          <w:rFonts w:ascii="宋体" w:hAnsi="宋体" w:eastAsia="宋体" w:cs="宋体"/>
          <w:color w:val="auto"/>
          <w:highlight w:val="none"/>
        </w:rPr>
      </w:pPr>
      <w:bookmarkStart w:id="129" w:name="_Toc514759052"/>
      <w:bookmarkStart w:id="130" w:name="_Toc517163147"/>
      <w:bookmarkStart w:id="131" w:name="_Toc511595192"/>
      <w:bookmarkStart w:id="132" w:name="_Toc2694"/>
      <w:bookmarkStart w:id="133" w:name="_Toc508779708"/>
      <w:r>
        <w:rPr>
          <w:rFonts w:ascii="宋体" w:hAnsi="宋体" w:eastAsia="宋体" w:cs="宋体"/>
          <w:color w:val="auto"/>
          <w:highlight w:val="none"/>
        </w:rPr>
        <w:t>第三节  合同附件格式</w:t>
      </w:r>
      <w:bookmarkEnd w:id="129"/>
      <w:bookmarkEnd w:id="130"/>
      <w:bookmarkEnd w:id="131"/>
      <w:bookmarkEnd w:id="132"/>
      <w:bookmarkEnd w:id="133"/>
    </w:p>
    <w:p w14:paraId="73B69C53">
      <w:pPr>
        <w:ind w:firstLine="482"/>
        <w:rPr>
          <w:rStyle w:val="100"/>
          <w:rFonts w:cs="宋体"/>
          <w:color w:val="auto"/>
          <w:highlight w:val="none"/>
        </w:rPr>
      </w:pPr>
    </w:p>
    <w:p w14:paraId="21C23CD8">
      <w:pPr>
        <w:ind w:firstLine="482"/>
        <w:rPr>
          <w:rStyle w:val="100"/>
          <w:rFonts w:cs="宋体"/>
          <w:color w:val="auto"/>
          <w:highlight w:val="none"/>
        </w:rPr>
      </w:pPr>
      <w:r>
        <w:rPr>
          <w:rStyle w:val="100"/>
          <w:rFonts w:cs="宋体"/>
          <w:color w:val="auto"/>
          <w:highlight w:val="none"/>
        </w:rPr>
        <w:t>均采用交通运输部《公路工程标准施工招标文件》（2018年版）的格式。</w:t>
      </w:r>
    </w:p>
    <w:p w14:paraId="53083182">
      <w:pPr>
        <w:tabs>
          <w:tab w:val="left" w:pos="1080"/>
        </w:tabs>
        <w:rPr>
          <w:rFonts w:ascii="宋体" w:hAnsi="宋体" w:cs="宋体"/>
          <w:color w:val="auto"/>
          <w:szCs w:val="21"/>
          <w:highlight w:val="none"/>
        </w:rPr>
      </w:pPr>
    </w:p>
    <w:p w14:paraId="361BFB51">
      <w:pPr>
        <w:pStyle w:val="5"/>
        <w:rPr>
          <w:rFonts w:hAnsi="宋体" w:cs="宋体"/>
          <w:color w:val="auto"/>
          <w:highlight w:val="none"/>
        </w:rPr>
      </w:pPr>
      <w:bookmarkStart w:id="134" w:name="_Toc511595193"/>
      <w:bookmarkStart w:id="135" w:name="_Toc6469"/>
      <w:bookmarkStart w:id="136" w:name="_Toc394929416"/>
      <w:bookmarkStart w:id="137" w:name="_Toc508779709"/>
      <w:r>
        <w:rPr>
          <w:rFonts w:hAnsi="宋体" w:cs="宋体"/>
          <w:color w:val="auto"/>
          <w:highlight w:val="none"/>
        </w:rPr>
        <w:br w:type="page"/>
      </w:r>
      <w:bookmarkStart w:id="138" w:name="_Toc514759053"/>
      <w:r>
        <w:rPr>
          <w:rFonts w:hAnsi="宋体" w:cs="宋体"/>
          <w:color w:val="auto"/>
          <w:highlight w:val="none"/>
        </w:rPr>
        <w:t>附件一  合同协议书</w:t>
      </w:r>
      <w:bookmarkEnd w:id="134"/>
      <w:bookmarkEnd w:id="135"/>
      <w:bookmarkEnd w:id="136"/>
      <w:bookmarkEnd w:id="137"/>
      <w:bookmarkEnd w:id="138"/>
    </w:p>
    <w:p w14:paraId="144CC5F3">
      <w:pPr>
        <w:pStyle w:val="86"/>
        <w:keepNext/>
        <w:keepLines/>
        <w:shd w:val="clear" w:color="auto" w:fill="auto"/>
        <w:spacing w:after="408" w:line="240" w:lineRule="auto"/>
        <w:ind w:firstLine="562"/>
        <w:jc w:val="center"/>
        <w:outlineLvl w:val="9"/>
        <w:rPr>
          <w:rFonts w:hint="eastAsia" w:ascii="宋体" w:hAnsi="宋体" w:eastAsia="宋体" w:cs="宋体"/>
          <w:b/>
          <w:color w:val="auto"/>
          <w:sz w:val="36"/>
          <w:szCs w:val="36"/>
          <w:highlight w:val="none"/>
        </w:rPr>
      </w:pPr>
      <w:bookmarkStart w:id="139" w:name="_Toc514786907"/>
      <w:bookmarkStart w:id="140" w:name="bookmark186"/>
      <w:r>
        <w:rPr>
          <w:rStyle w:val="79"/>
          <w:rFonts w:hint="eastAsia" w:ascii="宋体" w:hAnsi="宋体" w:eastAsia="宋体" w:cs="宋体"/>
          <w:b/>
          <w:color w:val="auto"/>
          <w:spacing w:val="0"/>
          <w:sz w:val="36"/>
          <w:szCs w:val="36"/>
          <w:highlight w:val="none"/>
        </w:rPr>
        <w:t>合同协议书</w:t>
      </w:r>
      <w:bookmarkEnd w:id="139"/>
      <w:bookmarkEnd w:id="140"/>
    </w:p>
    <w:p w14:paraId="2D2A0D1F">
      <w:pPr>
        <w:pStyle w:val="92"/>
        <w:shd w:val="clear" w:color="auto" w:fill="auto"/>
        <w:tabs>
          <w:tab w:val="left" w:leader="underscore" w:pos="1756"/>
          <w:tab w:val="left" w:leader="underscore" w:pos="8354"/>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（发包人名称，以下简称“发包人”）为实施</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（项</w:t>
      </w:r>
    </w:p>
    <w:p w14:paraId="1A146AE2">
      <w:pPr>
        <w:pStyle w:val="92"/>
        <w:shd w:val="clear" w:color="auto" w:fill="auto"/>
        <w:tabs>
          <w:tab w:val="left" w:leader="underscore" w:pos="2705"/>
          <w:tab w:val="left" w:leader="underscore" w:pos="8354"/>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目名称），己接受</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（承包人名称，以下简称“承包人”）对该项目</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标</w:t>
      </w:r>
    </w:p>
    <w:p w14:paraId="202C08B7">
      <w:pPr>
        <w:pStyle w:val="92"/>
        <w:shd w:val="clear" w:color="auto" w:fill="auto"/>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段施工的竞标。发包人和承包人共同达成如下协议。</w:t>
      </w:r>
    </w:p>
    <w:p w14:paraId="2B1B13A9">
      <w:pPr>
        <w:pStyle w:val="92"/>
        <w:shd w:val="clear" w:color="auto" w:fill="auto"/>
        <w:tabs>
          <w:tab w:val="left" w:pos="1074"/>
        </w:tabs>
        <w:spacing w:before="0" w:line="360" w:lineRule="exact"/>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1．第_标段由</w:t>
      </w:r>
      <w:r>
        <w:rPr>
          <w:rStyle w:val="88"/>
          <w:rFonts w:hint="eastAsia" w:ascii="宋体" w:hAnsi="宋体" w:eastAsia="宋体" w:cs="宋体"/>
          <w:color w:val="auto"/>
          <w:highlight w:val="none"/>
          <w:u w:val="single"/>
          <w:lang w:val="en-US" w:eastAsia="zh-CN"/>
        </w:rPr>
        <w:t xml:space="preserve">    </w:t>
      </w:r>
      <w:r>
        <w:rPr>
          <w:rStyle w:val="60"/>
          <w:rFonts w:hint="eastAsia" w:ascii="宋体" w:hAnsi="宋体" w:eastAsia="宋体" w:cs="宋体"/>
          <w:color w:val="auto"/>
          <w:sz w:val="24"/>
          <w:szCs w:val="24"/>
          <w:highlight w:val="none"/>
        </w:rPr>
        <w:t>至</w:t>
      </w:r>
      <w:r>
        <w:rPr>
          <w:rStyle w:val="88"/>
          <w:rFonts w:hint="eastAsia" w:ascii="宋体" w:hAnsi="宋体" w:eastAsia="宋体" w:cs="宋体"/>
          <w:color w:val="auto"/>
          <w:highlight w:val="none"/>
          <w:u w:val="single"/>
          <w:lang w:val="en-US" w:eastAsia="zh-CN"/>
        </w:rPr>
        <w:t xml:space="preserve">     </w:t>
      </w:r>
      <w:r>
        <w:rPr>
          <w:rStyle w:val="60"/>
          <w:rFonts w:hint="eastAsia" w:ascii="宋体" w:hAnsi="宋体" w:eastAsia="宋体" w:cs="宋体"/>
          <w:color w:val="auto"/>
          <w:sz w:val="24"/>
          <w:szCs w:val="24"/>
          <w:highlight w:val="none"/>
        </w:rPr>
        <w:t>，长约_</w:t>
      </w:r>
      <w:r>
        <w:rPr>
          <w:rStyle w:val="88"/>
          <w:rFonts w:hint="eastAsia" w:ascii="宋体" w:hAnsi="宋体" w:eastAsia="宋体" w:cs="宋体"/>
          <w:color w:val="auto"/>
          <w:highlight w:val="none"/>
          <w:lang w:eastAsia="zh-CN"/>
        </w:rPr>
        <w:t>km</w:t>
      </w:r>
      <w:r>
        <w:rPr>
          <w:rStyle w:val="60"/>
          <w:rFonts w:hint="eastAsia" w:ascii="宋体" w:hAnsi="宋体" w:eastAsia="宋体" w:cs="宋体"/>
          <w:color w:val="auto"/>
          <w:sz w:val="24"/>
          <w:szCs w:val="24"/>
          <w:highlight w:val="none"/>
        </w:rPr>
        <w:t>，公路等级为_，设计时速为</w:t>
      </w:r>
      <w:r>
        <w:rPr>
          <w:rStyle w:val="60"/>
          <w:rFonts w:hint="eastAsia" w:ascii="宋体" w:hAnsi="宋体" w:eastAsia="宋体" w:cs="宋体"/>
          <w:color w:val="auto"/>
          <w:sz w:val="24"/>
          <w:szCs w:val="24"/>
          <w:highlight w:val="none"/>
          <w:u w:val="single"/>
        </w:rPr>
        <w:tab/>
      </w:r>
      <w:r>
        <w:rPr>
          <w:rStyle w:val="60"/>
          <w:rFonts w:hint="eastAsia" w:ascii="宋体" w:hAnsi="宋体" w:eastAsia="宋体" w:cs="宋体"/>
          <w:color w:val="auto"/>
          <w:sz w:val="24"/>
          <w:szCs w:val="24"/>
          <w:highlight w:val="none"/>
        </w:rPr>
        <w:t>。</w:t>
      </w:r>
    </w:p>
    <w:p w14:paraId="4A4A95B8">
      <w:pPr>
        <w:pStyle w:val="92"/>
        <w:shd w:val="clear" w:color="auto" w:fill="auto"/>
        <w:tabs>
          <w:tab w:val="left" w:pos="1098"/>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2．下列文件应视为构成合同文件的组成部分：</w:t>
      </w:r>
    </w:p>
    <w:p w14:paraId="1361E486">
      <w:pPr>
        <w:pStyle w:val="92"/>
        <w:shd w:val="clear" w:color="auto" w:fill="auto"/>
        <w:tabs>
          <w:tab w:val="left" w:pos="1373"/>
        </w:tabs>
        <w:spacing w:before="0" w:line="360" w:lineRule="exact"/>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（1）本协议书及各种合同附件（含评审期间和合同谈判过程中的澄清文件和 补充资料）；</w:t>
      </w:r>
    </w:p>
    <w:p w14:paraId="1C6E74E8">
      <w:pPr>
        <w:pStyle w:val="92"/>
        <w:shd w:val="clear" w:color="auto" w:fill="auto"/>
        <w:tabs>
          <w:tab w:val="left" w:pos="1389"/>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（2）成交通知书；</w:t>
      </w:r>
    </w:p>
    <w:p w14:paraId="26B19FD5">
      <w:pPr>
        <w:pStyle w:val="92"/>
        <w:shd w:val="clear" w:color="auto" w:fill="auto"/>
        <w:tabs>
          <w:tab w:val="left" w:pos="1389"/>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（3）竞标函；</w:t>
      </w:r>
    </w:p>
    <w:p w14:paraId="4DF37C9B">
      <w:pPr>
        <w:pStyle w:val="92"/>
        <w:shd w:val="clear" w:color="auto" w:fill="auto"/>
        <w:tabs>
          <w:tab w:val="left" w:pos="1389"/>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（4）项目专用合同条款；</w:t>
      </w:r>
    </w:p>
    <w:p w14:paraId="4E00F1ED">
      <w:pPr>
        <w:pStyle w:val="92"/>
        <w:shd w:val="clear" w:color="auto" w:fill="auto"/>
        <w:tabs>
          <w:tab w:val="left" w:pos="1389"/>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（5）公路工程专用合同条款；</w:t>
      </w:r>
    </w:p>
    <w:p w14:paraId="5DE0319F">
      <w:pPr>
        <w:pStyle w:val="92"/>
        <w:shd w:val="clear" w:color="auto" w:fill="auto"/>
        <w:tabs>
          <w:tab w:val="left" w:pos="1389"/>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（6）通用合同条款；</w:t>
      </w:r>
    </w:p>
    <w:p w14:paraId="21B5DBD9">
      <w:pPr>
        <w:pStyle w:val="92"/>
        <w:shd w:val="clear" w:color="auto" w:fill="auto"/>
        <w:tabs>
          <w:tab w:val="left" w:pos="1389"/>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（7）工程量清单计量规则；</w:t>
      </w:r>
    </w:p>
    <w:p w14:paraId="0E2FA6A2">
      <w:pPr>
        <w:pStyle w:val="92"/>
        <w:shd w:val="clear" w:color="auto" w:fill="auto"/>
        <w:tabs>
          <w:tab w:val="left" w:pos="1389"/>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（8）技术规范；</w:t>
      </w:r>
    </w:p>
    <w:p w14:paraId="6E7B0C17">
      <w:pPr>
        <w:pStyle w:val="92"/>
        <w:shd w:val="clear" w:color="auto" w:fill="auto"/>
        <w:tabs>
          <w:tab w:val="left" w:pos="1389"/>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（9）图纸；</w:t>
      </w:r>
    </w:p>
    <w:p w14:paraId="57AD4206">
      <w:pPr>
        <w:pStyle w:val="92"/>
        <w:shd w:val="clear" w:color="auto" w:fill="auto"/>
        <w:tabs>
          <w:tab w:val="left" w:pos="1506"/>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（10）己标价工程量清单；</w:t>
      </w:r>
    </w:p>
    <w:p w14:paraId="498CEC50">
      <w:pPr>
        <w:pStyle w:val="92"/>
        <w:shd w:val="clear" w:color="auto" w:fill="auto"/>
        <w:tabs>
          <w:tab w:val="left" w:pos="1506"/>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（11）承包人有关人员、设备投入的承诺及响应文件中的施工组织设计；</w:t>
      </w:r>
    </w:p>
    <w:p w14:paraId="6020C5DE">
      <w:pPr>
        <w:pStyle w:val="92"/>
        <w:shd w:val="clear" w:color="auto" w:fill="auto"/>
        <w:tabs>
          <w:tab w:val="left" w:pos="1506"/>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（12）其他合同文件。</w:t>
      </w:r>
    </w:p>
    <w:p w14:paraId="170CEE47">
      <w:pPr>
        <w:pStyle w:val="92"/>
        <w:shd w:val="clear" w:color="auto" w:fill="auto"/>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上述合同文件互相补充和解释。如果合同文件之间存在矛盾或不一致之处，</w:t>
      </w:r>
    </w:p>
    <w:p w14:paraId="7A240598">
      <w:pPr>
        <w:pStyle w:val="92"/>
        <w:shd w:val="clear" w:color="auto" w:fill="auto"/>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以上述文件的排列顺序在先者为准。</w:t>
      </w:r>
    </w:p>
    <w:p w14:paraId="17B17498">
      <w:pPr>
        <w:pStyle w:val="92"/>
        <w:tabs>
          <w:tab w:val="left" w:pos="1098"/>
        </w:tabs>
        <w:spacing w:line="360" w:lineRule="exact"/>
        <w:jc w:val="both"/>
        <w:rPr>
          <w:rStyle w:val="60"/>
          <w:rFonts w:hint="eastAsia" w:ascii="宋体" w:hAnsi="宋体" w:eastAsia="宋体" w:cs="宋体"/>
          <w:color w:val="auto"/>
          <w:sz w:val="24"/>
          <w:szCs w:val="24"/>
          <w:highlight w:val="none"/>
          <w:u w:val="single"/>
        </w:rPr>
      </w:pPr>
      <w:r>
        <w:rPr>
          <w:rStyle w:val="60"/>
          <w:rFonts w:hint="eastAsia" w:ascii="宋体" w:hAnsi="宋体" w:eastAsia="宋体" w:cs="宋体"/>
          <w:color w:val="auto"/>
          <w:sz w:val="24"/>
          <w:szCs w:val="24"/>
          <w:highlight w:val="none"/>
        </w:rPr>
        <w:t>3．根据工程量清单所列的预计数量和单价或总额价计算的签约合同价：人民币（大写）</w:t>
      </w:r>
      <w:r>
        <w:rPr>
          <w:rStyle w:val="60"/>
          <w:rFonts w:hint="eastAsia" w:ascii="宋体" w:hAnsi="宋体" w:eastAsia="宋体" w:cs="宋体"/>
          <w:color w:val="auto"/>
          <w:sz w:val="24"/>
          <w:szCs w:val="24"/>
          <w:highlight w:val="none"/>
          <w:u w:val="single"/>
        </w:rPr>
        <w:t xml:space="preserve">  </w:t>
      </w:r>
      <w:r>
        <w:rPr>
          <w:rStyle w:val="60"/>
          <w:rFonts w:hint="eastAsia" w:ascii="宋体" w:hAnsi="宋体" w:eastAsia="宋体" w:cs="宋体"/>
          <w:color w:val="auto"/>
          <w:sz w:val="24"/>
          <w:szCs w:val="24"/>
          <w:highlight w:val="none"/>
          <w:u w:val="single"/>
        </w:rPr>
        <w:tab/>
      </w:r>
      <w:r>
        <w:rPr>
          <w:rStyle w:val="60"/>
          <w:rFonts w:hint="eastAsia" w:ascii="宋体" w:hAnsi="宋体" w:eastAsia="宋体" w:cs="宋体"/>
          <w:color w:val="auto"/>
          <w:sz w:val="24"/>
          <w:szCs w:val="24"/>
          <w:highlight w:val="none"/>
        </w:rPr>
        <w:t>元（¥</w:t>
      </w:r>
      <w:r>
        <w:rPr>
          <w:rStyle w:val="60"/>
          <w:rFonts w:hint="eastAsia" w:ascii="宋体" w:hAnsi="宋体" w:eastAsia="宋体" w:cs="宋体"/>
          <w:color w:val="auto"/>
          <w:sz w:val="24"/>
          <w:szCs w:val="24"/>
          <w:highlight w:val="none"/>
          <w:u w:val="single"/>
        </w:rPr>
        <w:t xml:space="preserve">               </w:t>
      </w:r>
      <w:r>
        <w:rPr>
          <w:rStyle w:val="60"/>
          <w:rFonts w:hint="eastAsia" w:ascii="宋体" w:hAnsi="宋体" w:eastAsia="宋体" w:cs="宋体"/>
          <w:color w:val="auto"/>
          <w:sz w:val="24"/>
          <w:szCs w:val="24"/>
          <w:highlight w:val="none"/>
          <w:u w:val="single"/>
        </w:rPr>
        <w:tab/>
      </w:r>
      <w:r>
        <w:rPr>
          <w:rStyle w:val="60"/>
          <w:rFonts w:hint="eastAsia" w:ascii="宋体" w:hAnsi="宋体" w:eastAsia="宋体" w:cs="宋体"/>
          <w:color w:val="auto"/>
          <w:sz w:val="24"/>
          <w:szCs w:val="24"/>
          <w:highlight w:val="none"/>
        </w:rPr>
        <w:t>）。</w:t>
      </w:r>
    </w:p>
    <w:p w14:paraId="660321C0">
      <w:pPr>
        <w:pStyle w:val="92"/>
        <w:tabs>
          <w:tab w:val="left" w:pos="1098"/>
        </w:tabs>
        <w:spacing w:before="0" w:line="360" w:lineRule="exact"/>
        <w:jc w:val="both"/>
        <w:rPr>
          <w:rStyle w:val="60"/>
          <w:rFonts w:hint="eastAsia" w:ascii="宋体" w:hAnsi="宋体" w:eastAsia="宋体" w:cs="宋体"/>
          <w:color w:val="auto"/>
          <w:sz w:val="24"/>
          <w:szCs w:val="24"/>
          <w:highlight w:val="none"/>
          <w:u w:val="single"/>
        </w:rPr>
      </w:pPr>
      <w:r>
        <w:rPr>
          <w:rStyle w:val="60"/>
          <w:rFonts w:hint="eastAsia" w:ascii="宋体" w:hAnsi="宋体" w:eastAsia="宋体" w:cs="宋体"/>
          <w:color w:val="auto"/>
          <w:sz w:val="24"/>
          <w:szCs w:val="24"/>
          <w:highlight w:val="none"/>
        </w:rPr>
        <w:t>4．承包人项目经理</w:t>
      </w:r>
      <w:r>
        <w:rPr>
          <w:rStyle w:val="60"/>
          <w:rFonts w:hint="eastAsia" w:ascii="宋体" w:hAnsi="宋体" w:eastAsia="宋体" w:cs="宋体"/>
          <w:color w:val="auto"/>
          <w:sz w:val="24"/>
          <w:szCs w:val="24"/>
          <w:highlight w:val="none"/>
          <w:u w:val="single"/>
        </w:rPr>
        <w:t xml:space="preserve">：                  </w:t>
      </w:r>
      <w:r>
        <w:rPr>
          <w:rStyle w:val="60"/>
          <w:rFonts w:hint="eastAsia" w:ascii="宋体" w:hAnsi="宋体" w:eastAsia="宋体" w:cs="宋体"/>
          <w:color w:val="auto"/>
          <w:sz w:val="24"/>
          <w:szCs w:val="24"/>
          <w:highlight w:val="none"/>
        </w:rPr>
        <w:t>。承包人项目总工</w:t>
      </w:r>
      <w:r>
        <w:rPr>
          <w:rStyle w:val="60"/>
          <w:rFonts w:hint="eastAsia" w:ascii="宋体" w:hAnsi="宋体" w:eastAsia="宋体" w:cs="宋体"/>
          <w:color w:val="auto"/>
          <w:sz w:val="24"/>
          <w:szCs w:val="24"/>
          <w:highlight w:val="none"/>
          <w:u w:val="single"/>
        </w:rPr>
        <w:t>：</w:t>
      </w:r>
      <w:r>
        <w:rPr>
          <w:rStyle w:val="60"/>
          <w:rFonts w:hint="eastAsia" w:ascii="宋体" w:hAnsi="宋体" w:eastAsia="宋体" w:cs="宋体"/>
          <w:color w:val="auto"/>
          <w:sz w:val="24"/>
          <w:szCs w:val="24"/>
          <w:highlight w:val="none"/>
          <w:u w:val="single"/>
        </w:rPr>
        <w:tab/>
      </w:r>
      <w:r>
        <w:rPr>
          <w:rStyle w:val="60"/>
          <w:rFonts w:hint="eastAsia" w:ascii="宋体" w:hAnsi="宋体" w:eastAsia="宋体" w:cs="宋体"/>
          <w:color w:val="auto"/>
          <w:sz w:val="24"/>
          <w:szCs w:val="24"/>
          <w:highlight w:val="none"/>
        </w:rPr>
        <w:t>。</w:t>
      </w:r>
    </w:p>
    <w:p w14:paraId="5D010568">
      <w:pPr>
        <w:pStyle w:val="92"/>
        <w:shd w:val="clear" w:color="auto" w:fill="auto"/>
        <w:tabs>
          <w:tab w:val="left" w:pos="1098"/>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5．工程质量符合</w:t>
      </w:r>
      <w:r>
        <w:rPr>
          <w:rStyle w:val="60"/>
          <w:rFonts w:hint="eastAsia" w:ascii="宋体" w:hAnsi="宋体" w:eastAsia="宋体" w:cs="宋体"/>
          <w:color w:val="auto"/>
          <w:sz w:val="24"/>
          <w:szCs w:val="24"/>
          <w:highlight w:val="none"/>
          <w:u w:val="single"/>
        </w:rPr>
        <w:tab/>
      </w:r>
      <w:r>
        <w:rPr>
          <w:rStyle w:val="60"/>
          <w:rFonts w:hint="eastAsia" w:ascii="宋体" w:hAnsi="宋体" w:eastAsia="宋体" w:cs="宋体"/>
          <w:color w:val="auto"/>
          <w:sz w:val="24"/>
          <w:szCs w:val="24"/>
          <w:highlight w:val="none"/>
        </w:rPr>
        <w:t>标准。工程安全目标</w:t>
      </w:r>
      <w:r>
        <w:rPr>
          <w:rStyle w:val="60"/>
          <w:rFonts w:hint="eastAsia" w:ascii="宋体" w:hAnsi="宋体" w:eastAsia="宋体" w:cs="宋体"/>
          <w:color w:val="auto"/>
          <w:sz w:val="24"/>
          <w:szCs w:val="24"/>
          <w:highlight w:val="none"/>
          <w:u w:val="single"/>
        </w:rPr>
        <w:t>：</w:t>
      </w:r>
      <w:r>
        <w:rPr>
          <w:rStyle w:val="60"/>
          <w:rFonts w:hint="eastAsia" w:ascii="宋体" w:hAnsi="宋体" w:eastAsia="宋体" w:cs="宋体"/>
          <w:color w:val="auto"/>
          <w:sz w:val="24"/>
          <w:szCs w:val="24"/>
          <w:highlight w:val="none"/>
          <w:u w:val="single"/>
        </w:rPr>
        <w:tab/>
      </w:r>
      <w:r>
        <w:rPr>
          <w:rStyle w:val="60"/>
          <w:rFonts w:hint="eastAsia" w:ascii="宋体" w:hAnsi="宋体" w:eastAsia="宋体" w:cs="宋体"/>
          <w:color w:val="auto"/>
          <w:sz w:val="24"/>
          <w:szCs w:val="24"/>
          <w:highlight w:val="none"/>
        </w:rPr>
        <w:t>。</w:t>
      </w:r>
    </w:p>
    <w:p w14:paraId="069BEC96">
      <w:pPr>
        <w:pStyle w:val="92"/>
        <w:shd w:val="clear" w:color="auto" w:fill="auto"/>
        <w:tabs>
          <w:tab w:val="left" w:pos="1101"/>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6．承包人承诺按合同约定承担工程的实施、完成及缺陷修复。</w:t>
      </w:r>
    </w:p>
    <w:p w14:paraId="428233A6">
      <w:pPr>
        <w:pStyle w:val="92"/>
        <w:shd w:val="clear" w:color="auto" w:fill="auto"/>
        <w:tabs>
          <w:tab w:val="left" w:pos="1101"/>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7．发包人承诺按合同约定的条件、时间和方式向承包人支付合同价款。</w:t>
      </w:r>
    </w:p>
    <w:p w14:paraId="50B056A5">
      <w:pPr>
        <w:pStyle w:val="92"/>
        <w:shd w:val="clear" w:color="auto" w:fill="auto"/>
        <w:tabs>
          <w:tab w:val="left" w:pos="1109"/>
        </w:tabs>
        <w:spacing w:before="0" w:line="360" w:lineRule="exact"/>
        <w:jc w:val="both"/>
        <w:rPr>
          <w:rStyle w:val="60"/>
          <w:rFonts w:hint="eastAsia" w:ascii="宋体" w:hAnsi="宋体" w:eastAsia="宋体" w:cs="宋体"/>
          <w:color w:val="auto"/>
          <w:sz w:val="24"/>
          <w:szCs w:val="24"/>
          <w:highlight w:val="none"/>
        </w:rPr>
      </w:pPr>
      <w:r>
        <w:rPr>
          <w:rStyle w:val="60"/>
          <w:rFonts w:hint="eastAsia" w:ascii="宋体" w:hAnsi="宋体" w:eastAsia="宋体" w:cs="宋体"/>
          <w:color w:val="auto"/>
          <w:sz w:val="24"/>
          <w:szCs w:val="24"/>
          <w:highlight w:val="none"/>
        </w:rPr>
        <w:t>8．承包人应按照发包人指示开工，工期为_</w:t>
      </w:r>
      <w:r>
        <w:rPr>
          <w:rStyle w:val="60"/>
          <w:rFonts w:hint="eastAsia" w:ascii="宋体" w:hAnsi="宋体" w:eastAsia="宋体" w:cs="宋体"/>
          <w:color w:val="auto"/>
          <w:sz w:val="24"/>
          <w:szCs w:val="24"/>
          <w:highlight w:val="none"/>
          <w:u w:val="single"/>
        </w:rPr>
        <w:t xml:space="preserve">   </w:t>
      </w:r>
      <w:r>
        <w:rPr>
          <w:rStyle w:val="60"/>
          <w:rFonts w:hint="eastAsia" w:ascii="宋体" w:hAnsi="宋体" w:eastAsia="宋体" w:cs="宋体"/>
          <w:color w:val="auto"/>
          <w:sz w:val="24"/>
          <w:szCs w:val="24"/>
          <w:highlight w:val="none"/>
        </w:rPr>
        <w:t>日历天。</w:t>
      </w:r>
    </w:p>
    <w:p w14:paraId="0F160A05">
      <w:pPr>
        <w:pStyle w:val="92"/>
        <w:shd w:val="clear" w:color="auto" w:fill="auto"/>
        <w:tabs>
          <w:tab w:val="left" w:pos="1043"/>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10．本协议书在承包人提供履约保证金后，由双方法定代表人或其委托代理人签署并加盖单位章后生效。全部工程完工后经交工验收合格、缺陷责任期满签发缺 陷责任终止证书后失效。</w:t>
      </w:r>
    </w:p>
    <w:p w14:paraId="1F138469">
      <w:pPr>
        <w:pStyle w:val="92"/>
        <w:shd w:val="clear" w:color="auto" w:fill="auto"/>
        <w:tabs>
          <w:tab w:val="left" w:leader="underscore" w:pos="4168"/>
          <w:tab w:val="left" w:leader="underscore" w:pos="8283"/>
        </w:tabs>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11．本协议书正本二份、副本</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份，合同双方各执正本一份，副本</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份，</w:t>
      </w:r>
    </w:p>
    <w:p w14:paraId="30C0FC7F">
      <w:pPr>
        <w:pStyle w:val="92"/>
        <w:shd w:val="clear" w:color="auto" w:fill="auto"/>
        <w:spacing w:before="0"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当正本与副本的内容不一致时，以正本为准。</w:t>
      </w:r>
    </w:p>
    <w:p w14:paraId="2136C851">
      <w:pPr>
        <w:pStyle w:val="92"/>
        <w:shd w:val="clear" w:color="auto" w:fill="auto"/>
        <w:tabs>
          <w:tab w:val="left" w:pos="1214"/>
        </w:tabs>
        <w:spacing w:before="0" w:after="418" w:line="36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11．合同未尽事宜，双方另行签订补充协议。补充协议是合同的组成部分。</w:t>
      </w:r>
    </w:p>
    <w:p w14:paraId="0C04F5DA">
      <w:pPr>
        <w:pStyle w:val="92"/>
        <w:shd w:val="clear" w:color="auto" w:fill="auto"/>
        <w:tabs>
          <w:tab w:val="left" w:leader="underscore" w:pos="2742"/>
          <w:tab w:val="left" w:leader="underscore" w:pos="7397"/>
        </w:tabs>
        <w:spacing w:before="0" w:line="360" w:lineRule="exact"/>
        <w:jc w:val="both"/>
        <w:rPr>
          <w:rFonts w:hint="eastAsia" w:ascii="宋体" w:hAnsi="宋体" w:eastAsia="宋体" w:cs="宋体"/>
          <w:color w:val="auto"/>
          <w:spacing w:val="0"/>
          <w:sz w:val="24"/>
          <w:szCs w:val="24"/>
          <w:highlight w:val="none"/>
        </w:rPr>
      </w:pPr>
      <w:r>
        <w:rPr>
          <w:rStyle w:val="76"/>
          <w:rFonts w:hint="eastAsia" w:ascii="宋体" w:hAnsi="宋体" w:eastAsia="宋体" w:cs="宋体"/>
          <w:i w:val="0"/>
          <w:color w:val="auto"/>
          <w:spacing w:val="0"/>
          <w:sz w:val="24"/>
          <w:szCs w:val="24"/>
          <w:highlight w:val="none"/>
        </w:rPr>
        <w:t>发包人: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（盖单位章）     承包人：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（盖单位章）</w:t>
      </w:r>
    </w:p>
    <w:p w14:paraId="0413AC6C">
      <w:pPr>
        <w:spacing w:line="360" w:lineRule="exact"/>
        <w:ind w:left="1930" w:leftChars="4" w:hanging="1920" w:hangingChars="800"/>
        <w:rPr>
          <w:rStyle w:val="60"/>
          <w:rFonts w:ascii="宋体" w:hAnsi="宋体" w:eastAsia="宋体" w:cs="宋体"/>
          <w:color w:val="auto"/>
          <w:sz w:val="21"/>
          <w:szCs w:val="21"/>
          <w:highlight w:val="none"/>
        </w:rPr>
      </w:pPr>
      <w:r>
        <w:rPr>
          <w:rStyle w:val="60"/>
          <w:rFonts w:ascii="宋体" w:hAnsi="宋体" w:eastAsia="宋体" w:cs="宋体"/>
          <w:color w:val="auto"/>
          <w:sz w:val="24"/>
          <w:szCs w:val="24"/>
          <w:highlight w:val="none"/>
        </w:rPr>
        <w:t>法定代表人或其委托代理人：_</w:t>
      </w:r>
      <w:r>
        <w:rPr>
          <w:rStyle w:val="60"/>
          <w:rFonts w:hint="eastAsia" w:ascii="宋体" w:hAnsi="宋体" w:eastAsia="宋体" w:cs="宋体"/>
          <w:color w:val="auto"/>
          <w:sz w:val="24"/>
          <w:szCs w:val="24"/>
          <w:highlight w:val="none"/>
        </w:rPr>
        <w:t>（</w:t>
      </w:r>
      <w:r>
        <w:rPr>
          <w:rStyle w:val="60"/>
          <w:rFonts w:ascii="宋体" w:hAnsi="宋体" w:eastAsia="宋体" w:cs="宋体"/>
          <w:color w:val="auto"/>
          <w:sz w:val="24"/>
          <w:szCs w:val="24"/>
          <w:highlight w:val="none"/>
        </w:rPr>
        <w:t xml:space="preserve">签字）      法定代表人或其委托代理人：_ </w:t>
      </w:r>
      <w:r>
        <w:rPr>
          <w:rStyle w:val="60"/>
          <w:rFonts w:hint="eastAsia" w:ascii="宋体" w:hAnsi="宋体" w:eastAsia="宋体" w:cs="宋体"/>
          <w:color w:val="auto"/>
          <w:sz w:val="24"/>
          <w:szCs w:val="24"/>
          <w:highlight w:val="none"/>
        </w:rPr>
        <w:t>（</w:t>
      </w:r>
      <w:r>
        <w:rPr>
          <w:rStyle w:val="60"/>
          <w:rFonts w:ascii="宋体" w:hAnsi="宋体" w:eastAsia="宋体" w:cs="宋体"/>
          <w:color w:val="auto"/>
          <w:sz w:val="24"/>
          <w:szCs w:val="24"/>
          <w:highlight w:val="none"/>
        </w:rPr>
        <w:t>签字</w:t>
      </w:r>
      <w:r>
        <w:rPr>
          <w:rStyle w:val="60"/>
          <w:rFonts w:hint="eastAsia" w:ascii="宋体" w:hAnsi="宋体" w:eastAsia="宋体" w:cs="宋体"/>
          <w:color w:val="auto"/>
          <w:sz w:val="24"/>
          <w:szCs w:val="24"/>
          <w:highlight w:val="none"/>
        </w:rPr>
        <w:t>）</w:t>
      </w:r>
      <w:r>
        <w:rPr>
          <w:rStyle w:val="60"/>
          <w:rFonts w:ascii="宋体" w:hAnsi="宋体" w:eastAsia="宋体" w:cs="宋体"/>
          <w:color w:val="auto"/>
          <w:sz w:val="24"/>
          <w:szCs w:val="24"/>
          <w:highlight w:val="none"/>
        </w:rPr>
        <w:t xml:space="preserve"> </w:t>
      </w:r>
      <w:r>
        <w:rPr>
          <w:rStyle w:val="60"/>
          <w:rFonts w:ascii="宋体" w:hAnsi="宋体" w:eastAsia="宋体" w:cs="宋体"/>
          <w:color w:val="auto"/>
          <w:sz w:val="24"/>
          <w:szCs w:val="24"/>
          <w:highlight w:val="none"/>
        </w:rPr>
        <w:tab/>
      </w:r>
      <w:r>
        <w:rPr>
          <w:rStyle w:val="60"/>
          <w:rFonts w:ascii="宋体" w:hAnsi="宋体" w:eastAsia="宋体" w:cs="宋体"/>
          <w:color w:val="auto"/>
          <w:sz w:val="24"/>
          <w:szCs w:val="24"/>
          <w:highlight w:val="none"/>
        </w:rPr>
        <w:t xml:space="preserve"> 年   月   </w:t>
      </w:r>
      <w:r>
        <w:rPr>
          <w:rStyle w:val="60"/>
          <w:rFonts w:ascii="宋体" w:hAnsi="宋体" w:eastAsia="宋体" w:cs="宋体"/>
          <w:color w:val="auto"/>
          <w:sz w:val="24"/>
          <w:szCs w:val="24"/>
          <w:highlight w:val="none"/>
        </w:rPr>
        <w:tab/>
      </w:r>
      <w:r>
        <w:rPr>
          <w:rStyle w:val="60"/>
          <w:rFonts w:ascii="宋体" w:hAnsi="宋体" w:eastAsia="宋体" w:cs="宋体"/>
          <w:color w:val="auto"/>
          <w:sz w:val="24"/>
          <w:szCs w:val="24"/>
          <w:highlight w:val="none"/>
        </w:rPr>
        <w:t>日</w:t>
      </w:r>
      <w:r>
        <w:rPr>
          <w:rStyle w:val="60"/>
          <w:rFonts w:ascii="宋体" w:hAnsi="宋体" w:eastAsia="宋体" w:cs="宋体"/>
          <w:color w:val="auto"/>
          <w:sz w:val="24"/>
          <w:szCs w:val="24"/>
          <w:highlight w:val="none"/>
        </w:rPr>
        <w:tab/>
      </w:r>
      <w:r>
        <w:rPr>
          <w:rStyle w:val="60"/>
          <w:rFonts w:ascii="宋体" w:hAnsi="宋体" w:eastAsia="宋体" w:cs="宋体"/>
          <w:color w:val="auto"/>
          <w:sz w:val="24"/>
          <w:szCs w:val="24"/>
          <w:highlight w:val="none"/>
        </w:rPr>
        <w:tab/>
      </w:r>
      <w:r>
        <w:rPr>
          <w:rStyle w:val="60"/>
          <w:rFonts w:ascii="宋体" w:hAnsi="宋体" w:eastAsia="宋体" w:cs="宋体"/>
          <w:color w:val="auto"/>
          <w:sz w:val="24"/>
          <w:szCs w:val="24"/>
          <w:highlight w:val="none"/>
        </w:rPr>
        <w:t xml:space="preserve">                   年  </w:t>
      </w:r>
      <w:r>
        <w:rPr>
          <w:rStyle w:val="60"/>
          <w:rFonts w:ascii="宋体" w:hAnsi="宋体" w:eastAsia="宋体" w:cs="宋体"/>
          <w:color w:val="auto"/>
          <w:sz w:val="24"/>
          <w:szCs w:val="24"/>
          <w:highlight w:val="none"/>
        </w:rPr>
        <w:tab/>
      </w:r>
      <w:r>
        <w:rPr>
          <w:rStyle w:val="60"/>
          <w:rFonts w:ascii="宋体" w:hAnsi="宋体" w:eastAsia="宋体" w:cs="宋体"/>
          <w:color w:val="auto"/>
          <w:sz w:val="24"/>
          <w:szCs w:val="24"/>
          <w:highlight w:val="none"/>
        </w:rPr>
        <w:t>月</w:t>
      </w:r>
      <w:r>
        <w:rPr>
          <w:rStyle w:val="60"/>
          <w:rFonts w:ascii="宋体" w:hAnsi="宋体" w:eastAsia="宋体" w:cs="宋体"/>
          <w:color w:val="auto"/>
          <w:sz w:val="24"/>
          <w:szCs w:val="24"/>
          <w:highlight w:val="none"/>
        </w:rPr>
        <w:tab/>
      </w:r>
      <w:r>
        <w:rPr>
          <w:rStyle w:val="60"/>
          <w:rFonts w:ascii="宋体" w:hAnsi="宋体" w:eastAsia="宋体" w:cs="宋体"/>
          <w:color w:val="auto"/>
          <w:sz w:val="24"/>
          <w:szCs w:val="24"/>
          <w:highlight w:val="none"/>
        </w:rPr>
        <w:t>日</w:t>
      </w:r>
    </w:p>
    <w:p w14:paraId="7E203705">
      <w:pPr>
        <w:pStyle w:val="5"/>
        <w:rPr>
          <w:rFonts w:hAnsi="宋体" w:cs="宋体"/>
          <w:color w:val="auto"/>
          <w:highlight w:val="none"/>
        </w:rPr>
      </w:pPr>
      <w:bookmarkStart w:id="141" w:name="_Toc394929417"/>
      <w:bookmarkStart w:id="142" w:name="_Toc508779710"/>
      <w:bookmarkStart w:id="143" w:name="_Toc511595194"/>
      <w:bookmarkStart w:id="144" w:name="_Toc28168"/>
      <w:r>
        <w:rPr>
          <w:rFonts w:hAnsi="宋体" w:cs="宋体"/>
          <w:color w:val="auto"/>
          <w:sz w:val="24"/>
          <w:szCs w:val="24"/>
          <w:highlight w:val="none"/>
        </w:rPr>
        <w:br w:type="page"/>
      </w:r>
      <w:bookmarkStart w:id="145" w:name="_Toc514759054"/>
      <w:r>
        <w:rPr>
          <w:rFonts w:hAnsi="宋体" w:cs="宋体"/>
          <w:color w:val="auto"/>
          <w:highlight w:val="none"/>
        </w:rPr>
        <w:t>附件二  廉政合同</w:t>
      </w:r>
      <w:bookmarkEnd w:id="141"/>
      <w:bookmarkEnd w:id="142"/>
      <w:bookmarkEnd w:id="143"/>
      <w:bookmarkEnd w:id="144"/>
      <w:bookmarkEnd w:id="145"/>
    </w:p>
    <w:p w14:paraId="4E0E289C">
      <w:pPr>
        <w:jc w:val="center"/>
        <w:rPr>
          <w:rFonts w:ascii="宋体" w:hAnsi="宋体" w:cs="宋体"/>
          <w:color w:val="auto"/>
          <w:sz w:val="36"/>
          <w:szCs w:val="36"/>
          <w:highlight w:val="none"/>
        </w:rPr>
      </w:pPr>
      <w:bookmarkStart w:id="146" w:name="_Toc394929418"/>
      <w:r>
        <w:rPr>
          <w:rFonts w:ascii="宋体" w:hAnsi="宋体" w:cs="宋体"/>
          <w:color w:val="auto"/>
          <w:sz w:val="36"/>
          <w:szCs w:val="36"/>
          <w:highlight w:val="none"/>
        </w:rPr>
        <w:t>廉政合同</w:t>
      </w:r>
    </w:p>
    <w:p w14:paraId="1B50AE58">
      <w:pPr>
        <w:pStyle w:val="3"/>
        <w:rPr>
          <w:rFonts w:ascii="宋体" w:hAnsi="宋体" w:eastAsia="宋体" w:cs="宋体"/>
          <w:color w:val="auto"/>
          <w:highlight w:val="none"/>
        </w:rPr>
      </w:pPr>
    </w:p>
    <w:p w14:paraId="56C6DD8D">
      <w:pPr>
        <w:pStyle w:val="92"/>
        <w:shd w:val="clear" w:color="auto" w:fill="auto"/>
        <w:spacing w:before="0" w:line="398" w:lineRule="exact"/>
        <w:ind w:firstLine="480" w:firstLineChars="20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（项目名称）的项目法人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（项目法人名称，以下简称“发包人”）与该项目</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标段的施工单位</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（施工单位名称，以下简称“承包人”），特订立如下合同。</w:t>
      </w:r>
    </w:p>
    <w:p w14:paraId="38A4A57F">
      <w:pPr>
        <w:pStyle w:val="71"/>
        <w:keepNext/>
        <w:keepLines/>
        <w:shd w:val="clear" w:color="auto" w:fill="auto"/>
        <w:tabs>
          <w:tab w:val="left" w:pos="1178"/>
        </w:tabs>
        <w:spacing w:before="0" w:after="0" w:line="398" w:lineRule="exact"/>
        <w:jc w:val="both"/>
        <w:outlineLvl w:val="9"/>
        <w:rPr>
          <w:rFonts w:hint="eastAsia" w:ascii="宋体" w:hAnsi="宋体" w:eastAsia="宋体" w:cs="宋体"/>
          <w:color w:val="auto"/>
          <w:spacing w:val="0"/>
          <w:sz w:val="24"/>
          <w:szCs w:val="24"/>
          <w:highlight w:val="none"/>
        </w:rPr>
      </w:pPr>
      <w:bookmarkStart w:id="147" w:name="bookmark188"/>
      <w:bookmarkStart w:id="148" w:name="_Toc514786909"/>
      <w:r>
        <w:rPr>
          <w:rStyle w:val="84"/>
          <w:rFonts w:hint="eastAsia" w:ascii="宋体" w:hAnsi="宋体" w:eastAsia="宋体" w:cs="宋体"/>
          <w:b/>
          <w:bCs/>
          <w:color w:val="auto"/>
          <w:sz w:val="24"/>
          <w:szCs w:val="24"/>
          <w:highlight w:val="none"/>
        </w:rPr>
        <w:t>1．发包人和承包人双方的权利和义务</w:t>
      </w:r>
      <w:bookmarkEnd w:id="147"/>
      <w:bookmarkEnd w:id="148"/>
    </w:p>
    <w:p w14:paraId="1FF73E0E">
      <w:pPr>
        <w:pStyle w:val="92"/>
        <w:numPr>
          <w:ilvl w:val="0"/>
          <w:numId w:val="4"/>
        </w:numPr>
        <w:shd w:val="clear" w:color="auto" w:fill="auto"/>
        <w:tabs>
          <w:tab w:val="left" w:pos="1386"/>
        </w:tabs>
        <w:spacing w:before="0" w:line="398" w:lineRule="exact"/>
        <w:ind w:firstLine="86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严格遵守党的政策规定和国家有关法律法规及交通运输部的有关规定。</w:t>
      </w:r>
    </w:p>
    <w:p w14:paraId="60A4D522">
      <w:pPr>
        <w:pStyle w:val="92"/>
        <w:numPr>
          <w:ilvl w:val="0"/>
          <w:numId w:val="4"/>
        </w:numPr>
        <w:shd w:val="clear" w:color="auto" w:fill="auto"/>
        <w:tabs>
          <w:tab w:val="left" w:leader="underscore" w:pos="3406"/>
          <w:tab w:val="left" w:leader="underscore" w:pos="5420"/>
        </w:tabs>
        <w:spacing w:before="0" w:line="398" w:lineRule="exact"/>
        <w:ind w:firstLine="86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 xml:space="preserve"> 严格执行</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（项目名称）</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标段施工合同文件，自觉按合同办事。</w:t>
      </w:r>
    </w:p>
    <w:p w14:paraId="042C1F5F">
      <w:pPr>
        <w:pStyle w:val="92"/>
        <w:numPr>
          <w:ilvl w:val="0"/>
          <w:numId w:val="4"/>
        </w:numPr>
        <w:shd w:val="clear" w:color="auto" w:fill="auto"/>
        <w:tabs>
          <w:tab w:val="left" w:pos="1273"/>
        </w:tabs>
        <w:spacing w:before="0" w:line="398" w:lineRule="exact"/>
        <w:ind w:firstLine="86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双方的业务活动坚持公开、公正、诚信、透明的原则（法律认定的商业秘密和合同文件另有规定除外），不得损害国家和集体利益，不得违反工程建设管理规章制度。</w:t>
      </w:r>
    </w:p>
    <w:p w14:paraId="7D10BA04">
      <w:pPr>
        <w:pStyle w:val="92"/>
        <w:numPr>
          <w:ilvl w:val="0"/>
          <w:numId w:val="4"/>
        </w:numPr>
        <w:shd w:val="clear" w:color="auto" w:fill="auto"/>
        <w:tabs>
          <w:tab w:val="left" w:pos="1270"/>
        </w:tabs>
        <w:spacing w:before="0" w:line="398" w:lineRule="exact"/>
        <w:ind w:firstLine="86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建立健全廉政制度，开展廉政教育，设立廉政告示牌，公布举报电话，监督并认真查处违法违纪行为。</w:t>
      </w:r>
    </w:p>
    <w:p w14:paraId="464D9670">
      <w:pPr>
        <w:pStyle w:val="92"/>
        <w:numPr>
          <w:ilvl w:val="0"/>
          <w:numId w:val="4"/>
        </w:numPr>
        <w:shd w:val="clear" w:color="auto" w:fill="auto"/>
        <w:tabs>
          <w:tab w:val="left" w:pos="1273"/>
        </w:tabs>
        <w:spacing w:before="0" w:line="398" w:lineRule="exact"/>
        <w:ind w:firstLine="86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发现对方在业务活动中有违反廉政规定的行为，有及时提醒对方纠正的权利和义务。</w:t>
      </w:r>
    </w:p>
    <w:p w14:paraId="15481611">
      <w:pPr>
        <w:pStyle w:val="92"/>
        <w:numPr>
          <w:ilvl w:val="0"/>
          <w:numId w:val="4"/>
        </w:numPr>
        <w:shd w:val="clear" w:color="auto" w:fill="auto"/>
        <w:tabs>
          <w:tab w:val="left" w:pos="1270"/>
        </w:tabs>
        <w:spacing w:before="0" w:line="398" w:lineRule="exact"/>
        <w:ind w:firstLine="86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发现对方严重违反本合同义务条款的行为，有向其上级有关部门举报、建议给予处理并要求告知处理结果的权利。</w:t>
      </w:r>
    </w:p>
    <w:p w14:paraId="5B38FE38">
      <w:pPr>
        <w:pStyle w:val="71"/>
        <w:keepNext/>
        <w:keepLines/>
        <w:shd w:val="clear" w:color="auto" w:fill="auto"/>
        <w:tabs>
          <w:tab w:val="left" w:pos="1178"/>
        </w:tabs>
        <w:spacing w:before="0" w:after="0" w:line="398" w:lineRule="exact"/>
        <w:jc w:val="both"/>
        <w:outlineLvl w:val="9"/>
        <w:rPr>
          <w:rFonts w:hint="eastAsia" w:ascii="宋体" w:hAnsi="宋体" w:eastAsia="宋体" w:cs="宋体"/>
          <w:color w:val="auto"/>
          <w:spacing w:val="0"/>
          <w:sz w:val="24"/>
          <w:szCs w:val="24"/>
          <w:highlight w:val="none"/>
        </w:rPr>
      </w:pPr>
      <w:bookmarkStart w:id="149" w:name="bookmark189"/>
      <w:bookmarkStart w:id="150" w:name="_Toc514786910"/>
      <w:r>
        <w:rPr>
          <w:rStyle w:val="84"/>
          <w:rFonts w:hint="eastAsia" w:ascii="宋体" w:hAnsi="宋体" w:eastAsia="宋体" w:cs="宋体"/>
          <w:b/>
          <w:bCs/>
          <w:color w:val="auto"/>
          <w:sz w:val="24"/>
          <w:szCs w:val="24"/>
          <w:highlight w:val="none"/>
        </w:rPr>
        <w:t>2．发包人的义务</w:t>
      </w:r>
      <w:bookmarkEnd w:id="149"/>
      <w:bookmarkEnd w:id="150"/>
    </w:p>
    <w:p w14:paraId="5366A159">
      <w:pPr>
        <w:pStyle w:val="92"/>
        <w:shd w:val="clear" w:color="auto" w:fill="auto"/>
        <w:tabs>
          <w:tab w:val="left" w:pos="1251"/>
        </w:tabs>
        <w:spacing w:before="0" w:line="398" w:lineRule="exact"/>
        <w:ind w:firstLine="720" w:firstLineChars="30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（1）发包人及其工作人员不得索要或接受承包人的礼金、有价证券和贵重物品，不得让承包人报销任何应由发包人或发包人工作人员个人支付的费用等。</w:t>
      </w:r>
    </w:p>
    <w:p w14:paraId="11815A49">
      <w:pPr>
        <w:pStyle w:val="92"/>
        <w:shd w:val="clear" w:color="auto" w:fill="auto"/>
        <w:tabs>
          <w:tab w:val="left" w:pos="1266"/>
        </w:tabs>
        <w:spacing w:before="0" w:line="398" w:lineRule="exact"/>
        <w:ind w:firstLine="720" w:firstLineChars="30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（2）发包人工作人员不得参加承包人安排的超标准宴请和娱乐活动；不得接受承包人提供的通讯工具、交通工具和高档办公用品等。</w:t>
      </w:r>
    </w:p>
    <w:p w14:paraId="2DA98ABF">
      <w:pPr>
        <w:pStyle w:val="92"/>
        <w:shd w:val="clear" w:color="auto" w:fill="auto"/>
        <w:tabs>
          <w:tab w:val="left" w:pos="1268"/>
        </w:tabs>
        <w:spacing w:before="0" w:line="398" w:lineRule="exact"/>
        <w:ind w:firstLine="720" w:firstLineChars="30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（3）发包人及其工作人员不得要求或者接受承包人为其住房装修、婚丧嫁娶活动、配偶子女的工作安排以及出国出境、旅游等提供方便等。</w:t>
      </w:r>
    </w:p>
    <w:p w14:paraId="01E92FC5">
      <w:pPr>
        <w:pStyle w:val="92"/>
        <w:shd w:val="clear" w:color="auto" w:fill="auto"/>
        <w:tabs>
          <w:tab w:val="left" w:pos="1270"/>
        </w:tabs>
        <w:spacing w:before="0" w:line="398" w:lineRule="exact"/>
        <w:ind w:firstLine="720" w:firstLineChars="30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（4）发包人工作人员及其配偶、子女不得从事与发包人工程有关的材料设备供应、工程分包、劳务等经济活动等。</w:t>
      </w:r>
    </w:p>
    <w:p w14:paraId="7A11FEC8">
      <w:pPr>
        <w:pStyle w:val="92"/>
        <w:shd w:val="clear" w:color="auto" w:fill="auto"/>
        <w:tabs>
          <w:tab w:val="left" w:pos="1268"/>
        </w:tabs>
        <w:spacing w:before="0" w:line="398" w:lineRule="exact"/>
        <w:ind w:firstLine="720" w:firstLineChars="30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（5）发包人及其工作人员不得以任何理由向承包人推荐分包单位或推销材料， 不得要求承包人购买合同规定外的材料和设备。</w:t>
      </w:r>
    </w:p>
    <w:p w14:paraId="7B868E16">
      <w:pPr>
        <w:pStyle w:val="92"/>
        <w:shd w:val="clear" w:color="auto" w:fill="auto"/>
        <w:tabs>
          <w:tab w:val="left" w:pos="1268"/>
        </w:tabs>
        <w:spacing w:before="0" w:line="398" w:lineRule="exact"/>
        <w:ind w:firstLine="720" w:firstLineChars="30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（6）发包人工作人员要秉公办事，不准营私舞弊，不准利用职权从事各种个人有偿中介活动和安排个人施工队伍。</w:t>
      </w:r>
    </w:p>
    <w:p w14:paraId="6D926DBE">
      <w:pPr>
        <w:pStyle w:val="92"/>
        <w:shd w:val="clear" w:color="auto" w:fill="auto"/>
        <w:tabs>
          <w:tab w:val="left" w:pos="1268"/>
        </w:tabs>
        <w:spacing w:before="0" w:line="398" w:lineRule="exact"/>
        <w:jc w:val="both"/>
        <w:rPr>
          <w:rFonts w:hint="eastAsia" w:ascii="宋体" w:hAnsi="宋体" w:eastAsia="宋体" w:cs="宋体"/>
          <w:color w:val="auto"/>
          <w:spacing w:val="0"/>
          <w:sz w:val="24"/>
          <w:szCs w:val="24"/>
          <w:highlight w:val="none"/>
        </w:rPr>
      </w:pPr>
      <w:r>
        <w:rPr>
          <w:rStyle w:val="95"/>
          <w:rFonts w:hint="eastAsia" w:ascii="宋体" w:hAnsi="宋体" w:eastAsia="宋体" w:cs="宋体"/>
          <w:b w:val="0"/>
          <w:bCs w:val="0"/>
          <w:color w:val="auto"/>
          <w:sz w:val="24"/>
          <w:szCs w:val="24"/>
          <w:highlight w:val="none"/>
        </w:rPr>
        <w:t>3．承包人的义务</w:t>
      </w:r>
    </w:p>
    <w:p w14:paraId="49AFDADC">
      <w:pPr>
        <w:pStyle w:val="92"/>
        <w:numPr>
          <w:ilvl w:val="0"/>
          <w:numId w:val="5"/>
        </w:numPr>
        <w:shd w:val="clear" w:color="auto" w:fill="auto"/>
        <w:tabs>
          <w:tab w:val="left" w:pos="1275"/>
        </w:tabs>
        <w:spacing w:before="0" w:line="398" w:lineRule="exact"/>
        <w:ind w:firstLine="86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承包人不得以任何理由向发包人及其工作人员行贿或馈赠礼金、有价证券、贵重礼品。</w:t>
      </w:r>
    </w:p>
    <w:p w14:paraId="7B408A7A">
      <w:pPr>
        <w:pStyle w:val="92"/>
        <w:numPr>
          <w:ilvl w:val="0"/>
          <w:numId w:val="5"/>
        </w:numPr>
        <w:shd w:val="clear" w:color="auto" w:fill="auto"/>
        <w:tabs>
          <w:tab w:val="left" w:pos="1270"/>
        </w:tabs>
        <w:spacing w:before="0" w:line="398" w:lineRule="exact"/>
        <w:ind w:firstLine="86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承包人不得以任何名义为发包人及其工作人员报销应由发包人单位或个人支付的任何费用。</w:t>
      </w:r>
    </w:p>
    <w:p w14:paraId="4E2528D7">
      <w:pPr>
        <w:pStyle w:val="92"/>
        <w:numPr>
          <w:ilvl w:val="0"/>
          <w:numId w:val="5"/>
        </w:numPr>
        <w:shd w:val="clear" w:color="auto" w:fill="auto"/>
        <w:tabs>
          <w:tab w:val="left" w:pos="1389"/>
        </w:tabs>
        <w:spacing w:before="0" w:line="398" w:lineRule="exact"/>
        <w:ind w:firstLine="86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承包人不得以任何理由安排发包人工作人员参加超标准宴请及娱乐活动。</w:t>
      </w:r>
    </w:p>
    <w:p w14:paraId="738FD9A3">
      <w:pPr>
        <w:pStyle w:val="92"/>
        <w:numPr>
          <w:ilvl w:val="0"/>
          <w:numId w:val="5"/>
        </w:numPr>
        <w:shd w:val="clear" w:color="auto" w:fill="auto"/>
        <w:tabs>
          <w:tab w:val="left" w:pos="1266"/>
        </w:tabs>
        <w:spacing w:before="0" w:line="398" w:lineRule="exact"/>
        <w:ind w:firstLine="86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承包人不得为发包人单位和个人购置或提供通信工具、交通工具和高档办公用品等。</w:t>
      </w:r>
    </w:p>
    <w:p w14:paraId="2DBB84AF">
      <w:pPr>
        <w:pStyle w:val="73"/>
        <w:shd w:val="clear" w:color="auto" w:fill="auto"/>
        <w:tabs>
          <w:tab w:val="left" w:pos="1154"/>
        </w:tabs>
        <w:spacing w:line="398" w:lineRule="exact"/>
        <w:jc w:val="both"/>
        <w:rPr>
          <w:rFonts w:hint="eastAsia" w:ascii="宋体" w:hAnsi="宋体" w:eastAsia="宋体" w:cs="宋体"/>
          <w:color w:val="auto"/>
          <w:spacing w:val="0"/>
          <w:sz w:val="24"/>
          <w:szCs w:val="24"/>
          <w:highlight w:val="none"/>
        </w:rPr>
      </w:pPr>
      <w:r>
        <w:rPr>
          <w:rStyle w:val="95"/>
          <w:rFonts w:hint="eastAsia" w:ascii="宋体" w:hAnsi="宋体" w:eastAsia="宋体" w:cs="宋体"/>
          <w:b/>
          <w:bCs/>
          <w:color w:val="auto"/>
          <w:sz w:val="24"/>
          <w:szCs w:val="24"/>
          <w:highlight w:val="none"/>
        </w:rPr>
        <w:t>4．违约责任</w:t>
      </w:r>
    </w:p>
    <w:p w14:paraId="715CF857">
      <w:pPr>
        <w:pStyle w:val="92"/>
        <w:shd w:val="clear" w:color="auto" w:fill="auto"/>
        <w:tabs>
          <w:tab w:val="left" w:pos="1270"/>
        </w:tabs>
        <w:spacing w:before="0" w:line="398" w:lineRule="exact"/>
        <w:ind w:firstLine="480" w:firstLineChars="20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（1）发包人及其工作人员违反本合同第1、2条，按管理权限，依据有关规定给予党纪、政纪或组织处理；涉嫌犯罪的，移交司法机关追究刑事责任；给承包人单位造成经济损失的，应予以赔偿。</w:t>
      </w:r>
    </w:p>
    <w:p w14:paraId="459D6FDE">
      <w:pPr>
        <w:pStyle w:val="92"/>
        <w:shd w:val="clear" w:color="auto" w:fill="auto"/>
        <w:tabs>
          <w:tab w:val="left" w:pos="1270"/>
        </w:tabs>
        <w:spacing w:before="0" w:line="398" w:lineRule="exact"/>
        <w:ind w:firstLine="480" w:firstLineChars="20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 建设市场的处罚。</w:t>
      </w:r>
    </w:p>
    <w:p w14:paraId="69E32BB9">
      <w:pPr>
        <w:pStyle w:val="92"/>
        <w:shd w:val="clear" w:color="auto" w:fill="auto"/>
        <w:tabs>
          <w:tab w:val="left" w:pos="975"/>
        </w:tabs>
        <w:spacing w:before="0" w:line="398" w:lineRule="exact"/>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5266B1B0">
      <w:pPr>
        <w:pStyle w:val="92"/>
        <w:shd w:val="clear" w:color="auto" w:fill="auto"/>
        <w:tabs>
          <w:tab w:val="left" w:pos="1154"/>
        </w:tabs>
        <w:spacing w:before="0" w:line="398"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6．本合同有效期为发包人和承包人签署之日起至该工程项目竣工验收后止。</w:t>
      </w:r>
    </w:p>
    <w:p w14:paraId="7B4D8D1C">
      <w:pPr>
        <w:pStyle w:val="92"/>
        <w:shd w:val="clear" w:color="auto" w:fill="auto"/>
        <w:tabs>
          <w:tab w:val="left" w:leader="underscore" w:pos="3373"/>
          <w:tab w:val="left" w:leader="underscore" w:pos="5307"/>
        </w:tabs>
        <w:spacing w:before="0" w:line="398"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7． 本合同作为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（项目名称）</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标段施工合同的附件，与工程施工合同具有同等的法律效力，经合同双方签署后立即生效。</w:t>
      </w:r>
    </w:p>
    <w:p w14:paraId="0644C0E1">
      <w:pPr>
        <w:pStyle w:val="92"/>
        <w:shd w:val="clear" w:color="auto" w:fill="auto"/>
        <w:tabs>
          <w:tab w:val="left" w:pos="978"/>
        </w:tabs>
        <w:spacing w:before="0" w:line="398" w:lineRule="exact"/>
        <w:jc w:val="left"/>
        <w:rPr>
          <w:rStyle w:val="60"/>
          <w:rFonts w:hint="eastAsia" w:ascii="宋体" w:hAnsi="宋体" w:eastAsia="宋体" w:cs="宋体"/>
          <w:color w:val="auto"/>
          <w:sz w:val="24"/>
          <w:szCs w:val="24"/>
          <w:highlight w:val="none"/>
        </w:rPr>
      </w:pPr>
      <w:r>
        <w:rPr>
          <w:rStyle w:val="60"/>
          <w:rFonts w:hint="eastAsia" w:ascii="宋体" w:hAnsi="宋体" w:eastAsia="宋体" w:cs="宋体"/>
          <w:color w:val="auto"/>
          <w:sz w:val="24"/>
          <w:szCs w:val="24"/>
          <w:highlight w:val="none"/>
        </w:rPr>
        <w:t>8．本合同一式四份，由发包人和承包人各执一份，送交发包人和承包人的监督单位各一份。</w:t>
      </w:r>
    </w:p>
    <w:p w14:paraId="301FA662">
      <w:pPr>
        <w:pStyle w:val="92"/>
        <w:shd w:val="clear" w:color="auto" w:fill="auto"/>
        <w:tabs>
          <w:tab w:val="left" w:pos="978"/>
        </w:tabs>
        <w:spacing w:before="0" w:line="398" w:lineRule="exact"/>
        <w:jc w:val="left"/>
        <w:rPr>
          <w:rFonts w:hint="eastAsia" w:ascii="宋体" w:hAnsi="宋体" w:eastAsia="宋体" w:cs="宋体"/>
          <w:color w:val="auto"/>
          <w:spacing w:val="0"/>
          <w:sz w:val="24"/>
          <w:szCs w:val="24"/>
          <w:highlight w:val="none"/>
        </w:rPr>
      </w:pPr>
    </w:p>
    <w:p w14:paraId="5139725C">
      <w:pPr>
        <w:pStyle w:val="92"/>
        <w:shd w:val="clear" w:color="auto" w:fill="auto"/>
        <w:tabs>
          <w:tab w:val="left" w:pos="978"/>
        </w:tabs>
        <w:spacing w:before="0" w:line="398" w:lineRule="exact"/>
        <w:jc w:val="left"/>
        <w:rPr>
          <w:rFonts w:hint="eastAsia" w:ascii="宋体" w:hAnsi="宋体" w:eastAsia="宋体" w:cs="宋体"/>
          <w:color w:val="auto"/>
          <w:spacing w:val="0"/>
          <w:sz w:val="24"/>
          <w:szCs w:val="24"/>
          <w:highlight w:val="none"/>
        </w:rPr>
      </w:pPr>
    </w:p>
    <w:p w14:paraId="7B1C4E25">
      <w:pPr>
        <w:pStyle w:val="92"/>
        <w:shd w:val="clear" w:color="auto" w:fill="auto"/>
        <w:tabs>
          <w:tab w:val="left" w:pos="4970"/>
        </w:tabs>
        <w:spacing w:before="0" w:line="360" w:lineRule="auto"/>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发包人监督单位：</w:t>
      </w:r>
      <w:r>
        <w:rPr>
          <w:rStyle w:val="96"/>
          <w:rFonts w:hint="eastAsia" w:ascii="宋体" w:hAnsi="宋体" w:eastAsia="宋体" w:cs="宋体"/>
          <w:color w:val="auto"/>
          <w:sz w:val="24"/>
          <w:szCs w:val="24"/>
          <w:highlight w:val="none"/>
        </w:rPr>
        <w:t>（全称）（盖单位章）</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承包人：</w:t>
      </w:r>
      <w:r>
        <w:rPr>
          <w:rStyle w:val="96"/>
          <w:rFonts w:hint="eastAsia" w:ascii="宋体" w:hAnsi="宋体" w:eastAsia="宋体" w:cs="宋体"/>
          <w:color w:val="auto"/>
          <w:sz w:val="24"/>
          <w:szCs w:val="24"/>
          <w:highlight w:val="none"/>
        </w:rPr>
        <w:t>（全称）（盖单位章）</w:t>
      </w:r>
    </w:p>
    <w:p w14:paraId="2DE96E87">
      <w:pPr>
        <w:pStyle w:val="92"/>
        <w:shd w:val="clear" w:color="auto" w:fill="auto"/>
        <w:tabs>
          <w:tab w:val="left" w:leader="underscore" w:pos="2860"/>
        </w:tabs>
        <w:spacing w:before="0" w:line="360" w:lineRule="auto"/>
        <w:jc w:val="both"/>
        <w:rPr>
          <w:rFonts w:hint="eastAsia" w:ascii="宋体" w:hAnsi="宋体" w:eastAsia="宋体" w:cs="宋体"/>
          <w:color w:val="auto"/>
          <w:sz w:val="24"/>
          <w:szCs w:val="24"/>
          <w:highlight w:val="none"/>
        </w:rPr>
      </w:pPr>
      <w:r>
        <w:rPr>
          <w:rStyle w:val="77"/>
          <w:rFonts w:hint="eastAsia" w:ascii="宋体" w:hAnsi="宋体" w:eastAsia="宋体" w:cs="宋体"/>
          <w:i w:val="0"/>
          <w:color w:val="auto"/>
          <w:sz w:val="24"/>
          <w:szCs w:val="24"/>
          <w:highlight w:val="none"/>
        </w:rPr>
        <w:t>发包人：</w:t>
      </w:r>
      <w:r>
        <w:rPr>
          <w:rStyle w:val="56"/>
          <w:rFonts w:hint="eastAsia" w:ascii="宋体" w:hAnsi="宋体" w:eastAsia="宋体" w:cs="宋体"/>
          <w:i/>
          <w:color w:val="auto"/>
          <w:sz w:val="24"/>
          <w:szCs w:val="24"/>
          <w:highlight w:val="none"/>
        </w:rPr>
        <w:t xml:space="preserve"> </w:t>
      </w:r>
      <w:r>
        <w:rPr>
          <w:rStyle w:val="56"/>
          <w:rFonts w:hint="eastAsia" w:ascii="宋体" w:hAnsi="宋体" w:eastAsia="宋体" w:cs="宋体"/>
          <w:color w:val="auto"/>
          <w:sz w:val="24"/>
          <w:szCs w:val="24"/>
          <w:highlight w:val="none"/>
        </w:rPr>
        <w:tab/>
      </w:r>
      <w:r>
        <w:rPr>
          <w:rStyle w:val="56"/>
          <w:rFonts w:hint="eastAsia" w:ascii="宋体" w:hAnsi="宋体" w:eastAsia="宋体" w:cs="宋体"/>
          <w:color w:val="auto"/>
          <w:sz w:val="24"/>
          <w:szCs w:val="24"/>
          <w:highlight w:val="none"/>
        </w:rPr>
        <w:t xml:space="preserve"> （盖单位章）       承包人：</w:t>
      </w:r>
      <w:r>
        <w:rPr>
          <w:rStyle w:val="56"/>
          <w:rFonts w:hint="eastAsia" w:ascii="宋体" w:hAnsi="宋体" w:eastAsia="宋体" w:cs="宋体"/>
          <w:color w:val="auto"/>
          <w:sz w:val="24"/>
          <w:szCs w:val="24"/>
          <w:highlight w:val="none"/>
          <w:u w:val="single"/>
        </w:rPr>
        <w:tab/>
      </w:r>
      <w:r>
        <w:rPr>
          <w:rStyle w:val="56"/>
          <w:rFonts w:hint="eastAsia" w:ascii="宋体" w:hAnsi="宋体" w:eastAsia="宋体" w:cs="宋体"/>
          <w:color w:val="auto"/>
          <w:sz w:val="24"/>
          <w:szCs w:val="24"/>
          <w:highlight w:val="none"/>
          <w:u w:val="single"/>
        </w:rPr>
        <w:t xml:space="preserve">            </w:t>
      </w:r>
      <w:r>
        <w:rPr>
          <w:rStyle w:val="56"/>
          <w:rFonts w:hint="eastAsia" w:ascii="宋体" w:hAnsi="宋体" w:eastAsia="宋体" w:cs="宋体"/>
          <w:color w:val="auto"/>
          <w:sz w:val="24"/>
          <w:szCs w:val="24"/>
          <w:highlight w:val="none"/>
        </w:rPr>
        <w:t>（盖单位章）</w:t>
      </w:r>
    </w:p>
    <w:p w14:paraId="1B6464F1">
      <w:pPr>
        <w:pStyle w:val="92"/>
        <w:shd w:val="clear" w:color="auto" w:fill="auto"/>
        <w:tabs>
          <w:tab w:val="left" w:leader="underscore" w:pos="2153"/>
          <w:tab w:val="left" w:leader="underscore" w:pos="2993"/>
          <w:tab w:val="left" w:leader="underscore" w:pos="3833"/>
        </w:tabs>
        <w:spacing w:before="0" w:line="360" w:lineRule="auto"/>
        <w:jc w:val="left"/>
        <w:rPr>
          <w:rStyle w:val="56"/>
          <w:rFonts w:hint="eastAsia" w:ascii="宋体" w:hAnsi="宋体" w:eastAsia="宋体" w:cs="宋体"/>
          <w:color w:val="auto"/>
          <w:sz w:val="24"/>
          <w:szCs w:val="24"/>
          <w:highlight w:val="none"/>
        </w:rPr>
      </w:pPr>
      <w:r>
        <w:rPr>
          <w:rStyle w:val="56"/>
          <w:rFonts w:hint="eastAsia" w:ascii="宋体" w:hAnsi="宋体" w:eastAsia="宋体" w:cs="宋体"/>
          <w:color w:val="auto"/>
          <w:sz w:val="24"/>
          <w:szCs w:val="24"/>
          <w:highlight w:val="none"/>
        </w:rPr>
        <w:t>法定代表人或其委托代理人：</w:t>
      </w:r>
      <w:r>
        <w:rPr>
          <w:rStyle w:val="56"/>
          <w:rFonts w:hint="eastAsia" w:ascii="宋体" w:hAnsi="宋体" w:eastAsia="宋体" w:cs="宋体"/>
          <w:color w:val="auto"/>
          <w:sz w:val="24"/>
          <w:szCs w:val="24"/>
          <w:highlight w:val="none"/>
          <w:u w:val="single"/>
        </w:rPr>
        <w:t xml:space="preserve">     </w:t>
      </w:r>
      <w:r>
        <w:rPr>
          <w:rStyle w:val="56"/>
          <w:rFonts w:hint="eastAsia" w:ascii="宋体" w:hAnsi="宋体" w:eastAsia="宋体" w:cs="宋体"/>
          <w:color w:val="auto"/>
          <w:sz w:val="24"/>
          <w:szCs w:val="24"/>
          <w:highlight w:val="none"/>
        </w:rPr>
        <w:t xml:space="preserve">（签字） </w:t>
      </w:r>
      <w:r>
        <w:rPr>
          <w:rStyle w:val="56"/>
          <w:rFonts w:hint="eastAsia" w:ascii="宋体" w:hAnsi="宋体" w:eastAsia="宋体" w:cs="宋体"/>
          <w:color w:val="auto"/>
          <w:sz w:val="24"/>
          <w:szCs w:val="24"/>
          <w:highlight w:val="none"/>
        </w:rPr>
        <w:tab/>
      </w:r>
      <w:r>
        <w:rPr>
          <w:rStyle w:val="56"/>
          <w:rFonts w:hint="eastAsia" w:ascii="宋体" w:hAnsi="宋体" w:eastAsia="宋体" w:cs="宋体"/>
          <w:color w:val="auto"/>
          <w:sz w:val="24"/>
          <w:szCs w:val="24"/>
          <w:highlight w:val="none"/>
        </w:rPr>
        <w:t xml:space="preserve">      法定代表人或其委托代理人：</w:t>
      </w:r>
      <w:r>
        <w:rPr>
          <w:rStyle w:val="56"/>
          <w:rFonts w:hint="eastAsia" w:ascii="宋体" w:hAnsi="宋体" w:eastAsia="宋体" w:cs="宋体"/>
          <w:color w:val="auto"/>
          <w:sz w:val="24"/>
          <w:szCs w:val="24"/>
          <w:highlight w:val="none"/>
          <w:u w:val="single"/>
        </w:rPr>
        <w:t xml:space="preserve">    </w:t>
      </w:r>
      <w:r>
        <w:rPr>
          <w:rStyle w:val="56"/>
          <w:rFonts w:hint="eastAsia" w:ascii="宋体" w:hAnsi="宋体" w:eastAsia="宋体" w:cs="宋体"/>
          <w:color w:val="auto"/>
          <w:sz w:val="24"/>
          <w:szCs w:val="24"/>
          <w:highlight w:val="none"/>
        </w:rPr>
        <w:t>（签字）</w:t>
      </w:r>
    </w:p>
    <w:p w14:paraId="155F1554">
      <w:pPr>
        <w:pStyle w:val="92"/>
        <w:shd w:val="clear" w:color="auto" w:fill="auto"/>
        <w:tabs>
          <w:tab w:val="left" w:leader="underscore" w:pos="2153"/>
          <w:tab w:val="left" w:leader="underscore" w:pos="2993"/>
          <w:tab w:val="left" w:leader="underscore" w:pos="3833"/>
        </w:tabs>
        <w:spacing w:before="0" w:line="360" w:lineRule="auto"/>
        <w:ind w:left="1214" w:leftChars="506" w:right="660" w:firstLine="840" w:firstLineChars="350"/>
        <w:jc w:val="left"/>
        <w:rPr>
          <w:rFonts w:hint="eastAsia" w:ascii="宋体" w:hAnsi="宋体" w:eastAsia="宋体" w:cs="宋体"/>
          <w:color w:val="auto"/>
          <w:sz w:val="24"/>
          <w:szCs w:val="24"/>
          <w:highlight w:val="none"/>
        </w:rPr>
      </w:pPr>
      <w:r>
        <w:rPr>
          <w:rStyle w:val="56"/>
          <w:rFonts w:hint="eastAsia" w:ascii="宋体" w:hAnsi="宋体" w:eastAsia="宋体" w:cs="宋体"/>
          <w:color w:val="auto"/>
          <w:sz w:val="24"/>
          <w:szCs w:val="24"/>
          <w:highlight w:val="none"/>
        </w:rPr>
        <w:t>年     月    日</w:t>
      </w:r>
      <w:r>
        <w:rPr>
          <w:rStyle w:val="56"/>
          <w:rFonts w:hint="eastAsia" w:ascii="宋体" w:hAnsi="宋体" w:eastAsia="宋体" w:cs="宋体"/>
          <w:color w:val="auto"/>
          <w:spacing w:val="20"/>
          <w:sz w:val="24"/>
          <w:szCs w:val="24"/>
          <w:highlight w:val="none"/>
        </w:rPr>
        <w:t xml:space="preserve">                      </w:t>
      </w:r>
      <w:r>
        <w:rPr>
          <w:rStyle w:val="56"/>
          <w:rFonts w:hint="eastAsia" w:ascii="宋体" w:hAnsi="宋体" w:eastAsia="宋体" w:cs="宋体"/>
          <w:color w:val="auto"/>
          <w:sz w:val="24"/>
          <w:szCs w:val="24"/>
          <w:highlight w:val="none"/>
        </w:rPr>
        <w:t>年</w:t>
      </w:r>
      <w:r>
        <w:rPr>
          <w:rStyle w:val="56"/>
          <w:rFonts w:hint="eastAsia" w:ascii="宋体" w:hAnsi="宋体" w:eastAsia="宋体" w:cs="宋体"/>
          <w:color w:val="auto"/>
          <w:sz w:val="24"/>
          <w:szCs w:val="24"/>
          <w:highlight w:val="none"/>
        </w:rPr>
        <w:tab/>
      </w:r>
      <w:r>
        <w:rPr>
          <w:rStyle w:val="56"/>
          <w:rFonts w:hint="eastAsia" w:ascii="宋体" w:hAnsi="宋体" w:eastAsia="宋体" w:cs="宋体"/>
          <w:color w:val="auto"/>
          <w:sz w:val="24"/>
          <w:szCs w:val="24"/>
          <w:highlight w:val="none"/>
        </w:rPr>
        <w:t>月   日</w:t>
      </w:r>
    </w:p>
    <w:p w14:paraId="343191DB">
      <w:pPr>
        <w:pStyle w:val="5"/>
        <w:rPr>
          <w:rFonts w:hAnsi="宋体" w:cs="宋体"/>
          <w:color w:val="auto"/>
          <w:sz w:val="21"/>
          <w:szCs w:val="21"/>
          <w:highlight w:val="none"/>
        </w:rPr>
      </w:pPr>
    </w:p>
    <w:p w14:paraId="107CE694">
      <w:pPr>
        <w:pStyle w:val="5"/>
        <w:rPr>
          <w:rFonts w:hAnsi="宋体" w:cs="宋体"/>
          <w:color w:val="auto"/>
          <w:sz w:val="24"/>
          <w:szCs w:val="24"/>
          <w:highlight w:val="none"/>
        </w:rPr>
      </w:pPr>
      <w:bookmarkStart w:id="151" w:name="_Toc508779711"/>
      <w:bookmarkStart w:id="152" w:name="_Toc428"/>
      <w:bookmarkStart w:id="153" w:name="_Toc511595195"/>
      <w:r>
        <w:rPr>
          <w:rFonts w:hAnsi="宋体" w:cs="宋体"/>
          <w:color w:val="auto"/>
          <w:sz w:val="21"/>
          <w:szCs w:val="21"/>
          <w:highlight w:val="none"/>
        </w:rPr>
        <w:br w:type="page"/>
      </w:r>
      <w:bookmarkStart w:id="154" w:name="_Toc514759055"/>
      <w:r>
        <w:rPr>
          <w:rFonts w:hAnsi="宋体" w:cs="宋体"/>
          <w:color w:val="auto"/>
          <w:sz w:val="24"/>
          <w:szCs w:val="24"/>
          <w:highlight w:val="none"/>
        </w:rPr>
        <w:t>附件三  安全生产合同</w:t>
      </w:r>
      <w:bookmarkEnd w:id="146"/>
      <w:bookmarkEnd w:id="151"/>
      <w:bookmarkEnd w:id="152"/>
      <w:bookmarkEnd w:id="153"/>
      <w:bookmarkEnd w:id="154"/>
    </w:p>
    <w:p w14:paraId="2088ED4D">
      <w:pPr>
        <w:jc w:val="center"/>
        <w:rPr>
          <w:rFonts w:ascii="宋体" w:hAnsi="宋体" w:cs="宋体"/>
          <w:color w:val="auto"/>
          <w:sz w:val="44"/>
          <w:szCs w:val="44"/>
          <w:highlight w:val="none"/>
        </w:rPr>
      </w:pPr>
      <w:bookmarkStart w:id="155" w:name="_Toc514786912"/>
      <w:bookmarkStart w:id="156" w:name="bookmark191"/>
      <w:r>
        <w:rPr>
          <w:rFonts w:ascii="宋体" w:hAnsi="宋体" w:cs="宋体"/>
          <w:color w:val="auto"/>
          <w:sz w:val="44"/>
          <w:szCs w:val="44"/>
          <w:highlight w:val="none"/>
        </w:rPr>
        <w:t>安全生产合同</w:t>
      </w:r>
      <w:bookmarkEnd w:id="155"/>
      <w:bookmarkEnd w:id="156"/>
    </w:p>
    <w:p w14:paraId="63DEA6ED">
      <w:pPr>
        <w:pStyle w:val="3"/>
        <w:rPr>
          <w:rFonts w:ascii="宋体" w:hAnsi="宋体" w:eastAsia="宋体" w:cs="宋体"/>
          <w:color w:val="auto"/>
          <w:highlight w:val="none"/>
        </w:rPr>
      </w:pPr>
    </w:p>
    <w:p w14:paraId="540D5C1B">
      <w:pPr>
        <w:pStyle w:val="92"/>
        <w:shd w:val="clear" w:color="auto" w:fill="auto"/>
        <w:tabs>
          <w:tab w:val="left" w:leader="underscore" w:pos="2726"/>
          <w:tab w:val="left" w:leader="underscore" w:pos="4730"/>
        </w:tabs>
        <w:spacing w:before="0" w:line="389" w:lineRule="exact"/>
        <w:ind w:firstLine="480" w:firstLineChars="20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为在</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（项目名称）</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标段施工合同的实施过程中创造安全、高效的施工环境，切实搞好本项目的安全管理工作，本项目发包人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（发包人名称，以下简称“发包人”）与承包人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（承包人名称，以下简称“承包人”）特此签订安全生产合同：</w:t>
      </w:r>
    </w:p>
    <w:p w14:paraId="632750ED">
      <w:pPr>
        <w:pStyle w:val="71"/>
        <w:keepNext/>
        <w:keepLines/>
        <w:shd w:val="clear" w:color="auto" w:fill="auto"/>
        <w:tabs>
          <w:tab w:val="left" w:pos="994"/>
        </w:tabs>
        <w:spacing w:before="0" w:after="0" w:line="389" w:lineRule="exact"/>
        <w:jc w:val="both"/>
        <w:outlineLvl w:val="9"/>
        <w:rPr>
          <w:rFonts w:hint="eastAsia" w:ascii="宋体" w:hAnsi="宋体" w:eastAsia="宋体" w:cs="宋体"/>
          <w:color w:val="auto"/>
          <w:spacing w:val="0"/>
          <w:sz w:val="24"/>
          <w:szCs w:val="24"/>
          <w:highlight w:val="none"/>
        </w:rPr>
      </w:pPr>
      <w:bookmarkStart w:id="157" w:name="_Toc514786913"/>
      <w:bookmarkStart w:id="158" w:name="bookmark192"/>
      <w:r>
        <w:rPr>
          <w:rStyle w:val="84"/>
          <w:rFonts w:hint="eastAsia" w:ascii="宋体" w:hAnsi="宋体" w:eastAsia="宋体" w:cs="宋体"/>
          <w:b/>
          <w:bCs/>
          <w:color w:val="auto"/>
          <w:sz w:val="24"/>
          <w:szCs w:val="24"/>
          <w:highlight w:val="none"/>
        </w:rPr>
        <w:t>1．发包人职责</w:t>
      </w:r>
      <w:bookmarkEnd w:id="157"/>
      <w:bookmarkEnd w:id="158"/>
    </w:p>
    <w:p w14:paraId="1370B796">
      <w:pPr>
        <w:pStyle w:val="92"/>
        <w:numPr>
          <w:ilvl w:val="0"/>
          <w:numId w:val="6"/>
        </w:numPr>
        <w:shd w:val="clear" w:color="auto" w:fill="auto"/>
        <w:tabs>
          <w:tab w:val="left" w:pos="1268"/>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严格遵守国家有关安全生产的法律法规，认真执行工程承包合同中的有关安全要求。</w:t>
      </w:r>
    </w:p>
    <w:p w14:paraId="163F3997">
      <w:pPr>
        <w:pStyle w:val="92"/>
        <w:numPr>
          <w:ilvl w:val="0"/>
          <w:numId w:val="6"/>
        </w:numPr>
        <w:shd w:val="clear" w:color="auto" w:fill="auto"/>
        <w:tabs>
          <w:tab w:val="left" w:pos="1273"/>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按照“安全第一、预防为主”和坚持“管生产必须管安全”的原则进行安全生产管理，做到生产与安全工作同时计划、布置、检查、总结和评比。</w:t>
      </w:r>
    </w:p>
    <w:p w14:paraId="531D0551">
      <w:pPr>
        <w:pStyle w:val="92"/>
        <w:numPr>
          <w:ilvl w:val="0"/>
          <w:numId w:val="6"/>
        </w:numPr>
        <w:shd w:val="clear" w:color="auto" w:fill="auto"/>
        <w:tabs>
          <w:tab w:val="left" w:pos="1263"/>
        </w:tabs>
        <w:spacing w:before="0" w:line="389" w:lineRule="exact"/>
        <w:ind w:firstLine="78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重要的安全设施必须坚持与主体工程“三同时”的原则：同时设计、 审批，同时施工，同时验收，投入使用。</w:t>
      </w:r>
    </w:p>
    <w:p w14:paraId="58ED5234">
      <w:pPr>
        <w:pStyle w:val="92"/>
        <w:numPr>
          <w:ilvl w:val="0"/>
          <w:numId w:val="6"/>
        </w:numPr>
        <w:shd w:val="clear" w:color="auto" w:fill="auto"/>
        <w:tabs>
          <w:tab w:val="left" w:pos="1311"/>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定期召开安全生产调度会，及时传达中央及地方有关安全生产的精神。</w:t>
      </w:r>
    </w:p>
    <w:p w14:paraId="752F0455">
      <w:pPr>
        <w:pStyle w:val="92"/>
        <w:numPr>
          <w:ilvl w:val="0"/>
          <w:numId w:val="6"/>
        </w:numPr>
        <w:shd w:val="clear" w:color="auto" w:fill="auto"/>
        <w:tabs>
          <w:tab w:val="left" w:pos="1273"/>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组织对承包人施工现场进行安全生产检查，监督承包人及时处理发现的各种安全隐患。</w:t>
      </w:r>
    </w:p>
    <w:p w14:paraId="631B8877">
      <w:pPr>
        <w:pStyle w:val="71"/>
        <w:keepNext/>
        <w:keepLines/>
        <w:shd w:val="clear" w:color="auto" w:fill="auto"/>
        <w:tabs>
          <w:tab w:val="left" w:pos="1018"/>
        </w:tabs>
        <w:spacing w:before="0" w:after="0" w:line="389" w:lineRule="exact"/>
        <w:jc w:val="both"/>
        <w:outlineLvl w:val="9"/>
        <w:rPr>
          <w:rFonts w:hint="eastAsia" w:ascii="宋体" w:hAnsi="宋体" w:eastAsia="宋体" w:cs="宋体"/>
          <w:color w:val="auto"/>
          <w:spacing w:val="0"/>
          <w:sz w:val="24"/>
          <w:szCs w:val="24"/>
          <w:highlight w:val="none"/>
        </w:rPr>
      </w:pPr>
      <w:bookmarkStart w:id="159" w:name="_Toc514786914"/>
      <w:bookmarkStart w:id="160" w:name="bookmark193"/>
      <w:r>
        <w:rPr>
          <w:rStyle w:val="84"/>
          <w:rFonts w:hint="eastAsia" w:ascii="宋体" w:hAnsi="宋体" w:eastAsia="宋体" w:cs="宋体"/>
          <w:b/>
          <w:bCs/>
          <w:color w:val="auto"/>
          <w:sz w:val="24"/>
          <w:szCs w:val="24"/>
          <w:highlight w:val="none"/>
        </w:rPr>
        <w:t>2．承包人职责</w:t>
      </w:r>
      <w:bookmarkEnd w:id="159"/>
      <w:bookmarkEnd w:id="160"/>
    </w:p>
    <w:p w14:paraId="2115E648">
      <w:pPr>
        <w:pStyle w:val="92"/>
        <w:numPr>
          <w:ilvl w:val="0"/>
          <w:numId w:val="7"/>
        </w:numPr>
        <w:shd w:val="clear" w:color="auto" w:fill="auto"/>
        <w:tabs>
          <w:tab w:val="left" w:pos="1270"/>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严格遵守《中华人民共和国安全生产法》、《建设工程安全生产管理条例》 等国家有关安全生产的法律法规、《公路水运工程安全生产监督管理办法》和《公路工程施工安全技术规范》等有关安全生产的规定。认真执行工程承包合同中的有关安全要求。</w:t>
      </w:r>
    </w:p>
    <w:p w14:paraId="573C0DA7">
      <w:pPr>
        <w:pStyle w:val="92"/>
        <w:numPr>
          <w:ilvl w:val="0"/>
          <w:numId w:val="7"/>
        </w:numPr>
        <w:shd w:val="clear" w:color="auto" w:fill="auto"/>
        <w:tabs>
          <w:tab w:val="left" w:pos="1275"/>
        </w:tabs>
        <w:spacing w:before="0" w:line="389" w:lineRule="exact"/>
        <w:ind w:firstLine="78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 各级领导、工程技术人员、生产管理人员和具体操作人员，必须熟悉和遵守本合同的各项规定，做到生产与安全工作同时计划、布置、检查、总结和评比。</w:t>
      </w:r>
    </w:p>
    <w:p w14:paraId="5ABD1D05">
      <w:pPr>
        <w:pStyle w:val="92"/>
        <w:numPr>
          <w:ilvl w:val="0"/>
          <w:numId w:val="7"/>
        </w:numPr>
        <w:shd w:val="clear" w:color="auto" w:fill="auto"/>
        <w:tabs>
          <w:tab w:val="left" w:pos="1275"/>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 护性措施防止事故发生。</w:t>
      </w:r>
    </w:p>
    <w:p w14:paraId="3A5B4000">
      <w:pPr>
        <w:pStyle w:val="92"/>
        <w:numPr>
          <w:ilvl w:val="0"/>
          <w:numId w:val="7"/>
        </w:numPr>
        <w:shd w:val="clear" w:color="auto" w:fill="auto"/>
        <w:tabs>
          <w:tab w:val="left" w:pos="531"/>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承包人在任何时候都应采取各种合理的预防措施，防止其员工发生任何违法、违禁、暴力或妨碍治安的行为。</w:t>
      </w:r>
    </w:p>
    <w:p w14:paraId="5FB5EF79">
      <w:pPr>
        <w:pStyle w:val="92"/>
        <w:numPr>
          <w:ilvl w:val="0"/>
          <w:numId w:val="7"/>
        </w:numPr>
        <w:shd w:val="clear" w:color="auto" w:fill="auto"/>
        <w:tabs>
          <w:tab w:val="left" w:pos="1273"/>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68413F5">
      <w:pPr>
        <w:pStyle w:val="92"/>
        <w:numPr>
          <w:ilvl w:val="0"/>
          <w:numId w:val="7"/>
        </w:numPr>
        <w:shd w:val="clear" w:color="auto" w:fill="auto"/>
        <w:tabs>
          <w:tab w:val="left" w:pos="1273"/>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FFA110C">
      <w:pPr>
        <w:pStyle w:val="92"/>
        <w:numPr>
          <w:ilvl w:val="0"/>
          <w:numId w:val="7"/>
        </w:numPr>
        <w:shd w:val="clear" w:color="auto" w:fill="auto"/>
        <w:tabs>
          <w:tab w:val="left" w:pos="1261"/>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操作人员上岗，必须按规定穿戴防护用品。施工负责人和安全检查员应随时检查劳动防护用品的穿戴情况，不按规定穿戴防护用品的人员不得上岗。</w:t>
      </w:r>
    </w:p>
    <w:p w14:paraId="5EAE7869">
      <w:pPr>
        <w:pStyle w:val="92"/>
        <w:numPr>
          <w:ilvl w:val="0"/>
          <w:numId w:val="7"/>
        </w:numPr>
        <w:shd w:val="clear" w:color="auto" w:fill="auto"/>
        <w:tabs>
          <w:tab w:val="left" w:pos="1273"/>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所有施工机具设备和高空作业的设备均应定期检查，并有安全员的签字记录，保证其经常处于完好状态；不合格的机具、设备和劳动保护用品严禁使用。</w:t>
      </w:r>
    </w:p>
    <w:p w14:paraId="212BDD15">
      <w:pPr>
        <w:pStyle w:val="92"/>
        <w:numPr>
          <w:ilvl w:val="0"/>
          <w:numId w:val="7"/>
        </w:numPr>
        <w:shd w:val="clear" w:color="auto" w:fill="auto"/>
        <w:tabs>
          <w:tab w:val="left" w:pos="1270"/>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施工中采用新技术、新工艺、新设备、新材料时，必须制定相应的安全技术措施，施工现场必须具有相关的安全标志牌。</w:t>
      </w:r>
    </w:p>
    <w:p w14:paraId="2D92093D">
      <w:pPr>
        <w:pStyle w:val="92"/>
        <w:numPr>
          <w:ilvl w:val="0"/>
          <w:numId w:val="7"/>
        </w:numPr>
        <w:shd w:val="clear" w:color="auto" w:fill="auto"/>
        <w:tabs>
          <w:tab w:val="left" w:pos="1390"/>
        </w:tabs>
        <w:spacing w:before="0" w:line="389" w:lineRule="exact"/>
        <w:ind w:firstLine="78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14:paraId="4C24F84C">
      <w:pPr>
        <w:pStyle w:val="92"/>
        <w:numPr>
          <w:ilvl w:val="0"/>
          <w:numId w:val="7"/>
        </w:numPr>
        <w:shd w:val="clear" w:color="auto" w:fill="auto"/>
        <w:tabs>
          <w:tab w:val="left" w:pos="1390"/>
        </w:tabs>
        <w:spacing w:before="0" w:line="389" w:lineRule="exact"/>
        <w:ind w:firstLine="7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安全生产费用按照《公路水运工程安全生产监督管理办法》的相关规定使用和管理。</w:t>
      </w:r>
    </w:p>
    <w:p w14:paraId="0FB1FD3A">
      <w:pPr>
        <w:pStyle w:val="73"/>
        <w:shd w:val="clear" w:color="auto" w:fill="auto"/>
        <w:tabs>
          <w:tab w:val="left" w:pos="994"/>
        </w:tabs>
        <w:spacing w:line="389" w:lineRule="exact"/>
        <w:jc w:val="both"/>
        <w:rPr>
          <w:rFonts w:hint="eastAsia" w:ascii="宋体" w:hAnsi="宋体" w:eastAsia="宋体" w:cs="宋体"/>
          <w:color w:val="auto"/>
          <w:spacing w:val="0"/>
          <w:sz w:val="24"/>
          <w:szCs w:val="24"/>
          <w:highlight w:val="none"/>
        </w:rPr>
      </w:pPr>
      <w:r>
        <w:rPr>
          <w:rStyle w:val="95"/>
          <w:rFonts w:hint="eastAsia" w:ascii="宋体" w:hAnsi="宋体" w:eastAsia="宋体" w:cs="宋体"/>
          <w:b/>
          <w:bCs/>
          <w:color w:val="auto"/>
          <w:sz w:val="24"/>
          <w:szCs w:val="24"/>
          <w:highlight w:val="none"/>
        </w:rPr>
        <w:t>3．违约责任</w:t>
      </w:r>
    </w:p>
    <w:p w14:paraId="2A0CD6F3">
      <w:pPr>
        <w:pStyle w:val="92"/>
        <w:shd w:val="clear" w:color="auto" w:fill="auto"/>
        <w:spacing w:before="0" w:line="389" w:lineRule="exact"/>
        <w:ind w:firstLine="480" w:firstLineChars="20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如因发包人或承包人违约造成安全事故，将依法追究责任。</w:t>
      </w:r>
    </w:p>
    <w:p w14:paraId="652E71DF">
      <w:pPr>
        <w:pStyle w:val="92"/>
        <w:shd w:val="clear" w:color="auto" w:fill="auto"/>
        <w:tabs>
          <w:tab w:val="left" w:pos="966"/>
        </w:tabs>
        <w:spacing w:before="0" w:line="389" w:lineRule="exact"/>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4．本合同由双方法定代表人或其授权的代理人签署并加盖单位章后生效，全部工程竣工验收后失效。</w:t>
      </w:r>
    </w:p>
    <w:p w14:paraId="48F34A12">
      <w:pPr>
        <w:pStyle w:val="92"/>
        <w:shd w:val="clear" w:color="auto" w:fill="auto"/>
        <w:tabs>
          <w:tab w:val="left" w:leader="underscore" w:pos="3679"/>
          <w:tab w:val="left" w:leader="underscore" w:pos="7914"/>
        </w:tabs>
        <w:spacing w:before="0" w:line="38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5．本合同正本二份、副本</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份，合同双方各执正本一份，副本</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份，当</w:t>
      </w:r>
    </w:p>
    <w:p w14:paraId="75557BC9">
      <w:pPr>
        <w:pStyle w:val="92"/>
        <w:shd w:val="clear" w:color="auto" w:fill="auto"/>
        <w:spacing w:before="0" w:after="738" w:line="38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正本与副本的内容不一致时，以正本为准。</w:t>
      </w:r>
    </w:p>
    <w:p w14:paraId="4E37AC54">
      <w:pPr>
        <w:pStyle w:val="92"/>
        <w:shd w:val="clear" w:color="auto" w:fill="auto"/>
        <w:tabs>
          <w:tab w:val="left" w:leader="underscore" w:pos="2747"/>
          <w:tab w:val="left" w:pos="4634"/>
          <w:tab w:val="left" w:leader="underscore" w:pos="7408"/>
        </w:tabs>
        <w:spacing w:before="0" w:line="442" w:lineRule="exact"/>
        <w:jc w:val="both"/>
        <w:rPr>
          <w:rFonts w:hint="eastAsia" w:ascii="宋体" w:hAnsi="宋体" w:eastAsia="宋体" w:cs="宋体"/>
          <w:color w:val="auto"/>
          <w:spacing w:val="0"/>
          <w:sz w:val="24"/>
          <w:szCs w:val="24"/>
          <w:highlight w:val="none"/>
        </w:rPr>
      </w:pPr>
      <w:r>
        <w:rPr>
          <w:rStyle w:val="76"/>
          <w:rFonts w:hint="eastAsia" w:ascii="宋体" w:hAnsi="宋体" w:eastAsia="宋体" w:cs="宋体"/>
          <w:i w:val="0"/>
          <w:color w:val="auto"/>
          <w:spacing w:val="0"/>
          <w:sz w:val="24"/>
          <w:szCs w:val="24"/>
          <w:highlight w:val="none"/>
        </w:rPr>
        <w:t>发包人</w:t>
      </w:r>
      <w:r>
        <w:rPr>
          <w:rStyle w:val="76"/>
          <w:rFonts w:hint="eastAsia" w:ascii="宋体" w:hAnsi="宋体" w:eastAsia="宋体" w:cs="宋体"/>
          <w:color w:val="auto"/>
          <w:spacing w:val="0"/>
          <w:sz w:val="24"/>
          <w:szCs w:val="24"/>
          <w:highlight w:val="none"/>
        </w:rPr>
        <w:t>:</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（盖单位章）</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承包人：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（盖单位章）</w:t>
      </w:r>
    </w:p>
    <w:p w14:paraId="3C6FC02F">
      <w:pPr>
        <w:pStyle w:val="92"/>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442" w:lineRule="exact"/>
        <w:jc w:val="left"/>
        <w:rPr>
          <w:rStyle w:val="60"/>
          <w:rFonts w:hint="eastAsia" w:ascii="宋体" w:hAnsi="宋体" w:eastAsia="宋体" w:cs="宋体"/>
          <w:color w:val="auto"/>
          <w:sz w:val="24"/>
          <w:szCs w:val="24"/>
          <w:highlight w:val="none"/>
        </w:rPr>
      </w:pPr>
      <w:r>
        <w:rPr>
          <w:rStyle w:val="60"/>
          <w:rFonts w:hint="eastAsia" w:ascii="宋体" w:hAnsi="宋体" w:eastAsia="宋体" w:cs="宋体"/>
          <w:color w:val="auto"/>
          <w:sz w:val="24"/>
          <w:szCs w:val="24"/>
          <w:highlight w:val="none"/>
        </w:rPr>
        <w:t>法定代表人或其委托代理人：</w:t>
      </w:r>
      <w:r>
        <w:rPr>
          <w:rStyle w:val="60"/>
          <w:rFonts w:hint="eastAsia" w:ascii="宋体" w:hAnsi="宋体" w:eastAsia="宋体" w:cs="宋体"/>
          <w:color w:val="auto"/>
          <w:sz w:val="24"/>
          <w:szCs w:val="24"/>
          <w:highlight w:val="none"/>
          <w:u w:val="single"/>
        </w:rPr>
        <w:t xml:space="preserve">    （</w:t>
      </w:r>
      <w:r>
        <w:rPr>
          <w:rStyle w:val="60"/>
          <w:rFonts w:hint="eastAsia" w:ascii="宋体" w:hAnsi="宋体" w:eastAsia="宋体" w:cs="宋体"/>
          <w:color w:val="auto"/>
          <w:sz w:val="24"/>
          <w:szCs w:val="24"/>
          <w:highlight w:val="none"/>
        </w:rPr>
        <w:t xml:space="preserve">签字）    法定代表人或其委托代理人：_ （签字） </w:t>
      </w:r>
    </w:p>
    <w:p w14:paraId="0CA79A2E">
      <w:pPr>
        <w:pStyle w:val="92"/>
        <w:shd w:val="clear" w:color="auto" w:fill="auto"/>
        <w:tabs>
          <w:tab w:val="left" w:leader="underscore" w:pos="1913"/>
          <w:tab w:val="left" w:leader="underscore" w:pos="2747"/>
          <w:tab w:val="left" w:leader="underscore" w:pos="3679"/>
          <w:tab w:val="left" w:pos="5508"/>
          <w:tab w:val="left" w:leader="underscore" w:pos="6593"/>
          <w:tab w:val="left" w:leader="underscore" w:pos="7408"/>
          <w:tab w:val="left" w:leader="underscore" w:pos="8273"/>
        </w:tabs>
        <w:spacing w:before="0" w:line="442" w:lineRule="exact"/>
        <w:ind w:firstLine="442"/>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年</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月</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日</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年</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月</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日</w:t>
      </w:r>
    </w:p>
    <w:p w14:paraId="5086FC3E">
      <w:pPr>
        <w:tabs>
          <w:tab w:val="left" w:pos="1080"/>
        </w:tabs>
        <w:spacing w:line="280" w:lineRule="exact"/>
        <w:ind w:firstLine="420"/>
        <w:rPr>
          <w:rFonts w:ascii="宋体" w:hAnsi="宋体" w:cs="宋体"/>
          <w:color w:val="auto"/>
          <w:szCs w:val="21"/>
          <w:highlight w:val="none"/>
        </w:rPr>
      </w:pPr>
    </w:p>
    <w:p w14:paraId="041C9911">
      <w:pPr>
        <w:tabs>
          <w:tab w:val="left" w:pos="1080"/>
        </w:tabs>
        <w:spacing w:line="280" w:lineRule="exact"/>
        <w:ind w:firstLine="420"/>
        <w:rPr>
          <w:rFonts w:ascii="宋体" w:hAnsi="宋体" w:cs="宋体"/>
          <w:color w:val="auto"/>
          <w:szCs w:val="21"/>
          <w:highlight w:val="none"/>
        </w:rPr>
      </w:pPr>
    </w:p>
    <w:p w14:paraId="6BCD6918">
      <w:pPr>
        <w:tabs>
          <w:tab w:val="left" w:pos="1080"/>
        </w:tabs>
        <w:spacing w:line="280" w:lineRule="exact"/>
        <w:ind w:firstLine="420"/>
        <w:rPr>
          <w:rFonts w:ascii="宋体" w:hAnsi="宋体" w:cs="宋体"/>
          <w:color w:val="auto"/>
          <w:szCs w:val="21"/>
          <w:highlight w:val="none"/>
        </w:rPr>
      </w:pPr>
    </w:p>
    <w:p w14:paraId="2C21F7A9">
      <w:pPr>
        <w:tabs>
          <w:tab w:val="left" w:pos="1080"/>
        </w:tabs>
        <w:spacing w:line="280" w:lineRule="exact"/>
        <w:ind w:firstLine="420"/>
        <w:rPr>
          <w:rFonts w:ascii="宋体" w:hAnsi="宋体" w:cs="宋体"/>
          <w:color w:val="auto"/>
          <w:szCs w:val="21"/>
          <w:highlight w:val="none"/>
        </w:rPr>
      </w:pPr>
    </w:p>
    <w:p w14:paraId="784B7A31">
      <w:pPr>
        <w:pStyle w:val="5"/>
        <w:rPr>
          <w:rFonts w:hAnsi="宋体" w:cs="宋体"/>
          <w:color w:val="auto"/>
          <w:sz w:val="21"/>
          <w:szCs w:val="21"/>
          <w:highlight w:val="none"/>
        </w:rPr>
      </w:pPr>
      <w:bookmarkStart w:id="161" w:name="_Toc394929419"/>
      <w:bookmarkStart w:id="162" w:name="_Toc511595196"/>
      <w:bookmarkStart w:id="163" w:name="_Toc4646"/>
      <w:bookmarkStart w:id="164" w:name="_Toc508779712"/>
      <w:r>
        <w:rPr>
          <w:rFonts w:hAnsi="宋体" w:cs="宋体"/>
          <w:color w:val="auto"/>
          <w:highlight w:val="none"/>
        </w:rPr>
        <w:br w:type="page"/>
      </w:r>
      <w:bookmarkStart w:id="165" w:name="_Toc514759056"/>
      <w:r>
        <w:rPr>
          <w:rFonts w:hAnsi="宋体" w:cs="宋体"/>
          <w:color w:val="auto"/>
          <w:sz w:val="21"/>
          <w:szCs w:val="21"/>
          <w:highlight w:val="none"/>
        </w:rPr>
        <w:t>附件四  其他主要管理人员和技术人员最低要求</w:t>
      </w:r>
      <w:bookmarkEnd w:id="161"/>
      <w:bookmarkEnd w:id="162"/>
      <w:bookmarkEnd w:id="163"/>
      <w:bookmarkEnd w:id="164"/>
      <w:bookmarkEnd w:id="165"/>
    </w:p>
    <w:p w14:paraId="076D9A49">
      <w:pPr>
        <w:pStyle w:val="5"/>
        <w:rPr>
          <w:rFonts w:hAnsi="宋体" w:cs="宋体"/>
          <w:color w:val="auto"/>
          <w:sz w:val="21"/>
          <w:szCs w:val="21"/>
          <w:highlight w:val="none"/>
        </w:rPr>
      </w:pPr>
    </w:p>
    <w:tbl>
      <w:tblPr>
        <w:tblStyle w:val="30"/>
        <w:tblW w:w="0" w:type="auto"/>
        <w:jc w:val="center"/>
        <w:tblLayout w:type="fixed"/>
        <w:tblCellMar>
          <w:top w:w="0" w:type="dxa"/>
          <w:left w:w="108" w:type="dxa"/>
          <w:bottom w:w="0" w:type="dxa"/>
          <w:right w:w="108" w:type="dxa"/>
        </w:tblCellMar>
      </w:tblPr>
      <w:tblGrid>
        <w:gridCol w:w="2127"/>
        <w:gridCol w:w="851"/>
        <w:gridCol w:w="4936"/>
      </w:tblGrid>
      <w:tr w14:paraId="0724A49B">
        <w:tblPrEx>
          <w:tblCellMar>
            <w:top w:w="0" w:type="dxa"/>
            <w:left w:w="108" w:type="dxa"/>
            <w:bottom w:w="0" w:type="dxa"/>
            <w:right w:w="108" w:type="dxa"/>
          </w:tblCellMar>
        </w:tblPrEx>
        <w:trPr>
          <w:trHeight w:val="672"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667AFD9B">
            <w:pPr>
              <w:widowControl/>
              <w:autoSpaceDE/>
              <w:autoSpaceDN/>
              <w:adjustRightInd/>
              <w:ind w:left="420"/>
              <w:jc w:val="center"/>
              <w:rPr>
                <w:rFonts w:ascii="宋体" w:hAnsi="宋体" w:cs="宋体"/>
                <w:color w:val="auto"/>
                <w:szCs w:val="24"/>
                <w:highlight w:val="none"/>
              </w:rPr>
            </w:pPr>
            <w:r>
              <w:rPr>
                <w:rFonts w:ascii="宋体" w:hAnsi="宋体" w:cs="宋体"/>
                <w:color w:val="auto"/>
                <w:szCs w:val="24"/>
                <w:highlight w:val="none"/>
              </w:rPr>
              <w:t>人员</w:t>
            </w:r>
          </w:p>
        </w:tc>
        <w:tc>
          <w:tcPr>
            <w:tcW w:w="851" w:type="dxa"/>
            <w:tcBorders>
              <w:top w:val="single" w:color="auto" w:sz="4" w:space="0"/>
              <w:left w:val="nil"/>
              <w:bottom w:val="single" w:color="auto" w:sz="4" w:space="0"/>
              <w:right w:val="single" w:color="auto" w:sz="4" w:space="0"/>
            </w:tcBorders>
            <w:noWrap w:val="0"/>
            <w:vAlign w:val="center"/>
          </w:tcPr>
          <w:p w14:paraId="7D2387EE">
            <w:pPr>
              <w:widowControl/>
              <w:autoSpaceDE/>
              <w:autoSpaceDN/>
              <w:adjustRightInd/>
              <w:jc w:val="center"/>
              <w:rPr>
                <w:rFonts w:ascii="宋体" w:hAnsi="宋体" w:cs="宋体"/>
                <w:color w:val="auto"/>
                <w:szCs w:val="24"/>
                <w:highlight w:val="none"/>
              </w:rPr>
            </w:pPr>
            <w:r>
              <w:rPr>
                <w:rFonts w:ascii="宋体" w:hAnsi="宋体" w:cs="宋体"/>
                <w:color w:val="auto"/>
                <w:szCs w:val="24"/>
                <w:highlight w:val="none"/>
              </w:rPr>
              <w:t>数量</w:t>
            </w:r>
          </w:p>
        </w:tc>
        <w:tc>
          <w:tcPr>
            <w:tcW w:w="4936" w:type="dxa"/>
            <w:tcBorders>
              <w:top w:val="single" w:color="auto" w:sz="4" w:space="0"/>
              <w:left w:val="nil"/>
              <w:bottom w:val="single" w:color="auto" w:sz="4" w:space="0"/>
              <w:right w:val="single" w:color="auto" w:sz="4" w:space="0"/>
            </w:tcBorders>
            <w:noWrap w:val="0"/>
            <w:vAlign w:val="center"/>
          </w:tcPr>
          <w:p w14:paraId="5BA931DA">
            <w:pPr>
              <w:widowControl/>
              <w:autoSpaceDE/>
              <w:autoSpaceDN/>
              <w:adjustRightInd/>
              <w:jc w:val="center"/>
              <w:rPr>
                <w:rFonts w:ascii="宋体" w:hAnsi="宋体" w:cs="宋体"/>
                <w:color w:val="auto"/>
                <w:szCs w:val="24"/>
                <w:highlight w:val="none"/>
              </w:rPr>
            </w:pPr>
            <w:r>
              <w:rPr>
                <w:rFonts w:ascii="宋体" w:hAnsi="宋体" w:cs="宋体"/>
                <w:color w:val="auto"/>
                <w:szCs w:val="24"/>
                <w:highlight w:val="none"/>
              </w:rPr>
              <w:t>资格要求</w:t>
            </w:r>
          </w:p>
        </w:tc>
      </w:tr>
      <w:tr w14:paraId="7B08CDF0">
        <w:tblPrEx>
          <w:tblCellMar>
            <w:top w:w="0" w:type="dxa"/>
            <w:left w:w="108" w:type="dxa"/>
            <w:bottom w:w="0" w:type="dxa"/>
            <w:right w:w="108" w:type="dxa"/>
          </w:tblCellMar>
        </w:tblPrEx>
        <w:trPr>
          <w:trHeight w:val="1360" w:hRule="atLeast"/>
          <w:jc w:val="center"/>
        </w:trPr>
        <w:tc>
          <w:tcPr>
            <w:tcW w:w="2127" w:type="dxa"/>
            <w:tcBorders>
              <w:top w:val="nil"/>
              <w:left w:val="single" w:color="auto" w:sz="4" w:space="0"/>
              <w:bottom w:val="single" w:color="auto" w:sz="4" w:space="0"/>
              <w:right w:val="single" w:color="auto" w:sz="4" w:space="0"/>
            </w:tcBorders>
            <w:noWrap w:val="0"/>
            <w:vAlign w:val="center"/>
          </w:tcPr>
          <w:p w14:paraId="3DD1B440">
            <w:pPr>
              <w:widowControl/>
              <w:autoSpaceDE/>
              <w:autoSpaceDN/>
              <w:adjustRightInd/>
              <w:jc w:val="center"/>
              <w:rPr>
                <w:rFonts w:ascii="宋体" w:hAnsi="宋体" w:cs="宋体"/>
                <w:color w:val="auto"/>
                <w:szCs w:val="24"/>
                <w:highlight w:val="none"/>
              </w:rPr>
            </w:pPr>
            <w:r>
              <w:rPr>
                <w:rFonts w:hint="eastAsia" w:ascii="宋体" w:hAnsi="宋体" w:cs="宋体"/>
                <w:color w:val="auto"/>
                <w:szCs w:val="24"/>
                <w:highlight w:val="none"/>
                <w:lang w:eastAsia="zh-CN"/>
              </w:rPr>
              <w:t>隧道</w:t>
            </w:r>
            <w:r>
              <w:rPr>
                <w:rFonts w:ascii="宋体" w:hAnsi="宋体" w:cs="宋体"/>
                <w:color w:val="auto"/>
                <w:szCs w:val="24"/>
                <w:highlight w:val="none"/>
              </w:rPr>
              <w:t>专业工程师</w:t>
            </w:r>
          </w:p>
        </w:tc>
        <w:tc>
          <w:tcPr>
            <w:tcW w:w="851" w:type="dxa"/>
            <w:tcBorders>
              <w:top w:val="nil"/>
              <w:left w:val="nil"/>
              <w:bottom w:val="single" w:color="auto" w:sz="4" w:space="0"/>
              <w:right w:val="single" w:color="auto" w:sz="4" w:space="0"/>
            </w:tcBorders>
            <w:noWrap w:val="0"/>
            <w:vAlign w:val="center"/>
          </w:tcPr>
          <w:p w14:paraId="0EA66322">
            <w:pPr>
              <w:widowControl/>
              <w:autoSpaceDE/>
              <w:autoSpaceDN/>
              <w:adjustRightInd/>
              <w:jc w:val="center"/>
              <w:rPr>
                <w:rFonts w:ascii="宋体" w:hAnsi="宋体" w:cs="宋体"/>
                <w:color w:val="auto"/>
                <w:szCs w:val="24"/>
                <w:highlight w:val="none"/>
              </w:rPr>
            </w:pPr>
            <w:r>
              <w:rPr>
                <w:rFonts w:ascii="宋体" w:hAnsi="宋体" w:cs="宋体"/>
                <w:color w:val="auto"/>
                <w:szCs w:val="24"/>
                <w:highlight w:val="none"/>
              </w:rPr>
              <w:t>1</w:t>
            </w:r>
          </w:p>
        </w:tc>
        <w:tc>
          <w:tcPr>
            <w:tcW w:w="4936" w:type="dxa"/>
            <w:tcBorders>
              <w:top w:val="nil"/>
              <w:left w:val="nil"/>
              <w:bottom w:val="single" w:color="auto" w:sz="4" w:space="0"/>
              <w:right w:val="single" w:color="auto" w:sz="4" w:space="0"/>
            </w:tcBorders>
            <w:noWrap w:val="0"/>
            <w:vAlign w:val="center"/>
          </w:tcPr>
          <w:p w14:paraId="519F0654">
            <w:pPr>
              <w:widowControl/>
              <w:autoSpaceDE/>
              <w:autoSpaceDN/>
              <w:adjustRightInd/>
              <w:rPr>
                <w:rFonts w:ascii="宋体" w:hAnsi="宋体" w:cs="宋体"/>
                <w:color w:val="auto"/>
                <w:szCs w:val="24"/>
                <w:highlight w:val="none"/>
              </w:rPr>
            </w:pPr>
            <w:r>
              <w:rPr>
                <w:rFonts w:hint="eastAsia" w:ascii="宋体" w:hAnsi="宋体" w:cs="宋体"/>
                <w:color w:val="auto"/>
                <w:szCs w:val="24"/>
                <w:highlight w:val="none"/>
              </w:rPr>
              <w:t>具有土建类专业工程师或以上职称。</w:t>
            </w:r>
          </w:p>
        </w:tc>
      </w:tr>
      <w:tr w14:paraId="76313850">
        <w:tblPrEx>
          <w:tblCellMar>
            <w:top w:w="0" w:type="dxa"/>
            <w:left w:w="108" w:type="dxa"/>
            <w:bottom w:w="0" w:type="dxa"/>
            <w:right w:w="108" w:type="dxa"/>
          </w:tblCellMar>
        </w:tblPrEx>
        <w:trPr>
          <w:trHeight w:val="2044" w:hRule="atLeast"/>
          <w:jc w:val="center"/>
        </w:trPr>
        <w:tc>
          <w:tcPr>
            <w:tcW w:w="2127" w:type="dxa"/>
            <w:tcBorders>
              <w:top w:val="nil"/>
              <w:left w:val="single" w:color="auto" w:sz="4" w:space="0"/>
              <w:bottom w:val="single" w:color="auto" w:sz="4" w:space="0"/>
              <w:right w:val="single" w:color="auto" w:sz="4" w:space="0"/>
            </w:tcBorders>
            <w:noWrap w:val="0"/>
            <w:vAlign w:val="center"/>
          </w:tcPr>
          <w:p w14:paraId="3EE0D273">
            <w:pPr>
              <w:widowControl/>
              <w:autoSpaceDE/>
              <w:autoSpaceDN/>
              <w:adjustRightInd/>
              <w:jc w:val="center"/>
              <w:rPr>
                <w:rFonts w:ascii="宋体" w:hAnsi="宋体" w:cs="宋体"/>
                <w:bCs/>
                <w:color w:val="auto"/>
                <w:szCs w:val="24"/>
                <w:highlight w:val="none"/>
              </w:rPr>
            </w:pPr>
            <w:r>
              <w:rPr>
                <w:rFonts w:ascii="宋体" w:hAnsi="宋体" w:cs="宋体"/>
                <w:bCs/>
                <w:color w:val="auto"/>
                <w:szCs w:val="24"/>
                <w:highlight w:val="none"/>
              </w:rPr>
              <w:t>试验检测工程师</w:t>
            </w:r>
          </w:p>
        </w:tc>
        <w:tc>
          <w:tcPr>
            <w:tcW w:w="851" w:type="dxa"/>
            <w:tcBorders>
              <w:top w:val="nil"/>
              <w:left w:val="nil"/>
              <w:bottom w:val="single" w:color="auto" w:sz="4" w:space="0"/>
              <w:right w:val="single" w:color="auto" w:sz="4" w:space="0"/>
            </w:tcBorders>
            <w:noWrap w:val="0"/>
            <w:vAlign w:val="center"/>
          </w:tcPr>
          <w:p w14:paraId="60ACEF54">
            <w:pPr>
              <w:widowControl/>
              <w:autoSpaceDE/>
              <w:autoSpaceDN/>
              <w:adjustRightInd/>
              <w:jc w:val="center"/>
              <w:rPr>
                <w:rFonts w:ascii="宋体" w:hAnsi="宋体" w:cs="宋体"/>
                <w:b/>
                <w:bCs/>
                <w:color w:val="auto"/>
                <w:szCs w:val="24"/>
                <w:highlight w:val="none"/>
              </w:rPr>
            </w:pPr>
            <w:r>
              <w:rPr>
                <w:rFonts w:ascii="宋体" w:hAnsi="宋体" w:cs="宋体"/>
                <w:b/>
                <w:bCs/>
                <w:color w:val="auto"/>
                <w:szCs w:val="24"/>
                <w:highlight w:val="none"/>
              </w:rPr>
              <w:t>1</w:t>
            </w:r>
          </w:p>
        </w:tc>
        <w:tc>
          <w:tcPr>
            <w:tcW w:w="4936" w:type="dxa"/>
            <w:tcBorders>
              <w:top w:val="nil"/>
              <w:left w:val="nil"/>
              <w:bottom w:val="single" w:color="auto" w:sz="4" w:space="0"/>
              <w:right w:val="single" w:color="auto" w:sz="4" w:space="0"/>
            </w:tcBorders>
            <w:noWrap w:val="0"/>
            <w:vAlign w:val="center"/>
          </w:tcPr>
          <w:p w14:paraId="5E91CA97">
            <w:pPr>
              <w:widowControl/>
              <w:autoSpaceDE/>
              <w:autoSpaceDN/>
              <w:adjustRightInd/>
              <w:rPr>
                <w:rFonts w:hint="eastAsia" w:ascii="宋体" w:hAnsi="宋体" w:cs="宋体"/>
                <w:color w:val="auto"/>
                <w:szCs w:val="24"/>
                <w:highlight w:val="none"/>
              </w:rPr>
            </w:pPr>
            <w:r>
              <w:rPr>
                <w:rFonts w:hint="eastAsia" w:ascii="宋体" w:hAnsi="宋体" w:cs="宋体"/>
                <w:color w:val="auto"/>
                <w:szCs w:val="24"/>
                <w:highlight w:val="none"/>
              </w:rPr>
              <w:t>具有工程师或以上职称，具有省级（或以上）交通质监部门颁发的公路工程试验工程师证。</w:t>
            </w:r>
          </w:p>
          <w:p w14:paraId="6868A8A6">
            <w:pPr>
              <w:widowControl/>
              <w:autoSpaceDE/>
              <w:autoSpaceDN/>
              <w:adjustRightInd/>
              <w:rPr>
                <w:rFonts w:ascii="宋体" w:hAnsi="宋体" w:cs="宋体"/>
                <w:color w:val="auto"/>
                <w:szCs w:val="24"/>
                <w:highlight w:val="none"/>
              </w:rPr>
            </w:pPr>
            <w:r>
              <w:rPr>
                <w:rFonts w:hint="eastAsia" w:ascii="宋体" w:hAnsi="宋体" w:cs="宋体"/>
                <w:color w:val="auto"/>
                <w:szCs w:val="24"/>
                <w:highlight w:val="none"/>
              </w:rPr>
              <w:t>持证试验检测工程师专业（或类别）：桥梁隧道或桥梁专业。</w:t>
            </w:r>
          </w:p>
        </w:tc>
      </w:tr>
      <w:tr w14:paraId="0D68270A">
        <w:tblPrEx>
          <w:tblCellMar>
            <w:top w:w="0" w:type="dxa"/>
            <w:left w:w="108" w:type="dxa"/>
            <w:bottom w:w="0" w:type="dxa"/>
            <w:right w:w="108" w:type="dxa"/>
          </w:tblCellMar>
        </w:tblPrEx>
        <w:trPr>
          <w:trHeight w:val="1054" w:hRule="atLeast"/>
          <w:jc w:val="center"/>
        </w:trPr>
        <w:tc>
          <w:tcPr>
            <w:tcW w:w="2127" w:type="dxa"/>
            <w:tcBorders>
              <w:top w:val="nil"/>
              <w:left w:val="single" w:color="auto" w:sz="4" w:space="0"/>
              <w:bottom w:val="single" w:color="auto" w:sz="4" w:space="0"/>
              <w:right w:val="single" w:color="auto" w:sz="4" w:space="0"/>
            </w:tcBorders>
            <w:noWrap w:val="0"/>
            <w:vAlign w:val="center"/>
          </w:tcPr>
          <w:p w14:paraId="1176F91B">
            <w:pPr>
              <w:widowControl/>
              <w:autoSpaceDE/>
              <w:autoSpaceDN/>
              <w:adjustRightInd/>
              <w:jc w:val="center"/>
              <w:rPr>
                <w:rFonts w:ascii="宋体" w:hAnsi="宋体" w:cs="宋体"/>
                <w:color w:val="auto"/>
                <w:szCs w:val="24"/>
                <w:highlight w:val="none"/>
              </w:rPr>
            </w:pPr>
            <w:r>
              <w:rPr>
                <w:rFonts w:ascii="宋体" w:hAnsi="宋体" w:cs="宋体"/>
                <w:color w:val="auto"/>
                <w:szCs w:val="24"/>
                <w:highlight w:val="none"/>
              </w:rPr>
              <w:t>测量、计量支付专业工程师</w:t>
            </w:r>
          </w:p>
        </w:tc>
        <w:tc>
          <w:tcPr>
            <w:tcW w:w="851" w:type="dxa"/>
            <w:tcBorders>
              <w:top w:val="nil"/>
              <w:left w:val="nil"/>
              <w:bottom w:val="single" w:color="auto" w:sz="4" w:space="0"/>
              <w:right w:val="single" w:color="auto" w:sz="4" w:space="0"/>
            </w:tcBorders>
            <w:noWrap w:val="0"/>
            <w:vAlign w:val="center"/>
          </w:tcPr>
          <w:p w14:paraId="76DE82BF">
            <w:pPr>
              <w:widowControl/>
              <w:autoSpaceDE/>
              <w:autoSpaceDN/>
              <w:adjustRightInd/>
              <w:jc w:val="center"/>
              <w:rPr>
                <w:rFonts w:ascii="宋体" w:hAnsi="宋体" w:cs="宋体"/>
                <w:color w:val="auto"/>
                <w:szCs w:val="24"/>
                <w:highlight w:val="none"/>
              </w:rPr>
            </w:pPr>
            <w:r>
              <w:rPr>
                <w:rFonts w:ascii="宋体" w:hAnsi="宋体" w:cs="宋体"/>
                <w:color w:val="auto"/>
                <w:szCs w:val="24"/>
                <w:highlight w:val="none"/>
              </w:rPr>
              <w:t>1</w:t>
            </w:r>
          </w:p>
        </w:tc>
        <w:tc>
          <w:tcPr>
            <w:tcW w:w="4936" w:type="dxa"/>
            <w:tcBorders>
              <w:top w:val="nil"/>
              <w:left w:val="nil"/>
              <w:bottom w:val="single" w:color="auto" w:sz="4" w:space="0"/>
              <w:right w:val="single" w:color="auto" w:sz="4" w:space="0"/>
            </w:tcBorders>
            <w:noWrap w:val="0"/>
            <w:vAlign w:val="center"/>
          </w:tcPr>
          <w:p w14:paraId="2B20B6D8">
            <w:pPr>
              <w:widowControl/>
              <w:autoSpaceDE/>
              <w:autoSpaceDN/>
              <w:adjustRightInd/>
              <w:rPr>
                <w:rFonts w:ascii="宋体" w:hAnsi="宋体" w:cs="宋体"/>
                <w:color w:val="auto"/>
                <w:szCs w:val="24"/>
                <w:highlight w:val="none"/>
              </w:rPr>
            </w:pPr>
            <w:r>
              <w:rPr>
                <w:rFonts w:hint="eastAsia" w:ascii="宋体" w:hAnsi="宋体" w:cs="宋体"/>
                <w:color w:val="auto"/>
                <w:szCs w:val="24"/>
                <w:highlight w:val="none"/>
              </w:rPr>
              <w:t>具有工程师或以上职称。</w:t>
            </w:r>
          </w:p>
        </w:tc>
      </w:tr>
      <w:tr w14:paraId="1FD5AFD4">
        <w:tblPrEx>
          <w:tblCellMar>
            <w:top w:w="0" w:type="dxa"/>
            <w:left w:w="108" w:type="dxa"/>
            <w:bottom w:w="0" w:type="dxa"/>
            <w:right w:w="108" w:type="dxa"/>
          </w:tblCellMar>
        </w:tblPrEx>
        <w:trPr>
          <w:trHeight w:val="1113" w:hRule="atLeast"/>
          <w:jc w:val="center"/>
        </w:trPr>
        <w:tc>
          <w:tcPr>
            <w:tcW w:w="2127" w:type="dxa"/>
            <w:tcBorders>
              <w:top w:val="nil"/>
              <w:left w:val="single" w:color="auto" w:sz="4" w:space="0"/>
              <w:bottom w:val="single" w:color="auto" w:sz="4" w:space="0"/>
              <w:right w:val="single" w:color="auto" w:sz="4" w:space="0"/>
            </w:tcBorders>
            <w:noWrap w:val="0"/>
            <w:vAlign w:val="center"/>
          </w:tcPr>
          <w:p w14:paraId="364FF095">
            <w:pPr>
              <w:widowControl/>
              <w:autoSpaceDE/>
              <w:autoSpaceDN/>
              <w:adjustRightInd/>
              <w:jc w:val="center"/>
              <w:rPr>
                <w:rFonts w:ascii="宋体" w:hAnsi="宋体" w:cs="宋体"/>
                <w:color w:val="auto"/>
                <w:szCs w:val="24"/>
                <w:highlight w:val="none"/>
              </w:rPr>
            </w:pPr>
            <w:r>
              <w:rPr>
                <w:rFonts w:ascii="宋体" w:hAnsi="宋体" w:cs="宋体"/>
                <w:color w:val="auto"/>
                <w:szCs w:val="24"/>
                <w:highlight w:val="none"/>
              </w:rPr>
              <w:t>财务负责人</w:t>
            </w:r>
          </w:p>
        </w:tc>
        <w:tc>
          <w:tcPr>
            <w:tcW w:w="851" w:type="dxa"/>
            <w:tcBorders>
              <w:top w:val="nil"/>
              <w:left w:val="nil"/>
              <w:bottom w:val="single" w:color="auto" w:sz="4" w:space="0"/>
              <w:right w:val="single" w:color="auto" w:sz="4" w:space="0"/>
            </w:tcBorders>
            <w:noWrap w:val="0"/>
            <w:vAlign w:val="center"/>
          </w:tcPr>
          <w:p w14:paraId="48836206">
            <w:pPr>
              <w:widowControl/>
              <w:autoSpaceDE/>
              <w:autoSpaceDN/>
              <w:adjustRightInd/>
              <w:jc w:val="center"/>
              <w:rPr>
                <w:rFonts w:ascii="宋体" w:hAnsi="宋体" w:cs="宋体"/>
                <w:color w:val="auto"/>
                <w:szCs w:val="24"/>
                <w:highlight w:val="none"/>
              </w:rPr>
            </w:pPr>
            <w:r>
              <w:rPr>
                <w:rFonts w:ascii="宋体" w:hAnsi="宋体" w:cs="宋体"/>
                <w:color w:val="auto"/>
                <w:szCs w:val="24"/>
                <w:highlight w:val="none"/>
              </w:rPr>
              <w:t>1</w:t>
            </w:r>
          </w:p>
        </w:tc>
        <w:tc>
          <w:tcPr>
            <w:tcW w:w="4936" w:type="dxa"/>
            <w:tcBorders>
              <w:top w:val="nil"/>
              <w:left w:val="nil"/>
              <w:bottom w:val="single" w:color="auto" w:sz="4" w:space="0"/>
              <w:right w:val="single" w:color="auto" w:sz="4" w:space="0"/>
            </w:tcBorders>
            <w:noWrap w:val="0"/>
            <w:vAlign w:val="center"/>
          </w:tcPr>
          <w:p w14:paraId="08BDF9EF">
            <w:pPr>
              <w:widowControl/>
              <w:autoSpaceDE/>
              <w:autoSpaceDN/>
              <w:adjustRightInd/>
              <w:rPr>
                <w:rFonts w:ascii="宋体" w:hAnsi="宋体" w:cs="宋体"/>
                <w:color w:val="auto"/>
                <w:szCs w:val="24"/>
                <w:highlight w:val="none"/>
              </w:rPr>
            </w:pPr>
            <w:r>
              <w:rPr>
                <w:rFonts w:ascii="宋体" w:hAnsi="宋体" w:cs="宋体"/>
                <w:color w:val="auto"/>
                <w:szCs w:val="24"/>
                <w:highlight w:val="none"/>
              </w:rPr>
              <w:t>具有助理会计师或以上职称。</w:t>
            </w:r>
          </w:p>
        </w:tc>
      </w:tr>
      <w:tr w14:paraId="2442BEE5">
        <w:tblPrEx>
          <w:tblCellMar>
            <w:top w:w="0" w:type="dxa"/>
            <w:left w:w="108" w:type="dxa"/>
            <w:bottom w:w="0" w:type="dxa"/>
            <w:right w:w="108" w:type="dxa"/>
          </w:tblCellMar>
        </w:tblPrEx>
        <w:trPr>
          <w:trHeight w:val="1413" w:hRule="atLeast"/>
          <w:jc w:val="center"/>
        </w:trPr>
        <w:tc>
          <w:tcPr>
            <w:tcW w:w="2127" w:type="dxa"/>
            <w:tcBorders>
              <w:top w:val="nil"/>
              <w:left w:val="single" w:color="auto" w:sz="4" w:space="0"/>
              <w:bottom w:val="single" w:color="auto" w:sz="4" w:space="0"/>
              <w:right w:val="single" w:color="auto" w:sz="4" w:space="0"/>
            </w:tcBorders>
            <w:noWrap w:val="0"/>
            <w:vAlign w:val="center"/>
          </w:tcPr>
          <w:p w14:paraId="05540662">
            <w:pPr>
              <w:widowControl/>
              <w:autoSpaceDE/>
              <w:autoSpaceDN/>
              <w:adjustRightInd/>
              <w:jc w:val="center"/>
              <w:rPr>
                <w:rFonts w:ascii="宋体" w:hAnsi="宋体" w:cs="宋体"/>
                <w:bCs/>
                <w:color w:val="auto"/>
                <w:szCs w:val="24"/>
                <w:highlight w:val="none"/>
              </w:rPr>
            </w:pPr>
            <w:r>
              <w:rPr>
                <w:rFonts w:ascii="宋体" w:hAnsi="宋体" w:cs="宋体"/>
                <w:bCs/>
                <w:color w:val="auto"/>
                <w:szCs w:val="24"/>
                <w:highlight w:val="none"/>
              </w:rPr>
              <w:t>专职安全员</w:t>
            </w:r>
          </w:p>
        </w:tc>
        <w:tc>
          <w:tcPr>
            <w:tcW w:w="851" w:type="dxa"/>
            <w:tcBorders>
              <w:top w:val="nil"/>
              <w:left w:val="nil"/>
              <w:bottom w:val="single" w:color="auto" w:sz="4" w:space="0"/>
              <w:right w:val="single" w:color="auto" w:sz="4" w:space="0"/>
            </w:tcBorders>
            <w:noWrap w:val="0"/>
            <w:vAlign w:val="center"/>
          </w:tcPr>
          <w:p w14:paraId="32EBFC71">
            <w:pPr>
              <w:widowControl/>
              <w:autoSpaceDE/>
              <w:autoSpaceDN/>
              <w:adjustRightInd/>
              <w:jc w:val="center"/>
              <w:rPr>
                <w:rFonts w:ascii="宋体" w:hAnsi="宋体" w:cs="宋体"/>
                <w:b/>
                <w:bCs/>
                <w:color w:val="auto"/>
                <w:szCs w:val="24"/>
                <w:highlight w:val="none"/>
              </w:rPr>
            </w:pPr>
            <w:r>
              <w:rPr>
                <w:rFonts w:ascii="宋体" w:hAnsi="宋体" w:cs="宋体"/>
                <w:b/>
                <w:bCs/>
                <w:color w:val="auto"/>
                <w:szCs w:val="24"/>
                <w:highlight w:val="none"/>
              </w:rPr>
              <w:t>1</w:t>
            </w:r>
          </w:p>
        </w:tc>
        <w:tc>
          <w:tcPr>
            <w:tcW w:w="4936" w:type="dxa"/>
            <w:tcBorders>
              <w:top w:val="nil"/>
              <w:left w:val="nil"/>
              <w:bottom w:val="single" w:color="auto" w:sz="4" w:space="0"/>
              <w:right w:val="single" w:color="auto" w:sz="4" w:space="0"/>
            </w:tcBorders>
            <w:noWrap w:val="0"/>
            <w:vAlign w:val="center"/>
          </w:tcPr>
          <w:p w14:paraId="44947F85">
            <w:pPr>
              <w:widowControl/>
              <w:autoSpaceDE/>
              <w:autoSpaceDN/>
              <w:adjustRightInd/>
              <w:rPr>
                <w:rFonts w:ascii="宋体" w:hAnsi="宋体" w:cs="宋体"/>
                <w:color w:val="auto"/>
                <w:szCs w:val="24"/>
                <w:highlight w:val="none"/>
              </w:rPr>
            </w:pPr>
            <w:r>
              <w:rPr>
                <w:rFonts w:hint="eastAsia" w:ascii="宋体" w:hAnsi="宋体" w:cs="宋体"/>
                <w:color w:val="auto"/>
                <w:szCs w:val="24"/>
                <w:highlight w:val="none"/>
              </w:rPr>
              <w:t>具有省级（或以上）交通主管部门颁发的《安全生产考核合格证书》C证。</w:t>
            </w:r>
          </w:p>
        </w:tc>
      </w:tr>
      <w:tr w14:paraId="3035C7F3">
        <w:tblPrEx>
          <w:tblCellMar>
            <w:top w:w="0" w:type="dxa"/>
            <w:left w:w="108" w:type="dxa"/>
            <w:bottom w:w="0" w:type="dxa"/>
            <w:right w:w="108" w:type="dxa"/>
          </w:tblCellMar>
        </w:tblPrEx>
        <w:trPr>
          <w:trHeight w:val="1263" w:hRule="atLeast"/>
          <w:jc w:val="center"/>
        </w:trPr>
        <w:tc>
          <w:tcPr>
            <w:tcW w:w="2127" w:type="dxa"/>
            <w:tcBorders>
              <w:top w:val="nil"/>
              <w:left w:val="single" w:color="auto" w:sz="4" w:space="0"/>
              <w:bottom w:val="single" w:color="auto" w:sz="4" w:space="0"/>
              <w:right w:val="single" w:color="auto" w:sz="4" w:space="0"/>
            </w:tcBorders>
            <w:noWrap w:val="0"/>
            <w:vAlign w:val="center"/>
          </w:tcPr>
          <w:p w14:paraId="776E95D7">
            <w:pPr>
              <w:widowControl/>
              <w:autoSpaceDE/>
              <w:autoSpaceDN/>
              <w:adjustRightInd/>
              <w:jc w:val="center"/>
              <w:rPr>
                <w:rFonts w:ascii="宋体" w:hAnsi="宋体" w:cs="宋体"/>
                <w:bCs/>
                <w:color w:val="auto"/>
                <w:szCs w:val="24"/>
                <w:highlight w:val="none"/>
              </w:rPr>
            </w:pPr>
            <w:r>
              <w:rPr>
                <w:rFonts w:ascii="宋体" w:hAnsi="宋体" w:cs="宋体"/>
                <w:bCs/>
                <w:color w:val="auto"/>
                <w:szCs w:val="24"/>
                <w:highlight w:val="none"/>
              </w:rPr>
              <w:t>试验检测员</w:t>
            </w:r>
          </w:p>
        </w:tc>
        <w:tc>
          <w:tcPr>
            <w:tcW w:w="851" w:type="dxa"/>
            <w:tcBorders>
              <w:top w:val="nil"/>
              <w:left w:val="single" w:color="auto" w:sz="4" w:space="0"/>
              <w:bottom w:val="single" w:color="auto" w:sz="4" w:space="0"/>
              <w:right w:val="single" w:color="auto" w:sz="4" w:space="0"/>
            </w:tcBorders>
            <w:noWrap w:val="0"/>
            <w:vAlign w:val="center"/>
          </w:tcPr>
          <w:p w14:paraId="3E5CDCDA">
            <w:pPr>
              <w:widowControl/>
              <w:autoSpaceDE/>
              <w:autoSpaceDN/>
              <w:adjustRightInd/>
              <w:jc w:val="center"/>
              <w:rPr>
                <w:rFonts w:ascii="宋体" w:hAnsi="宋体" w:cs="宋体"/>
                <w:b/>
                <w:bCs/>
                <w:color w:val="auto"/>
                <w:szCs w:val="24"/>
                <w:highlight w:val="none"/>
              </w:rPr>
            </w:pPr>
            <w:r>
              <w:rPr>
                <w:rFonts w:ascii="宋体" w:hAnsi="宋体" w:cs="宋体"/>
                <w:b/>
                <w:bCs/>
                <w:color w:val="auto"/>
                <w:szCs w:val="24"/>
                <w:highlight w:val="none"/>
              </w:rPr>
              <w:t>1</w:t>
            </w:r>
          </w:p>
        </w:tc>
        <w:tc>
          <w:tcPr>
            <w:tcW w:w="4936" w:type="dxa"/>
            <w:tcBorders>
              <w:top w:val="single" w:color="auto" w:sz="4" w:space="0"/>
              <w:left w:val="nil"/>
              <w:bottom w:val="single" w:color="auto" w:sz="4" w:space="0"/>
              <w:right w:val="single" w:color="auto" w:sz="4" w:space="0"/>
            </w:tcBorders>
            <w:noWrap w:val="0"/>
            <w:vAlign w:val="center"/>
          </w:tcPr>
          <w:p w14:paraId="34BE60E1">
            <w:pPr>
              <w:widowControl/>
              <w:autoSpaceDE/>
              <w:autoSpaceDN/>
              <w:adjustRightInd/>
              <w:rPr>
                <w:rFonts w:hint="eastAsia" w:ascii="宋体" w:hAnsi="宋体" w:cs="宋体"/>
                <w:b/>
                <w:color w:val="auto"/>
                <w:szCs w:val="24"/>
                <w:highlight w:val="none"/>
              </w:rPr>
            </w:pPr>
            <w:r>
              <w:rPr>
                <w:rFonts w:hint="eastAsia" w:ascii="宋体" w:hAnsi="宋体" w:cs="宋体"/>
                <w:b/>
                <w:color w:val="auto"/>
                <w:szCs w:val="24"/>
                <w:highlight w:val="none"/>
              </w:rPr>
              <w:t>具有公路工程试验检测员证书。</w:t>
            </w:r>
          </w:p>
          <w:p w14:paraId="3FA4839B">
            <w:pPr>
              <w:widowControl/>
              <w:autoSpaceDE/>
              <w:autoSpaceDN/>
              <w:adjustRightInd/>
              <w:rPr>
                <w:rFonts w:ascii="宋体" w:hAnsi="宋体" w:cs="宋体"/>
                <w:color w:val="auto"/>
                <w:szCs w:val="24"/>
                <w:highlight w:val="none"/>
              </w:rPr>
            </w:pPr>
            <w:r>
              <w:rPr>
                <w:rFonts w:hint="eastAsia" w:ascii="宋体" w:hAnsi="宋体" w:cs="宋体"/>
                <w:b/>
                <w:color w:val="auto"/>
                <w:szCs w:val="24"/>
                <w:highlight w:val="none"/>
              </w:rPr>
              <w:t>持证试验检测员专业（或类别）：桥梁隧道或桥梁专业。</w:t>
            </w:r>
          </w:p>
        </w:tc>
      </w:tr>
    </w:tbl>
    <w:p w14:paraId="27AFA192">
      <w:pPr>
        <w:ind w:firstLine="420"/>
        <w:rPr>
          <w:rFonts w:ascii="宋体" w:hAnsi="宋体" w:cs="宋体"/>
          <w:color w:val="auto"/>
          <w:sz w:val="21"/>
          <w:szCs w:val="21"/>
          <w:highlight w:val="none"/>
        </w:rPr>
      </w:pPr>
    </w:p>
    <w:p w14:paraId="21C5AA12">
      <w:pPr>
        <w:ind w:firstLine="420"/>
        <w:rPr>
          <w:rFonts w:hint="eastAsia" w:ascii="宋体" w:hAnsi="宋体" w:eastAsia="宋体" w:cs="宋体"/>
          <w:color w:val="auto"/>
          <w:sz w:val="21"/>
          <w:szCs w:val="21"/>
          <w:highlight w:val="none"/>
          <w:lang w:val="en-US" w:eastAsia="zh-CN"/>
        </w:rPr>
      </w:pPr>
      <w:r>
        <w:rPr>
          <w:rFonts w:ascii="宋体" w:hAnsi="宋体" w:cs="宋体"/>
          <w:color w:val="auto"/>
          <w:sz w:val="21"/>
          <w:szCs w:val="21"/>
          <w:highlight w:val="none"/>
        </w:rPr>
        <w:t>注：采购人将在发出成交通知书之前要求成交人按照本表的最低要求填报派驻本标段的其他主要管理人员，在经采购人审批后，作为派驻本标段的项目管理机构主要人员且不允许更换。</w:t>
      </w:r>
      <w:r>
        <w:rPr>
          <w:rFonts w:hint="eastAsia" w:ascii="宋体" w:hAnsi="宋体" w:cs="宋体"/>
          <w:color w:val="auto"/>
          <w:sz w:val="21"/>
          <w:szCs w:val="21"/>
          <w:highlight w:val="none"/>
        </w:rPr>
        <w:t>其他人员要求条件应与招标项目规模匹配设置</w:t>
      </w:r>
      <w:r>
        <w:rPr>
          <w:rFonts w:hint="eastAsia" w:ascii="宋体" w:hAnsi="宋体" w:cs="宋体"/>
          <w:color w:val="auto"/>
          <w:sz w:val="21"/>
          <w:szCs w:val="21"/>
          <w:highlight w:val="none"/>
          <w:lang w:eastAsia="zh-CN"/>
        </w:rPr>
        <w:t>。</w:t>
      </w:r>
    </w:p>
    <w:p w14:paraId="44A3D0F4">
      <w:pPr>
        <w:rPr>
          <w:rFonts w:ascii="宋体" w:hAnsi="宋体" w:cs="宋体"/>
          <w:color w:val="auto"/>
          <w:sz w:val="21"/>
          <w:szCs w:val="21"/>
          <w:highlight w:val="none"/>
        </w:rPr>
      </w:pPr>
      <w:r>
        <w:rPr>
          <w:rFonts w:ascii="宋体" w:hAnsi="宋体" w:cs="宋体"/>
          <w:color w:val="auto"/>
          <w:sz w:val="21"/>
          <w:szCs w:val="21"/>
          <w:highlight w:val="none"/>
        </w:rPr>
        <w:br w:type="page"/>
      </w:r>
    </w:p>
    <w:p w14:paraId="29AB05FE">
      <w:pPr>
        <w:pStyle w:val="5"/>
        <w:rPr>
          <w:rFonts w:hAnsi="宋体" w:cs="宋体"/>
          <w:color w:val="auto"/>
          <w:sz w:val="21"/>
          <w:szCs w:val="21"/>
          <w:highlight w:val="none"/>
        </w:rPr>
      </w:pPr>
      <w:bookmarkStart w:id="166" w:name="_Toc514759057"/>
      <w:bookmarkStart w:id="167" w:name="_Toc15099"/>
      <w:bookmarkStart w:id="168" w:name="_Toc511595197"/>
      <w:bookmarkStart w:id="169" w:name="_Toc394929420"/>
      <w:bookmarkStart w:id="170" w:name="_Toc508779713"/>
      <w:r>
        <w:rPr>
          <w:rFonts w:hAnsi="宋体" w:cs="宋体"/>
          <w:color w:val="auto"/>
          <w:sz w:val="21"/>
          <w:szCs w:val="21"/>
          <w:highlight w:val="none"/>
        </w:rPr>
        <w:t>附件五  主要机械设备和试验检测设备最低要求</w:t>
      </w:r>
      <w:bookmarkEnd w:id="166"/>
      <w:bookmarkEnd w:id="167"/>
      <w:bookmarkEnd w:id="168"/>
      <w:bookmarkEnd w:id="169"/>
      <w:bookmarkEnd w:id="170"/>
    </w:p>
    <w:p w14:paraId="41B3E6B2">
      <w:pPr>
        <w:pStyle w:val="5"/>
        <w:rPr>
          <w:rFonts w:hAnsi="宋体" w:cs="宋体"/>
          <w:color w:val="auto"/>
          <w:sz w:val="21"/>
          <w:szCs w:val="21"/>
          <w:highlight w:val="none"/>
        </w:rPr>
      </w:pPr>
    </w:p>
    <w:tbl>
      <w:tblPr>
        <w:tblStyle w:val="30"/>
        <w:tblW w:w="0" w:type="auto"/>
        <w:tblInd w:w="96" w:type="dxa"/>
        <w:tblLayout w:type="fixed"/>
        <w:tblCellMar>
          <w:top w:w="0" w:type="dxa"/>
          <w:left w:w="108" w:type="dxa"/>
          <w:bottom w:w="0" w:type="dxa"/>
          <w:right w:w="108" w:type="dxa"/>
        </w:tblCellMar>
      </w:tblPr>
      <w:tblGrid>
        <w:gridCol w:w="3074"/>
        <w:gridCol w:w="2160"/>
        <w:gridCol w:w="1260"/>
        <w:gridCol w:w="2349"/>
      </w:tblGrid>
      <w:tr w14:paraId="1D9A17E4">
        <w:tblPrEx>
          <w:tblCellMar>
            <w:top w:w="0" w:type="dxa"/>
            <w:left w:w="108" w:type="dxa"/>
            <w:bottom w:w="0" w:type="dxa"/>
            <w:right w:w="108" w:type="dxa"/>
          </w:tblCellMar>
        </w:tblPrEx>
        <w:trPr>
          <w:trHeight w:val="1000" w:hRule="atLeast"/>
        </w:trPr>
        <w:tc>
          <w:tcPr>
            <w:tcW w:w="3074" w:type="dxa"/>
            <w:tcBorders>
              <w:top w:val="single" w:color="auto" w:sz="4" w:space="0"/>
              <w:left w:val="single" w:color="auto" w:sz="4" w:space="0"/>
              <w:bottom w:val="single" w:color="auto" w:sz="4" w:space="0"/>
              <w:right w:val="single" w:color="auto" w:sz="4" w:space="0"/>
            </w:tcBorders>
            <w:noWrap w:val="0"/>
            <w:vAlign w:val="center"/>
          </w:tcPr>
          <w:p w14:paraId="4F331284">
            <w:pPr>
              <w:jc w:val="center"/>
              <w:rPr>
                <w:rFonts w:ascii="宋体" w:hAnsi="宋体" w:cs="宋体"/>
                <w:color w:val="auto"/>
                <w:szCs w:val="24"/>
                <w:highlight w:val="none"/>
              </w:rPr>
            </w:pPr>
            <w:r>
              <w:rPr>
                <w:rFonts w:ascii="宋体" w:hAnsi="宋体" w:cs="宋体"/>
                <w:color w:val="auto"/>
                <w:szCs w:val="24"/>
                <w:highlight w:val="none"/>
              </w:rPr>
              <w:t>设备名称</w:t>
            </w:r>
          </w:p>
        </w:tc>
        <w:tc>
          <w:tcPr>
            <w:tcW w:w="2160" w:type="dxa"/>
            <w:tcBorders>
              <w:top w:val="single" w:color="auto" w:sz="4" w:space="0"/>
              <w:left w:val="nil"/>
              <w:bottom w:val="single" w:color="auto" w:sz="4" w:space="0"/>
              <w:right w:val="single" w:color="auto" w:sz="4" w:space="0"/>
            </w:tcBorders>
            <w:noWrap w:val="0"/>
            <w:vAlign w:val="center"/>
          </w:tcPr>
          <w:p w14:paraId="337BED7A">
            <w:pPr>
              <w:jc w:val="center"/>
              <w:rPr>
                <w:rFonts w:ascii="宋体" w:hAnsi="宋体" w:cs="宋体"/>
                <w:color w:val="auto"/>
                <w:szCs w:val="24"/>
                <w:highlight w:val="none"/>
              </w:rPr>
            </w:pPr>
            <w:r>
              <w:rPr>
                <w:rFonts w:ascii="宋体" w:hAnsi="宋体" w:cs="宋体"/>
                <w:color w:val="auto"/>
                <w:szCs w:val="24"/>
                <w:highlight w:val="none"/>
              </w:rPr>
              <w:t>规格、功率及容量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DD655F">
            <w:pPr>
              <w:jc w:val="center"/>
              <w:rPr>
                <w:rFonts w:ascii="宋体" w:hAnsi="宋体" w:cs="宋体"/>
                <w:color w:val="auto"/>
                <w:szCs w:val="24"/>
                <w:highlight w:val="none"/>
              </w:rPr>
            </w:pPr>
            <w:r>
              <w:rPr>
                <w:rFonts w:ascii="宋体" w:hAnsi="宋体" w:cs="宋体"/>
                <w:color w:val="auto"/>
                <w:szCs w:val="24"/>
                <w:highlight w:val="none"/>
              </w:rPr>
              <w:t>单  位</w:t>
            </w:r>
          </w:p>
        </w:tc>
        <w:tc>
          <w:tcPr>
            <w:tcW w:w="2349" w:type="dxa"/>
            <w:tcBorders>
              <w:top w:val="single" w:color="auto" w:sz="4" w:space="0"/>
              <w:left w:val="nil"/>
              <w:bottom w:val="single" w:color="auto" w:sz="4" w:space="0"/>
              <w:right w:val="single" w:color="auto" w:sz="4" w:space="0"/>
            </w:tcBorders>
            <w:noWrap w:val="0"/>
            <w:vAlign w:val="center"/>
          </w:tcPr>
          <w:p w14:paraId="7ED2CE0C">
            <w:pPr>
              <w:jc w:val="center"/>
              <w:rPr>
                <w:rFonts w:ascii="宋体" w:hAnsi="宋体" w:cs="宋体"/>
                <w:color w:val="auto"/>
                <w:szCs w:val="24"/>
                <w:highlight w:val="none"/>
              </w:rPr>
            </w:pPr>
            <w:r>
              <w:rPr>
                <w:rFonts w:ascii="宋体" w:hAnsi="宋体" w:cs="宋体"/>
                <w:color w:val="auto"/>
                <w:szCs w:val="24"/>
                <w:highlight w:val="none"/>
              </w:rPr>
              <w:t>要求（注根据工作量情况的最低配备）</w:t>
            </w:r>
          </w:p>
        </w:tc>
      </w:tr>
      <w:tr w14:paraId="4D262A71">
        <w:tblPrEx>
          <w:tblCellMar>
            <w:top w:w="0" w:type="dxa"/>
            <w:left w:w="108" w:type="dxa"/>
            <w:bottom w:w="0" w:type="dxa"/>
            <w:right w:w="108" w:type="dxa"/>
          </w:tblCellMar>
        </w:tblPrEx>
        <w:trPr>
          <w:trHeight w:val="454" w:hRule="atLeast"/>
        </w:trPr>
        <w:tc>
          <w:tcPr>
            <w:tcW w:w="3074" w:type="dxa"/>
            <w:tcBorders>
              <w:top w:val="single" w:color="auto" w:sz="4" w:space="0"/>
              <w:left w:val="single" w:color="auto" w:sz="4" w:space="0"/>
              <w:bottom w:val="single" w:color="auto" w:sz="4" w:space="0"/>
              <w:right w:val="single" w:color="auto" w:sz="4" w:space="0"/>
            </w:tcBorders>
            <w:noWrap w:val="0"/>
            <w:vAlign w:val="center"/>
          </w:tcPr>
          <w:p w14:paraId="2CD09FDA">
            <w:pPr>
              <w:jc w:val="center"/>
              <w:rPr>
                <w:rFonts w:ascii="宋体" w:hAnsi="宋体" w:cs="宋体"/>
                <w:color w:val="auto"/>
                <w:szCs w:val="24"/>
                <w:highlight w:val="none"/>
              </w:rPr>
            </w:pPr>
            <w:r>
              <w:rPr>
                <w:rFonts w:ascii="宋体" w:hAnsi="宋体" w:cs="宋体"/>
                <w:color w:val="auto"/>
                <w:szCs w:val="24"/>
                <w:highlight w:val="none"/>
              </w:rPr>
              <w:t>热熔标线设备</w:t>
            </w:r>
          </w:p>
        </w:tc>
        <w:tc>
          <w:tcPr>
            <w:tcW w:w="2160" w:type="dxa"/>
            <w:tcBorders>
              <w:top w:val="single" w:color="auto" w:sz="4" w:space="0"/>
              <w:left w:val="nil"/>
              <w:bottom w:val="single" w:color="auto" w:sz="4" w:space="0"/>
              <w:right w:val="single" w:color="auto" w:sz="4" w:space="0"/>
            </w:tcBorders>
            <w:noWrap w:val="0"/>
            <w:vAlign w:val="center"/>
          </w:tcPr>
          <w:p w14:paraId="72A4AA3D">
            <w:pPr>
              <w:jc w:val="center"/>
              <w:rPr>
                <w:rFonts w:ascii="宋体" w:hAnsi="宋体" w:cs="宋体"/>
                <w:color w:val="auto"/>
                <w:szCs w:val="24"/>
                <w:highlight w:val="none"/>
              </w:rPr>
            </w:pPr>
            <w:r>
              <w:rPr>
                <w:rFonts w:ascii="宋体" w:hAnsi="宋体" w:cs="宋体"/>
                <w:color w:val="auto"/>
                <w:szCs w:val="24"/>
                <w:highlight w:val="none"/>
              </w:rPr>
              <w:t>BJ-130</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97B7A7C">
            <w:pPr>
              <w:jc w:val="center"/>
              <w:rPr>
                <w:rFonts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5943FD40">
            <w:pPr>
              <w:jc w:val="center"/>
              <w:rPr>
                <w:rFonts w:ascii="宋体" w:hAnsi="宋体" w:cs="宋体"/>
                <w:color w:val="auto"/>
                <w:szCs w:val="24"/>
                <w:highlight w:val="none"/>
              </w:rPr>
            </w:pPr>
            <w:r>
              <w:rPr>
                <w:rFonts w:ascii="宋体" w:hAnsi="宋体" w:cs="宋体"/>
                <w:color w:val="auto"/>
                <w:szCs w:val="24"/>
                <w:highlight w:val="none"/>
              </w:rPr>
              <w:t>2</w:t>
            </w:r>
          </w:p>
        </w:tc>
      </w:tr>
      <w:tr w14:paraId="45E85948">
        <w:tblPrEx>
          <w:tblCellMar>
            <w:top w:w="0" w:type="dxa"/>
            <w:left w:w="108" w:type="dxa"/>
            <w:bottom w:w="0" w:type="dxa"/>
            <w:right w:w="108" w:type="dxa"/>
          </w:tblCellMar>
        </w:tblPrEx>
        <w:trPr>
          <w:trHeight w:val="454" w:hRule="atLeast"/>
        </w:trPr>
        <w:tc>
          <w:tcPr>
            <w:tcW w:w="3074" w:type="dxa"/>
            <w:tcBorders>
              <w:top w:val="single" w:color="auto" w:sz="4" w:space="0"/>
              <w:left w:val="single" w:color="auto" w:sz="4" w:space="0"/>
              <w:bottom w:val="single" w:color="auto" w:sz="4" w:space="0"/>
              <w:right w:val="single" w:color="auto" w:sz="4" w:space="0"/>
            </w:tcBorders>
            <w:noWrap w:val="0"/>
            <w:vAlign w:val="center"/>
          </w:tcPr>
          <w:p w14:paraId="72B98410">
            <w:pPr>
              <w:jc w:val="center"/>
              <w:rPr>
                <w:rFonts w:hint="eastAsia" w:ascii="宋体" w:hAnsi="宋体" w:cs="宋体"/>
                <w:color w:val="auto"/>
                <w:szCs w:val="24"/>
                <w:highlight w:val="none"/>
              </w:rPr>
            </w:pPr>
            <w:r>
              <w:rPr>
                <w:rFonts w:hint="eastAsia" w:ascii="宋体" w:hAnsi="宋体" w:cs="宋体"/>
                <w:color w:val="auto"/>
                <w:szCs w:val="24"/>
                <w:highlight w:val="none"/>
              </w:rPr>
              <w:t>凸起振动标线机</w:t>
            </w:r>
          </w:p>
        </w:tc>
        <w:tc>
          <w:tcPr>
            <w:tcW w:w="2160" w:type="dxa"/>
            <w:tcBorders>
              <w:top w:val="single" w:color="auto" w:sz="4" w:space="0"/>
              <w:left w:val="nil"/>
              <w:bottom w:val="single" w:color="auto" w:sz="4" w:space="0"/>
              <w:right w:val="single" w:color="auto" w:sz="4" w:space="0"/>
            </w:tcBorders>
            <w:noWrap w:val="0"/>
            <w:vAlign w:val="center"/>
          </w:tcPr>
          <w:p w14:paraId="3765A31B">
            <w:pPr>
              <w:jc w:val="center"/>
              <w:rPr>
                <w:rFonts w:hint="eastAsia" w:ascii="宋体" w:hAnsi="宋体" w:cs="宋体"/>
                <w:color w:val="auto"/>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276E6BA">
            <w:pPr>
              <w:jc w:val="center"/>
              <w:rPr>
                <w:rFonts w:hint="eastAsia"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015C5ACB">
            <w:pPr>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w:t>
            </w:r>
          </w:p>
        </w:tc>
      </w:tr>
      <w:tr w14:paraId="38224028">
        <w:tblPrEx>
          <w:tblCellMar>
            <w:top w:w="0" w:type="dxa"/>
            <w:left w:w="108" w:type="dxa"/>
            <w:bottom w:w="0" w:type="dxa"/>
            <w:right w:w="108" w:type="dxa"/>
          </w:tblCellMar>
        </w:tblPrEx>
        <w:trPr>
          <w:trHeight w:val="454" w:hRule="atLeast"/>
        </w:trPr>
        <w:tc>
          <w:tcPr>
            <w:tcW w:w="3074" w:type="dxa"/>
            <w:tcBorders>
              <w:top w:val="single" w:color="auto" w:sz="4" w:space="0"/>
              <w:left w:val="single" w:color="auto" w:sz="4" w:space="0"/>
              <w:bottom w:val="single" w:color="auto" w:sz="4" w:space="0"/>
              <w:right w:val="single" w:color="auto" w:sz="4" w:space="0"/>
            </w:tcBorders>
            <w:noWrap w:val="0"/>
            <w:vAlign w:val="center"/>
          </w:tcPr>
          <w:p w14:paraId="009C7779">
            <w:pPr>
              <w:jc w:val="center"/>
              <w:rPr>
                <w:rFonts w:ascii="宋体" w:hAnsi="宋体" w:cs="宋体"/>
                <w:color w:val="auto"/>
                <w:szCs w:val="24"/>
                <w:highlight w:val="none"/>
              </w:rPr>
            </w:pPr>
            <w:r>
              <w:rPr>
                <w:rFonts w:hint="eastAsia" w:ascii="宋体" w:hAnsi="宋体" w:cs="宋体"/>
                <w:color w:val="auto"/>
                <w:szCs w:val="24"/>
                <w:highlight w:val="none"/>
              </w:rPr>
              <w:t>挖掘机</w:t>
            </w:r>
          </w:p>
        </w:tc>
        <w:tc>
          <w:tcPr>
            <w:tcW w:w="2160" w:type="dxa"/>
            <w:tcBorders>
              <w:top w:val="single" w:color="auto" w:sz="4" w:space="0"/>
              <w:left w:val="nil"/>
              <w:bottom w:val="single" w:color="auto" w:sz="4" w:space="0"/>
              <w:right w:val="single" w:color="auto" w:sz="4" w:space="0"/>
            </w:tcBorders>
            <w:noWrap w:val="0"/>
            <w:vAlign w:val="center"/>
          </w:tcPr>
          <w:p w14:paraId="0C4F9092">
            <w:pPr>
              <w:jc w:val="center"/>
              <w:rPr>
                <w:rFonts w:ascii="宋体" w:hAnsi="宋体" w:cs="宋体"/>
                <w:color w:val="auto"/>
                <w:szCs w:val="24"/>
                <w:highlight w:val="none"/>
              </w:rPr>
            </w:pPr>
            <w:r>
              <w:rPr>
                <w:rFonts w:hint="eastAsia" w:ascii="宋体" w:hAnsi="宋体" w:cs="宋体"/>
                <w:color w:val="auto"/>
                <w:szCs w:val="24"/>
                <w:highlight w:val="none"/>
              </w:rPr>
              <w:t>斗容0.6m³</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01712AA">
            <w:pPr>
              <w:jc w:val="center"/>
              <w:rPr>
                <w:rFonts w:ascii="宋体" w:hAnsi="宋体" w:cs="宋体"/>
                <w:color w:val="auto"/>
                <w:szCs w:val="24"/>
                <w:highlight w:val="none"/>
              </w:rPr>
            </w:pPr>
            <w:r>
              <w:rPr>
                <w:rFonts w:hint="eastAsia"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72B2C622">
            <w:pPr>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p>
        </w:tc>
      </w:tr>
      <w:tr w14:paraId="24376342">
        <w:tblPrEx>
          <w:tblCellMar>
            <w:top w:w="0" w:type="dxa"/>
            <w:left w:w="108" w:type="dxa"/>
            <w:bottom w:w="0" w:type="dxa"/>
            <w:right w:w="108" w:type="dxa"/>
          </w:tblCellMar>
        </w:tblPrEx>
        <w:trPr>
          <w:trHeight w:val="454" w:hRule="atLeast"/>
        </w:trPr>
        <w:tc>
          <w:tcPr>
            <w:tcW w:w="3074" w:type="dxa"/>
            <w:tcBorders>
              <w:top w:val="single" w:color="auto" w:sz="4" w:space="0"/>
              <w:left w:val="single" w:color="auto" w:sz="4" w:space="0"/>
              <w:bottom w:val="single" w:color="auto" w:sz="4" w:space="0"/>
              <w:right w:val="single" w:color="auto" w:sz="4" w:space="0"/>
            </w:tcBorders>
            <w:noWrap w:val="0"/>
            <w:vAlign w:val="center"/>
          </w:tcPr>
          <w:p w14:paraId="1CED2582">
            <w:pPr>
              <w:jc w:val="center"/>
              <w:rPr>
                <w:rFonts w:hint="eastAsia" w:ascii="宋体" w:hAnsi="宋体" w:cs="宋体"/>
                <w:color w:val="auto"/>
                <w:szCs w:val="24"/>
                <w:highlight w:val="none"/>
              </w:rPr>
            </w:pPr>
            <w:r>
              <w:rPr>
                <w:rFonts w:hint="eastAsia" w:ascii="宋体" w:hAnsi="宋体" w:cs="宋体"/>
                <w:color w:val="auto"/>
                <w:szCs w:val="24"/>
                <w:highlight w:val="none"/>
              </w:rPr>
              <w:t>混凝土切缝机</w:t>
            </w:r>
          </w:p>
        </w:tc>
        <w:tc>
          <w:tcPr>
            <w:tcW w:w="2160" w:type="dxa"/>
            <w:tcBorders>
              <w:top w:val="single" w:color="auto" w:sz="4" w:space="0"/>
              <w:left w:val="nil"/>
              <w:bottom w:val="single" w:color="auto" w:sz="4" w:space="0"/>
              <w:right w:val="single" w:color="auto" w:sz="4" w:space="0"/>
            </w:tcBorders>
            <w:noWrap w:val="0"/>
            <w:vAlign w:val="center"/>
          </w:tcPr>
          <w:p w14:paraId="00D862EE">
            <w:pPr>
              <w:jc w:val="center"/>
              <w:rPr>
                <w:rFonts w:ascii="宋体" w:hAnsi="宋体" w:cs="宋体"/>
                <w:color w:val="auto"/>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1E7D08">
            <w:pPr>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台</w:t>
            </w:r>
          </w:p>
        </w:tc>
        <w:tc>
          <w:tcPr>
            <w:tcW w:w="2349" w:type="dxa"/>
            <w:tcBorders>
              <w:top w:val="single" w:color="auto" w:sz="4" w:space="0"/>
              <w:left w:val="nil"/>
              <w:bottom w:val="single" w:color="auto" w:sz="4" w:space="0"/>
              <w:right w:val="single" w:color="auto" w:sz="4" w:space="0"/>
            </w:tcBorders>
            <w:noWrap w:val="0"/>
            <w:vAlign w:val="center"/>
          </w:tcPr>
          <w:p w14:paraId="658861EF">
            <w:pPr>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w:t>
            </w:r>
          </w:p>
        </w:tc>
      </w:tr>
      <w:tr w14:paraId="61BDB60C">
        <w:tblPrEx>
          <w:tblCellMar>
            <w:top w:w="0" w:type="dxa"/>
            <w:left w:w="108" w:type="dxa"/>
            <w:bottom w:w="0" w:type="dxa"/>
            <w:right w:w="108" w:type="dxa"/>
          </w:tblCellMar>
        </w:tblPrEx>
        <w:trPr>
          <w:trHeight w:val="454" w:hRule="atLeast"/>
        </w:trPr>
        <w:tc>
          <w:tcPr>
            <w:tcW w:w="3074" w:type="dxa"/>
            <w:tcBorders>
              <w:top w:val="single" w:color="auto" w:sz="4" w:space="0"/>
              <w:left w:val="single" w:color="auto" w:sz="4" w:space="0"/>
              <w:bottom w:val="single" w:color="auto" w:sz="4" w:space="0"/>
              <w:right w:val="single" w:color="auto" w:sz="4" w:space="0"/>
            </w:tcBorders>
            <w:noWrap w:val="0"/>
            <w:vAlign w:val="center"/>
          </w:tcPr>
          <w:p w14:paraId="34E988A8">
            <w:pPr>
              <w:jc w:val="center"/>
              <w:rPr>
                <w:rFonts w:hint="eastAsia" w:ascii="宋体" w:hAnsi="宋体" w:cs="宋体"/>
                <w:color w:val="auto"/>
                <w:szCs w:val="24"/>
                <w:highlight w:val="none"/>
              </w:rPr>
            </w:pPr>
            <w:r>
              <w:rPr>
                <w:rFonts w:hint="eastAsia" w:ascii="宋体" w:hAnsi="宋体" w:cs="宋体"/>
                <w:color w:val="auto"/>
                <w:szCs w:val="24"/>
                <w:highlight w:val="none"/>
              </w:rPr>
              <w:t>混凝土刻纹机</w:t>
            </w:r>
          </w:p>
        </w:tc>
        <w:tc>
          <w:tcPr>
            <w:tcW w:w="2160" w:type="dxa"/>
            <w:tcBorders>
              <w:top w:val="single" w:color="auto" w:sz="4" w:space="0"/>
              <w:left w:val="nil"/>
              <w:bottom w:val="single" w:color="auto" w:sz="4" w:space="0"/>
              <w:right w:val="single" w:color="auto" w:sz="4" w:space="0"/>
            </w:tcBorders>
            <w:noWrap w:val="0"/>
            <w:vAlign w:val="center"/>
          </w:tcPr>
          <w:p w14:paraId="57FDEC81">
            <w:pPr>
              <w:jc w:val="center"/>
              <w:rPr>
                <w:rFonts w:ascii="宋体" w:hAnsi="宋体" w:cs="宋体"/>
                <w:color w:val="auto"/>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FFD45E">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台</w:t>
            </w:r>
          </w:p>
        </w:tc>
        <w:tc>
          <w:tcPr>
            <w:tcW w:w="2349" w:type="dxa"/>
            <w:tcBorders>
              <w:top w:val="single" w:color="auto" w:sz="4" w:space="0"/>
              <w:left w:val="nil"/>
              <w:bottom w:val="single" w:color="auto" w:sz="4" w:space="0"/>
              <w:right w:val="single" w:color="auto" w:sz="4" w:space="0"/>
            </w:tcBorders>
            <w:noWrap w:val="0"/>
            <w:vAlign w:val="center"/>
          </w:tcPr>
          <w:p w14:paraId="4B35E210">
            <w:pPr>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w:t>
            </w:r>
          </w:p>
        </w:tc>
      </w:tr>
      <w:tr w14:paraId="4CF2A7B2">
        <w:tblPrEx>
          <w:tblCellMar>
            <w:top w:w="0" w:type="dxa"/>
            <w:left w:w="108" w:type="dxa"/>
            <w:bottom w:w="0" w:type="dxa"/>
            <w:right w:w="108" w:type="dxa"/>
          </w:tblCellMar>
        </w:tblPrEx>
        <w:trPr>
          <w:trHeight w:val="454" w:hRule="atLeast"/>
        </w:trPr>
        <w:tc>
          <w:tcPr>
            <w:tcW w:w="3074" w:type="dxa"/>
            <w:tcBorders>
              <w:top w:val="single" w:color="auto" w:sz="4" w:space="0"/>
              <w:left w:val="single" w:color="auto" w:sz="4" w:space="0"/>
              <w:bottom w:val="single" w:color="auto" w:sz="4" w:space="0"/>
              <w:right w:val="single" w:color="auto" w:sz="4" w:space="0"/>
            </w:tcBorders>
            <w:noWrap w:val="0"/>
            <w:vAlign w:val="center"/>
          </w:tcPr>
          <w:p w14:paraId="29677B7C">
            <w:pPr>
              <w:jc w:val="center"/>
              <w:rPr>
                <w:rFonts w:hint="eastAsia" w:ascii="宋体" w:hAnsi="宋体" w:cs="宋体"/>
                <w:color w:val="auto"/>
                <w:szCs w:val="24"/>
                <w:highlight w:val="none"/>
              </w:rPr>
            </w:pPr>
            <w:r>
              <w:rPr>
                <w:rFonts w:hint="eastAsia" w:ascii="宋体" w:hAnsi="宋体" w:cs="宋体"/>
                <w:color w:val="auto"/>
                <w:szCs w:val="24"/>
                <w:highlight w:val="none"/>
              </w:rPr>
              <w:t>高空作业车</w:t>
            </w:r>
          </w:p>
        </w:tc>
        <w:tc>
          <w:tcPr>
            <w:tcW w:w="2160" w:type="dxa"/>
            <w:tcBorders>
              <w:top w:val="single" w:color="auto" w:sz="4" w:space="0"/>
              <w:left w:val="nil"/>
              <w:bottom w:val="single" w:color="auto" w:sz="4" w:space="0"/>
              <w:right w:val="single" w:color="auto" w:sz="4" w:space="0"/>
            </w:tcBorders>
            <w:noWrap w:val="0"/>
            <w:vAlign w:val="center"/>
          </w:tcPr>
          <w:p w14:paraId="3E02EC95">
            <w:pPr>
              <w:jc w:val="center"/>
              <w:rPr>
                <w:rFonts w:ascii="宋体" w:hAnsi="宋体" w:cs="宋体"/>
                <w:color w:val="auto"/>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2079694">
            <w:pPr>
              <w:jc w:val="center"/>
              <w:rPr>
                <w:rFonts w:hint="eastAsia" w:ascii="宋体" w:hAnsi="宋体" w:cs="宋体"/>
                <w:color w:val="auto"/>
                <w:sz w:val="24"/>
                <w:szCs w:val="24"/>
                <w:highlight w:val="none"/>
                <w:lang w:val="en-US" w:eastAsia="zh-CN" w:bidi="ar-SA"/>
              </w:rPr>
            </w:pPr>
            <w:r>
              <w:rPr>
                <w:rFonts w:hint="eastAsia" w:ascii="宋体" w:hAnsi="宋体" w:cs="宋体"/>
                <w:color w:val="auto"/>
                <w:szCs w:val="24"/>
                <w:highlight w:val="none"/>
                <w:lang w:val="en-US" w:eastAsia="zh-CN"/>
              </w:rPr>
              <w:t>台</w:t>
            </w:r>
          </w:p>
        </w:tc>
        <w:tc>
          <w:tcPr>
            <w:tcW w:w="2349" w:type="dxa"/>
            <w:tcBorders>
              <w:top w:val="single" w:color="auto" w:sz="4" w:space="0"/>
              <w:left w:val="nil"/>
              <w:bottom w:val="single" w:color="auto" w:sz="4" w:space="0"/>
              <w:right w:val="single" w:color="auto" w:sz="4" w:space="0"/>
            </w:tcBorders>
            <w:noWrap w:val="0"/>
            <w:vAlign w:val="center"/>
          </w:tcPr>
          <w:p w14:paraId="1FB61B9D">
            <w:pPr>
              <w:jc w:val="center"/>
              <w:rPr>
                <w:rFonts w:hint="eastAsia" w:ascii="宋体" w:hAnsi="宋体" w:cs="宋体"/>
                <w:color w:val="auto"/>
                <w:sz w:val="24"/>
                <w:szCs w:val="24"/>
                <w:highlight w:val="none"/>
                <w:lang w:val="en-US" w:eastAsia="zh-CN" w:bidi="ar-SA"/>
              </w:rPr>
            </w:pPr>
            <w:r>
              <w:rPr>
                <w:rFonts w:hint="eastAsia" w:ascii="宋体" w:hAnsi="宋体" w:cs="宋体"/>
                <w:color w:val="auto"/>
                <w:szCs w:val="24"/>
                <w:highlight w:val="none"/>
                <w:lang w:val="en-US" w:eastAsia="zh-CN"/>
              </w:rPr>
              <w:t>1</w:t>
            </w:r>
          </w:p>
        </w:tc>
      </w:tr>
      <w:tr w14:paraId="32EDCC5D">
        <w:tblPrEx>
          <w:tblCellMar>
            <w:top w:w="0" w:type="dxa"/>
            <w:left w:w="108" w:type="dxa"/>
            <w:bottom w:w="0" w:type="dxa"/>
            <w:right w:w="108" w:type="dxa"/>
          </w:tblCellMar>
        </w:tblPrEx>
        <w:trPr>
          <w:trHeight w:val="454" w:hRule="atLeast"/>
        </w:trPr>
        <w:tc>
          <w:tcPr>
            <w:tcW w:w="3074" w:type="dxa"/>
            <w:tcBorders>
              <w:top w:val="single" w:color="auto" w:sz="4" w:space="0"/>
              <w:left w:val="single" w:color="auto" w:sz="4" w:space="0"/>
              <w:bottom w:val="single" w:color="auto" w:sz="4" w:space="0"/>
              <w:right w:val="single" w:color="auto" w:sz="4" w:space="0"/>
            </w:tcBorders>
            <w:noWrap w:val="0"/>
            <w:vAlign w:val="center"/>
          </w:tcPr>
          <w:p w14:paraId="6786A092">
            <w:pPr>
              <w:jc w:val="center"/>
              <w:rPr>
                <w:rFonts w:hint="eastAsia" w:ascii="宋体" w:hAnsi="宋体" w:cs="宋体"/>
                <w:color w:val="auto"/>
                <w:szCs w:val="24"/>
                <w:highlight w:val="none"/>
              </w:rPr>
            </w:pPr>
            <w:r>
              <w:rPr>
                <w:rFonts w:hint="eastAsia" w:ascii="宋体" w:hAnsi="宋体" w:cs="宋体"/>
                <w:color w:val="auto"/>
                <w:szCs w:val="24"/>
                <w:highlight w:val="none"/>
              </w:rPr>
              <w:t>手持式风动凿岩机</w:t>
            </w:r>
          </w:p>
        </w:tc>
        <w:tc>
          <w:tcPr>
            <w:tcW w:w="2160" w:type="dxa"/>
            <w:tcBorders>
              <w:top w:val="single" w:color="auto" w:sz="4" w:space="0"/>
              <w:left w:val="nil"/>
              <w:bottom w:val="single" w:color="auto" w:sz="4" w:space="0"/>
              <w:right w:val="single" w:color="auto" w:sz="4" w:space="0"/>
            </w:tcBorders>
            <w:noWrap w:val="0"/>
            <w:vAlign w:val="center"/>
          </w:tcPr>
          <w:p w14:paraId="0E2BAB40">
            <w:pPr>
              <w:jc w:val="center"/>
              <w:rPr>
                <w:rFonts w:ascii="宋体" w:hAnsi="宋体" w:cs="宋体"/>
                <w:color w:val="auto"/>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7C93620">
            <w:pPr>
              <w:jc w:val="center"/>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台</w:t>
            </w:r>
          </w:p>
        </w:tc>
        <w:tc>
          <w:tcPr>
            <w:tcW w:w="2349" w:type="dxa"/>
            <w:tcBorders>
              <w:top w:val="single" w:color="auto" w:sz="4" w:space="0"/>
              <w:left w:val="nil"/>
              <w:bottom w:val="single" w:color="auto" w:sz="4" w:space="0"/>
              <w:right w:val="single" w:color="auto" w:sz="4" w:space="0"/>
            </w:tcBorders>
            <w:noWrap w:val="0"/>
            <w:vAlign w:val="center"/>
          </w:tcPr>
          <w:p w14:paraId="1EBBD8B9">
            <w:pPr>
              <w:jc w:val="center"/>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2</w:t>
            </w:r>
          </w:p>
        </w:tc>
      </w:tr>
      <w:tr w14:paraId="13505061">
        <w:tblPrEx>
          <w:tblCellMar>
            <w:top w:w="0" w:type="dxa"/>
            <w:left w:w="108" w:type="dxa"/>
            <w:bottom w:w="0" w:type="dxa"/>
            <w:right w:w="108" w:type="dxa"/>
          </w:tblCellMar>
        </w:tblPrEx>
        <w:trPr>
          <w:trHeight w:val="454" w:hRule="atLeast"/>
        </w:trPr>
        <w:tc>
          <w:tcPr>
            <w:tcW w:w="3074" w:type="dxa"/>
            <w:tcBorders>
              <w:top w:val="single" w:color="auto" w:sz="4" w:space="0"/>
              <w:left w:val="single" w:color="auto" w:sz="4" w:space="0"/>
              <w:bottom w:val="single" w:color="auto" w:sz="4" w:space="0"/>
              <w:right w:val="single" w:color="auto" w:sz="4" w:space="0"/>
            </w:tcBorders>
            <w:noWrap w:val="0"/>
            <w:vAlign w:val="center"/>
          </w:tcPr>
          <w:p w14:paraId="260AA7BE">
            <w:pPr>
              <w:jc w:val="center"/>
              <w:rPr>
                <w:rFonts w:hint="eastAsia" w:ascii="宋体" w:hAnsi="宋体" w:cs="宋体"/>
                <w:color w:val="auto"/>
                <w:szCs w:val="24"/>
                <w:highlight w:val="none"/>
              </w:rPr>
            </w:pPr>
            <w:r>
              <w:rPr>
                <w:rFonts w:hint="eastAsia" w:ascii="宋体" w:hAnsi="宋体" w:cs="宋体"/>
                <w:color w:val="auto"/>
                <w:szCs w:val="24"/>
                <w:highlight w:val="none"/>
              </w:rPr>
              <w:t>电动冲击钻</w:t>
            </w:r>
          </w:p>
        </w:tc>
        <w:tc>
          <w:tcPr>
            <w:tcW w:w="2160" w:type="dxa"/>
            <w:tcBorders>
              <w:top w:val="single" w:color="auto" w:sz="4" w:space="0"/>
              <w:left w:val="nil"/>
              <w:bottom w:val="single" w:color="auto" w:sz="4" w:space="0"/>
              <w:right w:val="single" w:color="auto" w:sz="4" w:space="0"/>
            </w:tcBorders>
            <w:noWrap w:val="0"/>
            <w:vAlign w:val="center"/>
          </w:tcPr>
          <w:p w14:paraId="1E50901B">
            <w:pPr>
              <w:jc w:val="center"/>
              <w:rPr>
                <w:rFonts w:ascii="宋体" w:hAnsi="宋体" w:cs="宋体"/>
                <w:color w:val="auto"/>
                <w:szCs w:val="24"/>
                <w:highlight w:val="none"/>
              </w:rPr>
            </w:pPr>
            <w:r>
              <w:rPr>
                <w:rFonts w:hint="eastAsia" w:ascii="宋体" w:hAnsi="宋体" w:cs="宋体"/>
                <w:color w:val="auto"/>
                <w:szCs w:val="24"/>
                <w:highlight w:val="none"/>
              </w:rPr>
              <w:t>功率≤3kW</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E708953">
            <w:pPr>
              <w:jc w:val="center"/>
              <w:rPr>
                <w:rFonts w:hint="eastAsia" w:ascii="宋体" w:hAnsi="宋体" w:cs="宋体"/>
                <w:color w:val="auto"/>
                <w:sz w:val="24"/>
                <w:szCs w:val="24"/>
                <w:highlight w:val="none"/>
                <w:lang w:val="en-US" w:eastAsia="zh-CN" w:bidi="ar-SA"/>
              </w:rPr>
            </w:pPr>
            <w:r>
              <w:rPr>
                <w:rFonts w:hint="eastAsia" w:ascii="宋体" w:hAnsi="宋体" w:cs="宋体"/>
                <w:color w:val="auto"/>
                <w:szCs w:val="24"/>
                <w:highlight w:val="none"/>
                <w:lang w:val="en-US" w:eastAsia="zh-CN"/>
              </w:rPr>
              <w:t>台</w:t>
            </w:r>
          </w:p>
        </w:tc>
        <w:tc>
          <w:tcPr>
            <w:tcW w:w="2349" w:type="dxa"/>
            <w:tcBorders>
              <w:top w:val="single" w:color="auto" w:sz="4" w:space="0"/>
              <w:left w:val="nil"/>
              <w:bottom w:val="single" w:color="auto" w:sz="4" w:space="0"/>
              <w:right w:val="single" w:color="auto" w:sz="4" w:space="0"/>
            </w:tcBorders>
            <w:noWrap w:val="0"/>
            <w:vAlign w:val="center"/>
          </w:tcPr>
          <w:p w14:paraId="3EC9A9D5">
            <w:pPr>
              <w:jc w:val="center"/>
              <w:rPr>
                <w:rFonts w:hint="eastAsia" w:ascii="宋体" w:hAnsi="宋体" w:cs="宋体"/>
                <w:color w:val="auto"/>
                <w:sz w:val="24"/>
                <w:szCs w:val="24"/>
                <w:highlight w:val="none"/>
                <w:lang w:val="en-US" w:eastAsia="zh-CN" w:bidi="ar-SA"/>
              </w:rPr>
            </w:pPr>
            <w:r>
              <w:rPr>
                <w:rFonts w:hint="eastAsia" w:ascii="宋体" w:hAnsi="宋体" w:cs="宋体"/>
                <w:color w:val="auto"/>
                <w:szCs w:val="24"/>
                <w:highlight w:val="none"/>
                <w:lang w:val="en-US" w:eastAsia="zh-CN"/>
              </w:rPr>
              <w:t>2</w:t>
            </w:r>
          </w:p>
        </w:tc>
      </w:tr>
      <w:tr w14:paraId="385E845F">
        <w:tblPrEx>
          <w:tblCellMar>
            <w:top w:w="0" w:type="dxa"/>
            <w:left w:w="108" w:type="dxa"/>
            <w:bottom w:w="0" w:type="dxa"/>
            <w:right w:w="108" w:type="dxa"/>
          </w:tblCellMar>
        </w:tblPrEx>
        <w:trPr>
          <w:trHeight w:val="454" w:hRule="atLeast"/>
        </w:trPr>
        <w:tc>
          <w:tcPr>
            <w:tcW w:w="3074" w:type="dxa"/>
            <w:tcBorders>
              <w:top w:val="single" w:color="auto" w:sz="4" w:space="0"/>
              <w:left w:val="single" w:color="auto" w:sz="4" w:space="0"/>
              <w:bottom w:val="single" w:color="auto" w:sz="4" w:space="0"/>
              <w:right w:val="single" w:color="auto" w:sz="4" w:space="0"/>
            </w:tcBorders>
            <w:noWrap w:val="0"/>
            <w:vAlign w:val="center"/>
          </w:tcPr>
          <w:p w14:paraId="10F083CF">
            <w:pPr>
              <w:jc w:val="center"/>
              <w:rPr>
                <w:rFonts w:hint="eastAsia" w:ascii="宋体" w:hAnsi="宋体" w:cs="宋体"/>
                <w:color w:val="auto"/>
                <w:szCs w:val="24"/>
                <w:highlight w:val="none"/>
              </w:rPr>
            </w:pPr>
            <w:r>
              <w:rPr>
                <w:rFonts w:hint="eastAsia" w:ascii="宋体" w:hAnsi="宋体" w:cs="宋体"/>
                <w:color w:val="auto"/>
                <w:szCs w:val="24"/>
                <w:highlight w:val="none"/>
              </w:rPr>
              <w:t>洒水车</w:t>
            </w:r>
          </w:p>
        </w:tc>
        <w:tc>
          <w:tcPr>
            <w:tcW w:w="2160" w:type="dxa"/>
            <w:tcBorders>
              <w:top w:val="single" w:color="auto" w:sz="4" w:space="0"/>
              <w:left w:val="nil"/>
              <w:bottom w:val="single" w:color="auto" w:sz="4" w:space="0"/>
              <w:right w:val="single" w:color="auto" w:sz="4" w:space="0"/>
            </w:tcBorders>
            <w:noWrap w:val="0"/>
            <w:vAlign w:val="center"/>
          </w:tcPr>
          <w:p w14:paraId="63FF05E3">
            <w:pPr>
              <w:jc w:val="center"/>
              <w:rPr>
                <w:rFonts w:ascii="宋体" w:hAnsi="宋体" w:cs="宋体"/>
                <w:color w:val="auto"/>
                <w:szCs w:val="24"/>
                <w:highlight w:val="none"/>
              </w:rPr>
            </w:pPr>
            <w:r>
              <w:rPr>
                <w:rFonts w:hint="eastAsia" w:ascii="宋体" w:hAnsi="宋体" w:cs="宋体"/>
                <w:color w:val="auto"/>
                <w:szCs w:val="24"/>
                <w:highlight w:val="none"/>
              </w:rPr>
              <w:t>容量≥8000L</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3483F8">
            <w:pPr>
              <w:jc w:val="center"/>
              <w:rPr>
                <w:rFonts w:hint="eastAsia" w:ascii="宋体" w:hAnsi="宋体" w:cs="宋体"/>
                <w:color w:val="auto"/>
                <w:sz w:val="24"/>
                <w:szCs w:val="24"/>
                <w:highlight w:val="none"/>
                <w:lang w:val="en-US" w:eastAsia="zh-CN" w:bidi="ar-SA"/>
              </w:rPr>
            </w:pPr>
            <w:r>
              <w:rPr>
                <w:rFonts w:hint="eastAsia" w:ascii="宋体" w:hAnsi="宋体" w:cs="宋体"/>
                <w:color w:val="auto"/>
                <w:szCs w:val="24"/>
                <w:highlight w:val="none"/>
                <w:lang w:val="en-US" w:eastAsia="zh-CN"/>
              </w:rPr>
              <w:t>台</w:t>
            </w:r>
          </w:p>
        </w:tc>
        <w:tc>
          <w:tcPr>
            <w:tcW w:w="2349" w:type="dxa"/>
            <w:tcBorders>
              <w:top w:val="single" w:color="auto" w:sz="4" w:space="0"/>
              <w:left w:val="nil"/>
              <w:bottom w:val="single" w:color="auto" w:sz="4" w:space="0"/>
              <w:right w:val="single" w:color="auto" w:sz="4" w:space="0"/>
            </w:tcBorders>
            <w:noWrap w:val="0"/>
            <w:vAlign w:val="center"/>
          </w:tcPr>
          <w:p w14:paraId="1202752A">
            <w:pPr>
              <w:jc w:val="center"/>
              <w:rPr>
                <w:rFonts w:hint="eastAsia" w:ascii="宋体" w:hAnsi="宋体" w:cs="宋体"/>
                <w:color w:val="auto"/>
                <w:sz w:val="24"/>
                <w:szCs w:val="24"/>
                <w:highlight w:val="none"/>
                <w:lang w:val="en-US" w:eastAsia="zh-CN" w:bidi="ar-SA"/>
              </w:rPr>
            </w:pPr>
            <w:r>
              <w:rPr>
                <w:rFonts w:hint="eastAsia" w:ascii="宋体" w:hAnsi="宋体" w:cs="宋体"/>
                <w:color w:val="auto"/>
                <w:szCs w:val="24"/>
                <w:highlight w:val="none"/>
                <w:lang w:val="en-US" w:eastAsia="zh-CN"/>
              </w:rPr>
              <w:t>1</w:t>
            </w:r>
          </w:p>
        </w:tc>
      </w:tr>
      <w:tr w14:paraId="1CF3D67B">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6468C6B8">
            <w:pPr>
              <w:jc w:val="center"/>
              <w:rPr>
                <w:rFonts w:ascii="宋体" w:hAnsi="宋体" w:cs="宋体"/>
                <w:color w:val="auto"/>
                <w:szCs w:val="24"/>
                <w:highlight w:val="none"/>
              </w:rPr>
            </w:pPr>
            <w:r>
              <w:rPr>
                <w:rFonts w:ascii="宋体" w:hAnsi="宋体" w:cs="宋体"/>
                <w:color w:val="auto"/>
                <w:szCs w:val="24"/>
                <w:highlight w:val="none"/>
              </w:rPr>
              <w:t>砼搅拌机</w:t>
            </w:r>
          </w:p>
        </w:tc>
        <w:tc>
          <w:tcPr>
            <w:tcW w:w="2160" w:type="dxa"/>
            <w:tcBorders>
              <w:top w:val="nil"/>
              <w:left w:val="nil"/>
              <w:bottom w:val="single" w:color="auto" w:sz="4" w:space="0"/>
              <w:right w:val="single" w:color="auto" w:sz="4" w:space="0"/>
            </w:tcBorders>
            <w:noWrap w:val="0"/>
            <w:vAlign w:val="center"/>
          </w:tcPr>
          <w:p w14:paraId="763CE243">
            <w:pPr>
              <w:jc w:val="center"/>
              <w:rPr>
                <w:rFonts w:ascii="宋体" w:hAnsi="宋体" w:cs="宋体"/>
                <w:color w:val="auto"/>
                <w:szCs w:val="24"/>
                <w:highlight w:val="none"/>
              </w:rPr>
            </w:pPr>
            <w:r>
              <w:rPr>
                <w:rFonts w:ascii="宋体" w:hAnsi="宋体" w:cs="宋体"/>
                <w:color w:val="auto"/>
                <w:szCs w:val="24"/>
                <w:highlight w:val="none"/>
              </w:rPr>
              <w:t>250L以上</w:t>
            </w:r>
          </w:p>
        </w:tc>
        <w:tc>
          <w:tcPr>
            <w:tcW w:w="1260" w:type="dxa"/>
            <w:tcBorders>
              <w:top w:val="nil"/>
              <w:left w:val="nil"/>
              <w:bottom w:val="single" w:color="auto" w:sz="4" w:space="0"/>
              <w:right w:val="single" w:color="auto" w:sz="4" w:space="0"/>
            </w:tcBorders>
            <w:noWrap w:val="0"/>
            <w:vAlign w:val="center"/>
          </w:tcPr>
          <w:p w14:paraId="5412CD05">
            <w:pPr>
              <w:jc w:val="center"/>
              <w:rPr>
                <w:rFonts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2B0CD2B5">
            <w:pPr>
              <w:jc w:val="center"/>
              <w:rPr>
                <w:rFonts w:ascii="宋体" w:hAnsi="宋体" w:cs="宋体"/>
                <w:color w:val="auto"/>
                <w:szCs w:val="24"/>
                <w:highlight w:val="none"/>
              </w:rPr>
            </w:pPr>
            <w:r>
              <w:rPr>
                <w:rFonts w:ascii="宋体" w:hAnsi="宋体" w:cs="宋体"/>
                <w:color w:val="auto"/>
                <w:szCs w:val="24"/>
                <w:highlight w:val="none"/>
              </w:rPr>
              <w:t>2</w:t>
            </w:r>
          </w:p>
        </w:tc>
      </w:tr>
      <w:tr w14:paraId="2D948DAE">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0A616672">
            <w:pPr>
              <w:jc w:val="center"/>
              <w:rPr>
                <w:rFonts w:ascii="宋体" w:hAnsi="宋体" w:cs="宋体"/>
                <w:color w:val="auto"/>
                <w:szCs w:val="24"/>
                <w:highlight w:val="none"/>
              </w:rPr>
            </w:pPr>
            <w:r>
              <w:rPr>
                <w:rFonts w:ascii="宋体" w:hAnsi="宋体" w:cs="宋体"/>
                <w:color w:val="auto"/>
                <w:szCs w:val="24"/>
                <w:highlight w:val="none"/>
              </w:rPr>
              <w:t>打桩机</w:t>
            </w:r>
          </w:p>
        </w:tc>
        <w:tc>
          <w:tcPr>
            <w:tcW w:w="2160" w:type="dxa"/>
            <w:tcBorders>
              <w:top w:val="nil"/>
              <w:left w:val="nil"/>
              <w:bottom w:val="single" w:color="auto" w:sz="4" w:space="0"/>
              <w:right w:val="single" w:color="auto" w:sz="4" w:space="0"/>
            </w:tcBorders>
            <w:noWrap w:val="0"/>
            <w:vAlign w:val="center"/>
          </w:tcPr>
          <w:p w14:paraId="28CCBD43">
            <w:pPr>
              <w:jc w:val="center"/>
              <w:rPr>
                <w:rFonts w:ascii="宋体" w:hAnsi="宋体" w:cs="宋体"/>
                <w:color w:val="auto"/>
                <w:szCs w:val="24"/>
                <w:highlight w:val="none"/>
              </w:rPr>
            </w:pPr>
            <w:r>
              <w:rPr>
                <w:rFonts w:ascii="宋体" w:hAnsi="宋体" w:cs="宋体"/>
                <w:color w:val="auto"/>
                <w:szCs w:val="24"/>
                <w:highlight w:val="none"/>
              </w:rPr>
              <w:t>180型</w:t>
            </w:r>
          </w:p>
        </w:tc>
        <w:tc>
          <w:tcPr>
            <w:tcW w:w="1260" w:type="dxa"/>
            <w:tcBorders>
              <w:top w:val="nil"/>
              <w:left w:val="nil"/>
              <w:bottom w:val="single" w:color="auto" w:sz="4" w:space="0"/>
              <w:right w:val="single" w:color="auto" w:sz="4" w:space="0"/>
            </w:tcBorders>
            <w:noWrap w:val="0"/>
            <w:vAlign w:val="center"/>
          </w:tcPr>
          <w:p w14:paraId="46A4DE8B">
            <w:pPr>
              <w:jc w:val="center"/>
              <w:rPr>
                <w:rFonts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4973A427">
            <w:pPr>
              <w:jc w:val="center"/>
              <w:rPr>
                <w:rFonts w:ascii="宋体" w:hAnsi="宋体" w:cs="宋体"/>
                <w:color w:val="auto"/>
                <w:szCs w:val="24"/>
                <w:highlight w:val="none"/>
              </w:rPr>
            </w:pPr>
            <w:r>
              <w:rPr>
                <w:rFonts w:ascii="宋体" w:hAnsi="宋体" w:cs="宋体"/>
                <w:color w:val="auto"/>
                <w:szCs w:val="24"/>
                <w:highlight w:val="none"/>
              </w:rPr>
              <w:t>2</w:t>
            </w:r>
          </w:p>
        </w:tc>
      </w:tr>
      <w:tr w14:paraId="0411E02D">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2AA0BAD0">
            <w:pPr>
              <w:jc w:val="center"/>
              <w:rPr>
                <w:rFonts w:ascii="宋体" w:hAnsi="宋体" w:cs="宋体"/>
                <w:color w:val="auto"/>
                <w:szCs w:val="24"/>
                <w:highlight w:val="none"/>
              </w:rPr>
            </w:pPr>
            <w:r>
              <w:rPr>
                <w:rFonts w:ascii="宋体" w:hAnsi="宋体" w:cs="宋体"/>
                <w:color w:val="auto"/>
                <w:szCs w:val="24"/>
                <w:highlight w:val="none"/>
              </w:rPr>
              <w:t>空压机</w:t>
            </w:r>
          </w:p>
        </w:tc>
        <w:tc>
          <w:tcPr>
            <w:tcW w:w="2160" w:type="dxa"/>
            <w:tcBorders>
              <w:top w:val="nil"/>
              <w:left w:val="nil"/>
              <w:bottom w:val="single" w:color="auto" w:sz="4" w:space="0"/>
              <w:right w:val="single" w:color="auto" w:sz="4" w:space="0"/>
            </w:tcBorders>
            <w:noWrap w:val="0"/>
            <w:vAlign w:val="center"/>
          </w:tcPr>
          <w:p w14:paraId="30650337">
            <w:pPr>
              <w:jc w:val="center"/>
              <w:rPr>
                <w:rFonts w:ascii="宋体" w:hAnsi="宋体" w:cs="宋体"/>
                <w:color w:val="auto"/>
                <w:szCs w:val="24"/>
                <w:highlight w:val="none"/>
              </w:rPr>
            </w:pPr>
            <w:r>
              <w:rPr>
                <w:rFonts w:ascii="宋体" w:hAnsi="宋体" w:cs="宋体"/>
                <w:color w:val="auto"/>
                <w:szCs w:val="24"/>
                <w:highlight w:val="none"/>
              </w:rPr>
              <w:t>12m</w:t>
            </w:r>
            <w:r>
              <w:rPr>
                <w:rFonts w:ascii="宋体" w:hAnsi="宋体" w:cs="宋体"/>
                <w:color w:val="auto"/>
                <w:szCs w:val="24"/>
                <w:highlight w:val="none"/>
                <w:vertAlign w:val="superscript"/>
              </w:rPr>
              <w:t>3</w:t>
            </w:r>
            <w:r>
              <w:rPr>
                <w:rFonts w:ascii="宋体" w:hAnsi="宋体" w:cs="宋体"/>
                <w:color w:val="auto"/>
                <w:szCs w:val="24"/>
                <w:highlight w:val="none"/>
              </w:rPr>
              <w:t>以上</w:t>
            </w:r>
          </w:p>
        </w:tc>
        <w:tc>
          <w:tcPr>
            <w:tcW w:w="1260" w:type="dxa"/>
            <w:tcBorders>
              <w:top w:val="nil"/>
              <w:left w:val="nil"/>
              <w:bottom w:val="single" w:color="auto" w:sz="4" w:space="0"/>
              <w:right w:val="single" w:color="auto" w:sz="4" w:space="0"/>
            </w:tcBorders>
            <w:noWrap w:val="0"/>
            <w:vAlign w:val="center"/>
          </w:tcPr>
          <w:p w14:paraId="675D27C8">
            <w:pPr>
              <w:jc w:val="center"/>
              <w:rPr>
                <w:rFonts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060BE5FE">
            <w:pPr>
              <w:jc w:val="center"/>
              <w:rPr>
                <w:rFonts w:ascii="宋体" w:hAnsi="宋体" w:cs="宋体"/>
                <w:color w:val="auto"/>
                <w:szCs w:val="24"/>
                <w:highlight w:val="none"/>
              </w:rPr>
            </w:pPr>
            <w:r>
              <w:rPr>
                <w:rFonts w:ascii="宋体" w:hAnsi="宋体" w:cs="宋体"/>
                <w:color w:val="auto"/>
                <w:szCs w:val="24"/>
                <w:highlight w:val="none"/>
              </w:rPr>
              <w:t>2</w:t>
            </w:r>
          </w:p>
        </w:tc>
      </w:tr>
      <w:tr w14:paraId="22C29967">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142559BB">
            <w:pPr>
              <w:jc w:val="center"/>
              <w:rPr>
                <w:rFonts w:ascii="宋体" w:hAnsi="宋体" w:cs="宋体"/>
                <w:color w:val="auto"/>
                <w:szCs w:val="24"/>
                <w:highlight w:val="none"/>
              </w:rPr>
            </w:pPr>
            <w:r>
              <w:rPr>
                <w:rFonts w:ascii="宋体" w:hAnsi="宋体" w:cs="宋体"/>
                <w:color w:val="auto"/>
                <w:szCs w:val="24"/>
                <w:highlight w:val="none"/>
              </w:rPr>
              <w:t>发电机组</w:t>
            </w:r>
          </w:p>
        </w:tc>
        <w:tc>
          <w:tcPr>
            <w:tcW w:w="2160" w:type="dxa"/>
            <w:tcBorders>
              <w:top w:val="nil"/>
              <w:left w:val="nil"/>
              <w:bottom w:val="single" w:color="auto" w:sz="4" w:space="0"/>
              <w:right w:val="single" w:color="auto" w:sz="4" w:space="0"/>
            </w:tcBorders>
            <w:noWrap w:val="0"/>
            <w:vAlign w:val="center"/>
          </w:tcPr>
          <w:p w14:paraId="0262263B">
            <w:pPr>
              <w:jc w:val="center"/>
              <w:rPr>
                <w:rFonts w:ascii="宋体" w:hAnsi="宋体" w:cs="宋体"/>
                <w:color w:val="auto"/>
                <w:szCs w:val="24"/>
                <w:highlight w:val="none"/>
              </w:rPr>
            </w:pPr>
            <w:r>
              <w:rPr>
                <w:rFonts w:ascii="宋体" w:hAnsi="宋体" w:cs="宋体"/>
                <w:color w:val="auto"/>
                <w:szCs w:val="24"/>
                <w:highlight w:val="none"/>
              </w:rPr>
              <w:t>HF-81-50KW</w:t>
            </w:r>
          </w:p>
        </w:tc>
        <w:tc>
          <w:tcPr>
            <w:tcW w:w="1260" w:type="dxa"/>
            <w:tcBorders>
              <w:top w:val="nil"/>
              <w:left w:val="nil"/>
              <w:bottom w:val="single" w:color="auto" w:sz="4" w:space="0"/>
              <w:right w:val="single" w:color="auto" w:sz="4" w:space="0"/>
            </w:tcBorders>
            <w:noWrap w:val="0"/>
            <w:vAlign w:val="center"/>
          </w:tcPr>
          <w:p w14:paraId="25340C9A">
            <w:pPr>
              <w:jc w:val="center"/>
              <w:rPr>
                <w:rFonts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711AAF4A">
            <w:pPr>
              <w:jc w:val="center"/>
              <w:rPr>
                <w:rFonts w:ascii="宋体" w:hAnsi="宋体" w:cs="宋体"/>
                <w:color w:val="auto"/>
                <w:szCs w:val="24"/>
                <w:highlight w:val="none"/>
              </w:rPr>
            </w:pPr>
            <w:r>
              <w:rPr>
                <w:rFonts w:ascii="宋体" w:hAnsi="宋体" w:cs="宋体"/>
                <w:color w:val="auto"/>
                <w:szCs w:val="24"/>
                <w:highlight w:val="none"/>
              </w:rPr>
              <w:t>2</w:t>
            </w:r>
          </w:p>
        </w:tc>
      </w:tr>
      <w:tr w14:paraId="3CE64395">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5B449C66">
            <w:pPr>
              <w:jc w:val="center"/>
              <w:rPr>
                <w:rFonts w:ascii="宋体" w:hAnsi="宋体" w:cs="宋体"/>
                <w:color w:val="auto"/>
                <w:szCs w:val="24"/>
                <w:highlight w:val="none"/>
              </w:rPr>
            </w:pPr>
            <w:r>
              <w:rPr>
                <w:rFonts w:ascii="宋体" w:hAnsi="宋体" w:cs="宋体"/>
                <w:color w:val="auto"/>
                <w:szCs w:val="24"/>
                <w:highlight w:val="none"/>
              </w:rPr>
              <w:t>插入式震动棒</w:t>
            </w:r>
          </w:p>
        </w:tc>
        <w:tc>
          <w:tcPr>
            <w:tcW w:w="2160" w:type="dxa"/>
            <w:tcBorders>
              <w:top w:val="nil"/>
              <w:left w:val="nil"/>
              <w:bottom w:val="single" w:color="auto" w:sz="4" w:space="0"/>
              <w:right w:val="single" w:color="auto" w:sz="4" w:space="0"/>
            </w:tcBorders>
            <w:noWrap w:val="0"/>
            <w:vAlign w:val="center"/>
          </w:tcPr>
          <w:p w14:paraId="61B3B67F">
            <w:pPr>
              <w:jc w:val="center"/>
              <w:rPr>
                <w:rFonts w:ascii="宋体" w:hAnsi="宋体" w:cs="宋体"/>
                <w:color w:val="auto"/>
                <w:szCs w:val="24"/>
                <w:highlight w:val="none"/>
              </w:rPr>
            </w:pPr>
            <w:r>
              <w:rPr>
                <w:rFonts w:ascii="宋体" w:hAnsi="宋体" w:cs="宋体"/>
                <w:color w:val="auto"/>
                <w:szCs w:val="24"/>
                <w:highlight w:val="none"/>
              </w:rPr>
              <w:t>ZD50</w:t>
            </w:r>
          </w:p>
        </w:tc>
        <w:tc>
          <w:tcPr>
            <w:tcW w:w="1260" w:type="dxa"/>
            <w:tcBorders>
              <w:top w:val="nil"/>
              <w:left w:val="nil"/>
              <w:bottom w:val="single" w:color="auto" w:sz="4" w:space="0"/>
              <w:right w:val="single" w:color="auto" w:sz="4" w:space="0"/>
            </w:tcBorders>
            <w:noWrap w:val="0"/>
            <w:vAlign w:val="center"/>
          </w:tcPr>
          <w:p w14:paraId="3E33A837">
            <w:pPr>
              <w:jc w:val="center"/>
              <w:rPr>
                <w:rFonts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4FDE7BCE">
            <w:pPr>
              <w:jc w:val="center"/>
              <w:rPr>
                <w:rFonts w:ascii="宋体" w:hAnsi="宋体" w:cs="宋体"/>
                <w:color w:val="auto"/>
                <w:szCs w:val="24"/>
                <w:highlight w:val="none"/>
              </w:rPr>
            </w:pPr>
            <w:r>
              <w:rPr>
                <w:rFonts w:ascii="宋体" w:hAnsi="宋体" w:cs="宋体"/>
                <w:color w:val="auto"/>
                <w:szCs w:val="24"/>
                <w:highlight w:val="none"/>
              </w:rPr>
              <w:t>5</w:t>
            </w:r>
          </w:p>
        </w:tc>
      </w:tr>
      <w:tr w14:paraId="3B55217D">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56072185">
            <w:pPr>
              <w:jc w:val="center"/>
              <w:rPr>
                <w:rFonts w:ascii="宋体" w:hAnsi="宋体" w:cs="宋体"/>
                <w:color w:val="auto"/>
                <w:szCs w:val="24"/>
                <w:highlight w:val="none"/>
              </w:rPr>
            </w:pPr>
            <w:r>
              <w:rPr>
                <w:rFonts w:ascii="宋体" w:hAnsi="宋体" w:cs="宋体"/>
                <w:color w:val="auto"/>
                <w:szCs w:val="24"/>
                <w:highlight w:val="none"/>
              </w:rPr>
              <w:t>吊车</w:t>
            </w:r>
          </w:p>
        </w:tc>
        <w:tc>
          <w:tcPr>
            <w:tcW w:w="2160" w:type="dxa"/>
            <w:tcBorders>
              <w:top w:val="nil"/>
              <w:left w:val="nil"/>
              <w:bottom w:val="single" w:color="auto" w:sz="4" w:space="0"/>
              <w:right w:val="single" w:color="auto" w:sz="4" w:space="0"/>
            </w:tcBorders>
            <w:noWrap w:val="0"/>
            <w:vAlign w:val="center"/>
          </w:tcPr>
          <w:p w14:paraId="415A5C9A">
            <w:pPr>
              <w:jc w:val="center"/>
              <w:rPr>
                <w:rFonts w:ascii="宋体" w:hAnsi="宋体" w:cs="宋体"/>
                <w:color w:val="auto"/>
                <w:szCs w:val="24"/>
                <w:highlight w:val="none"/>
              </w:rPr>
            </w:pPr>
            <w:r>
              <w:rPr>
                <w:rFonts w:ascii="宋体" w:hAnsi="宋体" w:cs="宋体"/>
                <w:color w:val="auto"/>
                <w:szCs w:val="24"/>
                <w:highlight w:val="none"/>
              </w:rPr>
              <w:t>20T</w:t>
            </w:r>
          </w:p>
        </w:tc>
        <w:tc>
          <w:tcPr>
            <w:tcW w:w="1260" w:type="dxa"/>
            <w:tcBorders>
              <w:top w:val="nil"/>
              <w:left w:val="nil"/>
              <w:bottom w:val="single" w:color="auto" w:sz="4" w:space="0"/>
              <w:right w:val="single" w:color="auto" w:sz="4" w:space="0"/>
            </w:tcBorders>
            <w:noWrap w:val="0"/>
            <w:vAlign w:val="center"/>
          </w:tcPr>
          <w:p w14:paraId="64D7A042">
            <w:pPr>
              <w:jc w:val="center"/>
              <w:rPr>
                <w:rFonts w:ascii="宋体" w:hAnsi="宋体" w:cs="宋体"/>
                <w:color w:val="auto"/>
                <w:szCs w:val="24"/>
                <w:highlight w:val="none"/>
              </w:rPr>
            </w:pPr>
            <w:r>
              <w:rPr>
                <w:rFonts w:ascii="宋体" w:hAnsi="宋体" w:cs="宋体"/>
                <w:color w:val="auto"/>
                <w:szCs w:val="24"/>
                <w:highlight w:val="none"/>
              </w:rPr>
              <w:t>辆</w:t>
            </w:r>
          </w:p>
        </w:tc>
        <w:tc>
          <w:tcPr>
            <w:tcW w:w="2349" w:type="dxa"/>
            <w:tcBorders>
              <w:top w:val="single" w:color="auto" w:sz="4" w:space="0"/>
              <w:left w:val="nil"/>
              <w:bottom w:val="single" w:color="auto" w:sz="4" w:space="0"/>
              <w:right w:val="single" w:color="auto" w:sz="4" w:space="0"/>
            </w:tcBorders>
            <w:noWrap w:val="0"/>
            <w:vAlign w:val="center"/>
          </w:tcPr>
          <w:p w14:paraId="50F10AA4">
            <w:pPr>
              <w:jc w:val="center"/>
              <w:rPr>
                <w:rFonts w:ascii="宋体" w:hAnsi="宋体" w:cs="宋体"/>
                <w:color w:val="auto"/>
                <w:szCs w:val="24"/>
                <w:highlight w:val="none"/>
              </w:rPr>
            </w:pPr>
            <w:r>
              <w:rPr>
                <w:rFonts w:ascii="宋体" w:hAnsi="宋体" w:cs="宋体"/>
                <w:color w:val="auto"/>
                <w:szCs w:val="24"/>
                <w:highlight w:val="none"/>
              </w:rPr>
              <w:t>2</w:t>
            </w:r>
          </w:p>
        </w:tc>
      </w:tr>
      <w:tr w14:paraId="7DDBA528">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4490626E">
            <w:pPr>
              <w:jc w:val="center"/>
              <w:rPr>
                <w:rFonts w:ascii="宋体" w:hAnsi="宋体" w:cs="宋体"/>
                <w:color w:val="auto"/>
                <w:szCs w:val="24"/>
                <w:highlight w:val="none"/>
              </w:rPr>
            </w:pPr>
            <w:r>
              <w:rPr>
                <w:rFonts w:ascii="宋体" w:hAnsi="宋体" w:cs="宋体"/>
                <w:color w:val="auto"/>
                <w:szCs w:val="24"/>
                <w:highlight w:val="none"/>
              </w:rPr>
              <w:t>升降机</w:t>
            </w:r>
          </w:p>
        </w:tc>
        <w:tc>
          <w:tcPr>
            <w:tcW w:w="2160" w:type="dxa"/>
            <w:tcBorders>
              <w:top w:val="nil"/>
              <w:left w:val="nil"/>
              <w:bottom w:val="single" w:color="auto" w:sz="4" w:space="0"/>
              <w:right w:val="single" w:color="auto" w:sz="4" w:space="0"/>
            </w:tcBorders>
            <w:noWrap w:val="0"/>
            <w:vAlign w:val="center"/>
          </w:tcPr>
          <w:p w14:paraId="402E0711">
            <w:pPr>
              <w:jc w:val="center"/>
              <w:rPr>
                <w:rFonts w:ascii="宋体" w:hAnsi="宋体" w:cs="宋体"/>
                <w:color w:val="auto"/>
                <w:szCs w:val="24"/>
                <w:highlight w:val="none"/>
              </w:rPr>
            </w:pPr>
          </w:p>
        </w:tc>
        <w:tc>
          <w:tcPr>
            <w:tcW w:w="1260" w:type="dxa"/>
            <w:tcBorders>
              <w:top w:val="nil"/>
              <w:left w:val="nil"/>
              <w:bottom w:val="single" w:color="auto" w:sz="4" w:space="0"/>
              <w:right w:val="single" w:color="auto" w:sz="4" w:space="0"/>
            </w:tcBorders>
            <w:noWrap w:val="0"/>
            <w:vAlign w:val="center"/>
          </w:tcPr>
          <w:p w14:paraId="3F8EAC7E">
            <w:pPr>
              <w:jc w:val="center"/>
              <w:rPr>
                <w:rFonts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7F4804CE">
            <w:pPr>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1</w:t>
            </w:r>
          </w:p>
        </w:tc>
      </w:tr>
      <w:tr w14:paraId="1A253863">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665E989C">
            <w:pPr>
              <w:jc w:val="center"/>
              <w:rPr>
                <w:rFonts w:ascii="宋体" w:hAnsi="宋体" w:cs="宋体"/>
                <w:color w:val="auto"/>
                <w:szCs w:val="24"/>
                <w:highlight w:val="none"/>
              </w:rPr>
            </w:pPr>
            <w:r>
              <w:rPr>
                <w:rFonts w:ascii="宋体" w:hAnsi="宋体" w:cs="宋体"/>
                <w:color w:val="auto"/>
                <w:szCs w:val="24"/>
                <w:highlight w:val="none"/>
              </w:rPr>
              <w:t>载货汽车</w:t>
            </w:r>
          </w:p>
        </w:tc>
        <w:tc>
          <w:tcPr>
            <w:tcW w:w="2160" w:type="dxa"/>
            <w:tcBorders>
              <w:top w:val="nil"/>
              <w:left w:val="nil"/>
              <w:bottom w:val="single" w:color="auto" w:sz="4" w:space="0"/>
              <w:right w:val="single" w:color="auto" w:sz="4" w:space="0"/>
            </w:tcBorders>
            <w:noWrap w:val="0"/>
            <w:vAlign w:val="center"/>
          </w:tcPr>
          <w:p w14:paraId="72F6715D">
            <w:pPr>
              <w:ind w:firstLine="420"/>
              <w:jc w:val="center"/>
              <w:rPr>
                <w:rFonts w:ascii="宋体" w:hAnsi="宋体" w:cs="宋体"/>
                <w:color w:val="auto"/>
                <w:szCs w:val="24"/>
                <w:highlight w:val="none"/>
              </w:rPr>
            </w:pPr>
          </w:p>
        </w:tc>
        <w:tc>
          <w:tcPr>
            <w:tcW w:w="1260" w:type="dxa"/>
            <w:tcBorders>
              <w:top w:val="nil"/>
              <w:left w:val="nil"/>
              <w:bottom w:val="single" w:color="auto" w:sz="4" w:space="0"/>
              <w:right w:val="single" w:color="auto" w:sz="4" w:space="0"/>
            </w:tcBorders>
            <w:noWrap w:val="0"/>
            <w:vAlign w:val="center"/>
          </w:tcPr>
          <w:p w14:paraId="1381B696">
            <w:pPr>
              <w:jc w:val="center"/>
              <w:rPr>
                <w:rFonts w:ascii="宋体" w:hAnsi="宋体" w:cs="宋体"/>
                <w:color w:val="auto"/>
                <w:szCs w:val="24"/>
                <w:highlight w:val="none"/>
              </w:rPr>
            </w:pPr>
            <w:r>
              <w:rPr>
                <w:rFonts w:ascii="宋体" w:hAnsi="宋体" w:cs="宋体"/>
                <w:color w:val="auto"/>
                <w:szCs w:val="24"/>
                <w:highlight w:val="none"/>
              </w:rPr>
              <w:t>辆</w:t>
            </w:r>
          </w:p>
        </w:tc>
        <w:tc>
          <w:tcPr>
            <w:tcW w:w="2349" w:type="dxa"/>
            <w:tcBorders>
              <w:top w:val="single" w:color="auto" w:sz="4" w:space="0"/>
              <w:left w:val="nil"/>
              <w:bottom w:val="single" w:color="auto" w:sz="4" w:space="0"/>
              <w:right w:val="single" w:color="auto" w:sz="4" w:space="0"/>
            </w:tcBorders>
            <w:noWrap w:val="0"/>
            <w:vAlign w:val="center"/>
          </w:tcPr>
          <w:p w14:paraId="2DF0AB63">
            <w:pPr>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3</w:t>
            </w:r>
          </w:p>
        </w:tc>
      </w:tr>
      <w:tr w14:paraId="49D555C9">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4605D974">
            <w:pPr>
              <w:jc w:val="center"/>
              <w:rPr>
                <w:rFonts w:ascii="宋体" w:hAnsi="宋体" w:cs="宋体"/>
                <w:color w:val="auto"/>
                <w:szCs w:val="24"/>
                <w:highlight w:val="none"/>
              </w:rPr>
            </w:pPr>
            <w:r>
              <w:rPr>
                <w:rFonts w:ascii="宋体" w:hAnsi="宋体" w:cs="宋体"/>
                <w:color w:val="auto"/>
                <w:szCs w:val="24"/>
                <w:highlight w:val="none"/>
              </w:rPr>
              <w:t>办公设备</w:t>
            </w:r>
          </w:p>
        </w:tc>
        <w:tc>
          <w:tcPr>
            <w:tcW w:w="2160" w:type="dxa"/>
            <w:tcBorders>
              <w:top w:val="nil"/>
              <w:left w:val="nil"/>
              <w:bottom w:val="single" w:color="auto" w:sz="4" w:space="0"/>
              <w:right w:val="single" w:color="auto" w:sz="4" w:space="0"/>
            </w:tcBorders>
            <w:noWrap w:val="0"/>
            <w:vAlign w:val="center"/>
          </w:tcPr>
          <w:p w14:paraId="20DC8E65">
            <w:pPr>
              <w:ind w:firstLine="420"/>
              <w:jc w:val="center"/>
              <w:rPr>
                <w:rFonts w:ascii="宋体" w:hAnsi="宋体" w:cs="宋体"/>
                <w:color w:val="auto"/>
                <w:szCs w:val="24"/>
                <w:highlight w:val="none"/>
              </w:rPr>
            </w:pPr>
          </w:p>
        </w:tc>
        <w:tc>
          <w:tcPr>
            <w:tcW w:w="1260" w:type="dxa"/>
            <w:tcBorders>
              <w:top w:val="nil"/>
              <w:left w:val="nil"/>
              <w:bottom w:val="single" w:color="auto" w:sz="4" w:space="0"/>
              <w:right w:val="single" w:color="auto" w:sz="4" w:space="0"/>
            </w:tcBorders>
            <w:noWrap w:val="0"/>
            <w:vAlign w:val="center"/>
          </w:tcPr>
          <w:p w14:paraId="437CB34E">
            <w:pPr>
              <w:jc w:val="center"/>
              <w:rPr>
                <w:rFonts w:ascii="宋体" w:hAnsi="宋体" w:cs="宋体"/>
                <w:color w:val="auto"/>
                <w:szCs w:val="24"/>
                <w:highlight w:val="none"/>
              </w:rPr>
            </w:pPr>
            <w:r>
              <w:rPr>
                <w:rFonts w:ascii="宋体" w:hAnsi="宋体" w:cs="宋体"/>
                <w:color w:val="auto"/>
                <w:szCs w:val="24"/>
                <w:highlight w:val="none"/>
              </w:rPr>
              <w:t>套</w:t>
            </w:r>
          </w:p>
        </w:tc>
        <w:tc>
          <w:tcPr>
            <w:tcW w:w="2349" w:type="dxa"/>
            <w:tcBorders>
              <w:top w:val="single" w:color="auto" w:sz="4" w:space="0"/>
              <w:left w:val="nil"/>
              <w:bottom w:val="single" w:color="auto" w:sz="4" w:space="0"/>
              <w:right w:val="single" w:color="auto" w:sz="4" w:space="0"/>
            </w:tcBorders>
            <w:noWrap w:val="0"/>
            <w:vAlign w:val="center"/>
          </w:tcPr>
          <w:p w14:paraId="2844C37F">
            <w:pPr>
              <w:jc w:val="center"/>
              <w:rPr>
                <w:rFonts w:ascii="宋体" w:hAnsi="宋体" w:cs="宋体"/>
                <w:color w:val="auto"/>
                <w:szCs w:val="24"/>
                <w:highlight w:val="none"/>
              </w:rPr>
            </w:pPr>
            <w:r>
              <w:rPr>
                <w:rFonts w:ascii="宋体" w:hAnsi="宋体" w:cs="宋体"/>
                <w:color w:val="auto"/>
                <w:szCs w:val="24"/>
                <w:highlight w:val="none"/>
              </w:rPr>
              <w:t>1</w:t>
            </w:r>
          </w:p>
        </w:tc>
      </w:tr>
      <w:tr w14:paraId="70DE2BE1">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7A2C0599">
            <w:pPr>
              <w:jc w:val="center"/>
              <w:rPr>
                <w:rFonts w:ascii="宋体" w:hAnsi="宋体" w:cs="宋体"/>
                <w:color w:val="auto"/>
                <w:szCs w:val="24"/>
                <w:highlight w:val="none"/>
              </w:rPr>
            </w:pPr>
            <w:r>
              <w:rPr>
                <w:rFonts w:ascii="宋体" w:hAnsi="宋体" w:cs="宋体"/>
                <w:color w:val="auto"/>
                <w:szCs w:val="24"/>
                <w:highlight w:val="none"/>
              </w:rPr>
              <w:t>数显千分尺</w:t>
            </w:r>
          </w:p>
        </w:tc>
        <w:tc>
          <w:tcPr>
            <w:tcW w:w="2160" w:type="dxa"/>
            <w:tcBorders>
              <w:top w:val="nil"/>
              <w:left w:val="nil"/>
              <w:bottom w:val="single" w:color="auto" w:sz="4" w:space="0"/>
              <w:right w:val="single" w:color="auto" w:sz="4" w:space="0"/>
            </w:tcBorders>
            <w:noWrap w:val="0"/>
            <w:vAlign w:val="center"/>
          </w:tcPr>
          <w:p w14:paraId="3CBD887E">
            <w:pPr>
              <w:ind w:firstLine="420"/>
              <w:jc w:val="center"/>
              <w:rPr>
                <w:rFonts w:ascii="宋体" w:hAnsi="宋体" w:cs="宋体"/>
                <w:color w:val="auto"/>
                <w:szCs w:val="24"/>
                <w:highlight w:val="none"/>
              </w:rPr>
            </w:pPr>
          </w:p>
        </w:tc>
        <w:tc>
          <w:tcPr>
            <w:tcW w:w="1260" w:type="dxa"/>
            <w:tcBorders>
              <w:top w:val="nil"/>
              <w:left w:val="nil"/>
              <w:bottom w:val="single" w:color="auto" w:sz="4" w:space="0"/>
              <w:right w:val="single" w:color="auto" w:sz="4" w:space="0"/>
            </w:tcBorders>
            <w:noWrap w:val="0"/>
            <w:vAlign w:val="center"/>
          </w:tcPr>
          <w:p w14:paraId="00A56C09">
            <w:pPr>
              <w:jc w:val="center"/>
              <w:rPr>
                <w:rFonts w:ascii="宋体" w:hAnsi="宋体" w:cs="宋体"/>
                <w:color w:val="auto"/>
                <w:szCs w:val="24"/>
                <w:highlight w:val="none"/>
              </w:rPr>
            </w:pPr>
            <w:r>
              <w:rPr>
                <w:rFonts w:ascii="宋体" w:hAnsi="宋体" w:cs="宋体"/>
                <w:color w:val="auto"/>
                <w:szCs w:val="24"/>
                <w:highlight w:val="none"/>
              </w:rPr>
              <w:t>把</w:t>
            </w:r>
          </w:p>
        </w:tc>
        <w:tc>
          <w:tcPr>
            <w:tcW w:w="2349" w:type="dxa"/>
            <w:tcBorders>
              <w:top w:val="single" w:color="auto" w:sz="4" w:space="0"/>
              <w:left w:val="nil"/>
              <w:bottom w:val="single" w:color="auto" w:sz="4" w:space="0"/>
              <w:right w:val="single" w:color="auto" w:sz="4" w:space="0"/>
            </w:tcBorders>
            <w:noWrap w:val="0"/>
            <w:vAlign w:val="center"/>
          </w:tcPr>
          <w:p w14:paraId="2C7A2EBE">
            <w:pPr>
              <w:jc w:val="center"/>
              <w:rPr>
                <w:rFonts w:ascii="宋体" w:hAnsi="宋体" w:cs="宋体"/>
                <w:color w:val="auto"/>
                <w:szCs w:val="24"/>
                <w:highlight w:val="none"/>
              </w:rPr>
            </w:pPr>
            <w:r>
              <w:rPr>
                <w:rFonts w:ascii="宋体" w:hAnsi="宋体" w:cs="宋体"/>
                <w:color w:val="auto"/>
                <w:szCs w:val="24"/>
                <w:highlight w:val="none"/>
              </w:rPr>
              <w:t>2</w:t>
            </w:r>
          </w:p>
        </w:tc>
      </w:tr>
      <w:tr w14:paraId="6A6F6FD0">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0E0B19B4">
            <w:pPr>
              <w:jc w:val="center"/>
              <w:rPr>
                <w:rFonts w:ascii="宋体" w:hAnsi="宋体" w:cs="宋体"/>
                <w:color w:val="auto"/>
                <w:szCs w:val="24"/>
                <w:highlight w:val="none"/>
              </w:rPr>
            </w:pPr>
            <w:r>
              <w:rPr>
                <w:rFonts w:hint="eastAsia" w:ascii="宋体" w:hAnsi="宋体" w:cs="宋体"/>
                <w:color w:val="auto"/>
                <w:szCs w:val="24"/>
                <w:highlight w:val="none"/>
              </w:rPr>
              <w:t>裂缝观测仪</w:t>
            </w:r>
          </w:p>
        </w:tc>
        <w:tc>
          <w:tcPr>
            <w:tcW w:w="2160" w:type="dxa"/>
            <w:tcBorders>
              <w:top w:val="nil"/>
              <w:left w:val="nil"/>
              <w:bottom w:val="single" w:color="auto" w:sz="4" w:space="0"/>
              <w:right w:val="single" w:color="auto" w:sz="4" w:space="0"/>
            </w:tcBorders>
            <w:noWrap w:val="0"/>
            <w:vAlign w:val="center"/>
          </w:tcPr>
          <w:p w14:paraId="6822D72A">
            <w:pPr>
              <w:ind w:firstLine="420"/>
              <w:jc w:val="center"/>
              <w:rPr>
                <w:rFonts w:ascii="宋体" w:hAnsi="宋体" w:cs="宋体"/>
                <w:color w:val="auto"/>
                <w:szCs w:val="24"/>
                <w:highlight w:val="none"/>
              </w:rPr>
            </w:pPr>
          </w:p>
        </w:tc>
        <w:tc>
          <w:tcPr>
            <w:tcW w:w="1260" w:type="dxa"/>
            <w:tcBorders>
              <w:top w:val="nil"/>
              <w:left w:val="nil"/>
              <w:bottom w:val="single" w:color="auto" w:sz="4" w:space="0"/>
              <w:right w:val="single" w:color="auto" w:sz="4" w:space="0"/>
            </w:tcBorders>
            <w:noWrap w:val="0"/>
            <w:vAlign w:val="center"/>
          </w:tcPr>
          <w:p w14:paraId="3D65B643">
            <w:pPr>
              <w:jc w:val="center"/>
              <w:rPr>
                <w:rFonts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0D5C6822">
            <w:pPr>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w:t>
            </w:r>
          </w:p>
        </w:tc>
      </w:tr>
      <w:tr w14:paraId="17EE1E0C">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3AA05F05">
            <w:pPr>
              <w:jc w:val="center"/>
              <w:rPr>
                <w:rFonts w:ascii="宋体" w:hAnsi="宋体" w:cs="宋体"/>
                <w:color w:val="auto"/>
                <w:szCs w:val="24"/>
                <w:highlight w:val="none"/>
              </w:rPr>
            </w:pPr>
            <w:r>
              <w:rPr>
                <w:rFonts w:hint="eastAsia" w:ascii="宋体" w:hAnsi="宋体" w:cs="宋体"/>
                <w:color w:val="auto"/>
                <w:szCs w:val="24"/>
                <w:highlight w:val="none"/>
              </w:rPr>
              <w:t>超声波检测仪</w:t>
            </w:r>
          </w:p>
        </w:tc>
        <w:tc>
          <w:tcPr>
            <w:tcW w:w="2160" w:type="dxa"/>
            <w:tcBorders>
              <w:top w:val="nil"/>
              <w:left w:val="nil"/>
              <w:bottom w:val="single" w:color="auto" w:sz="4" w:space="0"/>
              <w:right w:val="single" w:color="auto" w:sz="4" w:space="0"/>
            </w:tcBorders>
            <w:noWrap w:val="0"/>
            <w:vAlign w:val="center"/>
          </w:tcPr>
          <w:p w14:paraId="3FE02DE4">
            <w:pPr>
              <w:ind w:firstLine="420"/>
              <w:jc w:val="center"/>
              <w:rPr>
                <w:rFonts w:ascii="宋体" w:hAnsi="宋体" w:cs="宋体"/>
                <w:color w:val="auto"/>
                <w:szCs w:val="24"/>
                <w:highlight w:val="none"/>
              </w:rPr>
            </w:pPr>
          </w:p>
        </w:tc>
        <w:tc>
          <w:tcPr>
            <w:tcW w:w="1260" w:type="dxa"/>
            <w:tcBorders>
              <w:top w:val="nil"/>
              <w:left w:val="nil"/>
              <w:bottom w:val="single" w:color="auto" w:sz="4" w:space="0"/>
              <w:right w:val="single" w:color="auto" w:sz="4" w:space="0"/>
            </w:tcBorders>
            <w:noWrap w:val="0"/>
            <w:vAlign w:val="center"/>
          </w:tcPr>
          <w:p w14:paraId="24D5CE21">
            <w:pPr>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台</w:t>
            </w:r>
          </w:p>
        </w:tc>
        <w:tc>
          <w:tcPr>
            <w:tcW w:w="2349" w:type="dxa"/>
            <w:tcBorders>
              <w:top w:val="single" w:color="auto" w:sz="4" w:space="0"/>
              <w:left w:val="nil"/>
              <w:bottom w:val="single" w:color="auto" w:sz="4" w:space="0"/>
              <w:right w:val="single" w:color="auto" w:sz="4" w:space="0"/>
            </w:tcBorders>
            <w:noWrap w:val="0"/>
            <w:vAlign w:val="center"/>
          </w:tcPr>
          <w:p w14:paraId="1BA19747">
            <w:pPr>
              <w:jc w:val="center"/>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1</w:t>
            </w:r>
          </w:p>
        </w:tc>
      </w:tr>
      <w:tr w14:paraId="4E978A45">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05D400D4">
            <w:pPr>
              <w:jc w:val="center"/>
              <w:rPr>
                <w:rFonts w:ascii="宋体" w:hAnsi="宋体" w:cs="宋体"/>
                <w:color w:val="auto"/>
                <w:szCs w:val="24"/>
                <w:highlight w:val="none"/>
              </w:rPr>
            </w:pPr>
            <w:r>
              <w:rPr>
                <w:rFonts w:ascii="宋体" w:hAnsi="宋体" w:cs="宋体"/>
                <w:color w:val="auto"/>
                <w:szCs w:val="24"/>
                <w:highlight w:val="none"/>
              </w:rPr>
              <w:t>涂层（镀锌层）测厚仪</w:t>
            </w:r>
          </w:p>
        </w:tc>
        <w:tc>
          <w:tcPr>
            <w:tcW w:w="2160" w:type="dxa"/>
            <w:tcBorders>
              <w:top w:val="nil"/>
              <w:left w:val="nil"/>
              <w:bottom w:val="single" w:color="auto" w:sz="4" w:space="0"/>
              <w:right w:val="single" w:color="auto" w:sz="4" w:space="0"/>
            </w:tcBorders>
            <w:noWrap w:val="0"/>
            <w:vAlign w:val="center"/>
          </w:tcPr>
          <w:p w14:paraId="00C4600D">
            <w:pPr>
              <w:ind w:firstLine="420"/>
              <w:jc w:val="center"/>
              <w:rPr>
                <w:rFonts w:ascii="宋体" w:hAnsi="宋体" w:cs="宋体"/>
                <w:color w:val="auto"/>
                <w:szCs w:val="24"/>
                <w:highlight w:val="none"/>
              </w:rPr>
            </w:pPr>
          </w:p>
        </w:tc>
        <w:tc>
          <w:tcPr>
            <w:tcW w:w="1260" w:type="dxa"/>
            <w:tcBorders>
              <w:top w:val="nil"/>
              <w:left w:val="nil"/>
              <w:bottom w:val="single" w:color="auto" w:sz="4" w:space="0"/>
              <w:right w:val="single" w:color="auto" w:sz="4" w:space="0"/>
            </w:tcBorders>
            <w:noWrap w:val="0"/>
            <w:vAlign w:val="center"/>
          </w:tcPr>
          <w:p w14:paraId="03032EE0">
            <w:pPr>
              <w:jc w:val="center"/>
              <w:rPr>
                <w:rFonts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40CCA088">
            <w:pPr>
              <w:jc w:val="center"/>
              <w:rPr>
                <w:rFonts w:ascii="宋体" w:hAnsi="宋体" w:cs="宋体"/>
                <w:color w:val="auto"/>
                <w:szCs w:val="24"/>
                <w:highlight w:val="none"/>
              </w:rPr>
            </w:pPr>
            <w:r>
              <w:rPr>
                <w:rFonts w:ascii="宋体" w:hAnsi="宋体" w:cs="宋体"/>
                <w:color w:val="auto"/>
                <w:szCs w:val="24"/>
                <w:highlight w:val="none"/>
              </w:rPr>
              <w:t>2</w:t>
            </w:r>
          </w:p>
        </w:tc>
      </w:tr>
      <w:tr w14:paraId="61C74617">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1C21985F">
            <w:pPr>
              <w:jc w:val="center"/>
              <w:rPr>
                <w:rFonts w:ascii="宋体" w:hAnsi="宋体" w:cs="宋体"/>
                <w:color w:val="auto"/>
                <w:szCs w:val="24"/>
                <w:highlight w:val="none"/>
              </w:rPr>
            </w:pPr>
            <w:r>
              <w:rPr>
                <w:rFonts w:ascii="宋体" w:hAnsi="宋体" w:cs="宋体"/>
                <w:color w:val="auto"/>
                <w:szCs w:val="24"/>
                <w:highlight w:val="none"/>
              </w:rPr>
              <w:t>逆反射系数测量仪</w:t>
            </w:r>
          </w:p>
        </w:tc>
        <w:tc>
          <w:tcPr>
            <w:tcW w:w="2160" w:type="dxa"/>
            <w:tcBorders>
              <w:top w:val="nil"/>
              <w:left w:val="nil"/>
              <w:bottom w:val="single" w:color="auto" w:sz="4" w:space="0"/>
              <w:right w:val="single" w:color="auto" w:sz="4" w:space="0"/>
            </w:tcBorders>
            <w:noWrap w:val="0"/>
            <w:vAlign w:val="center"/>
          </w:tcPr>
          <w:p w14:paraId="1785DE19">
            <w:pPr>
              <w:ind w:firstLine="420"/>
              <w:jc w:val="center"/>
              <w:rPr>
                <w:rFonts w:ascii="宋体" w:hAnsi="宋体" w:cs="宋体"/>
                <w:color w:val="auto"/>
                <w:szCs w:val="24"/>
                <w:highlight w:val="none"/>
              </w:rPr>
            </w:pPr>
          </w:p>
        </w:tc>
        <w:tc>
          <w:tcPr>
            <w:tcW w:w="1260" w:type="dxa"/>
            <w:tcBorders>
              <w:top w:val="nil"/>
              <w:left w:val="nil"/>
              <w:bottom w:val="single" w:color="auto" w:sz="4" w:space="0"/>
              <w:right w:val="single" w:color="auto" w:sz="4" w:space="0"/>
            </w:tcBorders>
            <w:noWrap w:val="0"/>
            <w:vAlign w:val="center"/>
          </w:tcPr>
          <w:p w14:paraId="1CB08DAA">
            <w:pPr>
              <w:jc w:val="center"/>
              <w:rPr>
                <w:rFonts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06FDFD65">
            <w:pPr>
              <w:jc w:val="center"/>
              <w:rPr>
                <w:rFonts w:ascii="宋体" w:hAnsi="宋体" w:cs="宋体"/>
                <w:color w:val="auto"/>
                <w:szCs w:val="24"/>
                <w:highlight w:val="none"/>
              </w:rPr>
            </w:pPr>
            <w:r>
              <w:rPr>
                <w:rFonts w:ascii="宋体" w:hAnsi="宋体" w:cs="宋体"/>
                <w:color w:val="auto"/>
                <w:szCs w:val="24"/>
                <w:highlight w:val="none"/>
              </w:rPr>
              <w:t>2</w:t>
            </w:r>
          </w:p>
        </w:tc>
      </w:tr>
      <w:tr w14:paraId="5E1970FC">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57159DFF">
            <w:pPr>
              <w:jc w:val="center"/>
              <w:rPr>
                <w:rFonts w:ascii="宋体" w:hAnsi="宋体" w:cs="宋体"/>
                <w:color w:val="auto"/>
                <w:szCs w:val="24"/>
                <w:highlight w:val="none"/>
              </w:rPr>
            </w:pPr>
            <w:r>
              <w:rPr>
                <w:rFonts w:ascii="宋体" w:hAnsi="宋体" w:cs="宋体"/>
                <w:color w:val="auto"/>
                <w:szCs w:val="24"/>
                <w:highlight w:val="none"/>
              </w:rPr>
              <w:t>色彩色差仪</w:t>
            </w:r>
          </w:p>
        </w:tc>
        <w:tc>
          <w:tcPr>
            <w:tcW w:w="2160" w:type="dxa"/>
            <w:tcBorders>
              <w:top w:val="nil"/>
              <w:left w:val="nil"/>
              <w:bottom w:val="single" w:color="auto" w:sz="4" w:space="0"/>
              <w:right w:val="single" w:color="auto" w:sz="4" w:space="0"/>
            </w:tcBorders>
            <w:noWrap w:val="0"/>
            <w:vAlign w:val="center"/>
          </w:tcPr>
          <w:p w14:paraId="389B930A">
            <w:pPr>
              <w:ind w:firstLine="420"/>
              <w:jc w:val="center"/>
              <w:rPr>
                <w:rFonts w:ascii="宋体" w:hAnsi="宋体" w:cs="宋体"/>
                <w:color w:val="auto"/>
                <w:szCs w:val="24"/>
                <w:highlight w:val="none"/>
              </w:rPr>
            </w:pPr>
          </w:p>
        </w:tc>
        <w:tc>
          <w:tcPr>
            <w:tcW w:w="1260" w:type="dxa"/>
            <w:tcBorders>
              <w:top w:val="nil"/>
              <w:left w:val="nil"/>
              <w:bottom w:val="single" w:color="auto" w:sz="4" w:space="0"/>
              <w:right w:val="single" w:color="auto" w:sz="4" w:space="0"/>
            </w:tcBorders>
            <w:noWrap w:val="0"/>
            <w:vAlign w:val="center"/>
          </w:tcPr>
          <w:p w14:paraId="315ACA82">
            <w:pPr>
              <w:jc w:val="center"/>
              <w:rPr>
                <w:rFonts w:ascii="宋体" w:hAnsi="宋体" w:cs="宋体"/>
                <w:color w:val="auto"/>
                <w:szCs w:val="24"/>
                <w:highlight w:val="none"/>
              </w:rPr>
            </w:pPr>
            <w:r>
              <w:rPr>
                <w:rFonts w:ascii="宋体" w:hAnsi="宋体" w:cs="宋体"/>
                <w:color w:val="auto"/>
                <w:szCs w:val="24"/>
                <w:highlight w:val="none"/>
              </w:rPr>
              <w:t>台</w:t>
            </w:r>
          </w:p>
        </w:tc>
        <w:tc>
          <w:tcPr>
            <w:tcW w:w="2349" w:type="dxa"/>
            <w:tcBorders>
              <w:top w:val="single" w:color="auto" w:sz="4" w:space="0"/>
              <w:left w:val="nil"/>
              <w:bottom w:val="single" w:color="auto" w:sz="4" w:space="0"/>
              <w:right w:val="single" w:color="auto" w:sz="4" w:space="0"/>
            </w:tcBorders>
            <w:noWrap w:val="0"/>
            <w:vAlign w:val="center"/>
          </w:tcPr>
          <w:p w14:paraId="76B67F67">
            <w:pPr>
              <w:jc w:val="center"/>
              <w:rPr>
                <w:rFonts w:ascii="宋体" w:hAnsi="宋体" w:cs="宋体"/>
                <w:color w:val="auto"/>
                <w:szCs w:val="24"/>
                <w:highlight w:val="none"/>
              </w:rPr>
            </w:pPr>
            <w:r>
              <w:rPr>
                <w:rFonts w:ascii="宋体" w:hAnsi="宋体" w:cs="宋体"/>
                <w:color w:val="auto"/>
                <w:szCs w:val="24"/>
                <w:highlight w:val="none"/>
              </w:rPr>
              <w:t>2</w:t>
            </w:r>
          </w:p>
        </w:tc>
      </w:tr>
      <w:tr w14:paraId="0B05C36B">
        <w:tblPrEx>
          <w:tblCellMar>
            <w:top w:w="0" w:type="dxa"/>
            <w:left w:w="108" w:type="dxa"/>
            <w:bottom w:w="0" w:type="dxa"/>
            <w:right w:w="108" w:type="dxa"/>
          </w:tblCellMar>
        </w:tblPrEx>
        <w:trPr>
          <w:trHeight w:val="454" w:hRule="atLeast"/>
        </w:trPr>
        <w:tc>
          <w:tcPr>
            <w:tcW w:w="3074" w:type="dxa"/>
            <w:tcBorders>
              <w:top w:val="nil"/>
              <w:left w:val="single" w:color="auto" w:sz="4" w:space="0"/>
              <w:bottom w:val="single" w:color="auto" w:sz="4" w:space="0"/>
              <w:right w:val="single" w:color="auto" w:sz="4" w:space="0"/>
            </w:tcBorders>
            <w:noWrap w:val="0"/>
            <w:vAlign w:val="center"/>
          </w:tcPr>
          <w:p w14:paraId="4C1C7C77">
            <w:pPr>
              <w:jc w:val="center"/>
              <w:rPr>
                <w:rFonts w:ascii="宋体" w:hAnsi="宋体" w:cs="宋体"/>
                <w:color w:val="auto"/>
                <w:szCs w:val="24"/>
                <w:highlight w:val="none"/>
              </w:rPr>
            </w:pPr>
            <w:r>
              <w:rPr>
                <w:rFonts w:ascii="宋体" w:hAnsi="宋体" w:cs="宋体"/>
                <w:color w:val="auto"/>
                <w:szCs w:val="24"/>
                <w:highlight w:val="none"/>
              </w:rPr>
              <w:t>试验、测量检测仪器</w:t>
            </w:r>
          </w:p>
        </w:tc>
        <w:tc>
          <w:tcPr>
            <w:tcW w:w="2160" w:type="dxa"/>
            <w:tcBorders>
              <w:top w:val="nil"/>
              <w:left w:val="nil"/>
              <w:bottom w:val="single" w:color="auto" w:sz="4" w:space="0"/>
              <w:right w:val="single" w:color="auto" w:sz="4" w:space="0"/>
            </w:tcBorders>
            <w:noWrap w:val="0"/>
            <w:vAlign w:val="center"/>
          </w:tcPr>
          <w:p w14:paraId="78C01B8C">
            <w:pPr>
              <w:ind w:firstLine="420"/>
              <w:jc w:val="center"/>
              <w:rPr>
                <w:rFonts w:ascii="宋体" w:hAnsi="宋体" w:cs="宋体"/>
                <w:color w:val="auto"/>
                <w:szCs w:val="24"/>
                <w:highlight w:val="none"/>
              </w:rPr>
            </w:pPr>
          </w:p>
        </w:tc>
        <w:tc>
          <w:tcPr>
            <w:tcW w:w="1260" w:type="dxa"/>
            <w:tcBorders>
              <w:top w:val="nil"/>
              <w:left w:val="nil"/>
              <w:bottom w:val="single" w:color="auto" w:sz="4" w:space="0"/>
              <w:right w:val="single" w:color="auto" w:sz="4" w:space="0"/>
            </w:tcBorders>
            <w:noWrap w:val="0"/>
            <w:vAlign w:val="center"/>
          </w:tcPr>
          <w:p w14:paraId="1E1354C6">
            <w:pPr>
              <w:jc w:val="center"/>
              <w:rPr>
                <w:rFonts w:ascii="宋体" w:hAnsi="宋体" w:cs="宋体"/>
                <w:color w:val="auto"/>
                <w:szCs w:val="24"/>
                <w:highlight w:val="none"/>
              </w:rPr>
            </w:pPr>
            <w:r>
              <w:rPr>
                <w:rFonts w:ascii="宋体" w:hAnsi="宋体" w:cs="宋体"/>
                <w:color w:val="auto"/>
                <w:szCs w:val="24"/>
                <w:highlight w:val="none"/>
              </w:rPr>
              <w:t>套</w:t>
            </w:r>
          </w:p>
        </w:tc>
        <w:tc>
          <w:tcPr>
            <w:tcW w:w="2349" w:type="dxa"/>
            <w:tcBorders>
              <w:top w:val="single" w:color="auto" w:sz="4" w:space="0"/>
              <w:left w:val="nil"/>
              <w:bottom w:val="single" w:color="auto" w:sz="4" w:space="0"/>
              <w:right w:val="single" w:color="auto" w:sz="4" w:space="0"/>
            </w:tcBorders>
            <w:noWrap w:val="0"/>
            <w:vAlign w:val="center"/>
          </w:tcPr>
          <w:p w14:paraId="22A741FF">
            <w:pPr>
              <w:jc w:val="center"/>
              <w:rPr>
                <w:rFonts w:ascii="宋体" w:hAnsi="宋体" w:cs="宋体"/>
                <w:color w:val="auto"/>
                <w:szCs w:val="24"/>
                <w:highlight w:val="none"/>
              </w:rPr>
            </w:pPr>
            <w:r>
              <w:rPr>
                <w:rFonts w:ascii="宋体" w:hAnsi="宋体" w:cs="宋体"/>
                <w:color w:val="auto"/>
                <w:szCs w:val="24"/>
                <w:highlight w:val="none"/>
              </w:rPr>
              <w:t>2</w:t>
            </w:r>
          </w:p>
        </w:tc>
      </w:tr>
    </w:tbl>
    <w:p w14:paraId="1E535615">
      <w:pPr>
        <w:ind w:firstLine="420"/>
        <w:rPr>
          <w:rFonts w:ascii="宋体" w:hAnsi="宋体" w:cs="宋体"/>
          <w:color w:val="auto"/>
          <w:sz w:val="21"/>
          <w:szCs w:val="21"/>
          <w:highlight w:val="none"/>
        </w:rPr>
      </w:pPr>
    </w:p>
    <w:p w14:paraId="1F5B0B85">
      <w:pPr>
        <w:ind w:firstLine="411" w:firstLineChars="196"/>
        <w:rPr>
          <w:rFonts w:ascii="宋体" w:hAnsi="宋体" w:cs="宋体"/>
          <w:color w:val="auto"/>
          <w:sz w:val="21"/>
          <w:szCs w:val="21"/>
          <w:highlight w:val="none"/>
        </w:rPr>
      </w:pPr>
      <w:r>
        <w:rPr>
          <w:rFonts w:ascii="宋体" w:hAnsi="宋体" w:cs="宋体"/>
          <w:color w:val="auto"/>
          <w:sz w:val="21"/>
          <w:szCs w:val="21"/>
          <w:highlight w:val="none"/>
        </w:rPr>
        <w:t>注：采购人将在发出成交通知书之前要求成交人按照本表的最低要求填报为本标段配备的主要设备，在经采购人审批后作为投入本标段的主要设备且不允许更换。</w:t>
      </w:r>
    </w:p>
    <w:p w14:paraId="0A46AA5F">
      <w:pPr>
        <w:rPr>
          <w:rFonts w:ascii="宋体" w:hAnsi="宋体" w:cs="宋体"/>
          <w:color w:val="auto"/>
          <w:sz w:val="21"/>
          <w:szCs w:val="21"/>
          <w:highlight w:val="none"/>
        </w:rPr>
        <w:sectPr>
          <w:headerReference r:id="rId7" w:type="default"/>
          <w:pgSz w:w="11906" w:h="16838"/>
          <w:pgMar w:top="1100" w:right="1202" w:bottom="919" w:left="1298" w:header="851" w:footer="851" w:gutter="0"/>
          <w:cols w:space="720" w:num="1"/>
          <w:docGrid w:linePitch="312" w:charSpace="0"/>
        </w:sectPr>
      </w:pPr>
    </w:p>
    <w:p w14:paraId="57FAD820">
      <w:pPr>
        <w:pStyle w:val="5"/>
        <w:rPr>
          <w:rFonts w:hAnsi="宋体" w:cs="宋体"/>
          <w:color w:val="auto"/>
          <w:sz w:val="21"/>
          <w:szCs w:val="21"/>
          <w:highlight w:val="none"/>
        </w:rPr>
      </w:pPr>
      <w:bookmarkStart w:id="171" w:name="_Toc394929421"/>
      <w:bookmarkStart w:id="172" w:name="_Toc514759058"/>
      <w:bookmarkStart w:id="173" w:name="_Toc511595198"/>
      <w:bookmarkStart w:id="174" w:name="_Toc508779714"/>
      <w:bookmarkStart w:id="175" w:name="_Toc15459"/>
      <w:r>
        <w:rPr>
          <w:rFonts w:hAnsi="宋体" w:cs="宋体"/>
          <w:color w:val="auto"/>
          <w:sz w:val="21"/>
          <w:szCs w:val="21"/>
          <w:highlight w:val="none"/>
        </w:rPr>
        <w:t>附件六  项目经理委任书</w:t>
      </w:r>
      <w:bookmarkEnd w:id="171"/>
      <w:bookmarkEnd w:id="172"/>
      <w:bookmarkEnd w:id="173"/>
      <w:bookmarkEnd w:id="174"/>
      <w:bookmarkEnd w:id="175"/>
    </w:p>
    <w:p w14:paraId="6FBC9783">
      <w:pPr>
        <w:pStyle w:val="59"/>
        <w:keepNext/>
        <w:keepLines/>
        <w:shd w:val="clear" w:color="auto" w:fill="auto"/>
        <w:spacing w:before="0" w:after="0" w:line="391" w:lineRule="exact"/>
        <w:outlineLvl w:val="9"/>
        <w:rPr>
          <w:rFonts w:hint="eastAsia" w:ascii="宋体" w:hAnsi="宋体" w:eastAsia="宋体" w:cs="宋体"/>
          <w:color w:val="auto"/>
          <w:spacing w:val="0"/>
          <w:sz w:val="24"/>
          <w:szCs w:val="24"/>
          <w:highlight w:val="none"/>
        </w:rPr>
      </w:pPr>
      <w:bookmarkStart w:id="176" w:name="bookmark197"/>
      <w:bookmarkStart w:id="177" w:name="_Toc514786918"/>
      <w:r>
        <w:rPr>
          <w:rStyle w:val="74"/>
          <w:rFonts w:hint="eastAsia" w:ascii="宋体" w:hAnsi="宋体" w:eastAsia="宋体" w:cs="宋体"/>
          <w:color w:val="auto"/>
          <w:spacing w:val="0"/>
          <w:sz w:val="24"/>
          <w:szCs w:val="24"/>
          <w:highlight w:val="none"/>
        </w:rPr>
        <w:t>（承包人全称）</w:t>
      </w:r>
      <w:bookmarkEnd w:id="176"/>
      <w:bookmarkEnd w:id="177"/>
    </w:p>
    <w:p w14:paraId="199F2704">
      <w:pPr>
        <w:pStyle w:val="59"/>
        <w:keepNext/>
        <w:keepLines/>
        <w:shd w:val="clear" w:color="auto" w:fill="auto"/>
        <w:spacing w:before="0" w:after="774" w:line="391" w:lineRule="exact"/>
        <w:outlineLvl w:val="9"/>
        <w:rPr>
          <w:rFonts w:hint="eastAsia" w:ascii="宋体" w:hAnsi="宋体" w:eastAsia="宋体" w:cs="宋体"/>
          <w:color w:val="auto"/>
          <w:spacing w:val="0"/>
          <w:sz w:val="24"/>
          <w:szCs w:val="24"/>
          <w:highlight w:val="none"/>
        </w:rPr>
      </w:pPr>
      <w:bookmarkStart w:id="178" w:name="_Toc514786919"/>
      <w:bookmarkStart w:id="179" w:name="bookmark198"/>
      <w:r>
        <w:rPr>
          <w:rStyle w:val="74"/>
          <w:rFonts w:hint="eastAsia" w:ascii="宋体" w:hAnsi="宋体" w:eastAsia="宋体" w:cs="宋体"/>
          <w:color w:val="auto"/>
          <w:spacing w:val="0"/>
          <w:sz w:val="24"/>
          <w:szCs w:val="24"/>
          <w:highlight w:val="none"/>
        </w:rPr>
        <w:t>（合同工程名称）</w:t>
      </w:r>
      <w:r>
        <w:rPr>
          <w:rStyle w:val="69"/>
          <w:rFonts w:hint="eastAsia" w:ascii="宋体" w:hAnsi="宋体" w:eastAsia="宋体" w:cs="宋体"/>
          <w:color w:val="auto"/>
          <w:spacing w:val="0"/>
          <w:sz w:val="24"/>
          <w:szCs w:val="24"/>
          <w:highlight w:val="none"/>
        </w:rPr>
        <w:t>项目经理委任书</w:t>
      </w:r>
      <w:bookmarkEnd w:id="178"/>
      <w:bookmarkEnd w:id="179"/>
    </w:p>
    <w:p w14:paraId="3C1A99E1">
      <w:pPr>
        <w:pStyle w:val="92"/>
        <w:shd w:val="clear" w:color="auto" w:fill="auto"/>
        <w:spacing w:before="0" w:line="398"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致：</w:t>
      </w:r>
      <w:r>
        <w:rPr>
          <w:rStyle w:val="96"/>
          <w:rFonts w:hint="eastAsia" w:ascii="宋体" w:hAnsi="宋体" w:eastAsia="宋体" w:cs="宋体"/>
          <w:color w:val="auto"/>
          <w:sz w:val="24"/>
          <w:szCs w:val="24"/>
          <w:highlight w:val="none"/>
        </w:rPr>
        <w:t>（发包人全称）</w:t>
      </w:r>
    </w:p>
    <w:p w14:paraId="1AC37117">
      <w:pPr>
        <w:pStyle w:val="92"/>
        <w:shd w:val="clear" w:color="auto" w:fill="auto"/>
        <w:spacing w:before="0" w:after="360" w:line="398" w:lineRule="exact"/>
        <w:ind w:firstLine="1020"/>
        <w:jc w:val="both"/>
        <w:rPr>
          <w:rFonts w:hint="eastAsia" w:ascii="宋体" w:hAnsi="宋体" w:eastAsia="宋体" w:cs="宋体"/>
          <w:color w:val="auto"/>
          <w:spacing w:val="0"/>
          <w:sz w:val="24"/>
          <w:szCs w:val="24"/>
          <w:highlight w:val="none"/>
        </w:rPr>
      </w:pPr>
      <w:r>
        <w:rPr>
          <w:rStyle w:val="96"/>
          <w:rFonts w:hint="eastAsia" w:ascii="宋体" w:hAnsi="宋体" w:eastAsia="宋体" w:cs="宋体"/>
          <w:color w:val="auto"/>
          <w:sz w:val="24"/>
          <w:szCs w:val="24"/>
          <w:highlight w:val="none"/>
        </w:rPr>
        <w:t>（承包人全称）</w:t>
      </w:r>
      <w:r>
        <w:rPr>
          <w:rStyle w:val="60"/>
          <w:rFonts w:hint="eastAsia" w:ascii="宋体" w:hAnsi="宋体" w:eastAsia="宋体" w:cs="宋体"/>
          <w:color w:val="auto"/>
          <w:sz w:val="24"/>
          <w:szCs w:val="24"/>
          <w:highlight w:val="none"/>
        </w:rPr>
        <w:t>法定代表人</w:t>
      </w:r>
      <w:r>
        <w:rPr>
          <w:rStyle w:val="96"/>
          <w:rFonts w:hint="eastAsia" w:ascii="宋体" w:hAnsi="宋体" w:eastAsia="宋体" w:cs="宋体"/>
          <w:color w:val="auto"/>
          <w:sz w:val="24"/>
          <w:szCs w:val="24"/>
          <w:highlight w:val="none"/>
        </w:rPr>
        <w:t>（职务、姓名）</w:t>
      </w:r>
      <w:r>
        <w:rPr>
          <w:rStyle w:val="60"/>
          <w:rFonts w:hint="eastAsia" w:ascii="宋体" w:hAnsi="宋体" w:eastAsia="宋体" w:cs="宋体"/>
          <w:color w:val="auto"/>
          <w:sz w:val="24"/>
          <w:szCs w:val="24"/>
          <w:highlight w:val="none"/>
        </w:rPr>
        <w:t>代表本单位委任</w:t>
      </w:r>
      <w:r>
        <w:rPr>
          <w:rStyle w:val="96"/>
          <w:rFonts w:hint="eastAsia" w:ascii="宋体" w:hAnsi="宋体" w:eastAsia="宋体" w:cs="宋体"/>
          <w:color w:val="auto"/>
          <w:sz w:val="24"/>
          <w:szCs w:val="24"/>
          <w:highlight w:val="none"/>
        </w:rPr>
        <w:t>（职务、姓 名）</w:t>
      </w:r>
      <w:r>
        <w:rPr>
          <w:rStyle w:val="60"/>
          <w:rFonts w:hint="eastAsia" w:ascii="宋体" w:hAnsi="宋体" w:eastAsia="宋体" w:cs="宋体"/>
          <w:color w:val="auto"/>
          <w:sz w:val="24"/>
          <w:szCs w:val="24"/>
          <w:highlight w:val="none"/>
        </w:rPr>
        <w:t>为</w:t>
      </w:r>
      <w:r>
        <w:rPr>
          <w:rStyle w:val="96"/>
          <w:rFonts w:hint="eastAsia" w:ascii="宋体" w:hAnsi="宋体" w:eastAsia="宋体" w:cs="宋体"/>
          <w:color w:val="auto"/>
          <w:sz w:val="24"/>
          <w:szCs w:val="24"/>
          <w:highlight w:val="none"/>
        </w:rPr>
        <w:t>（合同工程名称）</w:t>
      </w:r>
      <w:r>
        <w:rPr>
          <w:rStyle w:val="60"/>
          <w:rFonts w:hint="eastAsia" w:ascii="宋体" w:hAnsi="宋体" w:eastAsia="宋体" w:cs="宋体"/>
          <w:color w:val="auto"/>
          <w:sz w:val="24"/>
          <w:szCs w:val="24"/>
          <w:highlight w:val="none"/>
        </w:rPr>
        <w:t>的项目经理。凡本合同执行中的有关技术、工程进度、现 场管理、质量检验、结算与支付等方面工作，由</w:t>
      </w:r>
      <w:r>
        <w:rPr>
          <w:rStyle w:val="96"/>
          <w:rFonts w:hint="eastAsia" w:ascii="宋体" w:hAnsi="宋体" w:eastAsia="宋体" w:cs="宋体"/>
          <w:color w:val="auto"/>
          <w:sz w:val="24"/>
          <w:szCs w:val="24"/>
          <w:highlight w:val="none"/>
        </w:rPr>
        <w:t>（姓名）</w:t>
      </w:r>
      <w:r>
        <w:rPr>
          <w:rStyle w:val="60"/>
          <w:rFonts w:hint="eastAsia" w:ascii="宋体" w:hAnsi="宋体" w:eastAsia="宋体" w:cs="宋体"/>
          <w:color w:val="auto"/>
          <w:sz w:val="24"/>
          <w:szCs w:val="24"/>
          <w:highlight w:val="none"/>
        </w:rPr>
        <w:t>代表本单位全面负责。</w:t>
      </w:r>
    </w:p>
    <w:p w14:paraId="51BBE92B">
      <w:pPr>
        <w:pStyle w:val="92"/>
        <w:shd w:val="clear" w:color="auto" w:fill="auto"/>
        <w:tabs>
          <w:tab w:val="left" w:leader="underscore" w:pos="7348"/>
        </w:tabs>
        <w:spacing w:before="0" w:line="398"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承包人：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（盖单位章）</w:t>
      </w:r>
    </w:p>
    <w:p w14:paraId="357CB773">
      <w:pPr>
        <w:pStyle w:val="92"/>
        <w:shd w:val="clear" w:color="auto" w:fill="auto"/>
        <w:tabs>
          <w:tab w:val="center" w:pos="7411"/>
        </w:tabs>
        <w:spacing w:before="0" w:line="398"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法定代表人：</w:t>
      </w:r>
      <w:r>
        <w:rPr>
          <w:rStyle w:val="60"/>
          <w:rFonts w:hint="eastAsia" w:ascii="宋体" w:hAnsi="宋体" w:eastAsia="宋体" w:cs="宋体"/>
          <w:color w:val="auto"/>
          <w:sz w:val="24"/>
          <w:szCs w:val="24"/>
          <w:highlight w:val="none"/>
          <w:u w:val="single"/>
        </w:rPr>
        <w:tab/>
      </w:r>
      <w:r>
        <w:rPr>
          <w:rStyle w:val="96"/>
          <w:rFonts w:hint="eastAsia" w:ascii="宋体" w:hAnsi="宋体" w:eastAsia="宋体" w:cs="宋体"/>
          <w:color w:val="auto"/>
          <w:sz w:val="24"/>
          <w:szCs w:val="24"/>
          <w:highlight w:val="none"/>
        </w:rPr>
        <w:t>（职务）</w:t>
      </w:r>
    </w:p>
    <w:p w14:paraId="07690466">
      <w:pPr>
        <w:pStyle w:val="92"/>
        <w:shd w:val="clear" w:color="auto" w:fill="auto"/>
        <w:tabs>
          <w:tab w:val="center" w:leader="underscore" w:pos="7411"/>
        </w:tabs>
        <w:spacing w:before="0" w:line="398"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ab/>
      </w:r>
      <w:r>
        <w:rPr>
          <w:rStyle w:val="96"/>
          <w:rFonts w:hint="eastAsia" w:ascii="宋体" w:hAnsi="宋体" w:eastAsia="宋体" w:cs="宋体"/>
          <w:color w:val="auto"/>
          <w:sz w:val="24"/>
          <w:szCs w:val="24"/>
          <w:highlight w:val="none"/>
        </w:rPr>
        <w:t>（姓名）</w:t>
      </w:r>
    </w:p>
    <w:p w14:paraId="1A9B2ED3">
      <w:pPr>
        <w:pStyle w:val="65"/>
        <w:shd w:val="clear" w:color="auto" w:fill="auto"/>
        <w:tabs>
          <w:tab w:val="center" w:leader="underscore" w:pos="7411"/>
          <w:tab w:val="left" w:leader="underscore" w:pos="8698"/>
        </w:tabs>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Style w:val="97"/>
          <w:rFonts w:hint="eastAsia" w:ascii="宋体" w:hAnsi="宋体" w:eastAsia="宋体" w:cs="宋体"/>
          <w:b w:val="0"/>
          <w:bCs w:val="0"/>
          <w:color w:val="auto"/>
          <w:sz w:val="24"/>
          <w:szCs w:val="24"/>
          <w:highlight w:val="none"/>
        </w:rPr>
        <w:t>（签字）</w:t>
      </w:r>
      <w:r>
        <w:rPr>
          <w:rFonts w:hint="eastAsia" w:ascii="宋体" w:hAnsi="宋体" w:eastAsia="宋体" w:cs="宋体"/>
          <w:color w:val="auto"/>
          <w:sz w:val="24"/>
          <w:szCs w:val="24"/>
          <w:highlight w:val="none"/>
        </w:rPr>
        <w:tab/>
      </w:r>
    </w:p>
    <w:p w14:paraId="227AF28C">
      <w:pPr>
        <w:pStyle w:val="92"/>
        <w:shd w:val="clear" w:color="auto" w:fill="auto"/>
        <w:tabs>
          <w:tab w:val="left" w:leader="underscore" w:pos="6502"/>
          <w:tab w:val="left" w:leader="underscore" w:pos="7348"/>
          <w:tab w:val="left" w:leader="underscore" w:pos="8182"/>
        </w:tabs>
        <w:spacing w:before="0" w:after="1283" w:line="398" w:lineRule="exact"/>
        <w:ind w:firstLine="420"/>
        <w:jc w:val="both"/>
        <w:rPr>
          <w:rStyle w:val="60"/>
          <w:rFonts w:hint="eastAsia" w:ascii="宋体" w:hAnsi="宋体" w:eastAsia="宋体" w:cs="宋体"/>
          <w:color w:val="auto"/>
          <w:sz w:val="24"/>
          <w:szCs w:val="24"/>
          <w:highlight w:val="none"/>
        </w:rPr>
      </w:pP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年</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月</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日</w:t>
      </w:r>
    </w:p>
    <w:p w14:paraId="3AC155B5">
      <w:pPr>
        <w:pStyle w:val="92"/>
        <w:shd w:val="clear" w:color="auto" w:fill="auto"/>
        <w:tabs>
          <w:tab w:val="left" w:leader="underscore" w:pos="6502"/>
          <w:tab w:val="left" w:leader="underscore" w:pos="7348"/>
          <w:tab w:val="left" w:leader="underscore" w:pos="8182"/>
        </w:tabs>
        <w:spacing w:before="0" w:after="1283" w:line="398" w:lineRule="exact"/>
        <w:ind w:firstLine="420"/>
        <w:jc w:val="both"/>
        <w:rPr>
          <w:rStyle w:val="60"/>
          <w:rFonts w:hint="eastAsia" w:ascii="宋体" w:hAnsi="宋体" w:eastAsia="宋体" w:cs="宋体"/>
          <w:color w:val="auto"/>
          <w:sz w:val="21"/>
          <w:szCs w:val="21"/>
          <w:highlight w:val="none"/>
        </w:rPr>
      </w:pPr>
    </w:p>
    <w:p w14:paraId="2FDA2840">
      <w:pPr>
        <w:pStyle w:val="92"/>
        <w:shd w:val="clear" w:color="auto" w:fill="auto"/>
        <w:tabs>
          <w:tab w:val="left" w:leader="underscore" w:pos="6502"/>
          <w:tab w:val="left" w:leader="underscore" w:pos="7348"/>
          <w:tab w:val="left" w:leader="underscore" w:pos="8182"/>
        </w:tabs>
        <w:spacing w:before="0" w:after="1283" w:line="398" w:lineRule="exact"/>
        <w:ind w:firstLine="420"/>
        <w:jc w:val="both"/>
        <w:rPr>
          <w:rFonts w:hint="eastAsia" w:ascii="宋体" w:hAnsi="宋体" w:eastAsia="宋体" w:cs="宋体"/>
          <w:color w:val="auto"/>
          <w:spacing w:val="0"/>
          <w:sz w:val="21"/>
          <w:szCs w:val="21"/>
          <w:highlight w:val="none"/>
        </w:rPr>
      </w:pPr>
    </w:p>
    <w:p w14:paraId="0DBB4D12">
      <w:pPr>
        <w:ind w:firstLine="440"/>
        <w:rPr>
          <w:rStyle w:val="96"/>
          <w:rFonts w:ascii="宋体" w:hAnsi="宋体" w:eastAsia="宋体" w:cs="宋体"/>
          <w:color w:val="auto"/>
          <w:sz w:val="21"/>
          <w:szCs w:val="21"/>
          <w:highlight w:val="none"/>
        </w:rPr>
      </w:pPr>
    </w:p>
    <w:p w14:paraId="50072B64">
      <w:pPr>
        <w:ind w:firstLine="440"/>
        <w:rPr>
          <w:rStyle w:val="96"/>
          <w:rFonts w:ascii="宋体" w:hAnsi="宋体" w:eastAsia="宋体" w:cs="宋体"/>
          <w:color w:val="auto"/>
          <w:sz w:val="21"/>
          <w:szCs w:val="21"/>
          <w:highlight w:val="none"/>
        </w:rPr>
      </w:pPr>
    </w:p>
    <w:p w14:paraId="1E30840B">
      <w:pPr>
        <w:ind w:firstLine="420"/>
        <w:rPr>
          <w:rFonts w:ascii="宋体" w:hAnsi="宋体" w:cs="宋体"/>
          <w:color w:val="auto"/>
          <w:sz w:val="21"/>
          <w:szCs w:val="21"/>
          <w:highlight w:val="none"/>
        </w:rPr>
      </w:pPr>
    </w:p>
    <w:p w14:paraId="57F90ADB">
      <w:pPr>
        <w:pStyle w:val="5"/>
        <w:rPr>
          <w:rFonts w:hAnsi="宋体" w:cs="宋体"/>
          <w:color w:val="auto"/>
          <w:sz w:val="21"/>
          <w:szCs w:val="21"/>
          <w:highlight w:val="none"/>
        </w:rPr>
      </w:pPr>
      <w:bookmarkStart w:id="180" w:name="_Toc508779715"/>
      <w:bookmarkStart w:id="181" w:name="_Toc394929422"/>
      <w:bookmarkStart w:id="182" w:name="_Toc25700"/>
      <w:bookmarkStart w:id="183" w:name="_Toc511595199"/>
      <w:r>
        <w:rPr>
          <w:rFonts w:hAnsi="宋体" w:cs="宋体"/>
          <w:color w:val="auto"/>
          <w:sz w:val="21"/>
          <w:szCs w:val="21"/>
          <w:highlight w:val="none"/>
        </w:rPr>
        <w:br w:type="page"/>
      </w:r>
      <w:bookmarkStart w:id="184" w:name="_Toc514759059"/>
      <w:r>
        <w:rPr>
          <w:rFonts w:hAnsi="宋体" w:cs="宋体"/>
          <w:color w:val="auto"/>
          <w:sz w:val="21"/>
          <w:szCs w:val="21"/>
          <w:highlight w:val="none"/>
        </w:rPr>
        <w:t>附件七  履约担保格式</w:t>
      </w:r>
      <w:bookmarkEnd w:id="180"/>
      <w:bookmarkEnd w:id="181"/>
      <w:bookmarkEnd w:id="182"/>
      <w:bookmarkEnd w:id="183"/>
      <w:bookmarkEnd w:id="184"/>
    </w:p>
    <w:p w14:paraId="1E324B6C">
      <w:pPr>
        <w:pStyle w:val="5"/>
        <w:rPr>
          <w:rFonts w:hAnsi="宋体" w:cs="宋体"/>
          <w:color w:val="auto"/>
          <w:sz w:val="21"/>
          <w:szCs w:val="21"/>
          <w:highlight w:val="none"/>
        </w:rPr>
      </w:pPr>
    </w:p>
    <w:p w14:paraId="44FB3F5F">
      <w:pPr>
        <w:pStyle w:val="92"/>
        <w:shd w:val="clear" w:color="auto" w:fill="auto"/>
        <w:spacing w:before="0" w:after="508" w:line="260" w:lineRule="exact"/>
        <w:ind w:firstLine="42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如采用银行保函，格式如下。</w:t>
      </w:r>
    </w:p>
    <w:p w14:paraId="6DF0CBCE">
      <w:pPr>
        <w:pStyle w:val="82"/>
        <w:keepNext/>
        <w:keepLines/>
        <w:shd w:val="clear" w:color="auto" w:fill="auto"/>
        <w:spacing w:after="515" w:line="300" w:lineRule="exact"/>
        <w:ind w:firstLine="420"/>
        <w:jc w:val="center"/>
        <w:outlineLvl w:val="9"/>
        <w:rPr>
          <w:rFonts w:hint="eastAsia" w:ascii="宋体" w:hAnsi="宋体" w:eastAsia="宋体" w:cs="宋体"/>
          <w:color w:val="auto"/>
          <w:spacing w:val="0"/>
          <w:sz w:val="24"/>
          <w:szCs w:val="24"/>
          <w:highlight w:val="none"/>
        </w:rPr>
      </w:pPr>
      <w:r>
        <w:rPr>
          <w:rStyle w:val="61"/>
          <w:rFonts w:hint="eastAsia" w:ascii="宋体" w:hAnsi="宋体" w:eastAsia="宋体" w:cs="宋体"/>
          <w:color w:val="auto"/>
          <w:sz w:val="24"/>
          <w:szCs w:val="24"/>
          <w:highlight w:val="none"/>
        </w:rPr>
        <w:t>履约保证金</w:t>
      </w:r>
    </w:p>
    <w:p w14:paraId="5FCC1E06">
      <w:pPr>
        <w:pStyle w:val="92"/>
        <w:shd w:val="clear" w:color="auto" w:fill="auto"/>
        <w:tabs>
          <w:tab w:val="left" w:leader="underscore" w:pos="2222"/>
        </w:tabs>
        <w:spacing w:before="0" w:after="388" w:line="220"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（发包人名称）：</w:t>
      </w:r>
    </w:p>
    <w:p w14:paraId="73240F74">
      <w:pPr>
        <w:pStyle w:val="92"/>
        <w:shd w:val="clear" w:color="auto" w:fill="auto"/>
        <w:tabs>
          <w:tab w:val="left" w:leader="underscore" w:pos="2964"/>
          <w:tab w:val="left" w:leader="underscore" w:pos="8141"/>
        </w:tabs>
        <w:spacing w:before="0" w:line="398"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鉴于</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（发包人名称，以下简称“发包人”）接受</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（承</w:t>
      </w:r>
    </w:p>
    <w:p w14:paraId="3377F57D">
      <w:pPr>
        <w:pStyle w:val="92"/>
        <w:shd w:val="clear" w:color="auto" w:fill="auto"/>
        <w:tabs>
          <w:tab w:val="left" w:leader="underscore" w:pos="4142"/>
          <w:tab w:val="left" w:leader="underscore" w:pos="7690"/>
        </w:tabs>
        <w:spacing w:before="0" w:line="398"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包人名称，以下简称“承包人”）于</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年_月_日参加</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（项目名称）</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标段施工的竞标。我方愿意无条件地、不可撤销地就承包人履行与你方订立的合同，向你方提供担保。</w:t>
      </w:r>
    </w:p>
    <w:p w14:paraId="62C867E8">
      <w:pPr>
        <w:pStyle w:val="92"/>
        <w:numPr>
          <w:ilvl w:val="0"/>
          <w:numId w:val="8"/>
        </w:numPr>
        <w:shd w:val="clear" w:color="auto" w:fill="auto"/>
        <w:tabs>
          <w:tab w:val="left" w:pos="1140"/>
          <w:tab w:val="left" w:leader="underscore" w:pos="5374"/>
          <w:tab w:val="left" w:leader="underscore" w:pos="7690"/>
        </w:tabs>
        <w:spacing w:before="0" w:line="398" w:lineRule="exact"/>
        <w:ind w:left="0" w:firstLine="48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担保金额人民币（大写）</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u w:val="single"/>
        </w:rPr>
        <w:t xml:space="preserve">          </w:t>
      </w:r>
      <w:r>
        <w:rPr>
          <w:rStyle w:val="60"/>
          <w:rFonts w:hint="eastAsia" w:ascii="宋体" w:hAnsi="宋体" w:eastAsia="宋体" w:cs="宋体"/>
          <w:color w:val="auto"/>
          <w:sz w:val="24"/>
          <w:szCs w:val="24"/>
          <w:highlight w:val="none"/>
        </w:rPr>
        <w:t>元（¥</w:t>
      </w:r>
      <w:r>
        <w:rPr>
          <w:rStyle w:val="60"/>
          <w:rFonts w:hint="eastAsia" w:ascii="宋体" w:hAnsi="宋体" w:eastAsia="宋体" w:cs="宋体"/>
          <w:color w:val="auto"/>
          <w:sz w:val="24"/>
          <w:szCs w:val="24"/>
          <w:highlight w:val="none"/>
          <w:u w:val="single"/>
        </w:rPr>
        <w:t xml:space="preserve">     </w:t>
      </w:r>
      <w:r>
        <w:rPr>
          <w:rStyle w:val="60"/>
          <w:rFonts w:hint="eastAsia" w:ascii="宋体" w:hAnsi="宋体" w:eastAsia="宋体" w:cs="宋体"/>
          <w:color w:val="auto"/>
          <w:sz w:val="24"/>
          <w:szCs w:val="24"/>
          <w:highlight w:val="none"/>
          <w:u w:val="single"/>
        </w:rPr>
        <w:tab/>
      </w:r>
      <w:r>
        <w:rPr>
          <w:rStyle w:val="60"/>
          <w:rFonts w:hint="eastAsia" w:ascii="宋体" w:hAnsi="宋体" w:eastAsia="宋体" w:cs="宋体"/>
          <w:color w:val="auto"/>
          <w:sz w:val="24"/>
          <w:szCs w:val="24"/>
          <w:highlight w:val="none"/>
        </w:rPr>
        <w:t>）。</w:t>
      </w:r>
    </w:p>
    <w:p w14:paraId="2855A6E3">
      <w:pPr>
        <w:pStyle w:val="92"/>
        <w:numPr>
          <w:ilvl w:val="0"/>
          <w:numId w:val="8"/>
        </w:numPr>
        <w:shd w:val="clear" w:color="auto" w:fill="auto"/>
        <w:tabs>
          <w:tab w:val="left" w:pos="824"/>
          <w:tab w:val="left" w:pos="1140"/>
        </w:tabs>
        <w:spacing w:before="0" w:line="398" w:lineRule="exact"/>
        <w:ind w:left="0" w:firstLine="54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担保有效期自发包人与承包人签订的合同生效之日起至发包人签发交工验 收证书且承包人按照合同约定缴纳质量保证金之日止。</w:t>
      </w:r>
    </w:p>
    <w:p w14:paraId="0A6F5FA7">
      <w:pPr>
        <w:pStyle w:val="92"/>
        <w:numPr>
          <w:ilvl w:val="0"/>
          <w:numId w:val="8"/>
        </w:numPr>
        <w:shd w:val="clear" w:color="auto" w:fill="auto"/>
        <w:tabs>
          <w:tab w:val="left" w:pos="838"/>
          <w:tab w:val="left" w:pos="1140"/>
        </w:tabs>
        <w:spacing w:before="0" w:line="398" w:lineRule="exact"/>
        <w:ind w:left="0" w:firstLine="54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在本担保有效期内，因承包人违反合同约定的义务给你方造成经济损失时，我方在收到你方以书面形式提出的在担保金额内的赔偿要求后，在7日内无条件支 付，无须你方出具证明或陈述理由。</w:t>
      </w:r>
    </w:p>
    <w:p w14:paraId="4EFF99AF">
      <w:pPr>
        <w:pStyle w:val="92"/>
        <w:numPr>
          <w:ilvl w:val="0"/>
          <w:numId w:val="8"/>
        </w:numPr>
        <w:shd w:val="clear" w:color="auto" w:fill="auto"/>
        <w:tabs>
          <w:tab w:val="left" w:pos="831"/>
          <w:tab w:val="left" w:pos="1140"/>
        </w:tabs>
        <w:spacing w:before="0" w:after="782" w:line="398" w:lineRule="exact"/>
        <w:ind w:left="0" w:firstLine="54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发包人和承包人按合同条款第15条变更合同时，无论我方是否收到该变更，我方承担本担保规定的义务不变。</w:t>
      </w:r>
    </w:p>
    <w:p w14:paraId="71E88603">
      <w:pPr>
        <w:pStyle w:val="92"/>
        <w:shd w:val="clear" w:color="auto" w:fill="auto"/>
        <w:tabs>
          <w:tab w:val="left" w:leader="underscore" w:pos="6445"/>
        </w:tabs>
        <w:spacing w:before="0" w:line="360" w:lineRule="auto"/>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担保人名称</w:t>
      </w:r>
      <w:r>
        <w:rPr>
          <w:rStyle w:val="56"/>
          <w:rFonts w:hint="eastAsia"/>
          <w:color w:val="auto"/>
          <w:highlight w:val="none"/>
        </w:rPr>
        <w:t>（盖单位章）</w:t>
      </w:r>
      <w:r>
        <w:rPr>
          <w:rStyle w:val="56"/>
          <w:color w:val="auto"/>
          <w:highlight w:val="none"/>
        </w:rPr>
        <w:t xml:space="preserve"> </w:t>
      </w:r>
      <w:r>
        <w:rPr>
          <w:rStyle w:val="60"/>
          <w:rFonts w:hint="eastAsia" w:ascii="宋体" w:hAnsi="宋体" w:eastAsia="宋体" w:cs="宋体"/>
          <w:color w:val="auto"/>
          <w:sz w:val="24"/>
          <w:szCs w:val="24"/>
          <w:highlight w:val="none"/>
        </w:rPr>
        <w:t>：</w:t>
      </w:r>
      <w:r>
        <w:rPr>
          <w:rStyle w:val="60"/>
          <w:rFonts w:hint="eastAsia" w:ascii="宋体" w:hAnsi="宋体" w:eastAsia="宋体" w:cs="宋体"/>
          <w:color w:val="auto"/>
          <w:sz w:val="24"/>
          <w:szCs w:val="24"/>
          <w:highlight w:val="none"/>
        </w:rPr>
        <w:tab/>
      </w:r>
    </w:p>
    <w:p w14:paraId="73D013B9">
      <w:pPr>
        <w:pStyle w:val="92"/>
        <w:shd w:val="clear" w:color="auto" w:fill="auto"/>
        <w:spacing w:before="0" w:line="360" w:lineRule="auto"/>
        <w:jc w:val="both"/>
        <w:rPr>
          <w:rStyle w:val="60"/>
          <w:rFonts w:hint="eastAsia" w:ascii="宋体" w:hAnsi="宋体" w:eastAsia="宋体" w:cs="宋体"/>
          <w:color w:val="auto"/>
          <w:sz w:val="24"/>
          <w:szCs w:val="24"/>
          <w:highlight w:val="none"/>
          <w:lang w:val="en-US"/>
        </w:rPr>
      </w:pPr>
      <w:r>
        <w:rPr>
          <w:rStyle w:val="60"/>
          <w:rFonts w:hint="eastAsia" w:ascii="宋体" w:hAnsi="宋体" w:eastAsia="宋体" w:cs="宋体"/>
          <w:color w:val="auto"/>
          <w:sz w:val="24"/>
          <w:szCs w:val="24"/>
          <w:highlight w:val="none"/>
        </w:rPr>
        <w:t>法定代表人或其委托代理人</w:t>
      </w:r>
      <w:r>
        <w:rPr>
          <w:rStyle w:val="56"/>
          <w:rFonts w:hint="eastAsia"/>
          <w:color w:val="auto"/>
          <w:highlight w:val="none"/>
        </w:rPr>
        <w:t>（签字</w:t>
      </w:r>
      <w:r>
        <w:rPr>
          <w:rStyle w:val="56"/>
          <w:rFonts w:hint="eastAsia"/>
          <w:color w:val="auto"/>
          <w:highlight w:val="none"/>
          <w:lang w:eastAsia="en-US"/>
        </w:rPr>
        <w:t>）</w:t>
      </w:r>
      <w:r>
        <w:rPr>
          <w:rStyle w:val="60"/>
          <w:rFonts w:hint="eastAsia" w:ascii="宋体" w:hAnsi="宋体" w:eastAsia="宋体" w:cs="宋体"/>
          <w:color w:val="auto"/>
          <w:sz w:val="24"/>
          <w:szCs w:val="24"/>
          <w:highlight w:val="none"/>
        </w:rPr>
        <w:t>:</w:t>
      </w:r>
      <w:r>
        <w:rPr>
          <w:rStyle w:val="60"/>
          <w:rFonts w:hint="eastAsia" w:ascii="宋体" w:hAnsi="宋体" w:eastAsia="宋体" w:cs="宋体"/>
          <w:color w:val="auto"/>
          <w:sz w:val="24"/>
          <w:szCs w:val="24"/>
          <w:highlight w:val="none"/>
          <w:u w:val="single"/>
          <w:lang w:val="en-US"/>
        </w:rPr>
        <w:t xml:space="preserve">                   </w:t>
      </w:r>
      <w:r>
        <w:rPr>
          <w:rStyle w:val="60"/>
          <w:rFonts w:hint="eastAsia" w:ascii="宋体" w:hAnsi="宋体" w:eastAsia="宋体" w:cs="宋体"/>
          <w:color w:val="auto"/>
          <w:sz w:val="24"/>
          <w:szCs w:val="24"/>
          <w:highlight w:val="none"/>
        </w:rPr>
        <w:t xml:space="preserve"> </w:t>
      </w:r>
      <w:r>
        <w:rPr>
          <w:rStyle w:val="60"/>
          <w:rFonts w:hint="eastAsia" w:ascii="宋体" w:hAnsi="宋体" w:eastAsia="宋体" w:cs="宋体"/>
          <w:color w:val="auto"/>
          <w:sz w:val="24"/>
          <w:szCs w:val="24"/>
          <w:highlight w:val="none"/>
          <w:lang w:val="en-US"/>
        </w:rPr>
        <w:t xml:space="preserve">                  </w:t>
      </w:r>
    </w:p>
    <w:p w14:paraId="2A2990E8">
      <w:pPr>
        <w:pStyle w:val="92"/>
        <w:shd w:val="clear" w:color="auto" w:fill="auto"/>
        <w:spacing w:before="0" w:line="360" w:lineRule="auto"/>
        <w:jc w:val="both"/>
        <w:rPr>
          <w:rFonts w:hint="default" w:ascii="宋体" w:hAnsi="宋体" w:eastAsia="宋体" w:cs="宋体"/>
          <w:color w:val="auto"/>
          <w:spacing w:val="0"/>
          <w:sz w:val="24"/>
          <w:szCs w:val="24"/>
          <w:highlight w:val="none"/>
          <w:u w:val="single"/>
          <w:lang w:val="en-US"/>
        </w:rPr>
      </w:pPr>
      <w:r>
        <w:rPr>
          <w:rStyle w:val="60"/>
          <w:rFonts w:hint="eastAsia" w:ascii="宋体" w:hAnsi="宋体" w:eastAsia="宋体" w:cs="宋体"/>
          <w:color w:val="auto"/>
          <w:sz w:val="24"/>
          <w:szCs w:val="24"/>
          <w:highlight w:val="none"/>
        </w:rPr>
        <w:t>地 址：</w:t>
      </w:r>
      <w:r>
        <w:rPr>
          <w:rStyle w:val="60"/>
          <w:rFonts w:hint="eastAsia" w:ascii="宋体" w:hAnsi="宋体" w:eastAsia="宋体" w:cs="宋体"/>
          <w:color w:val="auto"/>
          <w:sz w:val="24"/>
          <w:szCs w:val="24"/>
          <w:highlight w:val="none"/>
          <w:u w:val="single"/>
          <w:lang w:val="en-US"/>
        </w:rPr>
        <w:t xml:space="preserve">                               </w:t>
      </w:r>
    </w:p>
    <w:p w14:paraId="7A4B1C08">
      <w:pPr>
        <w:pStyle w:val="92"/>
        <w:shd w:val="clear" w:color="auto" w:fill="auto"/>
        <w:spacing w:before="0" w:line="360" w:lineRule="auto"/>
        <w:jc w:val="both"/>
        <w:rPr>
          <w:rFonts w:hint="default" w:ascii="宋体" w:hAnsi="宋体" w:eastAsia="宋体" w:cs="宋体"/>
          <w:color w:val="auto"/>
          <w:spacing w:val="0"/>
          <w:sz w:val="21"/>
          <w:szCs w:val="21"/>
          <w:highlight w:val="none"/>
          <w:u w:val="single"/>
          <w:lang w:val="en-US"/>
        </w:rPr>
      </w:pPr>
      <w:r>
        <w:rPr>
          <w:rStyle w:val="60"/>
          <w:rFonts w:hint="eastAsia" w:ascii="宋体" w:hAnsi="宋体" w:eastAsia="宋体" w:cs="宋体"/>
          <w:color w:val="auto"/>
          <w:sz w:val="24"/>
          <w:szCs w:val="24"/>
          <w:highlight w:val="none"/>
        </w:rPr>
        <w:t>邮政编码：</w:t>
      </w:r>
      <w:r>
        <w:rPr>
          <w:rStyle w:val="60"/>
          <w:rFonts w:hint="eastAsia" w:ascii="宋体" w:hAnsi="宋体" w:eastAsia="宋体" w:cs="宋体"/>
          <w:color w:val="auto"/>
          <w:sz w:val="24"/>
          <w:szCs w:val="24"/>
          <w:highlight w:val="none"/>
          <w:u w:val="single"/>
          <w:lang w:val="en-US"/>
        </w:rPr>
        <w:t xml:space="preserve">                  </w:t>
      </w:r>
    </w:p>
    <w:p w14:paraId="791FC49C">
      <w:pPr>
        <w:pStyle w:val="68"/>
        <w:shd w:val="clear" w:color="auto" w:fill="auto"/>
        <w:tabs>
          <w:tab w:val="left" w:leader="underscore" w:pos="3434"/>
          <w:tab w:val="left" w:leader="underscore" w:pos="6547"/>
        </w:tabs>
        <w:spacing w:before="0" w:line="360" w:lineRule="auto"/>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电话：</w:t>
      </w:r>
      <w:r>
        <w:rPr>
          <w:rFonts w:hint="eastAsia" w:ascii="宋体" w:hAnsi="宋体" w:eastAsia="宋体" w:cs="宋体"/>
          <w:color w:val="auto"/>
          <w:sz w:val="21"/>
          <w:szCs w:val="21"/>
          <w:highlight w:val="none"/>
          <w:u w:val="single"/>
          <w:lang w:val="en-US" w:eastAsia="zh-CN"/>
        </w:rPr>
        <w:t xml:space="preserve">                   </w:t>
      </w:r>
    </w:p>
    <w:p w14:paraId="17040BC4">
      <w:pPr>
        <w:pStyle w:val="68"/>
        <w:shd w:val="clear" w:color="auto" w:fill="auto"/>
        <w:tabs>
          <w:tab w:val="left" w:leader="underscore" w:pos="3434"/>
          <w:tab w:val="left" w:leader="underscore" w:pos="6547"/>
        </w:tabs>
        <w:spacing w:before="0" w:line="360" w:lineRule="auto"/>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传真：</w:t>
      </w:r>
      <w:r>
        <w:rPr>
          <w:rFonts w:hint="eastAsia" w:ascii="宋体" w:hAnsi="宋体" w:eastAsia="宋体" w:cs="宋体"/>
          <w:color w:val="auto"/>
          <w:sz w:val="21"/>
          <w:szCs w:val="21"/>
          <w:highlight w:val="none"/>
          <w:u w:val="single"/>
          <w:lang w:val="en-US" w:eastAsia="zh-CN"/>
        </w:rPr>
        <w:t xml:space="preserve">                      </w:t>
      </w:r>
    </w:p>
    <w:p w14:paraId="6C08E145">
      <w:pPr>
        <w:pStyle w:val="68"/>
        <w:shd w:val="clear" w:color="auto" w:fill="auto"/>
        <w:tabs>
          <w:tab w:val="left" w:leader="underscore" w:pos="3434"/>
          <w:tab w:val="left" w:leader="underscore" w:pos="6547"/>
        </w:tabs>
        <w:spacing w:before="0" w:line="336" w:lineRule="exact"/>
        <w:jc w:val="both"/>
        <w:rPr>
          <w:rFonts w:hint="eastAsia" w:ascii="宋体" w:hAnsi="宋体" w:eastAsia="宋体" w:cs="宋体"/>
          <w:color w:val="auto"/>
          <w:sz w:val="21"/>
          <w:szCs w:val="21"/>
          <w:highlight w:val="none"/>
        </w:rPr>
      </w:pPr>
    </w:p>
    <w:p w14:paraId="1A3BD53B">
      <w:pPr>
        <w:pStyle w:val="68"/>
        <w:shd w:val="clear" w:color="auto" w:fill="auto"/>
        <w:tabs>
          <w:tab w:val="left" w:leader="underscore" w:pos="3434"/>
          <w:tab w:val="left" w:leader="underscore" w:pos="6547"/>
        </w:tabs>
        <w:spacing w:before="0" w:line="336"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本条内容可修改为：“本担保自</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生效日期）之日起生效，至</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失效日期）之日失效。”</w:t>
      </w:r>
    </w:p>
    <w:p w14:paraId="743819F5">
      <w:pPr>
        <w:ind w:firstLine="420"/>
        <w:rPr>
          <w:rFonts w:ascii="宋体" w:hAnsi="宋体" w:cs="宋体"/>
          <w:color w:val="auto"/>
          <w:sz w:val="21"/>
          <w:szCs w:val="21"/>
          <w:highlight w:val="none"/>
        </w:rPr>
      </w:pPr>
      <w:r>
        <w:rPr>
          <w:rFonts w:ascii="宋体" w:hAnsi="宋体" w:cs="宋体"/>
          <w:color w:val="auto"/>
          <w:sz w:val="21"/>
          <w:szCs w:val="21"/>
          <w:highlight w:val="none"/>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bookmarkStart w:id="185" w:name="_Toc394929423"/>
    </w:p>
    <w:p w14:paraId="1087BDF5">
      <w:pPr>
        <w:ind w:firstLine="420"/>
        <w:rPr>
          <w:rFonts w:ascii="宋体" w:hAnsi="宋体" w:cs="宋体"/>
          <w:color w:val="auto"/>
          <w:sz w:val="21"/>
          <w:szCs w:val="21"/>
          <w:highlight w:val="none"/>
        </w:rPr>
      </w:pPr>
    </w:p>
    <w:p w14:paraId="22A44DC8">
      <w:pPr>
        <w:ind w:firstLine="420"/>
        <w:rPr>
          <w:rFonts w:ascii="宋体" w:hAnsi="宋体" w:cs="宋体"/>
          <w:color w:val="auto"/>
          <w:sz w:val="21"/>
          <w:szCs w:val="21"/>
          <w:highlight w:val="none"/>
        </w:rPr>
      </w:pPr>
    </w:p>
    <w:p w14:paraId="1A1117F7">
      <w:pPr>
        <w:pStyle w:val="5"/>
        <w:rPr>
          <w:rFonts w:hAnsi="宋体" w:cs="宋体"/>
          <w:color w:val="auto"/>
          <w:sz w:val="21"/>
          <w:szCs w:val="21"/>
          <w:highlight w:val="none"/>
        </w:rPr>
      </w:pPr>
      <w:bookmarkStart w:id="186" w:name="_Toc508779716"/>
    </w:p>
    <w:p w14:paraId="35B79CB1">
      <w:pPr>
        <w:pStyle w:val="5"/>
        <w:rPr>
          <w:rFonts w:hAnsi="宋体" w:cs="宋体"/>
          <w:color w:val="auto"/>
          <w:sz w:val="21"/>
          <w:szCs w:val="21"/>
          <w:highlight w:val="none"/>
        </w:rPr>
      </w:pPr>
      <w:bookmarkStart w:id="187" w:name="_Toc514759060"/>
      <w:bookmarkStart w:id="188" w:name="_Toc18401"/>
      <w:bookmarkStart w:id="189" w:name="_Toc511595200"/>
      <w:r>
        <w:rPr>
          <w:rFonts w:hAnsi="宋体" w:cs="宋体"/>
          <w:color w:val="auto"/>
          <w:sz w:val="21"/>
          <w:szCs w:val="21"/>
          <w:highlight w:val="none"/>
        </w:rPr>
        <w:br w:type="page"/>
      </w:r>
      <w:r>
        <w:rPr>
          <w:rFonts w:hAnsi="宋体" w:cs="宋体"/>
          <w:color w:val="auto"/>
          <w:sz w:val="21"/>
          <w:szCs w:val="21"/>
          <w:highlight w:val="none"/>
        </w:rPr>
        <w:t xml:space="preserve">附件八  </w:t>
      </w:r>
      <w:bookmarkEnd w:id="185"/>
      <w:bookmarkStart w:id="190" w:name="_Toc394929424"/>
      <w:r>
        <w:rPr>
          <w:rFonts w:hAnsi="宋体" w:cs="宋体"/>
          <w:color w:val="auto"/>
          <w:sz w:val="21"/>
          <w:szCs w:val="21"/>
          <w:highlight w:val="none"/>
        </w:rPr>
        <w:t>工程资金监管协议格式</w:t>
      </w:r>
      <w:bookmarkEnd w:id="186"/>
      <w:bookmarkEnd w:id="187"/>
      <w:bookmarkEnd w:id="188"/>
      <w:bookmarkEnd w:id="189"/>
      <w:bookmarkEnd w:id="190"/>
    </w:p>
    <w:p w14:paraId="7D5D8AF5">
      <w:pPr>
        <w:pStyle w:val="5"/>
        <w:rPr>
          <w:rFonts w:hAnsi="宋体" w:cs="宋体"/>
          <w:color w:val="auto"/>
          <w:sz w:val="21"/>
          <w:szCs w:val="21"/>
          <w:highlight w:val="none"/>
        </w:rPr>
      </w:pPr>
    </w:p>
    <w:p w14:paraId="233C4CE1">
      <w:pPr>
        <w:pStyle w:val="92"/>
        <w:shd w:val="clear" w:color="auto" w:fill="auto"/>
        <w:spacing w:before="0" w:after="362" w:line="377" w:lineRule="exact"/>
        <w:ind w:firstLine="42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（发包人与承包人签订合同协议书时应与发包人指定的银行签署工程资金监管协议，工程资金监管协议内容在保证本项目资金有效监管的前提下由三方共同商定）</w:t>
      </w:r>
    </w:p>
    <w:p w14:paraId="2CD44F71">
      <w:pPr>
        <w:pStyle w:val="82"/>
        <w:keepNext/>
        <w:keepLines/>
        <w:shd w:val="clear" w:color="auto" w:fill="auto"/>
        <w:spacing w:after="335" w:line="300" w:lineRule="exact"/>
        <w:jc w:val="center"/>
        <w:outlineLvl w:val="9"/>
        <w:rPr>
          <w:rFonts w:hint="eastAsia" w:ascii="宋体" w:hAnsi="宋体" w:eastAsia="宋体" w:cs="宋体"/>
          <w:color w:val="auto"/>
          <w:spacing w:val="0"/>
          <w:sz w:val="24"/>
          <w:szCs w:val="24"/>
          <w:highlight w:val="none"/>
        </w:rPr>
      </w:pPr>
      <w:bookmarkStart w:id="191" w:name="bookmark202"/>
      <w:bookmarkStart w:id="192" w:name="_Toc514786923"/>
      <w:r>
        <w:rPr>
          <w:rStyle w:val="61"/>
          <w:rFonts w:hint="eastAsia" w:ascii="宋体" w:hAnsi="宋体" w:eastAsia="宋体" w:cs="宋体"/>
          <w:color w:val="auto"/>
          <w:sz w:val="24"/>
          <w:szCs w:val="24"/>
          <w:highlight w:val="none"/>
        </w:rPr>
        <w:t>工程资金监管协议</w:t>
      </w:r>
      <w:bookmarkEnd w:id="191"/>
      <w:bookmarkEnd w:id="192"/>
    </w:p>
    <w:p w14:paraId="545A8829">
      <w:pPr>
        <w:pStyle w:val="92"/>
        <w:shd w:val="clear" w:color="auto" w:fill="auto"/>
        <w:tabs>
          <w:tab w:val="left" w:leader="underscore" w:pos="2930"/>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发包人</w:t>
      </w:r>
      <w:r>
        <w:rPr>
          <w:rStyle w:val="60"/>
          <w:rFonts w:hint="eastAsia" w:ascii="宋体" w:hAnsi="宋体" w:eastAsia="宋体" w:cs="宋体"/>
          <w:iCs/>
          <w:color w:val="auto"/>
          <w:sz w:val="24"/>
          <w:szCs w:val="24"/>
          <w:highlight w:val="none"/>
        </w:rPr>
        <w:t>:</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（以下简称“甲方”）</w:t>
      </w:r>
    </w:p>
    <w:p w14:paraId="60882B40">
      <w:pPr>
        <w:pStyle w:val="92"/>
        <w:shd w:val="clear" w:color="auto" w:fill="auto"/>
        <w:tabs>
          <w:tab w:val="left" w:leader="underscore" w:pos="2930"/>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承包人：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（以下简称“乙方”）</w:t>
      </w:r>
    </w:p>
    <w:p w14:paraId="4B0D8A08">
      <w:pPr>
        <w:pStyle w:val="92"/>
        <w:shd w:val="clear" w:color="auto" w:fill="auto"/>
        <w:tabs>
          <w:tab w:val="left" w:leader="underscore" w:pos="2930"/>
        </w:tabs>
        <w:spacing w:before="0" w:after="30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经办银行：</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（以下简称“丙方”）</w:t>
      </w:r>
    </w:p>
    <w:p w14:paraId="0E93A178">
      <w:pPr>
        <w:pStyle w:val="92"/>
        <w:shd w:val="clear" w:color="auto" w:fill="auto"/>
        <w:tabs>
          <w:tab w:val="left" w:leader="underscore" w:pos="2482"/>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为了促进</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（项目名称）的顺利实施，管好用好建设资金，确保工程资金专款专用，同时为承包人提供便捷有效的银行业务服务，根据</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（项目名称）合同条款有关规定，经甲、乙、丙三方协商，达成协议如下：</w:t>
      </w:r>
    </w:p>
    <w:p w14:paraId="3DAEA46D">
      <w:pPr>
        <w:pStyle w:val="92"/>
        <w:numPr>
          <w:ilvl w:val="0"/>
          <w:numId w:val="9"/>
        </w:numPr>
        <w:shd w:val="clear" w:color="auto" w:fill="auto"/>
        <w:tabs>
          <w:tab w:val="left" w:pos="854"/>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资金管理的内容</w:t>
      </w:r>
    </w:p>
    <w:p w14:paraId="401F050B">
      <w:pPr>
        <w:pStyle w:val="92"/>
        <w:numPr>
          <w:ilvl w:val="0"/>
          <w:numId w:val="10"/>
        </w:numPr>
        <w:shd w:val="clear" w:color="auto" w:fill="auto"/>
        <w:tabs>
          <w:tab w:val="left" w:pos="1169"/>
          <w:tab w:val="left" w:leader="underscore" w:pos="3237"/>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乙方为完成</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（项目名称）工程成立的项目经理部在丙方开设基本结算户；</w:t>
      </w:r>
    </w:p>
    <w:p w14:paraId="19607979">
      <w:pPr>
        <w:pStyle w:val="92"/>
        <w:numPr>
          <w:ilvl w:val="0"/>
          <w:numId w:val="10"/>
        </w:numPr>
        <w:shd w:val="clear" w:color="auto" w:fill="auto"/>
        <w:tabs>
          <w:tab w:val="left" w:pos="1169"/>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甲方应按合同规定将工程款汇入乙方在丙方开设的账户；</w:t>
      </w:r>
    </w:p>
    <w:p w14:paraId="28DC63FC">
      <w:pPr>
        <w:pStyle w:val="92"/>
        <w:numPr>
          <w:ilvl w:val="0"/>
          <w:numId w:val="10"/>
        </w:numPr>
        <w:shd w:val="clear" w:color="auto" w:fill="auto"/>
        <w:tabs>
          <w:tab w:val="left" w:leader="underscore" w:pos="6866"/>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 xml:space="preserve"> 乙方应将流动资金及甲方所拨付资金专项用于</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（项目名称）；</w:t>
      </w:r>
    </w:p>
    <w:p w14:paraId="4B2E2836">
      <w:pPr>
        <w:pStyle w:val="92"/>
        <w:numPr>
          <w:ilvl w:val="0"/>
          <w:numId w:val="10"/>
        </w:numPr>
        <w:shd w:val="clear" w:color="auto" w:fill="auto"/>
        <w:tabs>
          <w:tab w:val="left" w:pos="1136"/>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丙方应为乙方提供便捷有效的银行业务服务，并接受甲方委托对乙方在丙方开设的基本结算户资金使用情况进行监督。</w:t>
      </w:r>
    </w:p>
    <w:p w14:paraId="3ADA5559">
      <w:pPr>
        <w:pStyle w:val="92"/>
        <w:numPr>
          <w:ilvl w:val="0"/>
          <w:numId w:val="9"/>
        </w:numPr>
        <w:shd w:val="clear" w:color="auto" w:fill="auto"/>
        <w:tabs>
          <w:tab w:val="left" w:pos="878"/>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甲方的权责</w:t>
      </w:r>
    </w:p>
    <w:p w14:paraId="38D712D9">
      <w:pPr>
        <w:pStyle w:val="92"/>
        <w:shd w:val="clear" w:color="auto" w:fill="auto"/>
        <w:tabs>
          <w:tab w:val="left" w:pos="1169"/>
          <w:tab w:val="left" w:leader="underscore" w:pos="2482"/>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（1）按照</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（项目名称）合同有关条款规定的时间和方式，向乙方支付工程款；</w:t>
      </w:r>
    </w:p>
    <w:p w14:paraId="705E1427">
      <w:pPr>
        <w:pStyle w:val="92"/>
        <w:shd w:val="clear" w:color="auto" w:fill="auto"/>
        <w:tabs>
          <w:tab w:val="left" w:pos="1136"/>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（2）在发现乙方将本项目资金挪用、转移时，甲方有权中止工程支付，直至乙方改正为止；</w:t>
      </w:r>
    </w:p>
    <w:p w14:paraId="79C42824">
      <w:pPr>
        <w:pStyle w:val="92"/>
        <w:shd w:val="clear" w:color="auto" w:fill="auto"/>
        <w:tabs>
          <w:tab w:val="left" w:pos="1136"/>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（3）不定期审查丙方对乙方的资金使用监督情况，如丙方不能履行其责任，甲方有权随时终止本协议；</w:t>
      </w:r>
    </w:p>
    <w:p w14:paraId="30C393A5">
      <w:pPr>
        <w:pStyle w:val="92"/>
        <w:shd w:val="clear" w:color="auto" w:fill="auto"/>
        <w:tabs>
          <w:tab w:val="left" w:pos="1169"/>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（4）在乙、丙双方发生争议时，甲方应负责协调、解决。</w:t>
      </w:r>
    </w:p>
    <w:p w14:paraId="789C9411">
      <w:pPr>
        <w:pStyle w:val="92"/>
        <w:numPr>
          <w:ilvl w:val="0"/>
          <w:numId w:val="9"/>
        </w:numPr>
        <w:shd w:val="clear" w:color="auto" w:fill="auto"/>
        <w:tabs>
          <w:tab w:val="left" w:pos="878"/>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乙方的权责</w:t>
      </w:r>
    </w:p>
    <w:p w14:paraId="267B69C8">
      <w:pPr>
        <w:pStyle w:val="92"/>
        <w:numPr>
          <w:ilvl w:val="0"/>
          <w:numId w:val="11"/>
        </w:numPr>
        <w:shd w:val="clear" w:color="auto" w:fill="auto"/>
        <w:tabs>
          <w:tab w:val="left" w:pos="1169"/>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项目经理部成立以后，乙方应尽快在丙方开设基本结算户；</w:t>
      </w:r>
    </w:p>
    <w:p w14:paraId="11ACD2A5">
      <w:pPr>
        <w:pStyle w:val="92"/>
        <w:numPr>
          <w:ilvl w:val="0"/>
          <w:numId w:val="11"/>
        </w:numPr>
        <w:shd w:val="clear" w:color="auto" w:fill="auto"/>
        <w:tabs>
          <w:tab w:val="left" w:pos="1134"/>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确保本项目资金专款专用，不发生挪用、转移资金的现象；保证不通过权益转让、抵押、担保承担债务等任何其他方式使用基本结算户的资金；</w:t>
      </w:r>
    </w:p>
    <w:p w14:paraId="1C8C8196">
      <w:pPr>
        <w:pStyle w:val="92"/>
        <w:numPr>
          <w:ilvl w:val="0"/>
          <w:numId w:val="11"/>
        </w:numPr>
        <w:shd w:val="clear" w:color="auto" w:fill="auto"/>
        <w:tabs>
          <w:tab w:val="left" w:pos="1138"/>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766BB0AF">
      <w:pPr>
        <w:pStyle w:val="92"/>
        <w:numPr>
          <w:ilvl w:val="0"/>
          <w:numId w:val="11"/>
        </w:numPr>
        <w:shd w:val="clear" w:color="auto" w:fill="auto"/>
        <w:tabs>
          <w:tab w:val="left" w:pos="529"/>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用银行转账支票办理支付款项时，必须将转账支票送交丙方，由丙方负责办理支票转付手续；</w:t>
      </w:r>
    </w:p>
    <w:p w14:paraId="3F7C7EAA">
      <w:pPr>
        <w:pStyle w:val="92"/>
        <w:numPr>
          <w:ilvl w:val="0"/>
          <w:numId w:val="11"/>
        </w:numPr>
        <w:shd w:val="clear" w:color="auto" w:fill="auto"/>
        <w:tabs>
          <w:tab w:val="left" w:pos="1169"/>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向分包单位支付工程进度款时，应附甲方批准分包的文件；</w:t>
      </w:r>
    </w:p>
    <w:p w14:paraId="1C813C1E">
      <w:pPr>
        <w:pStyle w:val="92"/>
        <w:numPr>
          <w:ilvl w:val="0"/>
          <w:numId w:val="11"/>
        </w:numPr>
        <w:shd w:val="clear" w:color="auto" w:fill="auto"/>
        <w:tabs>
          <w:tab w:val="left" w:pos="1134"/>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向上级单位缴纳管理费、机械设备及周转材料租赁摊销费等款项时，应附上级单位出具的转账通知等有关资料，以确保资金专款专用。</w:t>
      </w:r>
    </w:p>
    <w:p w14:paraId="58116A22">
      <w:pPr>
        <w:pStyle w:val="92"/>
        <w:numPr>
          <w:ilvl w:val="0"/>
          <w:numId w:val="9"/>
        </w:numPr>
        <w:shd w:val="clear" w:color="auto" w:fill="auto"/>
        <w:tabs>
          <w:tab w:val="left" w:pos="858"/>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丙方的权责</w:t>
      </w:r>
    </w:p>
    <w:p w14:paraId="4F63E686">
      <w:pPr>
        <w:pStyle w:val="92"/>
        <w:numPr>
          <w:ilvl w:val="0"/>
          <w:numId w:val="12"/>
        </w:numPr>
        <w:shd w:val="clear" w:color="auto" w:fill="auto"/>
        <w:tabs>
          <w:tab w:val="left" w:pos="1169"/>
          <w:tab w:val="left" w:leader="underscore" w:pos="2529"/>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成立</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（项目名称）工程资金管理服务小组，明确业务流程，提高工作效率，杜绝“压票”现象；</w:t>
      </w:r>
    </w:p>
    <w:p w14:paraId="46F1DB0D">
      <w:pPr>
        <w:pStyle w:val="92"/>
        <w:numPr>
          <w:ilvl w:val="0"/>
          <w:numId w:val="12"/>
        </w:numPr>
        <w:shd w:val="clear" w:color="auto" w:fill="auto"/>
        <w:tabs>
          <w:tab w:val="left" w:pos="1169"/>
        </w:tabs>
        <w:spacing w:before="0" w:line="379" w:lineRule="exact"/>
        <w:ind w:firstLine="48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根据乙方提供的购货合同、协议和发票，检查其所购材料、设备是否用于 （项目名称）工程建设，对本标段以外的购货款项，有权拒绝办理，并及时报告甲方；</w:t>
      </w:r>
    </w:p>
    <w:p w14:paraId="2ADA3C58">
      <w:pPr>
        <w:pStyle w:val="92"/>
        <w:numPr>
          <w:ilvl w:val="0"/>
          <w:numId w:val="12"/>
        </w:numPr>
        <w:shd w:val="clear" w:color="auto" w:fill="auto"/>
        <w:tabs>
          <w:tab w:val="left" w:pos="1131"/>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根据乙方与分包单位签订的合同及支付文件，检查其支付款项是否符合有关条件，向分包单位以外单位的支付有权拒绝办理，并及时报告甲方；</w:t>
      </w:r>
    </w:p>
    <w:p w14:paraId="6E1AC29C">
      <w:pPr>
        <w:pStyle w:val="92"/>
        <w:numPr>
          <w:ilvl w:val="0"/>
          <w:numId w:val="12"/>
        </w:numPr>
        <w:shd w:val="clear" w:color="auto" w:fill="auto"/>
        <w:tabs>
          <w:tab w:val="left" w:pos="1136"/>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根据乙方提供的上级单位出具的转账通知等有关资料，办理管理费、机械设备及周转材料租赁摊销费等款项的支付；对超出转账通知等有关资料以外的支付， 有权拒绝办理，并及时报告甲方；</w:t>
      </w:r>
    </w:p>
    <w:p w14:paraId="1C63143A">
      <w:pPr>
        <w:pStyle w:val="92"/>
        <w:numPr>
          <w:ilvl w:val="0"/>
          <w:numId w:val="12"/>
        </w:numPr>
        <w:shd w:val="clear" w:color="auto" w:fill="auto"/>
        <w:tabs>
          <w:tab w:val="left" w:pos="1117"/>
        </w:tabs>
        <w:spacing w:before="0" w:line="379" w:lineRule="exact"/>
        <w:ind w:firstLine="640"/>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定期将乙方前一个周期的支付情况，整理后书面报送甲方；乙方复印备案的材料一并送甲方。</w:t>
      </w:r>
    </w:p>
    <w:p w14:paraId="2543FB83">
      <w:pPr>
        <w:pStyle w:val="92"/>
        <w:numPr>
          <w:ilvl w:val="0"/>
          <w:numId w:val="9"/>
        </w:numPr>
        <w:shd w:val="clear" w:color="auto" w:fill="auto"/>
        <w:tabs>
          <w:tab w:val="left" w:pos="812"/>
        </w:tabs>
        <w:spacing w:before="0" w:line="379" w:lineRule="exact"/>
        <w:ind w:firstLine="50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甲、乙、丙三方都应履行保密责任，不得将其他两方的业务情况透露给三方以外的其他单位或个人。</w:t>
      </w:r>
    </w:p>
    <w:p w14:paraId="5C6036B0">
      <w:pPr>
        <w:pStyle w:val="92"/>
        <w:numPr>
          <w:ilvl w:val="0"/>
          <w:numId w:val="9"/>
        </w:numPr>
        <w:shd w:val="clear" w:color="auto" w:fill="auto"/>
        <w:tabs>
          <w:tab w:val="left" w:pos="829"/>
        </w:tabs>
        <w:spacing w:before="0" w:line="379" w:lineRule="exact"/>
        <w:ind w:firstLine="50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本协议有效期自乙方在丙方开户起，至工程交工验收甲方向乙方颁发交工验收证书后结束。</w:t>
      </w:r>
    </w:p>
    <w:p w14:paraId="1A941C81">
      <w:pPr>
        <w:pStyle w:val="92"/>
        <w:numPr>
          <w:ilvl w:val="0"/>
          <w:numId w:val="9"/>
        </w:numPr>
        <w:shd w:val="clear" w:color="auto" w:fill="auto"/>
        <w:tabs>
          <w:tab w:val="left" w:pos="858"/>
        </w:tabs>
        <w:spacing w:before="0" w:line="379" w:lineRule="exact"/>
        <w:jc w:val="both"/>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本协议未尽事宜，由甲方牵头，三方协商解决。</w:t>
      </w:r>
    </w:p>
    <w:p w14:paraId="6041F86D">
      <w:pPr>
        <w:pStyle w:val="92"/>
        <w:numPr>
          <w:ilvl w:val="0"/>
          <w:numId w:val="9"/>
        </w:numPr>
        <w:shd w:val="clear" w:color="auto" w:fill="auto"/>
        <w:tabs>
          <w:tab w:val="left" w:pos="838"/>
        </w:tabs>
        <w:spacing w:before="0" w:after="269" w:line="379" w:lineRule="exact"/>
        <w:ind w:firstLine="500"/>
        <w:jc w:val="lef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本协议正本三份、副本_份。合同三方各执正本一份、副本_份，当正本与 副本内容不一致时，以正本为准。</w:t>
      </w:r>
    </w:p>
    <w:p w14:paraId="261D79EB">
      <w:pPr>
        <w:pStyle w:val="92"/>
        <w:shd w:val="clear" w:color="auto" w:fill="auto"/>
        <w:tabs>
          <w:tab w:val="left" w:leader="underscore" w:pos="4086"/>
        </w:tabs>
        <w:spacing w:before="0" w:line="343" w:lineRule="exact"/>
        <w:jc w:val="right"/>
        <w:rPr>
          <w:rFonts w:hint="eastAsia" w:ascii="宋体" w:hAnsi="宋体" w:eastAsia="宋体" w:cs="宋体"/>
          <w:color w:val="auto"/>
          <w:spacing w:val="0"/>
          <w:sz w:val="24"/>
          <w:szCs w:val="24"/>
          <w:highlight w:val="none"/>
        </w:rPr>
      </w:pPr>
      <w:r>
        <w:rPr>
          <w:rStyle w:val="60"/>
          <w:rFonts w:hint="eastAsia" w:ascii="宋体" w:hAnsi="宋体" w:eastAsia="宋体" w:cs="宋体"/>
          <w:iCs/>
          <w:color w:val="auto"/>
          <w:sz w:val="24"/>
          <w:szCs w:val="24"/>
          <w:highlight w:val="none"/>
        </w:rPr>
        <w:t>发包人: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（盖单位章）</w:t>
      </w:r>
    </w:p>
    <w:p w14:paraId="625822FA">
      <w:pPr>
        <w:pStyle w:val="92"/>
        <w:shd w:val="clear" w:color="auto" w:fill="auto"/>
        <w:tabs>
          <w:tab w:val="left" w:leader="underscore" w:pos="4689"/>
        </w:tabs>
        <w:spacing w:before="0" w:line="343" w:lineRule="exact"/>
        <w:jc w:val="righ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法定代表人或其委托代理人：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（签字）</w:t>
      </w:r>
    </w:p>
    <w:p w14:paraId="2995B7AA">
      <w:pPr>
        <w:pStyle w:val="92"/>
        <w:shd w:val="clear" w:color="auto" w:fill="auto"/>
        <w:tabs>
          <w:tab w:val="left" w:leader="underscore" w:pos="3022"/>
          <w:tab w:val="left" w:leader="underscore" w:pos="4086"/>
        </w:tabs>
        <w:spacing w:before="0" w:after="242" w:line="343" w:lineRule="exact"/>
        <w:jc w:val="righ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年</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月</w:t>
      </w:r>
      <w:r>
        <w:rPr>
          <w:rStyle w:val="60"/>
          <w:rFonts w:hint="eastAsia" w:ascii="宋体" w:hAnsi="宋体" w:eastAsia="宋体" w:cs="宋体"/>
          <w:color w:val="auto"/>
          <w:sz w:val="24"/>
          <w:szCs w:val="24"/>
          <w:highlight w:val="none"/>
          <w:u w:val="single"/>
        </w:rPr>
        <w:t xml:space="preserve">    </w:t>
      </w:r>
      <w:r>
        <w:rPr>
          <w:rStyle w:val="60"/>
          <w:rFonts w:hint="eastAsia" w:ascii="宋体" w:hAnsi="宋体" w:eastAsia="宋体" w:cs="宋体"/>
          <w:color w:val="auto"/>
          <w:sz w:val="24"/>
          <w:szCs w:val="24"/>
          <w:highlight w:val="none"/>
        </w:rPr>
        <w:t>日</w:t>
      </w:r>
    </w:p>
    <w:p w14:paraId="431FF601">
      <w:pPr>
        <w:pStyle w:val="92"/>
        <w:shd w:val="clear" w:color="auto" w:fill="auto"/>
        <w:tabs>
          <w:tab w:val="left" w:leader="underscore" w:pos="4086"/>
        </w:tabs>
        <w:spacing w:before="0" w:line="341" w:lineRule="exact"/>
        <w:jc w:val="righ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承包人：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（盖单位章）</w:t>
      </w:r>
    </w:p>
    <w:p w14:paraId="63FAEA23">
      <w:pPr>
        <w:pStyle w:val="92"/>
        <w:shd w:val="clear" w:color="auto" w:fill="auto"/>
        <w:tabs>
          <w:tab w:val="left" w:leader="underscore" w:pos="4689"/>
        </w:tabs>
        <w:spacing w:before="0" w:line="341" w:lineRule="exact"/>
        <w:jc w:val="righ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法定代表人或其委托代理人：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（签字）</w:t>
      </w:r>
    </w:p>
    <w:p w14:paraId="2B77ABDB">
      <w:pPr>
        <w:pStyle w:val="92"/>
        <w:shd w:val="clear" w:color="auto" w:fill="auto"/>
        <w:tabs>
          <w:tab w:val="left" w:leader="underscore" w:pos="3022"/>
          <w:tab w:val="left" w:leader="underscore" w:pos="4086"/>
        </w:tabs>
        <w:spacing w:before="0" w:after="240" w:line="341" w:lineRule="exact"/>
        <w:jc w:val="righ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年</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月</w:t>
      </w:r>
      <w:r>
        <w:rPr>
          <w:rStyle w:val="60"/>
          <w:rFonts w:hint="eastAsia" w:ascii="宋体" w:hAnsi="宋体" w:eastAsia="宋体" w:cs="宋体"/>
          <w:color w:val="auto"/>
          <w:sz w:val="24"/>
          <w:szCs w:val="24"/>
          <w:highlight w:val="none"/>
          <w:u w:val="single"/>
        </w:rPr>
        <w:t xml:space="preserve">    </w:t>
      </w:r>
      <w:r>
        <w:rPr>
          <w:rStyle w:val="60"/>
          <w:rFonts w:hint="eastAsia" w:ascii="宋体" w:hAnsi="宋体" w:eastAsia="宋体" w:cs="宋体"/>
          <w:color w:val="auto"/>
          <w:sz w:val="24"/>
          <w:szCs w:val="24"/>
          <w:highlight w:val="none"/>
        </w:rPr>
        <w:t>日</w:t>
      </w:r>
    </w:p>
    <w:p w14:paraId="13E3D33A">
      <w:pPr>
        <w:pStyle w:val="92"/>
        <w:shd w:val="clear" w:color="auto" w:fill="auto"/>
        <w:tabs>
          <w:tab w:val="left" w:leader="underscore" w:pos="4086"/>
        </w:tabs>
        <w:spacing w:before="0" w:line="341" w:lineRule="exact"/>
        <w:jc w:val="righ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经办银行：</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 xml:space="preserve"> （盖单位章）</w:t>
      </w:r>
    </w:p>
    <w:p w14:paraId="434078EC">
      <w:pPr>
        <w:pStyle w:val="92"/>
        <w:shd w:val="clear" w:color="auto" w:fill="auto"/>
        <w:tabs>
          <w:tab w:val="left" w:leader="underscore" w:pos="4689"/>
        </w:tabs>
        <w:spacing w:before="0" w:line="341" w:lineRule="exact"/>
        <w:ind w:firstLine="420"/>
        <w:jc w:val="right"/>
        <w:rPr>
          <w:rFonts w:hint="eastAsia" w:ascii="宋体" w:hAnsi="宋体" w:eastAsia="宋体" w:cs="宋体"/>
          <w:color w:val="auto"/>
          <w:spacing w:val="0"/>
          <w:sz w:val="24"/>
          <w:szCs w:val="24"/>
          <w:highlight w:val="none"/>
        </w:rPr>
      </w:pPr>
      <w:r>
        <w:rPr>
          <w:rStyle w:val="60"/>
          <w:rFonts w:hint="eastAsia" w:ascii="宋体" w:hAnsi="宋体" w:eastAsia="宋体" w:cs="宋体"/>
          <w:color w:val="auto"/>
          <w:sz w:val="24"/>
          <w:szCs w:val="24"/>
          <w:highlight w:val="none"/>
        </w:rPr>
        <w:t>法定代表人或其委托代理人：</w:t>
      </w:r>
      <w:r>
        <w:rPr>
          <w:rStyle w:val="60"/>
          <w:rFonts w:hint="eastAsia" w:ascii="宋体" w:hAnsi="宋体" w:eastAsia="宋体" w:cs="宋体"/>
          <w:color w:val="auto"/>
          <w:sz w:val="24"/>
          <w:szCs w:val="24"/>
          <w:highlight w:val="none"/>
        </w:rPr>
        <w:tab/>
      </w:r>
      <w:r>
        <w:rPr>
          <w:rStyle w:val="60"/>
          <w:rFonts w:hint="eastAsia" w:ascii="宋体" w:hAnsi="宋体" w:eastAsia="宋体" w:cs="宋体"/>
          <w:color w:val="auto"/>
          <w:sz w:val="24"/>
          <w:szCs w:val="24"/>
          <w:highlight w:val="none"/>
        </w:rPr>
        <w:t>（签字）</w:t>
      </w:r>
    </w:p>
    <w:p w14:paraId="5B324919">
      <w:pPr>
        <w:tabs>
          <w:tab w:val="left" w:pos="1080"/>
        </w:tabs>
        <w:spacing w:line="600" w:lineRule="exact"/>
        <w:ind w:firstLine="440"/>
        <w:jc w:val="right"/>
        <w:rPr>
          <w:rFonts w:ascii="宋体" w:hAnsi="宋体" w:cs="宋体"/>
          <w:color w:val="auto"/>
          <w:szCs w:val="24"/>
          <w:highlight w:val="none"/>
        </w:rPr>
      </w:pPr>
      <w:r>
        <w:rPr>
          <w:rStyle w:val="60"/>
          <w:rFonts w:ascii="宋体" w:hAnsi="宋体" w:eastAsia="宋体" w:cs="宋体"/>
          <w:color w:val="auto"/>
          <w:sz w:val="24"/>
          <w:szCs w:val="24"/>
          <w:highlight w:val="none"/>
        </w:rPr>
        <w:t xml:space="preserve">          </w:t>
      </w:r>
      <w:r>
        <w:rPr>
          <w:rStyle w:val="60"/>
          <w:rFonts w:ascii="宋体" w:hAnsi="宋体" w:eastAsia="宋体" w:cs="宋体"/>
          <w:color w:val="auto"/>
          <w:sz w:val="24"/>
          <w:szCs w:val="24"/>
          <w:highlight w:val="none"/>
          <w:u w:val="single"/>
        </w:rPr>
        <w:t xml:space="preserve">          </w:t>
      </w:r>
      <w:r>
        <w:rPr>
          <w:rStyle w:val="60"/>
          <w:rFonts w:ascii="宋体" w:hAnsi="宋体" w:eastAsia="宋体" w:cs="宋体"/>
          <w:color w:val="auto"/>
          <w:sz w:val="24"/>
          <w:szCs w:val="24"/>
          <w:highlight w:val="none"/>
        </w:rPr>
        <w:t>年</w:t>
      </w:r>
      <w:r>
        <w:rPr>
          <w:rStyle w:val="60"/>
          <w:rFonts w:ascii="宋体" w:hAnsi="宋体" w:eastAsia="宋体" w:cs="宋体"/>
          <w:color w:val="auto"/>
          <w:sz w:val="24"/>
          <w:szCs w:val="24"/>
          <w:highlight w:val="none"/>
          <w:u w:val="single"/>
        </w:rPr>
        <w:t xml:space="preserve">        </w:t>
      </w:r>
      <w:r>
        <w:rPr>
          <w:rStyle w:val="60"/>
          <w:rFonts w:ascii="宋体" w:hAnsi="宋体" w:eastAsia="宋体" w:cs="宋体"/>
          <w:color w:val="auto"/>
          <w:sz w:val="24"/>
          <w:szCs w:val="24"/>
          <w:highlight w:val="none"/>
        </w:rPr>
        <w:t>月</w:t>
      </w:r>
      <w:r>
        <w:rPr>
          <w:rStyle w:val="60"/>
          <w:rFonts w:ascii="宋体" w:hAnsi="宋体" w:eastAsia="宋体" w:cs="宋体"/>
          <w:color w:val="auto"/>
          <w:sz w:val="24"/>
          <w:szCs w:val="24"/>
          <w:highlight w:val="none"/>
          <w:u w:val="single"/>
        </w:rPr>
        <w:t xml:space="preserve">    </w:t>
      </w:r>
      <w:r>
        <w:rPr>
          <w:rStyle w:val="60"/>
          <w:rFonts w:ascii="宋体" w:hAnsi="宋体" w:eastAsia="宋体" w:cs="宋体"/>
          <w:color w:val="auto"/>
          <w:sz w:val="24"/>
          <w:szCs w:val="24"/>
          <w:highlight w:val="none"/>
        </w:rPr>
        <w:t>日</w:t>
      </w:r>
    </w:p>
    <w:p w14:paraId="6BCBC2EB">
      <w:pPr>
        <w:pStyle w:val="13"/>
        <w:kinsoku w:val="0"/>
        <w:overflowPunct w:val="0"/>
        <w:ind w:left="0"/>
        <w:rPr>
          <w:rFonts w:hint="eastAsia" w:ascii="宋体" w:hAnsi="宋体" w:cs="宋体"/>
          <w:color w:val="auto"/>
          <w:sz w:val="21"/>
          <w:szCs w:val="21"/>
          <w:highlight w:val="none"/>
        </w:rPr>
      </w:pPr>
    </w:p>
    <w:p w14:paraId="135BAB4F">
      <w:pPr>
        <w:pStyle w:val="13"/>
        <w:kinsoku w:val="0"/>
        <w:overflowPunct w:val="0"/>
        <w:ind w:left="0"/>
        <w:rPr>
          <w:rFonts w:hint="eastAsia" w:ascii="宋体" w:hAnsi="宋体" w:cs="宋体"/>
          <w:color w:val="auto"/>
          <w:sz w:val="21"/>
          <w:szCs w:val="21"/>
          <w:highlight w:val="none"/>
        </w:rPr>
      </w:pPr>
    </w:p>
    <w:p w14:paraId="1E192C64">
      <w:pPr>
        <w:pStyle w:val="4"/>
        <w:tabs>
          <w:tab w:val="left" w:pos="1439"/>
        </w:tabs>
        <w:kinsoku w:val="0"/>
        <w:overflowPunct w:val="0"/>
        <w:spacing w:line="460" w:lineRule="exact"/>
        <w:jc w:val="center"/>
        <w:rPr>
          <w:rFonts w:ascii="宋体" w:hAnsi="宋体" w:eastAsia="宋体" w:cs="宋体"/>
          <w:b/>
          <w:bCs/>
          <w:color w:val="auto"/>
          <w:sz w:val="32"/>
          <w:szCs w:val="32"/>
          <w:highlight w:val="none"/>
        </w:rPr>
      </w:pPr>
      <w:bookmarkStart w:id="193" w:name="bookmark35"/>
      <w:bookmarkEnd w:id="193"/>
      <w:bookmarkStart w:id="194" w:name="第四章__图纸"/>
      <w:bookmarkEnd w:id="194"/>
      <w:r>
        <w:rPr>
          <w:rFonts w:ascii="宋体" w:hAnsi="宋体" w:eastAsia="宋体" w:cs="宋体"/>
          <w:color w:val="auto"/>
          <w:sz w:val="21"/>
          <w:szCs w:val="21"/>
          <w:highlight w:val="none"/>
        </w:rPr>
        <w:br w:type="page"/>
      </w:r>
      <w:bookmarkStart w:id="195" w:name="_Toc514759061"/>
      <w:bookmarkStart w:id="196" w:name="_Toc517163148"/>
      <w:r>
        <w:rPr>
          <w:rFonts w:ascii="宋体" w:hAnsi="宋体" w:eastAsia="宋体" w:cs="宋体"/>
          <w:b/>
          <w:bCs/>
          <w:color w:val="auto"/>
          <w:sz w:val="32"/>
          <w:szCs w:val="32"/>
          <w:highlight w:val="none"/>
        </w:rPr>
        <w:t>第四章</w:t>
      </w:r>
      <w:r>
        <w:rPr>
          <w:rFonts w:ascii="宋体" w:hAnsi="宋体" w:eastAsia="宋体" w:cs="宋体"/>
          <w:b/>
          <w:bCs/>
          <w:color w:val="auto"/>
          <w:sz w:val="32"/>
          <w:szCs w:val="32"/>
          <w:highlight w:val="none"/>
        </w:rPr>
        <w:tab/>
      </w:r>
      <w:r>
        <w:rPr>
          <w:rFonts w:ascii="宋体" w:hAnsi="宋体" w:eastAsia="宋体" w:cs="宋体"/>
          <w:b/>
          <w:bCs/>
          <w:color w:val="auto"/>
          <w:sz w:val="32"/>
          <w:szCs w:val="32"/>
          <w:highlight w:val="none"/>
        </w:rPr>
        <w:t>图纸</w:t>
      </w:r>
      <w:bookmarkEnd w:id="195"/>
      <w:bookmarkEnd w:id="196"/>
    </w:p>
    <w:p w14:paraId="5534F3B3">
      <w:pPr>
        <w:pStyle w:val="13"/>
        <w:kinsoku w:val="0"/>
        <w:overflowPunct w:val="0"/>
        <w:ind w:left="0"/>
        <w:rPr>
          <w:rFonts w:hint="eastAsia" w:ascii="宋体" w:hAnsi="宋体" w:cs="宋体"/>
          <w:color w:val="auto"/>
          <w:sz w:val="21"/>
          <w:szCs w:val="21"/>
          <w:highlight w:val="none"/>
        </w:rPr>
      </w:pPr>
    </w:p>
    <w:p w14:paraId="6C7036BE">
      <w:pPr>
        <w:pStyle w:val="13"/>
        <w:kinsoku w:val="0"/>
        <w:overflowPunct w:val="0"/>
        <w:ind w:left="0"/>
        <w:rPr>
          <w:rFonts w:hint="eastAsia" w:ascii="宋体" w:hAnsi="宋体" w:cs="宋体"/>
          <w:color w:val="auto"/>
          <w:sz w:val="21"/>
          <w:szCs w:val="21"/>
          <w:highlight w:val="none"/>
        </w:rPr>
      </w:pPr>
    </w:p>
    <w:p w14:paraId="13F8C32D">
      <w:pPr>
        <w:pStyle w:val="13"/>
        <w:kinsoku w:val="0"/>
        <w:overflowPunct w:val="0"/>
        <w:ind w:left="0"/>
        <w:jc w:val="center"/>
        <w:rPr>
          <w:rFonts w:hint="eastAsia" w:ascii="宋体" w:hAnsi="宋体" w:cs="宋体"/>
          <w:color w:val="auto"/>
          <w:sz w:val="21"/>
          <w:szCs w:val="21"/>
          <w:highlight w:val="none"/>
        </w:rPr>
        <w:sectPr>
          <w:headerReference r:id="rId8" w:type="default"/>
          <w:pgSz w:w="11910" w:h="16840"/>
          <w:pgMar w:top="1100" w:right="1202" w:bottom="919" w:left="1298" w:header="918" w:footer="975" w:gutter="0"/>
          <w:cols w:space="720" w:num="1"/>
        </w:sectPr>
      </w:pPr>
      <w:r>
        <w:rPr>
          <w:rFonts w:hint="eastAsia" w:ascii="宋体" w:hAnsi="宋体" w:cs="宋体"/>
          <w:color w:val="auto"/>
          <w:sz w:val="21"/>
          <w:szCs w:val="21"/>
          <w:highlight w:val="none"/>
        </w:rPr>
        <w:t>（另附）</w:t>
      </w:r>
    </w:p>
    <w:p w14:paraId="77C5F6C2">
      <w:pPr>
        <w:pStyle w:val="13"/>
        <w:kinsoku w:val="0"/>
        <w:overflowPunct w:val="0"/>
        <w:ind w:left="0"/>
        <w:rPr>
          <w:rFonts w:hint="eastAsia" w:ascii="宋体" w:hAnsi="宋体" w:cs="宋体"/>
          <w:color w:val="auto"/>
          <w:sz w:val="21"/>
          <w:szCs w:val="21"/>
          <w:highlight w:val="none"/>
        </w:rPr>
      </w:pPr>
    </w:p>
    <w:p w14:paraId="7F232E45">
      <w:pPr>
        <w:pStyle w:val="13"/>
        <w:kinsoku w:val="0"/>
        <w:overflowPunct w:val="0"/>
        <w:ind w:left="0"/>
        <w:rPr>
          <w:rFonts w:hint="eastAsia" w:ascii="宋体" w:hAnsi="宋体" w:cs="宋体"/>
          <w:color w:val="auto"/>
          <w:sz w:val="21"/>
          <w:szCs w:val="21"/>
          <w:highlight w:val="none"/>
        </w:rPr>
      </w:pPr>
    </w:p>
    <w:p w14:paraId="40CE55E5">
      <w:pPr>
        <w:pStyle w:val="4"/>
        <w:tabs>
          <w:tab w:val="left" w:pos="1439"/>
        </w:tabs>
        <w:kinsoku w:val="0"/>
        <w:overflowPunct w:val="0"/>
        <w:spacing w:line="460" w:lineRule="exact"/>
        <w:jc w:val="center"/>
        <w:rPr>
          <w:rFonts w:ascii="宋体" w:hAnsi="宋体" w:eastAsia="宋体" w:cs="宋体"/>
          <w:b/>
          <w:bCs/>
          <w:color w:val="auto"/>
          <w:sz w:val="32"/>
          <w:szCs w:val="32"/>
          <w:highlight w:val="none"/>
        </w:rPr>
      </w:pPr>
      <w:bookmarkStart w:id="197" w:name="第五章__技术规范"/>
      <w:bookmarkEnd w:id="197"/>
      <w:bookmarkStart w:id="198" w:name="bookmark36"/>
      <w:bookmarkEnd w:id="198"/>
      <w:bookmarkStart w:id="199" w:name="_Toc514759062"/>
      <w:bookmarkStart w:id="200" w:name="_Toc517163149"/>
      <w:r>
        <w:rPr>
          <w:rFonts w:ascii="宋体" w:hAnsi="宋体" w:eastAsia="宋体" w:cs="宋体"/>
          <w:b/>
          <w:bCs/>
          <w:color w:val="auto"/>
          <w:sz w:val="32"/>
          <w:szCs w:val="32"/>
          <w:highlight w:val="none"/>
        </w:rPr>
        <w:t>第五章</w:t>
      </w:r>
      <w:r>
        <w:rPr>
          <w:rFonts w:ascii="宋体" w:hAnsi="宋体" w:eastAsia="宋体" w:cs="宋体"/>
          <w:b/>
          <w:bCs/>
          <w:color w:val="auto"/>
          <w:sz w:val="32"/>
          <w:szCs w:val="32"/>
          <w:highlight w:val="none"/>
        </w:rPr>
        <w:tab/>
      </w:r>
      <w:r>
        <w:rPr>
          <w:rFonts w:ascii="宋体" w:hAnsi="宋体" w:eastAsia="宋体" w:cs="宋体"/>
          <w:b/>
          <w:bCs/>
          <w:color w:val="auto"/>
          <w:sz w:val="32"/>
          <w:szCs w:val="32"/>
          <w:highlight w:val="none"/>
        </w:rPr>
        <w:t>技术规范</w:t>
      </w:r>
      <w:bookmarkEnd w:id="199"/>
      <w:bookmarkEnd w:id="200"/>
    </w:p>
    <w:p w14:paraId="1C37BBD3">
      <w:pPr>
        <w:pStyle w:val="13"/>
        <w:kinsoku w:val="0"/>
        <w:overflowPunct w:val="0"/>
        <w:ind w:left="0"/>
        <w:rPr>
          <w:rFonts w:hint="eastAsia" w:ascii="宋体" w:hAnsi="宋体" w:cs="宋体"/>
          <w:color w:val="auto"/>
          <w:sz w:val="32"/>
          <w:szCs w:val="32"/>
          <w:highlight w:val="none"/>
        </w:rPr>
      </w:pPr>
    </w:p>
    <w:p w14:paraId="129581C6">
      <w:pPr>
        <w:pStyle w:val="13"/>
        <w:kinsoku w:val="0"/>
        <w:overflowPunct w:val="0"/>
        <w:ind w:left="0"/>
        <w:rPr>
          <w:rFonts w:hint="eastAsia" w:ascii="宋体" w:hAnsi="宋体" w:cs="宋体"/>
          <w:color w:val="auto"/>
          <w:sz w:val="21"/>
          <w:szCs w:val="21"/>
          <w:highlight w:val="none"/>
        </w:rPr>
      </w:pPr>
    </w:p>
    <w:p w14:paraId="6E3B319A">
      <w:pPr>
        <w:pStyle w:val="13"/>
        <w:kinsoku w:val="0"/>
        <w:overflowPunct w:val="0"/>
        <w:ind w:left="0"/>
        <w:rPr>
          <w:rFonts w:hint="eastAsia" w:ascii="宋体" w:hAnsi="宋体" w:cs="宋体"/>
          <w:color w:val="auto"/>
          <w:sz w:val="21"/>
          <w:szCs w:val="21"/>
          <w:highlight w:val="none"/>
        </w:rPr>
      </w:pPr>
    </w:p>
    <w:p w14:paraId="36832FD4">
      <w:pPr>
        <w:tabs>
          <w:tab w:val="left" w:pos="1080"/>
        </w:tabs>
        <w:spacing w:line="360" w:lineRule="auto"/>
        <w:ind w:firstLine="413" w:firstLineChars="196"/>
        <w:rPr>
          <w:rFonts w:ascii="宋体" w:hAnsi="宋体" w:cs="宋体"/>
          <w:b/>
          <w:color w:val="auto"/>
          <w:sz w:val="21"/>
          <w:szCs w:val="21"/>
          <w:highlight w:val="none"/>
        </w:rPr>
      </w:pPr>
      <w:r>
        <w:rPr>
          <w:rFonts w:ascii="宋体" w:hAnsi="宋体" w:cs="宋体"/>
          <w:b/>
          <w:color w:val="auto"/>
          <w:sz w:val="21"/>
          <w:szCs w:val="21"/>
          <w:highlight w:val="none"/>
        </w:rPr>
        <w:t>本章技术规范采用交通运输部《公路工程标准施工招标文件》（2018年版）的技术规范，增加技术规范专用条款。</w:t>
      </w:r>
    </w:p>
    <w:p w14:paraId="4A75A8C0">
      <w:pPr>
        <w:tabs>
          <w:tab w:val="left" w:pos="1080"/>
        </w:tabs>
        <w:spacing w:line="360" w:lineRule="auto"/>
        <w:ind w:firstLine="413" w:firstLineChars="196"/>
        <w:rPr>
          <w:rFonts w:ascii="宋体" w:hAnsi="宋体" w:cs="宋体"/>
          <w:b/>
          <w:color w:val="auto"/>
          <w:sz w:val="21"/>
          <w:szCs w:val="21"/>
          <w:highlight w:val="none"/>
        </w:rPr>
      </w:pPr>
    </w:p>
    <w:p w14:paraId="5637BECF">
      <w:pPr>
        <w:tabs>
          <w:tab w:val="left" w:pos="1080"/>
        </w:tabs>
        <w:spacing w:line="360" w:lineRule="auto"/>
        <w:ind w:firstLine="413" w:firstLineChars="196"/>
        <w:rPr>
          <w:rFonts w:ascii="宋体" w:hAnsi="宋体" w:cs="宋体"/>
          <w:b/>
          <w:color w:val="auto"/>
          <w:sz w:val="21"/>
          <w:szCs w:val="21"/>
          <w:highlight w:val="none"/>
        </w:rPr>
      </w:pPr>
    </w:p>
    <w:p w14:paraId="6919AC39">
      <w:pPr>
        <w:tabs>
          <w:tab w:val="left" w:pos="1080"/>
        </w:tabs>
        <w:spacing w:line="360" w:lineRule="auto"/>
        <w:ind w:firstLine="413" w:firstLineChars="196"/>
        <w:rPr>
          <w:rFonts w:ascii="宋体" w:hAnsi="宋体" w:cs="宋体"/>
          <w:b/>
          <w:color w:val="auto"/>
          <w:sz w:val="21"/>
          <w:szCs w:val="21"/>
          <w:highlight w:val="none"/>
        </w:rPr>
      </w:pPr>
    </w:p>
    <w:p w14:paraId="22855041">
      <w:pPr>
        <w:tabs>
          <w:tab w:val="left" w:pos="1080"/>
        </w:tabs>
        <w:spacing w:line="360" w:lineRule="auto"/>
        <w:ind w:firstLine="413" w:firstLineChars="196"/>
        <w:rPr>
          <w:rFonts w:ascii="宋体" w:hAnsi="宋体" w:cs="宋体"/>
          <w:b/>
          <w:color w:val="auto"/>
          <w:sz w:val="21"/>
          <w:szCs w:val="21"/>
          <w:highlight w:val="none"/>
        </w:rPr>
      </w:pPr>
    </w:p>
    <w:p w14:paraId="3043E208">
      <w:pPr>
        <w:tabs>
          <w:tab w:val="left" w:pos="1080"/>
        </w:tabs>
        <w:spacing w:line="360" w:lineRule="auto"/>
        <w:ind w:firstLine="413" w:firstLineChars="196"/>
        <w:rPr>
          <w:rFonts w:ascii="宋体" w:hAnsi="宋体" w:cs="宋体"/>
          <w:b/>
          <w:color w:val="auto"/>
          <w:sz w:val="21"/>
          <w:szCs w:val="21"/>
          <w:highlight w:val="none"/>
        </w:rPr>
      </w:pPr>
    </w:p>
    <w:p w14:paraId="11F49559">
      <w:pPr>
        <w:tabs>
          <w:tab w:val="left" w:pos="1080"/>
        </w:tabs>
        <w:spacing w:line="360" w:lineRule="auto"/>
        <w:ind w:firstLine="413" w:firstLineChars="196"/>
        <w:rPr>
          <w:rFonts w:ascii="宋体" w:hAnsi="宋体" w:cs="宋体"/>
          <w:b/>
          <w:color w:val="auto"/>
          <w:sz w:val="21"/>
          <w:szCs w:val="21"/>
          <w:highlight w:val="none"/>
        </w:rPr>
      </w:pPr>
    </w:p>
    <w:p w14:paraId="487F0C44">
      <w:pPr>
        <w:tabs>
          <w:tab w:val="left" w:pos="1080"/>
        </w:tabs>
        <w:spacing w:line="360" w:lineRule="auto"/>
        <w:ind w:firstLine="413" w:firstLineChars="196"/>
        <w:rPr>
          <w:rFonts w:ascii="宋体" w:hAnsi="宋体" w:cs="宋体"/>
          <w:b/>
          <w:color w:val="auto"/>
          <w:sz w:val="21"/>
          <w:szCs w:val="21"/>
          <w:highlight w:val="none"/>
        </w:rPr>
      </w:pPr>
    </w:p>
    <w:p w14:paraId="7A1686E4">
      <w:pPr>
        <w:tabs>
          <w:tab w:val="left" w:pos="1080"/>
        </w:tabs>
        <w:spacing w:line="360" w:lineRule="auto"/>
        <w:ind w:firstLine="413" w:firstLineChars="196"/>
        <w:rPr>
          <w:rFonts w:ascii="宋体" w:hAnsi="宋体" w:cs="宋体"/>
          <w:b/>
          <w:color w:val="auto"/>
          <w:sz w:val="21"/>
          <w:szCs w:val="21"/>
          <w:highlight w:val="none"/>
        </w:rPr>
      </w:pPr>
    </w:p>
    <w:p w14:paraId="755854A0">
      <w:pPr>
        <w:tabs>
          <w:tab w:val="left" w:pos="1080"/>
        </w:tabs>
        <w:spacing w:line="360" w:lineRule="auto"/>
        <w:ind w:firstLine="413" w:firstLineChars="196"/>
        <w:rPr>
          <w:rFonts w:ascii="宋体" w:hAnsi="宋体" w:cs="宋体"/>
          <w:b/>
          <w:color w:val="auto"/>
          <w:sz w:val="21"/>
          <w:szCs w:val="21"/>
          <w:highlight w:val="none"/>
        </w:rPr>
      </w:pPr>
    </w:p>
    <w:p w14:paraId="54FF6AC8">
      <w:pPr>
        <w:tabs>
          <w:tab w:val="left" w:pos="1080"/>
        </w:tabs>
        <w:spacing w:line="360" w:lineRule="auto"/>
        <w:ind w:firstLine="413" w:firstLineChars="196"/>
        <w:rPr>
          <w:rFonts w:ascii="宋体" w:hAnsi="宋体" w:cs="宋体"/>
          <w:b/>
          <w:color w:val="auto"/>
          <w:sz w:val="21"/>
          <w:szCs w:val="21"/>
          <w:highlight w:val="none"/>
        </w:rPr>
      </w:pPr>
    </w:p>
    <w:p w14:paraId="6C992539">
      <w:pPr>
        <w:tabs>
          <w:tab w:val="left" w:pos="1080"/>
        </w:tabs>
        <w:spacing w:line="360" w:lineRule="auto"/>
        <w:ind w:firstLine="413" w:firstLineChars="196"/>
        <w:rPr>
          <w:rFonts w:ascii="宋体" w:hAnsi="宋体" w:cs="宋体"/>
          <w:b/>
          <w:color w:val="auto"/>
          <w:sz w:val="21"/>
          <w:szCs w:val="21"/>
          <w:highlight w:val="none"/>
        </w:rPr>
      </w:pPr>
    </w:p>
    <w:p w14:paraId="35493BD5">
      <w:pPr>
        <w:tabs>
          <w:tab w:val="left" w:pos="1080"/>
        </w:tabs>
        <w:spacing w:line="360" w:lineRule="auto"/>
        <w:ind w:firstLine="413" w:firstLineChars="196"/>
        <w:rPr>
          <w:rFonts w:ascii="宋体" w:hAnsi="宋体" w:cs="宋体"/>
          <w:b/>
          <w:color w:val="auto"/>
          <w:sz w:val="21"/>
          <w:szCs w:val="21"/>
          <w:highlight w:val="none"/>
        </w:rPr>
      </w:pPr>
    </w:p>
    <w:p w14:paraId="6C04C7AB">
      <w:pPr>
        <w:tabs>
          <w:tab w:val="left" w:pos="1080"/>
        </w:tabs>
        <w:spacing w:line="360" w:lineRule="auto"/>
        <w:ind w:firstLine="413" w:firstLineChars="196"/>
        <w:rPr>
          <w:rFonts w:ascii="宋体" w:hAnsi="宋体" w:cs="宋体"/>
          <w:b/>
          <w:color w:val="auto"/>
          <w:sz w:val="21"/>
          <w:szCs w:val="21"/>
          <w:highlight w:val="none"/>
        </w:rPr>
      </w:pPr>
    </w:p>
    <w:p w14:paraId="0FF5C9E4">
      <w:pPr>
        <w:tabs>
          <w:tab w:val="left" w:pos="1080"/>
        </w:tabs>
        <w:spacing w:line="360" w:lineRule="auto"/>
        <w:ind w:firstLine="413" w:firstLineChars="196"/>
        <w:rPr>
          <w:rFonts w:ascii="宋体" w:hAnsi="宋体" w:cs="宋体"/>
          <w:b/>
          <w:color w:val="auto"/>
          <w:sz w:val="21"/>
          <w:szCs w:val="21"/>
          <w:highlight w:val="none"/>
        </w:rPr>
      </w:pPr>
    </w:p>
    <w:p w14:paraId="79ECF559">
      <w:pPr>
        <w:tabs>
          <w:tab w:val="left" w:pos="1080"/>
        </w:tabs>
        <w:spacing w:line="360" w:lineRule="auto"/>
        <w:ind w:firstLine="413" w:firstLineChars="196"/>
        <w:rPr>
          <w:rFonts w:ascii="宋体" w:hAnsi="宋体" w:cs="宋体"/>
          <w:b/>
          <w:color w:val="auto"/>
          <w:sz w:val="21"/>
          <w:szCs w:val="21"/>
          <w:highlight w:val="none"/>
        </w:rPr>
      </w:pPr>
    </w:p>
    <w:p w14:paraId="4849D85A">
      <w:pPr>
        <w:tabs>
          <w:tab w:val="left" w:pos="1080"/>
        </w:tabs>
        <w:spacing w:line="360" w:lineRule="auto"/>
        <w:ind w:firstLine="413" w:firstLineChars="196"/>
        <w:rPr>
          <w:rFonts w:ascii="宋体" w:hAnsi="宋体" w:cs="宋体"/>
          <w:b/>
          <w:color w:val="auto"/>
          <w:sz w:val="21"/>
          <w:szCs w:val="21"/>
          <w:highlight w:val="none"/>
        </w:rPr>
      </w:pPr>
    </w:p>
    <w:p w14:paraId="68752B33">
      <w:pPr>
        <w:tabs>
          <w:tab w:val="left" w:pos="1080"/>
        </w:tabs>
        <w:spacing w:line="360" w:lineRule="auto"/>
        <w:ind w:firstLine="413" w:firstLineChars="196"/>
        <w:rPr>
          <w:rFonts w:ascii="宋体" w:hAnsi="宋体" w:cs="宋体"/>
          <w:b/>
          <w:color w:val="auto"/>
          <w:sz w:val="21"/>
          <w:szCs w:val="21"/>
          <w:highlight w:val="none"/>
        </w:rPr>
      </w:pPr>
    </w:p>
    <w:p w14:paraId="1453CC6D">
      <w:pPr>
        <w:tabs>
          <w:tab w:val="left" w:pos="1080"/>
        </w:tabs>
        <w:spacing w:line="360" w:lineRule="auto"/>
        <w:ind w:firstLine="413" w:firstLineChars="196"/>
        <w:rPr>
          <w:rFonts w:ascii="宋体" w:hAnsi="宋体" w:cs="宋体"/>
          <w:b/>
          <w:color w:val="auto"/>
          <w:sz w:val="21"/>
          <w:szCs w:val="21"/>
          <w:highlight w:val="none"/>
        </w:rPr>
      </w:pPr>
    </w:p>
    <w:p w14:paraId="4E1D9B5F">
      <w:pPr>
        <w:tabs>
          <w:tab w:val="left" w:pos="1080"/>
        </w:tabs>
        <w:spacing w:line="360" w:lineRule="auto"/>
        <w:ind w:firstLine="413" w:firstLineChars="196"/>
        <w:rPr>
          <w:rFonts w:ascii="宋体" w:hAnsi="宋体" w:cs="宋体"/>
          <w:b/>
          <w:color w:val="auto"/>
          <w:sz w:val="21"/>
          <w:szCs w:val="21"/>
          <w:highlight w:val="none"/>
        </w:rPr>
      </w:pPr>
    </w:p>
    <w:p w14:paraId="655C1AA2">
      <w:pPr>
        <w:tabs>
          <w:tab w:val="left" w:pos="1080"/>
        </w:tabs>
        <w:spacing w:line="360" w:lineRule="auto"/>
        <w:ind w:firstLine="413" w:firstLineChars="196"/>
        <w:rPr>
          <w:rFonts w:ascii="宋体" w:hAnsi="宋体" w:cs="宋体"/>
          <w:b/>
          <w:color w:val="auto"/>
          <w:sz w:val="21"/>
          <w:szCs w:val="21"/>
          <w:highlight w:val="none"/>
        </w:rPr>
      </w:pPr>
    </w:p>
    <w:p w14:paraId="49D56824">
      <w:pPr>
        <w:tabs>
          <w:tab w:val="left" w:pos="1080"/>
        </w:tabs>
        <w:spacing w:line="360" w:lineRule="auto"/>
        <w:ind w:firstLine="413" w:firstLineChars="196"/>
        <w:rPr>
          <w:rFonts w:ascii="宋体" w:hAnsi="宋体" w:cs="宋体"/>
          <w:b/>
          <w:color w:val="auto"/>
          <w:sz w:val="21"/>
          <w:szCs w:val="21"/>
          <w:highlight w:val="none"/>
        </w:rPr>
      </w:pPr>
    </w:p>
    <w:p w14:paraId="042882B9">
      <w:pPr>
        <w:tabs>
          <w:tab w:val="left" w:pos="1080"/>
        </w:tabs>
        <w:spacing w:line="360" w:lineRule="auto"/>
        <w:ind w:firstLine="413" w:firstLineChars="196"/>
        <w:rPr>
          <w:rFonts w:ascii="宋体" w:hAnsi="宋体" w:cs="宋体"/>
          <w:b/>
          <w:color w:val="auto"/>
          <w:sz w:val="21"/>
          <w:szCs w:val="21"/>
          <w:highlight w:val="none"/>
        </w:rPr>
      </w:pPr>
    </w:p>
    <w:p w14:paraId="55F97E88">
      <w:pPr>
        <w:tabs>
          <w:tab w:val="left" w:pos="1080"/>
        </w:tabs>
        <w:spacing w:line="360" w:lineRule="auto"/>
        <w:ind w:firstLine="413" w:firstLineChars="196"/>
        <w:rPr>
          <w:rFonts w:ascii="宋体" w:hAnsi="宋体" w:cs="宋体"/>
          <w:b/>
          <w:color w:val="auto"/>
          <w:sz w:val="21"/>
          <w:szCs w:val="21"/>
          <w:highlight w:val="none"/>
        </w:rPr>
      </w:pPr>
    </w:p>
    <w:p w14:paraId="78D2F4B6">
      <w:pPr>
        <w:tabs>
          <w:tab w:val="left" w:pos="1080"/>
        </w:tabs>
        <w:spacing w:line="360" w:lineRule="auto"/>
        <w:ind w:firstLine="413" w:firstLineChars="196"/>
        <w:rPr>
          <w:rFonts w:ascii="宋体" w:hAnsi="宋体" w:cs="宋体"/>
          <w:b/>
          <w:color w:val="auto"/>
          <w:sz w:val="21"/>
          <w:szCs w:val="21"/>
          <w:highlight w:val="none"/>
        </w:rPr>
      </w:pPr>
    </w:p>
    <w:p w14:paraId="2969D2A3">
      <w:pPr>
        <w:tabs>
          <w:tab w:val="left" w:pos="1080"/>
        </w:tabs>
        <w:spacing w:line="360" w:lineRule="auto"/>
        <w:ind w:firstLine="413" w:firstLineChars="196"/>
        <w:rPr>
          <w:rFonts w:ascii="宋体" w:hAnsi="宋体" w:cs="宋体"/>
          <w:b/>
          <w:color w:val="auto"/>
          <w:sz w:val="21"/>
          <w:szCs w:val="21"/>
          <w:highlight w:val="none"/>
        </w:rPr>
      </w:pPr>
    </w:p>
    <w:p w14:paraId="19AA31E7">
      <w:pPr>
        <w:tabs>
          <w:tab w:val="left" w:pos="1080"/>
        </w:tabs>
        <w:spacing w:line="360" w:lineRule="auto"/>
        <w:ind w:firstLine="413" w:firstLineChars="196"/>
        <w:rPr>
          <w:rFonts w:ascii="宋体" w:hAnsi="宋体" w:cs="宋体"/>
          <w:b/>
          <w:color w:val="auto"/>
          <w:sz w:val="21"/>
          <w:szCs w:val="21"/>
          <w:highlight w:val="none"/>
        </w:rPr>
      </w:pPr>
    </w:p>
    <w:p w14:paraId="7D8B84EE">
      <w:pPr>
        <w:tabs>
          <w:tab w:val="left" w:pos="1080"/>
        </w:tabs>
        <w:spacing w:line="360" w:lineRule="auto"/>
        <w:ind w:firstLine="413" w:firstLineChars="196"/>
        <w:rPr>
          <w:rFonts w:ascii="宋体" w:hAnsi="宋体" w:cs="宋体"/>
          <w:b/>
          <w:color w:val="auto"/>
          <w:sz w:val="21"/>
          <w:szCs w:val="21"/>
          <w:highlight w:val="none"/>
        </w:rPr>
      </w:pPr>
    </w:p>
    <w:p w14:paraId="66714E31">
      <w:pPr>
        <w:tabs>
          <w:tab w:val="left" w:pos="1080"/>
        </w:tabs>
        <w:spacing w:line="360" w:lineRule="auto"/>
        <w:ind w:firstLine="413" w:firstLineChars="196"/>
        <w:rPr>
          <w:rFonts w:ascii="宋体" w:hAnsi="宋体" w:cs="宋体"/>
          <w:b/>
          <w:color w:val="auto"/>
          <w:sz w:val="21"/>
          <w:szCs w:val="21"/>
          <w:highlight w:val="none"/>
        </w:rPr>
      </w:pPr>
    </w:p>
    <w:p w14:paraId="1529CA2B">
      <w:pPr>
        <w:tabs>
          <w:tab w:val="left" w:pos="1080"/>
        </w:tabs>
        <w:spacing w:line="360" w:lineRule="auto"/>
        <w:ind w:firstLine="413" w:firstLineChars="196"/>
        <w:rPr>
          <w:rFonts w:ascii="宋体" w:hAnsi="宋体" w:cs="宋体"/>
          <w:b/>
          <w:color w:val="auto"/>
          <w:sz w:val="21"/>
          <w:szCs w:val="21"/>
          <w:highlight w:val="none"/>
        </w:rPr>
      </w:pPr>
    </w:p>
    <w:p w14:paraId="0411C1E6">
      <w:pPr>
        <w:pStyle w:val="4"/>
        <w:jc w:val="center"/>
        <w:rPr>
          <w:rFonts w:ascii="宋体" w:hAnsi="宋体" w:eastAsia="宋体" w:cs="宋体"/>
          <w:color w:val="auto"/>
          <w:highlight w:val="none"/>
        </w:rPr>
      </w:pPr>
      <w:bookmarkStart w:id="201" w:name="_Toc517163150"/>
      <w:bookmarkStart w:id="202" w:name="_Toc511595206"/>
      <w:bookmarkStart w:id="203" w:name="_Toc508779722"/>
      <w:bookmarkStart w:id="204" w:name="_Toc24580"/>
      <w:r>
        <w:rPr>
          <w:rFonts w:ascii="宋体" w:hAnsi="宋体" w:eastAsia="宋体" w:cs="宋体"/>
          <w:color w:val="auto"/>
          <w:highlight w:val="none"/>
        </w:rPr>
        <w:t>技术规范专用条款</w:t>
      </w:r>
      <w:bookmarkEnd w:id="201"/>
      <w:bookmarkEnd w:id="202"/>
      <w:bookmarkEnd w:id="203"/>
      <w:bookmarkEnd w:id="204"/>
    </w:p>
    <w:p w14:paraId="1375049E">
      <w:pPr>
        <w:ind w:firstLine="420"/>
        <w:rPr>
          <w:rFonts w:ascii="宋体" w:hAnsi="宋体" w:cs="宋体"/>
          <w:color w:val="auto"/>
          <w:highlight w:val="none"/>
        </w:rPr>
      </w:pPr>
    </w:p>
    <w:p w14:paraId="018D473E">
      <w:pPr>
        <w:pStyle w:val="5"/>
        <w:jc w:val="center"/>
        <w:rPr>
          <w:rFonts w:hint="default" w:hAnsi="宋体" w:eastAsia="宋体" w:cs="宋体"/>
          <w:color w:val="auto"/>
          <w:highlight w:val="none"/>
          <w:lang w:val="en-US" w:eastAsia="zh-CN"/>
        </w:rPr>
      </w:pPr>
      <w:bookmarkStart w:id="205" w:name="_Toc508779723"/>
      <w:bookmarkStart w:id="206" w:name="_Toc4261"/>
      <w:bookmarkStart w:id="207" w:name="_Toc511595207"/>
      <w:r>
        <w:rPr>
          <w:rFonts w:hAnsi="宋体" w:cs="宋体"/>
          <w:color w:val="auto"/>
          <w:highlight w:val="none"/>
        </w:rPr>
        <w:t>一、技术规范专用条款说明</w:t>
      </w:r>
      <w:bookmarkEnd w:id="205"/>
      <w:bookmarkEnd w:id="206"/>
      <w:bookmarkEnd w:id="207"/>
      <w:r>
        <w:rPr>
          <w:rFonts w:hint="eastAsia" w:hAnsi="宋体" w:cs="宋体"/>
          <w:color w:val="auto"/>
          <w:highlight w:val="none"/>
          <w:lang w:val="en-US" w:eastAsia="zh-CN"/>
        </w:rPr>
        <w:t xml:space="preserve">  </w:t>
      </w:r>
    </w:p>
    <w:p w14:paraId="40EF2D54">
      <w:pPr>
        <w:pStyle w:val="14"/>
        <w:spacing w:line="360" w:lineRule="auto"/>
        <w:ind w:left="0" w:leftChars="0" w:firstLine="420"/>
        <w:rPr>
          <w:rFonts w:hint="eastAsia" w:ascii="宋体" w:hAnsi="宋体" w:cs="宋体"/>
          <w:color w:val="auto"/>
          <w:szCs w:val="21"/>
          <w:highlight w:val="none"/>
        </w:rPr>
      </w:pPr>
    </w:p>
    <w:p w14:paraId="6218B3FD">
      <w:pPr>
        <w:pStyle w:val="14"/>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1、技术规范专用条款是《技术规范》条款中明确指出要在技术规范专用条款中予以具体规定的信息或与工程所在地具体情况有关的规定，是必备的配套条款。</w:t>
      </w:r>
    </w:p>
    <w:p w14:paraId="78F088A5">
      <w:pPr>
        <w:pStyle w:val="14"/>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2、技术规范专用条款是根据养护工程具体情况对《技术规范》条款的补充、删改或具体化，阅读时应与交通运输部《公路工程标准施工招标文件》（2018年版）同时阅读。</w:t>
      </w:r>
    </w:p>
    <w:p w14:paraId="685CF7A3">
      <w:pPr>
        <w:spacing w:line="360" w:lineRule="auto"/>
        <w:ind w:firstLine="480"/>
        <w:rPr>
          <w:rFonts w:ascii="宋体" w:hAnsi="宋体" w:cs="宋体"/>
          <w:color w:val="auto"/>
          <w:szCs w:val="24"/>
          <w:highlight w:val="none"/>
        </w:rPr>
      </w:pPr>
      <w:r>
        <w:rPr>
          <w:rFonts w:ascii="宋体" w:hAnsi="宋体" w:cs="宋体"/>
          <w:color w:val="auto"/>
          <w:szCs w:val="24"/>
          <w:highlight w:val="none"/>
        </w:rPr>
        <w:t>3、如果技术规范专用条款与《技术规范》条款之间有不符之处，以技术规范专用条款为准。</w:t>
      </w:r>
    </w:p>
    <w:p w14:paraId="040C92E2">
      <w:pPr>
        <w:autoSpaceDE/>
        <w:autoSpaceDN/>
        <w:spacing w:line="360" w:lineRule="auto"/>
        <w:ind w:firstLine="480" w:firstLineChars="200"/>
        <w:jc w:val="both"/>
        <w:rPr>
          <w:rFonts w:ascii="宋体" w:hAnsi="宋体" w:cs="宋体"/>
          <w:color w:val="auto"/>
          <w:kern w:val="2"/>
          <w:szCs w:val="24"/>
          <w:highlight w:val="none"/>
        </w:rPr>
      </w:pPr>
      <w:r>
        <w:rPr>
          <w:rFonts w:ascii="宋体" w:hAnsi="宋体" w:cs="宋体"/>
          <w:color w:val="auto"/>
          <w:kern w:val="2"/>
          <w:szCs w:val="24"/>
          <w:highlight w:val="none"/>
        </w:rPr>
        <w:t>4、本项目要求按《公路工程技术标准》（JTGB01—2014）、《公路技术状况评定标准》（JTG H20—2007）、《公路工程质量检验评定标准》（JTG F80/1-2017）、《公路交通标志和标线设置规范》</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JTG D82-2009</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、《道路交通标志和标线》</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GB 5768.1-2009</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、《道路交通标志和标线》</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GB 5768.2-2022</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、《道路交通标志和标线》</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GB 5768.3-2009</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、《公路交通安全设施施工技术规范》</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JTG F71-2021</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、《公路交通安全设施设计规范》</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JTG D81-2017</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、《公路养护技术规范》</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JTG H10-2009</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、《公路养护安全作业规程》</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JTG H30-2015</w:t>
      </w:r>
      <w:r>
        <w:rPr>
          <w:rFonts w:hint="eastAsia" w:ascii="宋体" w:hAnsi="宋体" w:cs="宋体"/>
          <w:color w:val="auto"/>
          <w:kern w:val="2"/>
          <w:szCs w:val="24"/>
          <w:highlight w:val="none"/>
          <w:lang w:eastAsia="zh-CN"/>
        </w:rPr>
        <w:t>）</w:t>
      </w:r>
      <w:r>
        <w:rPr>
          <w:rFonts w:ascii="宋体" w:hAnsi="宋体" w:cs="宋体"/>
          <w:color w:val="auto"/>
          <w:kern w:val="2"/>
          <w:szCs w:val="24"/>
          <w:highlight w:val="none"/>
        </w:rPr>
        <w:t>等国家和交通运输部颁发的最新标准和规范执行；</w:t>
      </w:r>
      <w:r>
        <w:rPr>
          <w:rFonts w:hint="eastAsia" w:ascii="宋体" w:hAnsi="宋体" w:cs="宋体"/>
          <w:color w:val="auto"/>
          <w:kern w:val="2"/>
          <w:szCs w:val="24"/>
          <w:highlight w:val="none"/>
          <w:lang w:eastAsia="zh-CN"/>
        </w:rPr>
        <w:t>磋商文件</w:t>
      </w:r>
      <w:r>
        <w:rPr>
          <w:rFonts w:ascii="宋体" w:hAnsi="宋体" w:cs="宋体"/>
          <w:color w:val="auto"/>
          <w:kern w:val="2"/>
          <w:szCs w:val="24"/>
          <w:highlight w:val="none"/>
        </w:rPr>
        <w:t>《技术规范》内容与交通运输部颁发的最新标准和规范相矛盾的，以交通运输部颁发的标准或规范为准。</w:t>
      </w:r>
    </w:p>
    <w:p w14:paraId="367EA31C">
      <w:pPr>
        <w:pStyle w:val="3"/>
        <w:spacing w:line="360" w:lineRule="auto"/>
        <w:ind w:left="0"/>
        <w:jc w:val="both"/>
        <w:rPr>
          <w:rFonts w:ascii="宋体" w:hAnsi="宋体" w:eastAsia="宋体" w:cs="宋体"/>
          <w:color w:val="auto"/>
          <w:highlight w:val="none"/>
        </w:rPr>
      </w:pPr>
    </w:p>
    <w:p w14:paraId="34C353B5">
      <w:pPr>
        <w:spacing w:line="360" w:lineRule="auto"/>
        <w:rPr>
          <w:rFonts w:ascii="宋体" w:hAnsi="宋体" w:cs="宋体"/>
          <w:color w:val="auto"/>
          <w:highlight w:val="none"/>
        </w:rPr>
      </w:pPr>
    </w:p>
    <w:p w14:paraId="5B608133">
      <w:pPr>
        <w:spacing w:line="380" w:lineRule="atLeast"/>
        <w:ind w:firstLine="500" w:firstLineChars="250"/>
        <w:rPr>
          <w:rFonts w:ascii="宋体" w:hAnsi="宋体" w:cs="宋体"/>
          <w:color w:val="auto"/>
          <w:sz w:val="16"/>
          <w:highlight w:val="none"/>
        </w:rPr>
      </w:pPr>
      <w:r>
        <w:rPr>
          <w:rFonts w:ascii="宋体" w:hAnsi="宋体" w:cs="宋体"/>
          <w:color w:val="auto"/>
          <w:sz w:val="20"/>
          <w:highlight w:val="none"/>
        </w:rPr>
        <w:br w:type="page"/>
      </w:r>
    </w:p>
    <w:p w14:paraId="61EF8E0A">
      <w:pPr>
        <w:pStyle w:val="3"/>
        <w:ind w:left="0"/>
        <w:jc w:val="center"/>
        <w:rPr>
          <w:rFonts w:ascii="宋体" w:hAnsi="宋体" w:eastAsia="宋体" w:cs="宋体"/>
          <w:b/>
          <w:color w:val="auto"/>
          <w:sz w:val="32"/>
          <w:szCs w:val="22"/>
          <w:highlight w:val="none"/>
        </w:rPr>
      </w:pPr>
      <w:bookmarkStart w:id="208" w:name="第六章__工程量清单报价说明"/>
      <w:bookmarkEnd w:id="208"/>
      <w:bookmarkStart w:id="209" w:name="bookmark37"/>
      <w:bookmarkEnd w:id="209"/>
      <w:bookmarkStart w:id="210" w:name="_Toc514759063"/>
      <w:bookmarkStart w:id="211" w:name="_Toc517163151"/>
      <w:r>
        <w:rPr>
          <w:rFonts w:ascii="宋体" w:hAnsi="宋体" w:eastAsia="宋体" w:cs="宋体"/>
          <w:b/>
          <w:color w:val="auto"/>
          <w:sz w:val="32"/>
          <w:szCs w:val="22"/>
          <w:highlight w:val="none"/>
        </w:rPr>
        <w:t>第六章</w:t>
      </w:r>
      <w:r>
        <w:rPr>
          <w:rFonts w:ascii="宋体" w:hAnsi="宋体" w:eastAsia="宋体" w:cs="宋体"/>
          <w:b/>
          <w:color w:val="auto"/>
          <w:sz w:val="32"/>
          <w:szCs w:val="22"/>
          <w:highlight w:val="none"/>
        </w:rPr>
        <w:tab/>
      </w:r>
      <w:r>
        <w:rPr>
          <w:rFonts w:ascii="宋体" w:hAnsi="宋体" w:eastAsia="宋体" w:cs="宋体"/>
          <w:b/>
          <w:color w:val="auto"/>
          <w:sz w:val="32"/>
          <w:szCs w:val="22"/>
          <w:highlight w:val="none"/>
        </w:rPr>
        <w:t>工程量清单</w:t>
      </w:r>
      <w:bookmarkEnd w:id="210"/>
      <w:bookmarkEnd w:id="211"/>
    </w:p>
    <w:p w14:paraId="0603998B">
      <w:pPr>
        <w:pStyle w:val="13"/>
        <w:kinsoku w:val="0"/>
        <w:overflowPunct w:val="0"/>
        <w:spacing w:line="350" w:lineRule="auto"/>
        <w:ind w:left="0" w:firstLine="208"/>
        <w:jc w:val="both"/>
        <w:rPr>
          <w:rFonts w:hint="eastAsia" w:ascii="宋体" w:hAnsi="宋体" w:cs="宋体"/>
          <w:color w:val="auto"/>
          <w:sz w:val="36"/>
          <w:highlight w:val="none"/>
        </w:rPr>
      </w:pPr>
    </w:p>
    <w:p w14:paraId="72F3C94E">
      <w:pPr>
        <w:spacing w:line="360" w:lineRule="auto"/>
        <w:ind w:firstLine="480"/>
        <w:rPr>
          <w:rFonts w:ascii="宋体" w:hAnsi="宋体" w:cs="宋体"/>
          <w:color w:val="auto"/>
          <w:szCs w:val="24"/>
          <w:highlight w:val="none"/>
        </w:rPr>
      </w:pPr>
    </w:p>
    <w:p w14:paraId="68EE99B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一、工程量清单说明</w:t>
      </w:r>
    </w:p>
    <w:p w14:paraId="29F2EAF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 工程量清单说明</w:t>
      </w:r>
    </w:p>
    <w:p w14:paraId="55095C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1.1 本工程量清单是根据</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中包括的、有合同约束力的图纸以及有关工程量清单的国家标准、行业标准、合同条款中约定、财政评审结果的工程量计算规则编制。约定计量规则中没有的子目，其工程量按照有合同约束力的图纸所标示尺寸的理论净量计算。计量采用中华人民共和国法定计量单单位。</w:t>
      </w:r>
    </w:p>
    <w:p w14:paraId="07924DE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 本工程量清单应与</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中的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须知、通用合同条款、专用合同条款、工程量清单计量规则、技术规范及图纸等一起阅读和理解。</w:t>
      </w:r>
    </w:p>
    <w:p w14:paraId="544456D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1.3 本工程量清单中所列工程数量是估算的或设计的预计数量，仅作为投标报价的共同基础，不能作为最终结算与支付的依据。实际支付应按实际完成的工程量，由</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按工程量清单计量规则规定的计量方法，以监理人认可的尺寸、断面计量，按本工程量清单的单价和总额价计算支付金额</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或根据具体情况，按合同条款相关的规定，按监理人确定的单价或总额价计算支付额。</w:t>
      </w:r>
    </w:p>
    <w:p w14:paraId="3BC40C7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1.4 工程量清单各章是按相关技术规范编号的，因此，工程量清单中各章的工程子目的范围与计量等应相关技术规范相应章节的范围、计量与支付条款结合起来理解或解释。</w:t>
      </w:r>
    </w:p>
    <w:p w14:paraId="1C4E78A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 对作业和材料的一般说明或规定，未重复写入工程量清单内，在给工程量清单各子目标价前，应参阅相关技术规范的有关内容。</w:t>
      </w:r>
    </w:p>
    <w:p w14:paraId="2B5FFAB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1.6 工程量清单中所列工程量的变动，丝毫不会降低或影响合同条款的效力，也不免除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按规定的标准进行施工和修复缺陷的责任。</w:t>
      </w:r>
    </w:p>
    <w:p w14:paraId="7348919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1.7 图纸中所列的工程数量表及数量汇总表仅是提供资料，不是工程量清单的外延。当图纸与工程量清单所列数量不一致时，以工程量清单所列数量作为报价的依据。</w:t>
      </w:r>
    </w:p>
    <w:p w14:paraId="3AF6EA8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 投标报价说明</w:t>
      </w:r>
    </w:p>
    <w:p w14:paraId="48995E1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2.1 工程量清单中的每子目须填入单价或价格，且只允许有一个报价。 </w:t>
      </w:r>
    </w:p>
    <w:p w14:paraId="7C5ACFB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2.2 除非合同另有规定，工程量清单中有标价的单价和总额价均已包括了为实施和完成合同工程所需的劳务、材料、机械 质检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自检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、安装、缺陷修复、管理、保险、税费、利润等费用，以及合同明示或暗示的所有责任、义务和一般风险。</w:t>
      </w:r>
    </w:p>
    <w:p w14:paraId="4F80612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2.3 工程量清单中</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没有填入单价或价格的子目，其费用视为已分摊在工程量清单中其他相关子目的单价或价格之中。</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必须按监理人指令完成工程量清单中未填入单价或价格的子目，但不能得到结算与支付。</w:t>
      </w:r>
    </w:p>
    <w:p w14:paraId="29656A8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6E6B26F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2.5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用于本合同工程的各类装备的提供、运输、维护、拆卸、拼装等支付的费用，已包括在工程量清单的单价与总额价之中。</w:t>
      </w:r>
    </w:p>
    <w:p w14:paraId="389D68B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2.6 工程量清单中各项金额均以人民币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结算。</w:t>
      </w:r>
    </w:p>
    <w:p w14:paraId="75D7080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2.7 暂列金额</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不含计日工总额</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的数量及拟用子目的说明：无。  </w:t>
      </w:r>
    </w:p>
    <w:p w14:paraId="1271A34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2.8 暂估价的数量及拟用子目的说明：无。</w:t>
      </w:r>
    </w:p>
    <w:p w14:paraId="07F7B68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2.9 安全生产责任险的保险费已按固定金额列入工程量清单第100章内，不作为竞争性报价。</w:t>
      </w:r>
    </w:p>
    <w:p w14:paraId="418CA9A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2.10 工程量清单中安全生产费用不按</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公布的最高投标限价的1.5%填报的，</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作废标处理。</w:t>
      </w:r>
    </w:p>
    <w:p w14:paraId="5006182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3.计日工说明</w:t>
      </w:r>
    </w:p>
    <w:p w14:paraId="741F764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3.1总则</w:t>
      </w:r>
    </w:p>
    <w:p w14:paraId="315E104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（1）本说明应参照通用合同条款相关条款一并理解。</w:t>
      </w:r>
    </w:p>
    <w:p w14:paraId="41EC45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（2）未经监理人书面指令，任何工程不得按计日工施工；接到监理人按计日工施工的书面指令，</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也不得拒绝。</w:t>
      </w:r>
    </w:p>
    <w:p w14:paraId="7676A3C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应在计日工单价表中填列计日工子目的基本单价或租价，该基本单价或租价适用于监理人指令的任何数量的计日工的结算与支付。计日工的劳务、材料和施工机械由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或发包人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列出正常的估计数量，</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报出单价，计算出计日工总额后列入工程量清单汇总表中并进入</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价。</w:t>
      </w:r>
    </w:p>
    <w:p w14:paraId="4E6742F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（4）计日工不调价。</w:t>
      </w:r>
    </w:p>
    <w:p w14:paraId="26FB0A4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3.2计日工劳务</w:t>
      </w:r>
    </w:p>
    <w:p w14:paraId="1C35456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（1）在计算应付给</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工长</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和其他质检管理人员。</w:t>
      </w:r>
    </w:p>
    <w:p w14:paraId="4CB4C23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可以得到用于计日工劳务的全部工时的支付，此支付按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填报的“计日工劳务单价表”所列单价计算，该单价应包括基本单价及</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的管理费、税费、利润等所有附加费，说明如下</w:t>
      </w:r>
      <w:r>
        <w:rPr>
          <w:rFonts w:hint="eastAsia" w:ascii="宋体" w:hAnsi="宋体" w:eastAsia="宋体" w:cs="宋体"/>
          <w:color w:val="auto"/>
          <w:highlight w:val="none"/>
          <w:lang w:eastAsia="zh-CN"/>
        </w:rPr>
        <w:t>：</w:t>
      </w:r>
    </w:p>
    <w:p w14:paraId="27B424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a.劳务基本单价包括:</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劳务的全部直接费用，如:工资、加班费、津贴、福利费及劳动保护费等。</w:t>
      </w:r>
    </w:p>
    <w:p w14:paraId="42A27B4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b.</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的利润、管理、质检、保险、税费；易耗品的使用,水电及照明费，工作台、脚手架、临时设施费，手动机具与工具的使用及维修，以及上述各项伴随而来的费用。</w:t>
      </w:r>
    </w:p>
    <w:p w14:paraId="6C2DB68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3.3计日工材料</w:t>
      </w:r>
    </w:p>
    <w:p w14:paraId="40747A9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可以得到计日工使用的材料费用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上述3.2款已计入劳务费内的材料费用除外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的支付，此费用按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“计日工材料单价表”中所填报的单价计算，该单价应包括基本单价及</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的管理费、税费、利润等所有附加费，说明如下：</w:t>
      </w:r>
    </w:p>
    <w:p w14:paraId="6097731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（1）材料基本单价按供货价加运杂费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到达</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现场仓库</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、保险费、仓库管理费以及运输损耗等计算；</w:t>
      </w:r>
    </w:p>
    <w:p w14:paraId="3CB22A5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的利润、管理、质检、保险、税费及其他附加费；</w:t>
      </w:r>
    </w:p>
    <w:p w14:paraId="473E75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（3）从现场运至使用地点的人工费和施工机械使用费不包括在上述基本单价内。</w:t>
      </w:r>
    </w:p>
    <w:p w14:paraId="57DB879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3.4计日工施工机械</w:t>
      </w:r>
    </w:p>
    <w:p w14:paraId="260906A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可以得到用于计日工作业的施工机械费用的支付，该费用按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填报的“计日工施工机械单价表”中的租价计算。该租价应包括施工机械的折旧、利息、维修、保养、零配件、油燃料、保险和其他消耗品的费用以及全部有关使用这些机械的管理费、税费、利润和司机与助手的劳务费等费用。</w:t>
      </w:r>
    </w:p>
    <w:p w14:paraId="633C9B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（2）在计日工作业中，</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计算所用的施工机械费用时，应按实际工作小时支付。除非经监理人的同意，计算的工作小时才能将施工机械从现场某处运到监理人指令的计日工作业的另一现场往返运送时间包括在内。</w:t>
      </w:r>
    </w:p>
    <w:p w14:paraId="1A33E8D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 其他说明</w:t>
      </w:r>
    </w:p>
    <w:p w14:paraId="5B466FF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4.1 工程量清单第100章总则部分，除所列子目单独计量外，其他未列入本次招标工程量清单的子目费用均包含在工程量清单相关子目单价或价格中，发包人不另单独计量支付。</w:t>
      </w:r>
    </w:p>
    <w:p w14:paraId="1E099441">
      <w:pPr>
        <w:spacing w:line="360" w:lineRule="auto"/>
        <w:ind w:firstLine="480"/>
        <w:rPr>
          <w:rFonts w:ascii="宋体" w:hAnsi="宋体" w:cs="宋体"/>
          <w:color w:val="auto"/>
          <w:szCs w:val="24"/>
          <w:highlight w:val="none"/>
        </w:rPr>
        <w:sectPr>
          <w:pgSz w:w="11910" w:h="16840"/>
          <w:pgMar w:top="1100" w:right="1202" w:bottom="919" w:left="1298" w:header="720" w:footer="720" w:gutter="0"/>
          <w:cols w:space="720" w:num="1"/>
        </w:sectPr>
      </w:pPr>
      <w:r>
        <w:rPr>
          <w:rFonts w:ascii="宋体" w:hAnsi="宋体" w:cs="宋体"/>
          <w:color w:val="auto"/>
          <w:szCs w:val="24"/>
          <w:highlight w:val="none"/>
        </w:rPr>
        <w:t>二、工程量清单另册提供</w:t>
      </w:r>
    </w:p>
    <w:p w14:paraId="5B392080">
      <w:pPr>
        <w:pStyle w:val="13"/>
        <w:kinsoku w:val="0"/>
        <w:overflowPunct w:val="0"/>
        <w:ind w:left="0"/>
        <w:rPr>
          <w:rFonts w:hint="eastAsia" w:ascii="宋体" w:hAnsi="宋体" w:cs="宋体"/>
          <w:color w:val="auto"/>
          <w:sz w:val="26"/>
          <w:highlight w:val="none"/>
        </w:rPr>
      </w:pPr>
    </w:p>
    <w:p w14:paraId="1452CD91">
      <w:pPr>
        <w:pStyle w:val="4"/>
        <w:tabs>
          <w:tab w:val="left" w:pos="4451"/>
        </w:tabs>
        <w:kinsoku w:val="0"/>
        <w:overflowPunct w:val="0"/>
        <w:spacing w:line="460" w:lineRule="exact"/>
        <w:rPr>
          <w:rFonts w:ascii="宋体" w:hAnsi="宋体" w:eastAsia="宋体" w:cs="宋体"/>
          <w:b/>
          <w:color w:val="auto"/>
          <w:highlight w:val="none"/>
        </w:rPr>
      </w:pPr>
      <w:bookmarkStart w:id="212" w:name="bookmark38"/>
      <w:bookmarkEnd w:id="212"/>
      <w:bookmarkStart w:id="213" w:name="第七章__竞标文件格式"/>
      <w:bookmarkEnd w:id="213"/>
      <w:bookmarkStart w:id="214" w:name="_Toc517163152"/>
      <w:bookmarkStart w:id="215" w:name="_Toc514759064"/>
      <w:r>
        <w:rPr>
          <w:rFonts w:ascii="宋体" w:hAnsi="宋体" w:eastAsia="宋体" w:cs="宋体"/>
          <w:b/>
          <w:color w:val="auto"/>
          <w:highlight w:val="none"/>
        </w:rPr>
        <w:t>第七章</w:t>
      </w:r>
      <w:r>
        <w:rPr>
          <w:rFonts w:ascii="宋体" w:hAnsi="宋体" w:eastAsia="宋体" w:cs="宋体"/>
          <w:b/>
          <w:color w:val="auto"/>
          <w:highlight w:val="none"/>
        </w:rPr>
        <w:tab/>
      </w:r>
      <w:r>
        <w:rPr>
          <w:rFonts w:ascii="宋体" w:hAnsi="宋体" w:eastAsia="宋体" w:cs="宋体"/>
          <w:b/>
          <w:color w:val="auto"/>
          <w:highlight w:val="none"/>
        </w:rPr>
        <w:t>响应文件格式</w:t>
      </w:r>
      <w:bookmarkEnd w:id="214"/>
      <w:bookmarkEnd w:id="215"/>
    </w:p>
    <w:p w14:paraId="111929C7">
      <w:pPr>
        <w:pStyle w:val="13"/>
        <w:kinsoku w:val="0"/>
        <w:overflowPunct w:val="0"/>
        <w:ind w:left="0"/>
        <w:rPr>
          <w:rFonts w:hint="eastAsia" w:ascii="宋体" w:hAnsi="宋体" w:cs="宋体"/>
          <w:color w:val="auto"/>
          <w:sz w:val="20"/>
          <w:highlight w:val="none"/>
        </w:rPr>
      </w:pPr>
    </w:p>
    <w:p w14:paraId="6F1A35C1">
      <w:pPr>
        <w:pStyle w:val="13"/>
        <w:kinsoku w:val="0"/>
        <w:overflowPunct w:val="0"/>
        <w:ind w:left="0"/>
        <w:rPr>
          <w:rFonts w:hint="eastAsia" w:ascii="宋体" w:hAnsi="宋体" w:cs="宋体"/>
          <w:color w:val="auto"/>
          <w:sz w:val="20"/>
          <w:highlight w:val="none"/>
        </w:rPr>
      </w:pPr>
    </w:p>
    <w:p w14:paraId="644A6AF0">
      <w:pPr>
        <w:pStyle w:val="13"/>
        <w:kinsoku w:val="0"/>
        <w:overflowPunct w:val="0"/>
        <w:ind w:left="0"/>
        <w:rPr>
          <w:rFonts w:hint="eastAsia" w:ascii="宋体" w:hAnsi="宋体" w:cs="宋体"/>
          <w:color w:val="auto"/>
          <w:sz w:val="20"/>
          <w:highlight w:val="none"/>
        </w:rPr>
      </w:pPr>
    </w:p>
    <w:p w14:paraId="2585E4AC">
      <w:pPr>
        <w:pStyle w:val="5"/>
        <w:rPr>
          <w:rFonts w:hAnsi="宋体" w:cs="宋体"/>
          <w:color w:val="auto"/>
          <w:highlight w:val="none"/>
        </w:rPr>
      </w:pPr>
      <w:bookmarkStart w:id="216" w:name="资格审查部分"/>
      <w:bookmarkEnd w:id="216"/>
      <w:bookmarkStart w:id="217" w:name="bookmark39"/>
      <w:bookmarkEnd w:id="217"/>
      <w:bookmarkStart w:id="218" w:name="_Toc514759065"/>
      <w:r>
        <w:rPr>
          <w:rFonts w:hAnsi="宋体" w:cs="宋体"/>
          <w:color w:val="auto"/>
          <w:highlight w:val="none"/>
        </w:rPr>
        <w:t>资格审查部分</w:t>
      </w:r>
      <w:bookmarkEnd w:id="218"/>
    </w:p>
    <w:p w14:paraId="4D3E5225">
      <w:pPr>
        <w:pStyle w:val="13"/>
        <w:kinsoku w:val="0"/>
        <w:overflowPunct w:val="0"/>
        <w:ind w:left="0"/>
        <w:rPr>
          <w:rFonts w:hint="eastAsia" w:ascii="宋体" w:hAnsi="宋体" w:cs="宋体"/>
          <w:color w:val="auto"/>
          <w:sz w:val="20"/>
          <w:highlight w:val="none"/>
        </w:rPr>
      </w:pPr>
    </w:p>
    <w:p w14:paraId="38201450">
      <w:pPr>
        <w:pStyle w:val="13"/>
        <w:kinsoku w:val="0"/>
        <w:overflowPunct w:val="0"/>
        <w:ind w:left="0"/>
        <w:rPr>
          <w:rFonts w:hint="eastAsia" w:ascii="宋体" w:hAnsi="宋体" w:cs="宋体"/>
          <w:color w:val="auto"/>
          <w:sz w:val="27"/>
          <w:highlight w:val="none"/>
        </w:rPr>
      </w:pPr>
    </w:p>
    <w:p w14:paraId="3BD28514">
      <w:pPr>
        <w:pStyle w:val="13"/>
        <w:kinsoku w:val="0"/>
        <w:overflowPunct w:val="0"/>
        <w:spacing w:line="376" w:lineRule="auto"/>
        <w:ind w:left="0"/>
        <w:jc w:val="center"/>
        <w:rPr>
          <w:rFonts w:hint="eastAsia" w:ascii="宋体" w:hAnsi="宋体" w:cs="宋体"/>
          <w:color w:val="auto"/>
          <w:sz w:val="36"/>
          <w:highlight w:val="none"/>
        </w:rPr>
      </w:pPr>
      <w:r>
        <w:rPr>
          <w:rFonts w:hint="eastAsia" w:ascii="宋体" w:hAnsi="宋体" w:cs="宋体"/>
          <w:color w:val="auto"/>
          <w:sz w:val="36"/>
          <w:highlight w:val="none"/>
        </w:rPr>
        <w:t xml:space="preserve">项目名称 </w:t>
      </w:r>
    </w:p>
    <w:p w14:paraId="5F9C9683">
      <w:pPr>
        <w:pStyle w:val="13"/>
        <w:kinsoku w:val="0"/>
        <w:overflowPunct w:val="0"/>
        <w:spacing w:line="376" w:lineRule="auto"/>
        <w:ind w:left="0"/>
        <w:jc w:val="center"/>
        <w:rPr>
          <w:rFonts w:hint="eastAsia" w:ascii="宋体" w:hAnsi="宋体" w:cs="宋体"/>
          <w:color w:val="auto"/>
          <w:sz w:val="36"/>
          <w:highlight w:val="none"/>
        </w:rPr>
      </w:pPr>
      <w:r>
        <w:rPr>
          <w:rFonts w:hint="eastAsia" w:ascii="宋体" w:hAnsi="宋体" w:cs="宋体"/>
          <w:color w:val="auto"/>
          <w:sz w:val="36"/>
          <w:highlight w:val="none"/>
        </w:rPr>
        <w:t>项目编号</w:t>
      </w:r>
    </w:p>
    <w:p w14:paraId="2700DD95">
      <w:pPr>
        <w:pStyle w:val="13"/>
        <w:kinsoku w:val="0"/>
        <w:overflowPunct w:val="0"/>
        <w:ind w:left="0"/>
        <w:rPr>
          <w:rFonts w:hint="eastAsia" w:ascii="宋体" w:hAnsi="宋体" w:cs="宋体"/>
          <w:color w:val="auto"/>
          <w:sz w:val="36"/>
          <w:highlight w:val="none"/>
        </w:rPr>
      </w:pPr>
    </w:p>
    <w:p w14:paraId="4182D99A">
      <w:pPr>
        <w:pStyle w:val="13"/>
        <w:kinsoku w:val="0"/>
        <w:overflowPunct w:val="0"/>
        <w:ind w:left="0"/>
        <w:rPr>
          <w:rFonts w:hint="eastAsia" w:ascii="宋体" w:hAnsi="宋体" w:cs="宋体"/>
          <w:color w:val="auto"/>
          <w:sz w:val="50"/>
          <w:highlight w:val="none"/>
        </w:rPr>
      </w:pPr>
    </w:p>
    <w:p w14:paraId="2111FEBF">
      <w:pPr>
        <w:pStyle w:val="13"/>
        <w:kinsoku w:val="0"/>
        <w:overflowPunct w:val="0"/>
        <w:ind w:left="0"/>
        <w:jc w:val="center"/>
        <w:rPr>
          <w:rFonts w:hint="eastAsia" w:ascii="宋体" w:hAnsi="宋体" w:cs="宋体"/>
          <w:color w:val="auto"/>
          <w:sz w:val="72"/>
          <w:highlight w:val="none"/>
        </w:rPr>
      </w:pPr>
      <w:r>
        <w:rPr>
          <w:rFonts w:hint="eastAsia" w:ascii="宋体" w:hAnsi="宋体" w:cs="宋体"/>
          <w:color w:val="auto"/>
          <w:sz w:val="72"/>
          <w:highlight w:val="none"/>
        </w:rPr>
        <w:t>响应文件</w:t>
      </w:r>
    </w:p>
    <w:p w14:paraId="327B6E84">
      <w:pPr>
        <w:pStyle w:val="13"/>
        <w:kinsoku w:val="0"/>
        <w:overflowPunct w:val="0"/>
        <w:ind w:left="0"/>
        <w:rPr>
          <w:rFonts w:hint="eastAsia" w:ascii="宋体" w:hAnsi="宋体" w:cs="宋体"/>
          <w:color w:val="auto"/>
          <w:sz w:val="65"/>
          <w:highlight w:val="none"/>
        </w:rPr>
      </w:pPr>
    </w:p>
    <w:p w14:paraId="164E4088">
      <w:pPr>
        <w:pStyle w:val="13"/>
        <w:kinsoku w:val="0"/>
        <w:overflowPunct w:val="0"/>
        <w:ind w:left="0"/>
        <w:rPr>
          <w:rFonts w:hint="eastAsia" w:ascii="宋体" w:hAnsi="宋体" w:cs="宋体"/>
          <w:color w:val="auto"/>
          <w:sz w:val="51"/>
          <w:highlight w:val="none"/>
        </w:rPr>
      </w:pPr>
    </w:p>
    <w:p w14:paraId="2C7CC183">
      <w:pPr>
        <w:pStyle w:val="13"/>
        <w:kinsoku w:val="0"/>
        <w:overflowPunct w:val="0"/>
        <w:ind w:left="0"/>
        <w:rPr>
          <w:rFonts w:hint="eastAsia" w:ascii="宋体" w:hAnsi="宋体" w:cs="宋体"/>
          <w:color w:val="auto"/>
          <w:sz w:val="51"/>
          <w:highlight w:val="none"/>
        </w:rPr>
      </w:pPr>
    </w:p>
    <w:p w14:paraId="10FB4C65">
      <w:pPr>
        <w:pStyle w:val="13"/>
        <w:kinsoku w:val="0"/>
        <w:overflowPunct w:val="0"/>
        <w:ind w:left="0"/>
        <w:rPr>
          <w:rFonts w:hint="eastAsia" w:ascii="宋体" w:hAnsi="宋体" w:cs="宋体"/>
          <w:color w:val="auto"/>
          <w:sz w:val="51"/>
          <w:highlight w:val="none"/>
        </w:rPr>
      </w:pPr>
    </w:p>
    <w:p w14:paraId="36CFA7C7">
      <w:pPr>
        <w:pStyle w:val="13"/>
        <w:tabs>
          <w:tab w:val="left" w:pos="2906"/>
        </w:tabs>
        <w:kinsoku w:val="0"/>
        <w:overflowPunct w:val="0"/>
        <w:ind w:left="0" w:firstLine="1120" w:firstLineChars="400"/>
        <w:rPr>
          <w:rFonts w:hint="eastAsia" w:ascii="宋体" w:hAnsi="宋体" w:cs="宋体"/>
          <w:color w:val="auto"/>
          <w:sz w:val="28"/>
          <w:highlight w:val="none"/>
        </w:rPr>
      </w:pPr>
      <w:r>
        <w:rPr>
          <w:rFonts w:hint="eastAsia" w:ascii="宋体" w:hAnsi="宋体" w:cs="宋体"/>
          <w:color w:val="auto"/>
          <w:sz w:val="28"/>
          <w:highlight w:val="none"/>
        </w:rPr>
        <w:t>响应文件内容：</w:t>
      </w:r>
      <w:r>
        <w:rPr>
          <w:rFonts w:hint="eastAsia" w:ascii="宋体" w:hAnsi="宋体" w:cs="宋体"/>
          <w:color w:val="auto"/>
          <w:sz w:val="28"/>
          <w:highlight w:val="none"/>
          <w:u w:val="single"/>
        </w:rPr>
        <w:tab/>
      </w:r>
      <w:r>
        <w:rPr>
          <w:rFonts w:hint="eastAsia" w:ascii="宋体" w:hAnsi="宋体" w:cs="宋体"/>
          <w:color w:val="auto"/>
          <w:sz w:val="28"/>
          <w:highlight w:val="none"/>
          <w:u w:val="single"/>
        </w:rPr>
        <w:t>资格审查部分</w:t>
      </w:r>
    </w:p>
    <w:p w14:paraId="2B16BFAD">
      <w:pPr>
        <w:pStyle w:val="13"/>
        <w:kinsoku w:val="0"/>
        <w:overflowPunct w:val="0"/>
        <w:ind w:left="0"/>
        <w:rPr>
          <w:rFonts w:hint="eastAsia" w:ascii="宋体" w:hAnsi="宋体" w:cs="宋体"/>
          <w:color w:val="auto"/>
          <w:sz w:val="20"/>
          <w:highlight w:val="none"/>
        </w:rPr>
      </w:pPr>
    </w:p>
    <w:p w14:paraId="73F2C4D3">
      <w:pPr>
        <w:pStyle w:val="13"/>
        <w:kinsoku w:val="0"/>
        <w:overflowPunct w:val="0"/>
        <w:ind w:left="0"/>
        <w:rPr>
          <w:rFonts w:hint="eastAsia" w:ascii="宋体" w:hAnsi="宋体" w:cs="宋体"/>
          <w:color w:val="auto"/>
          <w:sz w:val="22"/>
          <w:highlight w:val="none"/>
        </w:rPr>
      </w:pPr>
    </w:p>
    <w:p w14:paraId="4A4A5286">
      <w:pPr>
        <w:pStyle w:val="13"/>
        <w:tabs>
          <w:tab w:val="left" w:pos="2486"/>
          <w:tab w:val="left" w:pos="5287"/>
          <w:tab w:val="left" w:pos="5846"/>
        </w:tabs>
        <w:kinsoku w:val="0"/>
        <w:overflowPunct w:val="0"/>
        <w:spacing w:line="640" w:lineRule="auto"/>
        <w:ind w:left="0" w:firstLine="1120" w:firstLineChars="400"/>
        <w:rPr>
          <w:rFonts w:hint="eastAsia" w:ascii="宋体" w:hAnsi="宋体" w:cs="宋体"/>
          <w:color w:val="auto"/>
          <w:sz w:val="28"/>
          <w:highlight w:val="none"/>
        </w:rPr>
      </w:pPr>
      <w:r>
        <w:rPr>
          <w:rFonts w:hint="eastAsia" w:ascii="宋体" w:hAnsi="宋体" w:cs="宋体"/>
          <w:color w:val="auto"/>
          <w:sz w:val="28"/>
          <w:highlight w:val="none"/>
          <w:lang w:val="en-US" w:eastAsia="zh-CN"/>
        </w:rPr>
        <w:t>供应商</w:t>
      </w:r>
      <w:r>
        <w:rPr>
          <w:rFonts w:hint="eastAsia" w:ascii="宋体" w:hAnsi="宋体" w:cs="宋体"/>
          <w:color w:val="auto"/>
          <w:sz w:val="28"/>
          <w:highlight w:val="none"/>
        </w:rPr>
        <w:t>：</w:t>
      </w:r>
      <w:r>
        <w:rPr>
          <w:rFonts w:hint="eastAsia" w:ascii="宋体" w:hAnsi="宋体" w:cs="宋体"/>
          <w:color w:val="auto"/>
          <w:sz w:val="28"/>
          <w:highlight w:val="none"/>
          <w:u w:val="single"/>
        </w:rPr>
        <w:tab/>
      </w:r>
      <w:r>
        <w:rPr>
          <w:rFonts w:hint="eastAsia" w:ascii="宋体" w:hAnsi="宋体" w:cs="宋体"/>
          <w:color w:val="auto"/>
          <w:sz w:val="28"/>
          <w:highlight w:val="none"/>
          <w:u w:val="single"/>
        </w:rPr>
        <w:t>（全称）</w:t>
      </w:r>
      <w:r>
        <w:rPr>
          <w:rFonts w:hint="eastAsia" w:ascii="宋体" w:hAnsi="宋体" w:cs="宋体"/>
          <w:color w:val="auto"/>
          <w:sz w:val="28"/>
          <w:highlight w:val="none"/>
          <w:u w:val="single"/>
        </w:rPr>
        <w:tab/>
      </w:r>
      <w:r>
        <w:rPr>
          <w:rFonts w:hint="eastAsia" w:ascii="宋体" w:hAnsi="宋体" w:cs="宋体"/>
          <w:color w:val="auto"/>
          <w:sz w:val="28"/>
          <w:highlight w:val="none"/>
        </w:rPr>
        <w:t>（盖单位章）</w:t>
      </w:r>
    </w:p>
    <w:p w14:paraId="4FAB7C22">
      <w:pPr>
        <w:pStyle w:val="13"/>
        <w:tabs>
          <w:tab w:val="left" w:pos="2486"/>
          <w:tab w:val="left" w:pos="5287"/>
          <w:tab w:val="left" w:pos="5846"/>
        </w:tabs>
        <w:kinsoku w:val="0"/>
        <w:overflowPunct w:val="0"/>
        <w:spacing w:line="640" w:lineRule="auto"/>
        <w:ind w:left="0" w:firstLine="1120" w:firstLineChars="400"/>
        <w:rPr>
          <w:rFonts w:hint="eastAsia" w:ascii="宋体" w:hAnsi="宋体" w:cs="宋体"/>
          <w:color w:val="auto"/>
          <w:sz w:val="28"/>
          <w:highlight w:val="none"/>
        </w:rPr>
      </w:pPr>
      <w:r>
        <w:rPr>
          <w:rFonts w:hint="eastAsia" w:ascii="宋体" w:hAnsi="宋体" w:cs="宋体"/>
          <w:color w:val="auto"/>
          <w:sz w:val="28"/>
          <w:highlight w:val="none"/>
        </w:rPr>
        <w:t>法定代表人或其委托代理人：</w:t>
      </w:r>
      <w:r>
        <w:rPr>
          <w:rFonts w:hint="eastAsia" w:ascii="宋体" w:hAnsi="宋体" w:cs="宋体"/>
          <w:color w:val="auto"/>
          <w:sz w:val="28"/>
          <w:highlight w:val="none"/>
          <w:u w:val="single"/>
        </w:rPr>
        <w:tab/>
      </w:r>
      <w:r>
        <w:rPr>
          <w:rFonts w:hint="eastAsia" w:ascii="宋体" w:hAnsi="宋体" w:cs="宋体"/>
          <w:color w:val="auto"/>
          <w:sz w:val="28"/>
          <w:highlight w:val="none"/>
          <w:u w:val="single"/>
        </w:rPr>
        <w:tab/>
      </w:r>
      <w:r>
        <w:rPr>
          <w:rFonts w:hint="eastAsia" w:ascii="宋体" w:hAnsi="宋体" w:cs="宋体"/>
          <w:color w:val="auto"/>
          <w:sz w:val="28"/>
          <w:highlight w:val="none"/>
        </w:rPr>
        <w:t>（签字）</w:t>
      </w:r>
    </w:p>
    <w:p w14:paraId="0A4AB243">
      <w:pPr>
        <w:pStyle w:val="13"/>
        <w:tabs>
          <w:tab w:val="left" w:pos="4742"/>
          <w:tab w:val="left" w:pos="5723"/>
          <w:tab w:val="left" w:pos="6703"/>
        </w:tabs>
        <w:kinsoku w:val="0"/>
        <w:overflowPunct w:val="0"/>
        <w:ind w:left="0" w:firstLine="1120" w:firstLineChars="400"/>
        <w:rPr>
          <w:rFonts w:hint="eastAsia" w:ascii="宋体" w:hAnsi="宋体" w:cs="宋体"/>
          <w:color w:val="auto"/>
          <w:sz w:val="28"/>
          <w:highlight w:val="none"/>
        </w:rPr>
      </w:pPr>
      <w:r>
        <w:rPr>
          <w:rFonts w:hint="eastAsia" w:ascii="宋体" w:hAnsi="宋体" w:cs="宋体"/>
          <w:color w:val="auto"/>
          <w:sz w:val="28"/>
          <w:highlight w:val="none"/>
        </w:rPr>
        <w:t>日期：</w:t>
      </w:r>
      <w:r>
        <w:rPr>
          <w:rFonts w:hint="eastAsia" w:ascii="宋体" w:hAnsi="宋体" w:cs="宋体"/>
          <w:color w:val="auto"/>
          <w:sz w:val="28"/>
          <w:highlight w:val="none"/>
          <w:u w:val="single"/>
        </w:rPr>
        <w:tab/>
      </w:r>
      <w:r>
        <w:rPr>
          <w:rFonts w:hint="eastAsia" w:ascii="宋体" w:hAnsi="宋体" w:cs="宋体"/>
          <w:color w:val="auto"/>
          <w:sz w:val="28"/>
          <w:highlight w:val="none"/>
        </w:rPr>
        <w:t>年</w:t>
      </w:r>
      <w:r>
        <w:rPr>
          <w:rFonts w:hint="eastAsia" w:ascii="宋体" w:hAnsi="宋体" w:cs="宋体"/>
          <w:color w:val="auto"/>
          <w:sz w:val="28"/>
          <w:highlight w:val="none"/>
          <w:u w:val="single"/>
        </w:rPr>
        <w:tab/>
      </w:r>
      <w:r>
        <w:rPr>
          <w:rFonts w:hint="eastAsia" w:ascii="宋体" w:hAnsi="宋体" w:cs="宋体"/>
          <w:color w:val="auto"/>
          <w:sz w:val="28"/>
          <w:highlight w:val="none"/>
        </w:rPr>
        <w:t>月</w:t>
      </w:r>
      <w:r>
        <w:rPr>
          <w:rFonts w:hint="eastAsia" w:ascii="宋体" w:hAnsi="宋体" w:cs="宋体"/>
          <w:color w:val="auto"/>
          <w:sz w:val="28"/>
          <w:highlight w:val="none"/>
          <w:u w:val="single"/>
        </w:rPr>
        <w:tab/>
      </w:r>
      <w:r>
        <w:rPr>
          <w:rFonts w:hint="eastAsia" w:ascii="宋体" w:hAnsi="宋体" w:cs="宋体"/>
          <w:color w:val="auto"/>
          <w:sz w:val="28"/>
          <w:highlight w:val="none"/>
        </w:rPr>
        <w:t>日</w:t>
      </w:r>
    </w:p>
    <w:p w14:paraId="349A35AE">
      <w:pPr>
        <w:pStyle w:val="13"/>
        <w:tabs>
          <w:tab w:val="left" w:pos="4742"/>
          <w:tab w:val="left" w:pos="5723"/>
          <w:tab w:val="left" w:pos="6703"/>
        </w:tabs>
        <w:kinsoku w:val="0"/>
        <w:overflowPunct w:val="0"/>
        <w:ind w:left="0"/>
        <w:rPr>
          <w:rFonts w:hint="eastAsia" w:ascii="宋体" w:hAnsi="宋体" w:cs="宋体"/>
          <w:color w:val="auto"/>
          <w:sz w:val="28"/>
          <w:highlight w:val="none"/>
        </w:rPr>
        <w:sectPr>
          <w:footerReference r:id="rId9" w:type="default"/>
          <w:pgSz w:w="11910" w:h="16840"/>
          <w:pgMar w:top="1100" w:right="1202" w:bottom="919" w:left="1298" w:header="918" w:footer="975" w:gutter="0"/>
          <w:cols w:space="720" w:num="1"/>
        </w:sectPr>
      </w:pPr>
    </w:p>
    <w:p w14:paraId="7ABDCA95">
      <w:pPr>
        <w:pStyle w:val="13"/>
        <w:kinsoku w:val="0"/>
        <w:overflowPunct w:val="0"/>
        <w:ind w:left="0"/>
        <w:rPr>
          <w:rFonts w:hint="eastAsia" w:ascii="宋体" w:hAnsi="宋体" w:cs="宋体"/>
          <w:color w:val="auto"/>
          <w:sz w:val="26"/>
          <w:highlight w:val="none"/>
        </w:rPr>
      </w:pPr>
    </w:p>
    <w:p w14:paraId="7010F8BB">
      <w:pPr>
        <w:pStyle w:val="13"/>
        <w:tabs>
          <w:tab w:val="left" w:pos="719"/>
        </w:tabs>
        <w:kinsoku w:val="0"/>
        <w:overflowPunct w:val="0"/>
        <w:spacing w:line="460" w:lineRule="exact"/>
        <w:ind w:left="0"/>
        <w:jc w:val="center"/>
        <w:rPr>
          <w:rFonts w:hint="eastAsia" w:ascii="宋体" w:hAnsi="宋体" w:cs="宋体"/>
          <w:color w:val="auto"/>
          <w:sz w:val="36"/>
          <w:highlight w:val="none"/>
        </w:rPr>
      </w:pPr>
      <w:r>
        <w:rPr>
          <w:rFonts w:hint="eastAsia" w:ascii="宋体" w:hAnsi="宋体" w:cs="宋体"/>
          <w:color w:val="auto"/>
          <w:sz w:val="36"/>
          <w:highlight w:val="none"/>
        </w:rPr>
        <w:t>目</w:t>
      </w:r>
      <w:r>
        <w:rPr>
          <w:rFonts w:hint="eastAsia" w:ascii="宋体" w:hAnsi="宋体" w:cs="宋体"/>
          <w:color w:val="auto"/>
          <w:sz w:val="36"/>
          <w:highlight w:val="none"/>
        </w:rPr>
        <w:tab/>
      </w:r>
      <w:r>
        <w:rPr>
          <w:rFonts w:hint="eastAsia" w:ascii="宋体" w:hAnsi="宋体" w:cs="宋体"/>
          <w:color w:val="auto"/>
          <w:sz w:val="36"/>
          <w:highlight w:val="none"/>
        </w:rPr>
        <w:t>录</w:t>
      </w:r>
    </w:p>
    <w:p w14:paraId="0BF1671D">
      <w:pPr>
        <w:pStyle w:val="13"/>
        <w:kinsoku w:val="0"/>
        <w:overflowPunct w:val="0"/>
        <w:ind w:left="0"/>
        <w:rPr>
          <w:rFonts w:hint="eastAsia" w:ascii="宋体" w:hAnsi="宋体" w:cs="宋体"/>
          <w:color w:val="auto"/>
          <w:sz w:val="13"/>
          <w:highlight w:val="none"/>
        </w:rPr>
      </w:pPr>
    </w:p>
    <w:p w14:paraId="05749A91">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（1）供应商有效的“法人营业执照”副本复印件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4C7ED441">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（2）法定代表人</w:t>
      </w:r>
      <w:r>
        <w:rPr>
          <w:rFonts w:hint="eastAsia" w:ascii="宋体" w:hAnsi="宋体" w:cs="宋体"/>
          <w:color w:val="auto"/>
          <w:szCs w:val="24"/>
          <w:highlight w:val="none"/>
          <w:lang w:eastAsia="zh-CN"/>
        </w:rPr>
        <w:t>身份</w:t>
      </w:r>
      <w:r>
        <w:rPr>
          <w:rFonts w:hint="eastAsia" w:ascii="宋体" w:hAnsi="宋体" w:cs="宋体"/>
          <w:color w:val="auto"/>
          <w:szCs w:val="24"/>
          <w:highlight w:val="none"/>
        </w:rPr>
        <w:t>资格证明书原件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2531B467">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（3）供应商有效的资质证书副本复印件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4A442A4D">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（4）供应商有效的安全生产许可证复印件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12F75D0E">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（5）法定代表人身份证复印件</w:t>
      </w:r>
      <w:r>
        <w:rPr>
          <w:rFonts w:hint="eastAsia" w:ascii="宋体" w:hAnsi="宋体" w:cs="宋体"/>
          <w:b/>
          <w:color w:val="auto"/>
          <w:szCs w:val="24"/>
          <w:highlight w:val="none"/>
        </w:rPr>
        <w:t>（法定代表人参加竞标时，必须提供）</w:t>
      </w:r>
      <w:r>
        <w:rPr>
          <w:rFonts w:hint="eastAsia" w:ascii="宋体" w:hAnsi="宋体" w:cs="宋体"/>
          <w:color w:val="auto"/>
          <w:szCs w:val="24"/>
          <w:highlight w:val="none"/>
        </w:rPr>
        <w:t>；</w:t>
      </w:r>
    </w:p>
    <w:p w14:paraId="76B2FBE4">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（6）法定代表人授权委托书原件和委托代理人身份证复印件</w:t>
      </w:r>
      <w:r>
        <w:rPr>
          <w:rFonts w:hint="eastAsia" w:ascii="宋体" w:hAnsi="宋体" w:cs="宋体"/>
          <w:b/>
          <w:color w:val="auto"/>
          <w:szCs w:val="24"/>
          <w:highlight w:val="none"/>
        </w:rPr>
        <w:t>（委托代理时必须提供）</w:t>
      </w:r>
      <w:r>
        <w:rPr>
          <w:rFonts w:hint="eastAsia" w:ascii="宋体" w:hAnsi="宋体" w:cs="宋体"/>
          <w:color w:val="auto"/>
          <w:szCs w:val="24"/>
          <w:highlight w:val="none"/>
        </w:rPr>
        <w:t>。</w:t>
      </w:r>
    </w:p>
    <w:p w14:paraId="452F0E71">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（7）</w:t>
      </w:r>
      <w:r>
        <w:rPr>
          <w:rFonts w:hint="eastAsia" w:ascii="宋体" w:hAnsi="宋体" w:cs="宋体"/>
          <w:color w:val="auto"/>
          <w:szCs w:val="24"/>
          <w:highlight w:val="none"/>
          <w:lang w:val="zh-CN"/>
        </w:rPr>
        <w:t>近年完成的类似项目情况表</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715D23F2">
      <w:pPr>
        <w:pStyle w:val="13"/>
        <w:kinsoku w:val="0"/>
        <w:overflowPunct w:val="0"/>
        <w:spacing w:line="314" w:lineRule="auto"/>
        <w:ind w:left="0" w:firstLine="480" w:firstLineChars="200"/>
        <w:rPr>
          <w:rFonts w:hint="eastAsia" w:ascii="宋体" w:hAnsi="宋体" w:cs="宋体"/>
          <w:bCs/>
          <w:color w:val="auto"/>
          <w:szCs w:val="24"/>
          <w:highlight w:val="none"/>
        </w:rPr>
      </w:pPr>
      <w:r>
        <w:rPr>
          <w:rFonts w:hint="eastAsia" w:ascii="宋体" w:hAnsi="宋体" w:cs="宋体"/>
          <w:color w:val="auto"/>
          <w:szCs w:val="24"/>
          <w:highlight w:val="none"/>
        </w:rPr>
        <w:t>（8）拟投入本项目的项目经理注册建造师执业资格证、职称证书</w:t>
      </w:r>
      <w:r>
        <w:rPr>
          <w:rFonts w:hint="eastAsia" w:ascii="宋体" w:hAnsi="宋体" w:cs="宋体"/>
          <w:color w:val="auto"/>
          <w:szCs w:val="24"/>
          <w:highlight w:val="none"/>
          <w:lang w:eastAsia="zh-CN"/>
        </w:rPr>
        <w:t>、</w:t>
      </w:r>
      <w:r>
        <w:rPr>
          <w:rFonts w:hint="eastAsia" w:ascii="宋体" w:hAnsi="宋体" w:cs="宋体"/>
          <w:color w:val="auto"/>
          <w:szCs w:val="24"/>
          <w:highlight w:val="none"/>
        </w:rPr>
        <w:t>有效的安全生产考核合格证书（B证）复印件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740D07A7">
      <w:pPr>
        <w:pStyle w:val="13"/>
        <w:kinsoku w:val="0"/>
        <w:overflowPunct w:val="0"/>
        <w:spacing w:line="360" w:lineRule="auto"/>
        <w:ind w:left="0" w:firstLine="48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（9）拟投入本项目的项目总工身份证、职称证复印件，</w:t>
      </w:r>
      <w:r>
        <w:rPr>
          <w:rFonts w:hint="eastAsia" w:ascii="宋体" w:hAnsi="宋体" w:cs="宋体"/>
          <w:color w:val="auto"/>
          <w:spacing w:val="8"/>
          <w:szCs w:val="24"/>
          <w:highlight w:val="none"/>
        </w:rPr>
        <w:t>具有省级或以上交通运输行政主管部门颁发的安全生产考核合格证（“三类人员”B类证书）</w:t>
      </w:r>
      <w:r>
        <w:rPr>
          <w:rFonts w:hint="eastAsia" w:ascii="宋体" w:hAnsi="宋体" w:cs="宋体"/>
          <w:color w:val="auto"/>
          <w:szCs w:val="24"/>
          <w:highlight w:val="none"/>
        </w:rPr>
        <w:t>复印件</w:t>
      </w:r>
      <w:r>
        <w:rPr>
          <w:rFonts w:hint="eastAsia" w:ascii="宋体" w:hAnsi="宋体" w:cs="宋体"/>
          <w:b/>
          <w:bCs/>
          <w:color w:val="auto"/>
          <w:sz w:val="24"/>
          <w:szCs w:val="24"/>
          <w:highlight w:val="none"/>
        </w:rPr>
        <w:t>（必须提供）</w:t>
      </w:r>
      <w:r>
        <w:rPr>
          <w:rFonts w:hint="eastAsia" w:ascii="宋体" w:hAnsi="宋体" w:cs="宋体"/>
          <w:b/>
          <w:color w:val="auto"/>
          <w:szCs w:val="24"/>
          <w:highlight w:val="none"/>
          <w:lang w:eastAsia="zh-CN"/>
        </w:rPr>
        <w:t>；</w:t>
      </w:r>
    </w:p>
    <w:p w14:paraId="18F10144">
      <w:pPr>
        <w:pStyle w:val="13"/>
        <w:kinsoku w:val="0"/>
        <w:overflowPunct w:val="0"/>
        <w:spacing w:line="314"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（10）提交拟投入本项目的项目经理、项目总工最近3个月在本单位的社保证明；供应商为新注册成立的企业（距磋商截止日不足三个月），须提供企业自成立至今的社保证明</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764233BC">
      <w:pPr>
        <w:pStyle w:val="13"/>
        <w:kinsoku w:val="0"/>
        <w:overflowPunct w:val="0"/>
        <w:spacing w:line="360"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（11）供应商近三个月依法缴纳税费或依法免缴税费的证明（复印件，格式自拟），供应商为新注册成立的企业（距磋商截止日不足三个月），须提供企业自成立至今的依法缴纳税收证明材料</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3C26B6BF">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（12）</w:t>
      </w:r>
      <w:r>
        <w:rPr>
          <w:rFonts w:hint="eastAsia" w:ascii="宋体" w:hAnsi="宋体" w:cs="宋体"/>
          <w:color w:val="auto"/>
          <w:szCs w:val="24"/>
          <w:highlight w:val="none"/>
          <w:lang w:val="en-US" w:eastAsia="zh-CN"/>
        </w:rPr>
        <w:t>2023年或2024年</w:t>
      </w:r>
      <w:r>
        <w:rPr>
          <w:rFonts w:hint="eastAsia" w:ascii="宋体" w:hAnsi="宋体" w:cs="宋体"/>
          <w:color w:val="auto"/>
          <w:szCs w:val="24"/>
          <w:highlight w:val="none"/>
        </w:rPr>
        <w:t>经审计的财务会计报表复印件</w:t>
      </w:r>
      <w:r>
        <w:rPr>
          <w:rFonts w:hint="eastAsia" w:ascii="宋体" w:hAnsi="宋体" w:eastAsia="宋体" w:cs="宋体"/>
          <w:color w:val="auto"/>
          <w:sz w:val="24"/>
          <w:szCs w:val="24"/>
          <w:highlight w:val="none"/>
          <w:lang w:eastAsia="zh-CN"/>
        </w:rPr>
        <w:t>或银行出具的资信证明</w:t>
      </w:r>
      <w:r>
        <w:rPr>
          <w:rFonts w:hint="eastAsia" w:ascii="宋体" w:hAnsi="宋体" w:cs="宋体"/>
          <w:color w:val="auto"/>
          <w:szCs w:val="24"/>
          <w:highlight w:val="none"/>
        </w:rPr>
        <w:t>；</w:t>
      </w:r>
      <w:r>
        <w:rPr>
          <w:rFonts w:hint="eastAsia" w:ascii="宋体" w:hAnsi="宋体" w:cs="宋体"/>
          <w:color w:val="auto"/>
          <w:kern w:val="10"/>
          <w:szCs w:val="24"/>
          <w:highlight w:val="none"/>
          <w:lang w:val="zh-CN"/>
        </w:rPr>
        <w:t>【备注：对于从取得营业执照时间起到响应文件递交截止时间为止不足要求年数的企业，只需提交企业取得营业执照年份至所要求最近年份经审计的财务报表】</w:t>
      </w:r>
      <w:r>
        <w:rPr>
          <w:rFonts w:hint="eastAsia" w:ascii="宋体" w:hAnsi="宋体" w:cs="宋体"/>
          <w:b/>
          <w:color w:val="auto"/>
          <w:szCs w:val="24"/>
          <w:highlight w:val="none"/>
        </w:rPr>
        <w:t>（必须提供）</w:t>
      </w:r>
      <w:r>
        <w:rPr>
          <w:rFonts w:hint="eastAsia" w:ascii="宋体" w:hAnsi="宋体" w:cs="宋体"/>
          <w:color w:val="auto"/>
          <w:kern w:val="10"/>
          <w:szCs w:val="24"/>
          <w:highlight w:val="none"/>
          <w:lang w:val="zh-CN"/>
        </w:rPr>
        <w:t>；</w:t>
      </w:r>
    </w:p>
    <w:p w14:paraId="3A3B54FE">
      <w:pPr>
        <w:pStyle w:val="13"/>
        <w:kinsoku w:val="0"/>
        <w:overflowPunct w:val="0"/>
        <w:spacing w:line="314" w:lineRule="auto"/>
        <w:ind w:left="0" w:firstLine="523" w:firstLineChars="218"/>
        <w:rPr>
          <w:rFonts w:hint="eastAsia" w:ascii="宋体" w:hAnsi="宋体" w:cs="宋体"/>
          <w:color w:val="auto"/>
          <w:szCs w:val="24"/>
          <w:highlight w:val="none"/>
        </w:rPr>
      </w:pPr>
      <w:r>
        <w:rPr>
          <w:rFonts w:hint="eastAsia" w:ascii="宋体" w:hAnsi="宋体" w:cs="宋体"/>
          <w:color w:val="auto"/>
          <w:szCs w:val="24"/>
          <w:highlight w:val="none"/>
        </w:rPr>
        <w:t>（13）银行开户许可证或基本存款账户信息复印件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55C4B632">
      <w:pPr>
        <w:pStyle w:val="13"/>
        <w:kinsoku w:val="0"/>
        <w:overflowPunct w:val="0"/>
        <w:spacing w:line="314" w:lineRule="auto"/>
        <w:ind w:left="0" w:firstLine="523" w:firstLineChars="218"/>
        <w:jc w:val="both"/>
        <w:rPr>
          <w:rFonts w:hint="eastAsia" w:ascii="宋体" w:hAnsi="宋体" w:cs="宋体"/>
          <w:color w:val="auto"/>
          <w:szCs w:val="24"/>
          <w:highlight w:val="none"/>
        </w:rPr>
      </w:pPr>
      <w:r>
        <w:rPr>
          <w:rFonts w:hint="eastAsia" w:ascii="宋体" w:hAnsi="宋体" w:cs="宋体"/>
          <w:color w:val="auto"/>
          <w:szCs w:val="24"/>
          <w:highlight w:val="none"/>
        </w:rPr>
        <w:t>（14）供应商在“信用中国”网站</w:t>
      </w:r>
      <w:r>
        <w:rPr>
          <w:rFonts w:hint="eastAsia" w:ascii="宋体" w:hAnsi="宋体" w:cs="宋体"/>
          <w:color w:val="auto"/>
          <w:szCs w:val="24"/>
          <w:highlight w:val="none"/>
          <w:lang w:eastAsia="zh-CN"/>
        </w:rPr>
        <w:t>（</w:t>
      </w:r>
      <w:r>
        <w:rPr>
          <w:rFonts w:hint="eastAsia" w:ascii="宋体" w:hAnsi="宋体" w:cs="宋体"/>
          <w:color w:val="auto"/>
          <w:szCs w:val="24"/>
          <w:highlight w:val="none"/>
        </w:rPr>
        <w:t>www.creditchina.gov.cn</w:t>
      </w:r>
      <w:r>
        <w:rPr>
          <w:rFonts w:hint="eastAsia" w:ascii="宋体" w:hAnsi="宋体" w:cs="宋体"/>
          <w:color w:val="auto"/>
          <w:szCs w:val="24"/>
          <w:highlight w:val="none"/>
          <w:lang w:eastAsia="zh-CN"/>
        </w:rPr>
        <w:t>）</w:t>
      </w:r>
      <w:r>
        <w:rPr>
          <w:rFonts w:hint="eastAsia" w:ascii="宋体" w:hAnsi="宋体" w:cs="宋体"/>
          <w:color w:val="auto"/>
          <w:szCs w:val="24"/>
          <w:highlight w:val="none"/>
        </w:rPr>
        <w:t>、中国政府采购网</w:t>
      </w:r>
      <w:r>
        <w:rPr>
          <w:rFonts w:hint="eastAsia" w:ascii="宋体" w:hAnsi="宋体" w:cs="宋体"/>
          <w:color w:val="auto"/>
          <w:szCs w:val="24"/>
          <w:highlight w:val="none"/>
          <w:lang w:eastAsia="zh-CN"/>
        </w:rPr>
        <w:t>（</w:t>
      </w:r>
      <w:r>
        <w:rPr>
          <w:rFonts w:hint="eastAsia" w:ascii="宋体" w:hAnsi="宋体" w:cs="宋体"/>
          <w:color w:val="auto"/>
          <w:szCs w:val="24"/>
          <w:highlight w:val="none"/>
        </w:rPr>
        <w:t>www.ccgp.gov.cn</w:t>
      </w:r>
      <w:r>
        <w:rPr>
          <w:rFonts w:hint="eastAsia" w:ascii="宋体" w:hAnsi="宋体" w:cs="宋体"/>
          <w:color w:val="auto"/>
          <w:szCs w:val="24"/>
          <w:highlight w:val="none"/>
          <w:lang w:eastAsia="zh-CN"/>
        </w:rPr>
        <w:t>）</w:t>
      </w:r>
      <w:r>
        <w:rPr>
          <w:rFonts w:hint="eastAsia" w:ascii="宋体" w:hAnsi="宋体" w:cs="宋体"/>
          <w:color w:val="auto"/>
          <w:szCs w:val="24"/>
          <w:highlight w:val="none"/>
        </w:rPr>
        <w:t>查询结果截图，</w:t>
      </w:r>
      <w:r>
        <w:rPr>
          <w:rFonts w:hint="eastAsia" w:ascii="宋体" w:hAnsi="宋体" w:cs="宋体"/>
          <w:color w:val="auto"/>
          <w:szCs w:val="24"/>
          <w:highlight w:val="none"/>
          <w:lang w:val="zh-CN"/>
        </w:rPr>
        <w:t>供应商或其法定代表人、拟委任的项目经理在近三年内无行贿犯罪行为。（以“中国裁判文书网”查询结果为准），</w:t>
      </w:r>
      <w:r>
        <w:rPr>
          <w:rFonts w:hint="eastAsia" w:ascii="宋体" w:hAnsi="宋体" w:cs="宋体"/>
          <w:color w:val="auto"/>
          <w:szCs w:val="24"/>
          <w:highlight w:val="none"/>
        </w:rPr>
        <w:t>同时在诚信声明中声明说明奖惩情况；</w:t>
      </w:r>
    </w:p>
    <w:p w14:paraId="68961F78">
      <w:pPr>
        <w:pStyle w:val="13"/>
        <w:kinsoku w:val="0"/>
        <w:overflowPunct w:val="0"/>
        <w:spacing w:line="314" w:lineRule="auto"/>
        <w:ind w:left="0" w:firstLine="523" w:firstLineChars="218"/>
        <w:jc w:val="both"/>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15</w:t>
      </w:r>
      <w:r>
        <w:rPr>
          <w:rFonts w:hint="eastAsia" w:ascii="宋体" w:hAnsi="宋体" w:cs="宋体"/>
          <w:color w:val="auto"/>
          <w:szCs w:val="24"/>
          <w:highlight w:val="none"/>
          <w:lang w:eastAsia="zh-CN"/>
        </w:rPr>
        <w:t>）</w:t>
      </w:r>
      <w:r>
        <w:rPr>
          <w:rFonts w:ascii="宋体" w:hAnsi="宋体" w:cs="宋体"/>
          <w:color w:val="auto"/>
          <w:szCs w:val="24"/>
          <w:highlight w:val="none"/>
          <w:lang w:val="zh-CN" w:bidi="zh-CN"/>
        </w:rPr>
        <w:t>供应商</w:t>
      </w:r>
      <w:r>
        <w:rPr>
          <w:rFonts w:ascii="宋体" w:hAnsi="宋体" w:cs="宋体"/>
          <w:color w:val="auto"/>
          <w:kern w:val="2"/>
          <w:szCs w:val="24"/>
          <w:highlight w:val="none"/>
        </w:rPr>
        <w:t>的信用评价等级</w:t>
      </w:r>
      <w:r>
        <w:rPr>
          <w:rFonts w:hint="eastAsia" w:ascii="宋体" w:hAnsi="宋体" w:cs="宋体"/>
          <w:color w:val="auto"/>
          <w:kern w:val="2"/>
          <w:szCs w:val="24"/>
          <w:highlight w:val="none"/>
          <w:lang w:eastAsia="zh-CN"/>
        </w:rPr>
        <w:t>；按照《广西壮族自治区交通运输厅关于修订广西公路建设市场施工企业信用评价规则实施细则的通知》（桂交规〔2022〕8号）及《广西壮族自治区交通运输厅关于公布2023年度广西公路养护工程施工信用评价结果的通知》（桂交建管函〔2024〕181号）或《广西壮族自治区交通运输厅关于公布广西公路建设市场2023年度公路设计企业、施工企业、监理企业及监理人员信用评价结果的通知》（桂交建管函〔2024〕208号）的规定执行。按照桂交规〔2022〕8号第十九条规定，初次进入广西公路建设市场的竞标单位，既无全国综合评价等级也无注册地省级交通运输主管部门的省级综合评价等级的施工企业初次进入广西公路建设市场时，应向广西公路建设市场信用评价领导小组办公室报送基本情况表，由领导小组办公室审核确定其信用评价等级。</w:t>
      </w:r>
    </w:p>
    <w:p w14:paraId="3AF3CE78">
      <w:pPr>
        <w:pStyle w:val="13"/>
        <w:kinsoku w:val="0"/>
        <w:overflowPunct w:val="0"/>
        <w:spacing w:line="314" w:lineRule="auto"/>
        <w:ind w:left="0" w:firstLine="523" w:firstLineChars="218"/>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）农民工工资保证金承诺书及承诺函</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3D06C26F">
      <w:pPr>
        <w:pStyle w:val="13"/>
        <w:kinsoku w:val="0"/>
        <w:overflowPunct w:val="0"/>
        <w:spacing w:line="314" w:lineRule="auto"/>
        <w:ind w:left="0" w:firstLine="523" w:firstLineChars="218"/>
        <w:rPr>
          <w:rFonts w:hint="eastAsia" w:ascii="宋体" w:hAnsi="宋体" w:cs="宋体"/>
          <w:b/>
          <w:bCs/>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）中小企业声明函或者残疾人福利性单位声明函或者供应商属于监狱企业的证明材料；</w:t>
      </w:r>
      <w:r>
        <w:rPr>
          <w:rFonts w:hint="eastAsia" w:ascii="宋体" w:hAnsi="宋体" w:cs="宋体"/>
          <w:b/>
          <w:bCs/>
          <w:color w:val="auto"/>
          <w:szCs w:val="24"/>
          <w:highlight w:val="none"/>
        </w:rPr>
        <w:t>（必须提供）</w:t>
      </w:r>
    </w:p>
    <w:p w14:paraId="0F60046C">
      <w:pPr>
        <w:pStyle w:val="13"/>
        <w:kinsoku w:val="0"/>
        <w:overflowPunct w:val="0"/>
        <w:spacing w:line="314" w:lineRule="auto"/>
        <w:ind w:left="0" w:firstLine="523" w:firstLineChars="218"/>
        <w:rPr>
          <w:rFonts w:hint="eastAsia" w:ascii="宋体" w:hAnsi="宋体" w:cs="宋体"/>
          <w:b/>
          <w:bCs/>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）无在岗项目承诺书</w:t>
      </w:r>
      <w:r>
        <w:rPr>
          <w:rFonts w:hint="eastAsia" w:ascii="宋体" w:hAnsi="宋体" w:cs="宋体"/>
          <w:b/>
          <w:bCs/>
          <w:color w:val="auto"/>
          <w:szCs w:val="24"/>
          <w:highlight w:val="none"/>
        </w:rPr>
        <w:t>（必须提供）</w:t>
      </w:r>
    </w:p>
    <w:p w14:paraId="79C527BA">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19</w:t>
      </w:r>
      <w:r>
        <w:rPr>
          <w:rFonts w:hint="eastAsia" w:ascii="宋体" w:hAnsi="宋体" w:cs="宋体"/>
          <w:color w:val="auto"/>
          <w:szCs w:val="24"/>
          <w:highlight w:val="none"/>
        </w:rPr>
        <w:t>）供应商认为必要提供的声明及其它资料。</w:t>
      </w:r>
    </w:p>
    <w:p w14:paraId="0063D55B">
      <w:pPr>
        <w:pStyle w:val="13"/>
        <w:kinsoku w:val="0"/>
        <w:overflowPunct w:val="0"/>
        <w:ind w:left="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2873A50E">
      <w:pPr>
        <w:pStyle w:val="13"/>
        <w:kinsoku w:val="0"/>
        <w:overflowPunct w:val="0"/>
        <w:ind w:left="0"/>
        <w:rPr>
          <w:rFonts w:hint="eastAsia" w:ascii="宋体" w:hAnsi="宋体" w:cs="宋体"/>
          <w:color w:val="auto"/>
          <w:sz w:val="21"/>
          <w:szCs w:val="21"/>
          <w:highlight w:val="none"/>
        </w:rPr>
        <w:sectPr>
          <w:pgSz w:w="11910" w:h="16840"/>
          <w:pgMar w:top="1100" w:right="1202" w:bottom="918" w:left="1298" w:header="918" w:footer="975" w:gutter="0"/>
          <w:cols w:space="720" w:num="1"/>
        </w:sectPr>
      </w:pPr>
    </w:p>
    <w:p w14:paraId="02881A16">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（1）供应商有效的“法人营业执照”副本复印件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463E3299">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（2）法定代表人资格证明书原件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44977A95">
      <w:pPr>
        <w:pStyle w:val="13"/>
        <w:kinsoku w:val="0"/>
        <w:overflowPunct w:val="0"/>
        <w:ind w:left="0"/>
        <w:rPr>
          <w:rFonts w:hint="eastAsia" w:ascii="宋体" w:hAnsi="宋体" w:cs="宋体"/>
          <w:color w:val="auto"/>
          <w:sz w:val="20"/>
          <w:highlight w:val="none"/>
        </w:rPr>
      </w:pPr>
    </w:p>
    <w:p w14:paraId="462D131B">
      <w:pPr>
        <w:pStyle w:val="13"/>
        <w:kinsoku w:val="0"/>
        <w:overflowPunct w:val="0"/>
        <w:ind w:left="0"/>
        <w:rPr>
          <w:rFonts w:hint="eastAsia" w:ascii="宋体" w:hAnsi="宋体" w:cs="宋体"/>
          <w:color w:val="auto"/>
          <w:sz w:val="20"/>
          <w:highlight w:val="none"/>
        </w:rPr>
      </w:pPr>
    </w:p>
    <w:p w14:paraId="51128D6E">
      <w:pPr>
        <w:pStyle w:val="13"/>
        <w:kinsoku w:val="0"/>
        <w:overflowPunct w:val="0"/>
        <w:ind w:left="0"/>
        <w:rPr>
          <w:rFonts w:hint="eastAsia" w:ascii="宋体" w:hAnsi="宋体" w:cs="宋体"/>
          <w:color w:val="auto"/>
          <w:sz w:val="19"/>
          <w:highlight w:val="none"/>
        </w:rPr>
      </w:pPr>
    </w:p>
    <w:p w14:paraId="5EF76665">
      <w:pPr>
        <w:pStyle w:val="13"/>
        <w:kinsoku w:val="0"/>
        <w:overflowPunct w:val="0"/>
        <w:ind w:left="0"/>
        <w:jc w:val="center"/>
        <w:rPr>
          <w:rFonts w:hint="eastAsia" w:ascii="宋体" w:hAnsi="宋体" w:cs="宋体"/>
          <w:color w:val="auto"/>
          <w:sz w:val="36"/>
          <w:highlight w:val="none"/>
        </w:rPr>
      </w:pPr>
      <w:r>
        <w:rPr>
          <w:rFonts w:hint="eastAsia" w:ascii="宋体" w:hAnsi="宋体" w:cs="宋体"/>
          <w:b/>
          <w:color w:val="auto"/>
          <w:sz w:val="36"/>
          <w:highlight w:val="none"/>
        </w:rPr>
        <w:t>法定代表人资格证明书（格式）</w:t>
      </w:r>
    </w:p>
    <w:p w14:paraId="180678FE">
      <w:pPr>
        <w:pStyle w:val="13"/>
        <w:kinsoku w:val="0"/>
        <w:overflowPunct w:val="0"/>
        <w:ind w:left="0"/>
        <w:rPr>
          <w:rFonts w:hint="eastAsia" w:ascii="宋体" w:hAnsi="宋体" w:cs="宋体"/>
          <w:b/>
          <w:color w:val="auto"/>
          <w:sz w:val="35"/>
          <w:highlight w:val="none"/>
        </w:rPr>
      </w:pPr>
    </w:p>
    <w:p w14:paraId="667CF534">
      <w:pPr>
        <w:pStyle w:val="13"/>
        <w:kinsoku w:val="0"/>
        <w:overflowPunct w:val="0"/>
        <w:ind w:left="0"/>
        <w:jc w:val="center"/>
        <w:rPr>
          <w:rFonts w:hint="eastAsia" w:ascii="宋体" w:hAnsi="宋体" w:cs="宋体"/>
          <w:color w:val="auto"/>
          <w:sz w:val="32"/>
          <w:highlight w:val="none"/>
        </w:rPr>
      </w:pPr>
      <w:r>
        <w:rPr>
          <w:rFonts w:hint="eastAsia" w:ascii="宋体" w:hAnsi="宋体" w:cs="宋体"/>
          <w:b/>
          <w:color w:val="auto"/>
          <w:sz w:val="32"/>
          <w:highlight w:val="none"/>
        </w:rPr>
        <w:t>法定代表人资格证明书</w:t>
      </w:r>
    </w:p>
    <w:p w14:paraId="7F4B4D1E">
      <w:pPr>
        <w:pStyle w:val="13"/>
        <w:tabs>
          <w:tab w:val="left" w:pos="1953"/>
          <w:tab w:val="left" w:pos="5507"/>
          <w:tab w:val="left" w:pos="6575"/>
        </w:tabs>
        <w:kinsoku w:val="0"/>
        <w:overflowPunct w:val="0"/>
        <w:spacing w:line="384" w:lineRule="auto"/>
        <w:ind w:left="0" w:firstLine="480"/>
        <w:jc w:val="both"/>
        <w:rPr>
          <w:rFonts w:hint="eastAsia" w:ascii="宋体" w:hAnsi="宋体" w:cs="宋体"/>
          <w:color w:val="auto"/>
          <w:szCs w:val="22"/>
          <w:highlight w:val="none"/>
        </w:rPr>
      </w:pPr>
    </w:p>
    <w:p w14:paraId="6BC2C2D5">
      <w:pPr>
        <w:pStyle w:val="13"/>
        <w:tabs>
          <w:tab w:val="left" w:pos="1953"/>
          <w:tab w:val="left" w:pos="5507"/>
          <w:tab w:val="left" w:pos="6575"/>
        </w:tabs>
        <w:kinsoku w:val="0"/>
        <w:overflowPunct w:val="0"/>
        <w:spacing w:line="384" w:lineRule="auto"/>
        <w:ind w:left="0" w:firstLine="48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p>
    <w:p w14:paraId="6C8AB6A3">
      <w:pPr>
        <w:pStyle w:val="13"/>
        <w:tabs>
          <w:tab w:val="left" w:pos="1953"/>
          <w:tab w:val="left" w:pos="5507"/>
          <w:tab w:val="left" w:pos="6575"/>
        </w:tabs>
        <w:kinsoku w:val="0"/>
        <w:overflowPunct w:val="0"/>
        <w:spacing w:line="384" w:lineRule="auto"/>
        <w:ind w:left="0" w:firstLine="48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ab/>
      </w:r>
    </w:p>
    <w:p w14:paraId="0A08148B">
      <w:pPr>
        <w:pStyle w:val="13"/>
        <w:tabs>
          <w:tab w:val="left" w:pos="1953"/>
          <w:tab w:val="left" w:pos="5507"/>
          <w:tab w:val="left" w:pos="6575"/>
        </w:tabs>
        <w:kinsoku w:val="0"/>
        <w:overflowPunct w:val="0"/>
        <w:spacing w:line="384" w:lineRule="auto"/>
        <w:ind w:left="0" w:firstLine="48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ab/>
      </w:r>
    </w:p>
    <w:p w14:paraId="22B3FDC9">
      <w:pPr>
        <w:pStyle w:val="13"/>
        <w:tabs>
          <w:tab w:val="left" w:pos="1953"/>
          <w:tab w:val="left" w:pos="5507"/>
          <w:tab w:val="left" w:pos="6575"/>
        </w:tabs>
        <w:kinsoku w:val="0"/>
        <w:overflowPunct w:val="0"/>
        <w:spacing w:line="384" w:lineRule="auto"/>
        <w:ind w:left="0" w:firstLine="48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性别：</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年龄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职务：</w:t>
      </w:r>
      <w:r>
        <w:rPr>
          <w:rFonts w:hint="eastAsia" w:ascii="宋体" w:hAnsi="宋体" w:cs="宋体"/>
          <w:color w:val="auto"/>
          <w:sz w:val="21"/>
          <w:szCs w:val="21"/>
          <w:highlight w:val="none"/>
          <w:u w:val="single"/>
        </w:rPr>
        <w:tab/>
      </w:r>
    </w:p>
    <w:p w14:paraId="32446F45">
      <w:pPr>
        <w:pStyle w:val="13"/>
        <w:tabs>
          <w:tab w:val="left" w:pos="1953"/>
          <w:tab w:val="left" w:pos="5507"/>
          <w:tab w:val="left" w:pos="6575"/>
        </w:tabs>
        <w:kinsoku w:val="0"/>
        <w:overflowPunct w:val="0"/>
        <w:spacing w:line="384" w:lineRule="auto"/>
        <w:ind w:left="0" w:firstLine="480"/>
        <w:jc w:val="both"/>
        <w:rPr>
          <w:rFonts w:hint="eastAsia" w:ascii="宋体" w:hAnsi="宋体" w:cs="宋体"/>
          <w:color w:val="auto"/>
          <w:sz w:val="21"/>
          <w:szCs w:val="21"/>
          <w:highlight w:val="none"/>
        </w:rPr>
      </w:pPr>
    </w:p>
    <w:p w14:paraId="02B2B222">
      <w:pPr>
        <w:pStyle w:val="13"/>
        <w:tabs>
          <w:tab w:val="left" w:pos="1953"/>
          <w:tab w:val="left" w:pos="5507"/>
          <w:tab w:val="left" w:pos="6575"/>
        </w:tabs>
        <w:kinsoku w:val="0"/>
        <w:overflowPunct w:val="0"/>
        <w:spacing w:line="384" w:lineRule="auto"/>
        <w:ind w:left="0" w:firstLine="630" w:firstLineChars="3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我</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（姓名）系</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（供应商名称）的法定代表人，以本公司的名义参加</w:t>
      </w:r>
      <w:r>
        <w:rPr>
          <w:rFonts w:hint="eastAsia" w:ascii="宋体" w:hAnsi="宋体" w:cs="宋体"/>
          <w:color w:val="auto"/>
          <w:sz w:val="21"/>
          <w:szCs w:val="21"/>
          <w:highlight w:val="none"/>
          <w:u w:val="single"/>
        </w:rPr>
        <w:tab/>
      </w:r>
      <w:r>
        <w:rPr>
          <w:rFonts w:hint="eastAsia" w:ascii="宋体" w:hAnsi="宋体" w:cs="宋体"/>
          <w:color w:val="auto"/>
          <w:sz w:val="21"/>
          <w:szCs w:val="21"/>
          <w:highlight w:val="none"/>
        </w:rPr>
        <w:t>工程的竞标活动。并在磋商过程中签署一切文件和处理与之有关的一切事务。</w:t>
      </w:r>
    </w:p>
    <w:p w14:paraId="2EAB013E">
      <w:pPr>
        <w:pStyle w:val="13"/>
        <w:tabs>
          <w:tab w:val="left" w:pos="1953"/>
          <w:tab w:val="left" w:pos="5507"/>
          <w:tab w:val="left" w:pos="6575"/>
        </w:tabs>
        <w:kinsoku w:val="0"/>
        <w:overflowPunct w:val="0"/>
        <w:spacing w:line="384" w:lineRule="auto"/>
        <w:ind w:left="0" w:firstLine="48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14:paraId="719CA04A">
      <w:pPr>
        <w:pStyle w:val="13"/>
        <w:tabs>
          <w:tab w:val="left" w:pos="1953"/>
          <w:tab w:val="left" w:pos="5507"/>
          <w:tab w:val="left" w:pos="6575"/>
        </w:tabs>
        <w:kinsoku w:val="0"/>
        <w:overflowPunct w:val="0"/>
        <w:spacing w:line="384" w:lineRule="auto"/>
        <w:ind w:left="0" w:firstLine="480"/>
        <w:jc w:val="both"/>
        <w:rPr>
          <w:rFonts w:hint="eastAsia" w:ascii="宋体" w:hAnsi="宋体" w:cs="宋体"/>
          <w:color w:val="auto"/>
          <w:sz w:val="21"/>
          <w:szCs w:val="21"/>
          <w:highlight w:val="none"/>
        </w:rPr>
      </w:pPr>
    </w:p>
    <w:p w14:paraId="03220E65">
      <w:pPr>
        <w:pStyle w:val="13"/>
        <w:tabs>
          <w:tab w:val="left" w:pos="1953"/>
          <w:tab w:val="left" w:pos="5507"/>
          <w:tab w:val="left" w:pos="6575"/>
        </w:tabs>
        <w:kinsoku w:val="0"/>
        <w:overflowPunct w:val="0"/>
        <w:spacing w:line="384" w:lineRule="auto"/>
        <w:ind w:left="0" w:firstLine="48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供应商：（盖章）</w:t>
      </w:r>
    </w:p>
    <w:p w14:paraId="5B4D5C82">
      <w:pPr>
        <w:pStyle w:val="13"/>
        <w:tabs>
          <w:tab w:val="left" w:pos="1953"/>
          <w:tab w:val="left" w:pos="5507"/>
          <w:tab w:val="left" w:pos="6575"/>
        </w:tabs>
        <w:kinsoku w:val="0"/>
        <w:overflowPunct w:val="0"/>
        <w:spacing w:line="384" w:lineRule="auto"/>
        <w:ind w:left="0" w:firstLine="480"/>
        <w:jc w:val="both"/>
        <w:rPr>
          <w:rFonts w:hint="eastAsia" w:ascii="宋体" w:hAnsi="宋体" w:cs="宋体"/>
          <w:color w:val="auto"/>
          <w:sz w:val="21"/>
          <w:szCs w:val="21"/>
          <w:highlight w:val="none"/>
        </w:rPr>
      </w:pPr>
    </w:p>
    <w:p w14:paraId="2D3CD2D9">
      <w:pPr>
        <w:pStyle w:val="13"/>
        <w:tabs>
          <w:tab w:val="left" w:pos="1953"/>
          <w:tab w:val="left" w:pos="5507"/>
          <w:tab w:val="left" w:pos="6575"/>
        </w:tabs>
        <w:kinsoku w:val="0"/>
        <w:overflowPunct w:val="0"/>
        <w:spacing w:line="384" w:lineRule="auto"/>
        <w:ind w:left="0" w:firstLine="48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rPr>
        <w:tab/>
      </w:r>
      <w:r>
        <w:rPr>
          <w:rFonts w:hint="eastAsia" w:ascii="宋体" w:hAnsi="宋体" w:cs="宋体"/>
          <w:color w:val="auto"/>
          <w:sz w:val="21"/>
          <w:szCs w:val="21"/>
          <w:highlight w:val="none"/>
        </w:rPr>
        <w:t>年  月  日</w:t>
      </w:r>
    </w:p>
    <w:p w14:paraId="738FF037">
      <w:pPr>
        <w:pStyle w:val="13"/>
        <w:tabs>
          <w:tab w:val="left" w:pos="1262"/>
          <w:tab w:val="left" w:pos="1996"/>
          <w:tab w:val="left" w:pos="2731"/>
        </w:tabs>
        <w:kinsoku w:val="0"/>
        <w:overflowPunct w:val="0"/>
        <w:ind w:left="0"/>
        <w:rPr>
          <w:rFonts w:hint="eastAsia" w:ascii="宋体" w:hAnsi="宋体" w:cs="宋体"/>
          <w:color w:val="auto"/>
          <w:sz w:val="21"/>
          <w:szCs w:val="21"/>
          <w:highlight w:val="none"/>
        </w:rPr>
        <w:sectPr>
          <w:pgSz w:w="11910" w:h="16840"/>
          <w:pgMar w:top="1100" w:right="1202" w:bottom="919" w:left="1298" w:header="918" w:footer="975" w:gutter="0"/>
          <w:cols w:space="720" w:num="1"/>
        </w:sectPr>
      </w:pPr>
    </w:p>
    <w:p w14:paraId="3746D854">
      <w:pPr>
        <w:pStyle w:val="13"/>
        <w:kinsoku w:val="0"/>
        <w:overflowPunct w:val="0"/>
        <w:spacing w:line="360" w:lineRule="auto"/>
        <w:ind w:left="0"/>
        <w:rPr>
          <w:rFonts w:hint="eastAsia" w:ascii="宋体" w:hAnsi="宋体" w:cs="宋体"/>
          <w:color w:val="auto"/>
          <w:sz w:val="20"/>
          <w:highlight w:val="none"/>
        </w:rPr>
      </w:pPr>
    </w:p>
    <w:p w14:paraId="4DC20385">
      <w:pPr>
        <w:pStyle w:val="13"/>
        <w:kinsoku w:val="0"/>
        <w:overflowPunct w:val="0"/>
        <w:spacing w:line="360" w:lineRule="auto"/>
        <w:ind w:left="0"/>
        <w:rPr>
          <w:rFonts w:hint="eastAsia" w:ascii="宋体" w:hAnsi="宋体" w:cs="宋体"/>
          <w:color w:val="auto"/>
          <w:szCs w:val="24"/>
          <w:highlight w:val="none"/>
        </w:rPr>
      </w:pPr>
    </w:p>
    <w:p w14:paraId="1AACD739">
      <w:pPr>
        <w:pStyle w:val="13"/>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（3）供应商有效的资质证书副本复印件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43FB78D0">
      <w:pPr>
        <w:pStyle w:val="13"/>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（4）供应商安全生产许可证复印件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15F58CF4">
      <w:pPr>
        <w:pStyle w:val="13"/>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（5）法定代表人身份证复印件</w:t>
      </w:r>
      <w:r>
        <w:rPr>
          <w:rFonts w:hint="eastAsia" w:ascii="宋体" w:hAnsi="宋体" w:cs="宋体"/>
          <w:b/>
          <w:color w:val="auto"/>
          <w:szCs w:val="24"/>
          <w:highlight w:val="none"/>
        </w:rPr>
        <w:t>（法定代表人参加竞标时，必须提供）</w:t>
      </w:r>
      <w:r>
        <w:rPr>
          <w:rFonts w:hint="eastAsia" w:ascii="宋体" w:hAnsi="宋体" w:cs="宋体"/>
          <w:color w:val="auto"/>
          <w:szCs w:val="24"/>
          <w:highlight w:val="none"/>
        </w:rPr>
        <w:t>；</w:t>
      </w:r>
    </w:p>
    <w:p w14:paraId="78F42D73">
      <w:pPr>
        <w:pStyle w:val="13"/>
        <w:kinsoku w:val="0"/>
        <w:overflowPunct w:val="0"/>
        <w:ind w:left="0"/>
        <w:rPr>
          <w:rFonts w:hint="eastAsia" w:ascii="宋体" w:hAnsi="宋体" w:cs="宋体"/>
          <w:color w:val="auto"/>
          <w:sz w:val="21"/>
          <w:szCs w:val="21"/>
          <w:highlight w:val="none"/>
        </w:rPr>
        <w:sectPr>
          <w:pgSz w:w="11910" w:h="16840"/>
          <w:pgMar w:top="1100" w:right="1202" w:bottom="919" w:left="1298" w:header="918" w:footer="975" w:gutter="0"/>
          <w:cols w:space="720" w:num="1"/>
        </w:sectPr>
      </w:pPr>
    </w:p>
    <w:p w14:paraId="47CFA571">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（6）法定代表人授权委托书原件和委托代理人身份证复印件</w:t>
      </w:r>
      <w:r>
        <w:rPr>
          <w:rFonts w:hint="eastAsia" w:ascii="宋体" w:hAnsi="宋体" w:cs="宋体"/>
          <w:b/>
          <w:color w:val="auto"/>
          <w:szCs w:val="24"/>
          <w:highlight w:val="none"/>
        </w:rPr>
        <w:t>（委托代理时必须提供）</w:t>
      </w:r>
      <w:r>
        <w:rPr>
          <w:rFonts w:hint="eastAsia" w:ascii="宋体" w:hAnsi="宋体" w:cs="宋体"/>
          <w:color w:val="auto"/>
          <w:szCs w:val="24"/>
          <w:highlight w:val="none"/>
        </w:rPr>
        <w:t>。</w:t>
      </w:r>
    </w:p>
    <w:p w14:paraId="43D56431">
      <w:pPr>
        <w:pStyle w:val="5"/>
        <w:kinsoku w:val="0"/>
        <w:overflowPunct w:val="0"/>
        <w:jc w:val="center"/>
        <w:rPr>
          <w:rFonts w:hAnsi="宋体" w:cs="宋体"/>
          <w:color w:val="auto"/>
          <w:sz w:val="21"/>
          <w:szCs w:val="21"/>
          <w:highlight w:val="none"/>
        </w:rPr>
      </w:pPr>
      <w:bookmarkStart w:id="219" w:name="_Toc514759066"/>
    </w:p>
    <w:p w14:paraId="70BF0B80">
      <w:pPr>
        <w:jc w:val="center"/>
        <w:rPr>
          <w:rFonts w:hint="eastAsia" w:ascii="宋体" w:hAnsi="宋体" w:eastAsia="宋体" w:cs="宋体"/>
          <w:b/>
          <w:color w:val="auto"/>
          <w:sz w:val="32"/>
          <w:highlight w:val="none"/>
          <w:lang w:eastAsia="zh-CN"/>
        </w:rPr>
      </w:pPr>
      <w:bookmarkStart w:id="220" w:name="_Toc514786929"/>
      <w:r>
        <w:rPr>
          <w:rFonts w:ascii="宋体" w:hAnsi="宋体" w:cs="宋体"/>
          <w:b/>
          <w:color w:val="auto"/>
          <w:sz w:val="32"/>
          <w:highlight w:val="none"/>
        </w:rPr>
        <w:t>法定代表人授权委托书</w:t>
      </w:r>
      <w:r>
        <w:rPr>
          <w:rFonts w:hint="eastAsia" w:ascii="宋体" w:hAnsi="宋体" w:cs="宋体"/>
          <w:b/>
          <w:color w:val="auto"/>
          <w:sz w:val="32"/>
          <w:highlight w:val="none"/>
          <w:lang w:eastAsia="zh-CN"/>
        </w:rPr>
        <w:t>（</w:t>
      </w:r>
      <w:r>
        <w:rPr>
          <w:rFonts w:ascii="宋体" w:hAnsi="宋体" w:cs="宋体"/>
          <w:b/>
          <w:color w:val="auto"/>
          <w:sz w:val="32"/>
          <w:highlight w:val="none"/>
        </w:rPr>
        <w:t>格式</w:t>
      </w:r>
      <w:bookmarkEnd w:id="219"/>
      <w:bookmarkEnd w:id="220"/>
      <w:r>
        <w:rPr>
          <w:rFonts w:hint="eastAsia" w:ascii="宋体" w:hAnsi="宋体" w:cs="宋体"/>
          <w:b/>
          <w:color w:val="auto"/>
          <w:sz w:val="32"/>
          <w:highlight w:val="none"/>
          <w:lang w:eastAsia="zh-CN"/>
        </w:rPr>
        <w:t>）</w:t>
      </w:r>
    </w:p>
    <w:p w14:paraId="241BAB1C">
      <w:pPr>
        <w:pStyle w:val="13"/>
        <w:kinsoku w:val="0"/>
        <w:overflowPunct w:val="0"/>
        <w:ind w:left="0"/>
        <w:rPr>
          <w:rFonts w:hint="eastAsia" w:ascii="宋体" w:hAnsi="宋体" w:cs="宋体"/>
          <w:b/>
          <w:color w:val="auto"/>
          <w:sz w:val="49"/>
          <w:highlight w:val="none"/>
        </w:rPr>
      </w:pPr>
    </w:p>
    <w:p w14:paraId="1DF93F12">
      <w:pPr>
        <w:pStyle w:val="13"/>
        <w:tabs>
          <w:tab w:val="left" w:pos="1262"/>
        </w:tabs>
        <w:kinsoku w:val="0"/>
        <w:overflowPunct w:val="0"/>
        <w:ind w:left="0"/>
        <w:rPr>
          <w:rFonts w:hint="eastAsia" w:ascii="宋体" w:hAnsi="宋体" w:cs="宋体"/>
          <w:color w:val="auto"/>
          <w:szCs w:val="24"/>
          <w:highlight w:val="none"/>
        </w:rPr>
      </w:pPr>
      <w:r>
        <w:rPr>
          <w:rFonts w:hint="eastAsia" w:ascii="宋体" w:hAnsi="宋体" w:cs="宋体"/>
          <w:color w:val="auto"/>
          <w:w w:val="95"/>
          <w:szCs w:val="24"/>
          <w:highlight w:val="none"/>
        </w:rPr>
        <w:t>致：</w:t>
      </w:r>
      <w:r>
        <w:rPr>
          <w:rFonts w:hint="eastAsia" w:ascii="宋体" w:hAnsi="宋体" w:cs="宋体"/>
          <w:color w:val="auto"/>
          <w:w w:val="95"/>
          <w:szCs w:val="24"/>
          <w:highlight w:val="none"/>
          <w:u w:val="single"/>
        </w:rPr>
        <w:tab/>
      </w:r>
      <w:r>
        <w:rPr>
          <w:rFonts w:hint="eastAsia" w:ascii="宋体" w:hAnsi="宋体" w:cs="宋体"/>
          <w:color w:val="auto"/>
          <w:szCs w:val="24"/>
          <w:highlight w:val="none"/>
        </w:rPr>
        <w:t>（采购代理机构）：</w:t>
      </w:r>
    </w:p>
    <w:p w14:paraId="354DBAC5">
      <w:pPr>
        <w:pStyle w:val="13"/>
        <w:kinsoku w:val="0"/>
        <w:overflowPunct w:val="0"/>
        <w:ind w:left="0"/>
        <w:rPr>
          <w:rFonts w:hint="eastAsia" w:ascii="宋体" w:hAnsi="宋体" w:cs="宋体"/>
          <w:color w:val="auto"/>
          <w:szCs w:val="24"/>
          <w:highlight w:val="none"/>
        </w:rPr>
      </w:pPr>
    </w:p>
    <w:p w14:paraId="31EB6EA0">
      <w:pPr>
        <w:pStyle w:val="13"/>
        <w:tabs>
          <w:tab w:val="left" w:pos="1125"/>
          <w:tab w:val="left" w:pos="3131"/>
        </w:tabs>
        <w:kinsoku w:val="0"/>
        <w:overflowPunct w:val="0"/>
        <w:spacing w:line="480" w:lineRule="auto"/>
        <w:ind w:left="0" w:firstLine="684" w:firstLineChars="300"/>
        <w:rPr>
          <w:rFonts w:hint="eastAsia" w:ascii="宋体" w:hAnsi="宋体" w:cs="宋体"/>
          <w:color w:val="auto"/>
          <w:szCs w:val="24"/>
          <w:highlight w:val="none"/>
        </w:rPr>
      </w:pPr>
      <w:r>
        <w:rPr>
          <w:rFonts w:hint="eastAsia" w:ascii="宋体" w:hAnsi="宋体" w:cs="宋体"/>
          <w:color w:val="auto"/>
          <w:w w:val="95"/>
          <w:szCs w:val="24"/>
          <w:highlight w:val="none"/>
        </w:rPr>
        <w:t>我</w:t>
      </w:r>
      <w:r>
        <w:rPr>
          <w:rFonts w:hint="eastAsia" w:ascii="宋体" w:hAnsi="宋体" w:cs="宋体"/>
          <w:color w:val="auto"/>
          <w:w w:val="95"/>
          <w:szCs w:val="24"/>
          <w:highlight w:val="none"/>
          <w:u w:val="single"/>
        </w:rPr>
        <w:tab/>
      </w:r>
      <w:r>
        <w:rPr>
          <w:rFonts w:hint="eastAsia" w:ascii="宋体" w:hAnsi="宋体" w:cs="宋体"/>
          <w:color w:val="auto"/>
          <w:w w:val="95"/>
          <w:szCs w:val="24"/>
          <w:highlight w:val="none"/>
          <w:u w:val="single"/>
          <w:lang w:val="en-US" w:eastAsia="zh-CN"/>
        </w:rPr>
        <w:t xml:space="preserve">   </w:t>
      </w:r>
      <w:r>
        <w:rPr>
          <w:rFonts w:hint="eastAsia" w:ascii="宋体" w:hAnsi="宋体" w:cs="宋体"/>
          <w:color w:val="auto"/>
          <w:szCs w:val="24"/>
          <w:highlight w:val="none"/>
        </w:rPr>
        <w:t>（姓名）系</w:t>
      </w:r>
      <w:r>
        <w:rPr>
          <w:rFonts w:hint="eastAsia" w:ascii="宋体" w:hAnsi="宋体" w:cs="宋体"/>
          <w:color w:val="auto"/>
          <w:szCs w:val="24"/>
          <w:highlight w:val="none"/>
          <w:u w:val="single"/>
        </w:rPr>
        <w:tab/>
      </w:r>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rPr>
        <w:t>（供应商名称）的法定代表人，现授权委托本单位在职职工</w:t>
      </w:r>
      <w:r>
        <w:rPr>
          <w:rFonts w:hint="eastAsia" w:ascii="宋体" w:hAnsi="宋体" w:cs="宋体"/>
          <w:color w:val="auto"/>
          <w:szCs w:val="24"/>
          <w:highlight w:val="none"/>
          <w:u w:val="single"/>
          <w:lang w:val="en-US" w:eastAsia="zh-CN"/>
        </w:rPr>
        <w:t xml:space="preserve">           </w:t>
      </w:r>
      <w:r>
        <w:rPr>
          <w:rFonts w:hint="eastAsia" w:ascii="宋体" w:hAnsi="宋体" w:cs="宋体"/>
          <w:color w:val="auto"/>
          <w:szCs w:val="24"/>
          <w:highlight w:val="none"/>
        </w:rPr>
        <w:t>（姓名）以我方的名义参加</w:t>
      </w:r>
      <w:r>
        <w:rPr>
          <w:rFonts w:hint="eastAsia" w:ascii="宋体" w:hAnsi="宋体" w:cs="宋体"/>
          <w:color w:val="auto"/>
          <w:w w:val="95"/>
          <w:szCs w:val="24"/>
          <w:highlight w:val="none"/>
          <w:u w:val="single"/>
        </w:rPr>
        <w:tab/>
      </w:r>
      <w:r>
        <w:rPr>
          <w:rFonts w:hint="eastAsia" w:ascii="宋体" w:hAnsi="宋体" w:cs="宋体"/>
          <w:color w:val="auto"/>
          <w:szCs w:val="24"/>
          <w:highlight w:val="none"/>
        </w:rPr>
        <w:t>项目的竞标活动，并代表我方全权办理针对上述项目的竞标、开标、签约等具体事务和签署相关文件。</w:t>
      </w:r>
    </w:p>
    <w:p w14:paraId="496EE089">
      <w:pPr>
        <w:pStyle w:val="13"/>
        <w:tabs>
          <w:tab w:val="left" w:pos="1125"/>
          <w:tab w:val="left" w:pos="3131"/>
        </w:tabs>
        <w:kinsoku w:val="0"/>
        <w:overflowPunct w:val="0"/>
        <w:spacing w:line="480" w:lineRule="auto"/>
        <w:ind w:left="0" w:firstLine="480" w:firstLineChars="200"/>
        <w:rPr>
          <w:rFonts w:hint="eastAsia" w:ascii="宋体" w:hAnsi="宋体" w:cs="宋体"/>
          <w:color w:val="auto"/>
          <w:w w:val="95"/>
          <w:szCs w:val="24"/>
          <w:highlight w:val="none"/>
        </w:rPr>
      </w:pPr>
      <w:r>
        <w:rPr>
          <w:rFonts w:hint="eastAsia" w:ascii="宋体" w:hAnsi="宋体" w:cs="宋体"/>
          <w:color w:val="auto"/>
          <w:szCs w:val="24"/>
          <w:highlight w:val="none"/>
        </w:rPr>
        <w:t>我方对被授权人的签名事项负全部责任。在撤销授权的书面通知以前，本授权书一直有效。被授权人在授权书有效期内签署的所有文件不因授权的撤销而失效。被授权人无转委托权，特此委托。</w:t>
      </w:r>
    </w:p>
    <w:p w14:paraId="2DD4B376">
      <w:pPr>
        <w:pStyle w:val="13"/>
        <w:kinsoku w:val="0"/>
        <w:overflowPunct w:val="0"/>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附：法定代表人身份证及被授权人有效身份证正反面复印件</w:t>
      </w:r>
    </w:p>
    <w:p w14:paraId="4C2AA55C">
      <w:pPr>
        <w:pStyle w:val="13"/>
        <w:kinsoku w:val="0"/>
        <w:overflowPunct w:val="0"/>
        <w:ind w:left="0"/>
        <w:rPr>
          <w:rFonts w:hint="eastAsia" w:ascii="宋体" w:hAnsi="宋体" w:cs="宋体"/>
          <w:color w:val="auto"/>
          <w:szCs w:val="24"/>
          <w:highlight w:val="none"/>
        </w:rPr>
      </w:pPr>
    </w:p>
    <w:p w14:paraId="43323124">
      <w:pPr>
        <w:pStyle w:val="13"/>
        <w:kinsoku w:val="0"/>
        <w:overflowPunct w:val="0"/>
        <w:ind w:left="0"/>
        <w:rPr>
          <w:rFonts w:hint="eastAsia" w:ascii="宋体" w:hAnsi="宋体" w:cs="宋体"/>
          <w:color w:val="auto"/>
          <w:szCs w:val="24"/>
          <w:highlight w:val="none"/>
        </w:rPr>
      </w:pPr>
    </w:p>
    <w:p w14:paraId="0B230DC1">
      <w:pPr>
        <w:pStyle w:val="13"/>
        <w:kinsoku w:val="0"/>
        <w:overflowPunct w:val="0"/>
        <w:ind w:left="0"/>
        <w:rPr>
          <w:rFonts w:hint="eastAsia" w:ascii="宋体" w:hAnsi="宋体" w:cs="宋体"/>
          <w:color w:val="auto"/>
          <w:szCs w:val="24"/>
          <w:highlight w:val="none"/>
        </w:rPr>
      </w:pPr>
    </w:p>
    <w:p w14:paraId="4F3DF146">
      <w:pPr>
        <w:pStyle w:val="13"/>
        <w:tabs>
          <w:tab w:val="left" w:pos="1125"/>
          <w:tab w:val="left" w:pos="3131"/>
        </w:tabs>
        <w:kinsoku w:val="0"/>
        <w:overflowPunct w:val="0"/>
        <w:spacing w:line="48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被授权人签名：</w:t>
      </w:r>
      <w:r>
        <w:rPr>
          <w:rFonts w:hint="eastAsia" w:ascii="宋体" w:hAnsi="宋体" w:cs="宋体"/>
          <w:color w:val="auto"/>
          <w:szCs w:val="24"/>
          <w:highlight w:val="none"/>
        </w:rPr>
        <w:tab/>
      </w:r>
      <w:r>
        <w:rPr>
          <w:rFonts w:hint="eastAsia" w:ascii="宋体" w:hAnsi="宋体" w:cs="宋体"/>
          <w:color w:val="auto"/>
          <w:szCs w:val="24"/>
          <w:highlight w:val="none"/>
        </w:rPr>
        <w:t>法定代表人签名：</w:t>
      </w:r>
    </w:p>
    <w:p w14:paraId="00BF927C">
      <w:pPr>
        <w:pStyle w:val="13"/>
        <w:tabs>
          <w:tab w:val="left" w:pos="1125"/>
          <w:tab w:val="left" w:pos="3131"/>
        </w:tabs>
        <w:kinsoku w:val="0"/>
        <w:overflowPunct w:val="0"/>
        <w:spacing w:line="480" w:lineRule="auto"/>
        <w:ind w:left="0" w:firstLine="480" w:firstLineChars="200"/>
        <w:rPr>
          <w:rFonts w:hint="eastAsia" w:ascii="宋体" w:hAnsi="宋体" w:cs="宋体"/>
          <w:color w:val="auto"/>
          <w:szCs w:val="24"/>
          <w:highlight w:val="none"/>
        </w:rPr>
      </w:pPr>
    </w:p>
    <w:p w14:paraId="4CDB5E9D">
      <w:pPr>
        <w:pStyle w:val="13"/>
        <w:tabs>
          <w:tab w:val="left" w:pos="1125"/>
          <w:tab w:val="left" w:pos="3131"/>
        </w:tabs>
        <w:kinsoku w:val="0"/>
        <w:overflowPunct w:val="0"/>
        <w:spacing w:line="48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所在部门职务：</w:t>
      </w:r>
      <w:r>
        <w:rPr>
          <w:rFonts w:hint="eastAsia" w:ascii="宋体" w:hAnsi="宋体" w:cs="宋体"/>
          <w:color w:val="auto"/>
          <w:szCs w:val="24"/>
          <w:highlight w:val="none"/>
        </w:rPr>
        <w:tab/>
      </w:r>
      <w:r>
        <w:rPr>
          <w:rFonts w:hint="eastAsia" w:ascii="宋体" w:hAnsi="宋体" w:cs="宋体"/>
          <w:color w:val="auto"/>
          <w:szCs w:val="24"/>
          <w:highlight w:val="none"/>
        </w:rPr>
        <w:t>职务：</w:t>
      </w:r>
    </w:p>
    <w:p w14:paraId="515D4127">
      <w:pPr>
        <w:pStyle w:val="13"/>
        <w:tabs>
          <w:tab w:val="left" w:pos="1125"/>
          <w:tab w:val="left" w:pos="3131"/>
        </w:tabs>
        <w:kinsoku w:val="0"/>
        <w:overflowPunct w:val="0"/>
        <w:spacing w:line="480" w:lineRule="auto"/>
        <w:ind w:left="0" w:firstLine="480" w:firstLineChars="200"/>
        <w:rPr>
          <w:rFonts w:hint="eastAsia" w:ascii="宋体" w:hAnsi="宋体" w:cs="宋体"/>
          <w:color w:val="auto"/>
          <w:szCs w:val="24"/>
          <w:highlight w:val="none"/>
        </w:rPr>
      </w:pPr>
    </w:p>
    <w:p w14:paraId="4E819771">
      <w:pPr>
        <w:pStyle w:val="13"/>
        <w:kinsoku w:val="0"/>
        <w:overflowPunct w:val="0"/>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被授权人身份证号码：</w:t>
      </w:r>
    </w:p>
    <w:p w14:paraId="62E0B35D">
      <w:pPr>
        <w:pStyle w:val="13"/>
        <w:kinsoku w:val="0"/>
        <w:overflowPunct w:val="0"/>
        <w:ind w:left="0"/>
        <w:rPr>
          <w:rFonts w:hint="eastAsia" w:ascii="宋体" w:hAnsi="宋体" w:cs="宋体"/>
          <w:color w:val="auto"/>
          <w:szCs w:val="24"/>
          <w:highlight w:val="none"/>
        </w:rPr>
      </w:pPr>
    </w:p>
    <w:p w14:paraId="482E50EB">
      <w:pPr>
        <w:pStyle w:val="13"/>
        <w:kinsoku w:val="0"/>
        <w:overflowPunct w:val="0"/>
        <w:ind w:left="0"/>
        <w:rPr>
          <w:rFonts w:hint="eastAsia" w:ascii="宋体" w:hAnsi="宋体" w:cs="宋体"/>
          <w:color w:val="auto"/>
          <w:szCs w:val="24"/>
          <w:highlight w:val="none"/>
        </w:rPr>
      </w:pPr>
    </w:p>
    <w:p w14:paraId="618C23B6">
      <w:pPr>
        <w:pStyle w:val="13"/>
        <w:kinsoku w:val="0"/>
        <w:overflowPunct w:val="0"/>
        <w:ind w:left="0"/>
        <w:rPr>
          <w:rFonts w:hint="eastAsia" w:ascii="宋体" w:hAnsi="宋体" w:cs="宋体"/>
          <w:color w:val="auto"/>
          <w:szCs w:val="24"/>
          <w:highlight w:val="none"/>
        </w:rPr>
      </w:pPr>
    </w:p>
    <w:p w14:paraId="19017D6E">
      <w:pPr>
        <w:pStyle w:val="13"/>
        <w:kinsoku w:val="0"/>
        <w:overflowPunct w:val="0"/>
        <w:ind w:left="0"/>
        <w:jc w:val="center"/>
        <w:rPr>
          <w:rFonts w:hint="eastAsia" w:ascii="宋体" w:hAnsi="宋体" w:cs="宋体"/>
          <w:color w:val="auto"/>
          <w:szCs w:val="24"/>
          <w:highlight w:val="none"/>
        </w:rPr>
      </w:pPr>
      <w:r>
        <w:rPr>
          <w:rFonts w:hint="eastAsia" w:ascii="宋体" w:hAnsi="宋体" w:cs="宋体"/>
          <w:color w:val="auto"/>
          <w:szCs w:val="24"/>
          <w:highlight w:val="none"/>
        </w:rPr>
        <w:t>供应商公章：</w:t>
      </w:r>
    </w:p>
    <w:p w14:paraId="50BC9EFB">
      <w:pPr>
        <w:pStyle w:val="13"/>
        <w:kinsoku w:val="0"/>
        <w:overflowPunct w:val="0"/>
        <w:ind w:left="0"/>
        <w:rPr>
          <w:rFonts w:hint="eastAsia" w:ascii="宋体" w:hAnsi="宋体" w:cs="宋体"/>
          <w:color w:val="auto"/>
          <w:szCs w:val="24"/>
          <w:highlight w:val="none"/>
        </w:rPr>
      </w:pPr>
    </w:p>
    <w:p w14:paraId="6AA0F595">
      <w:pPr>
        <w:pStyle w:val="13"/>
        <w:kinsoku w:val="0"/>
        <w:overflowPunct w:val="0"/>
        <w:ind w:left="0"/>
        <w:rPr>
          <w:rFonts w:hint="eastAsia" w:ascii="宋体" w:hAnsi="宋体" w:cs="宋体"/>
          <w:color w:val="auto"/>
          <w:szCs w:val="24"/>
          <w:highlight w:val="none"/>
        </w:rPr>
      </w:pPr>
    </w:p>
    <w:p w14:paraId="71483AE3">
      <w:pPr>
        <w:pStyle w:val="13"/>
        <w:kinsoku w:val="0"/>
        <w:overflowPunct w:val="0"/>
        <w:ind w:left="0"/>
        <w:rPr>
          <w:rFonts w:hint="eastAsia" w:ascii="宋体" w:hAnsi="宋体" w:cs="宋体"/>
          <w:color w:val="auto"/>
          <w:szCs w:val="24"/>
          <w:highlight w:val="none"/>
        </w:rPr>
      </w:pPr>
    </w:p>
    <w:p w14:paraId="7F4B9A5D">
      <w:pPr>
        <w:pStyle w:val="13"/>
        <w:tabs>
          <w:tab w:val="left" w:pos="6511"/>
          <w:tab w:val="left" w:pos="7142"/>
        </w:tabs>
        <w:kinsoku w:val="0"/>
        <w:overflowPunct w:val="0"/>
        <w:ind w:left="0"/>
        <w:jc w:val="center"/>
        <w:rPr>
          <w:rFonts w:hint="eastAsia" w:ascii="宋体" w:hAnsi="宋体" w:cs="宋体"/>
          <w:color w:val="auto"/>
          <w:szCs w:val="24"/>
          <w:highlight w:val="none"/>
        </w:rPr>
      </w:pPr>
      <w:r>
        <w:rPr>
          <w:rFonts w:hint="eastAsia" w:ascii="宋体" w:hAnsi="宋体" w:cs="宋体"/>
          <w:color w:val="auto"/>
          <w:szCs w:val="24"/>
          <w:highlight w:val="none"/>
        </w:rPr>
        <w:t>年       月      日</w:t>
      </w:r>
    </w:p>
    <w:p w14:paraId="366890A1">
      <w:pPr>
        <w:pStyle w:val="13"/>
        <w:tabs>
          <w:tab w:val="left" w:pos="6511"/>
          <w:tab w:val="left" w:pos="7142"/>
        </w:tabs>
        <w:kinsoku w:val="0"/>
        <w:overflowPunct w:val="0"/>
        <w:ind w:left="0"/>
        <w:rPr>
          <w:rFonts w:hint="eastAsia" w:ascii="宋体" w:hAnsi="宋体" w:cs="宋体"/>
          <w:color w:val="auto"/>
          <w:szCs w:val="24"/>
          <w:highlight w:val="none"/>
        </w:rPr>
        <w:sectPr>
          <w:pgSz w:w="11910" w:h="16840"/>
          <w:pgMar w:top="1100" w:right="1202" w:bottom="919" w:left="1298" w:header="918" w:footer="975" w:gutter="0"/>
          <w:cols w:space="720" w:num="1"/>
        </w:sectPr>
      </w:pPr>
    </w:p>
    <w:p w14:paraId="5D746D34">
      <w:pPr>
        <w:pStyle w:val="13"/>
        <w:kinsoku w:val="0"/>
        <w:overflowPunct w:val="0"/>
        <w:spacing w:line="348" w:lineRule="auto"/>
        <w:ind w:left="0" w:firstLine="480" w:firstLineChars="200"/>
        <w:jc w:val="both"/>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（7）</w:t>
      </w:r>
      <w:r>
        <w:rPr>
          <w:rFonts w:hint="eastAsia" w:ascii="宋体" w:hAnsi="宋体" w:cs="宋体"/>
          <w:color w:val="auto"/>
          <w:szCs w:val="24"/>
          <w:highlight w:val="none"/>
          <w:lang w:val="zh-CN"/>
        </w:rPr>
        <w:t>近年完成的类似项目情况表</w:t>
      </w:r>
      <w:r>
        <w:rPr>
          <w:rFonts w:hint="eastAsia" w:ascii="宋体" w:hAnsi="宋体" w:cs="宋体"/>
          <w:b/>
          <w:color w:val="auto"/>
          <w:szCs w:val="24"/>
          <w:highlight w:val="none"/>
        </w:rPr>
        <w:t>（必须提供）</w:t>
      </w:r>
      <w:r>
        <w:rPr>
          <w:rFonts w:hint="eastAsia" w:ascii="宋体" w:hAnsi="宋体" w:cs="宋体"/>
          <w:color w:val="auto"/>
          <w:szCs w:val="24"/>
          <w:highlight w:val="none"/>
          <w:lang w:eastAsia="zh-CN"/>
        </w:rPr>
        <w:t>；</w:t>
      </w:r>
    </w:p>
    <w:p w14:paraId="205ECC94">
      <w:pPr>
        <w:pStyle w:val="13"/>
        <w:kinsoku w:val="0"/>
        <w:overflowPunct w:val="0"/>
        <w:spacing w:line="314"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（8）拟投入本项目的项目经理注册建造师执业资格证、职称证书</w:t>
      </w:r>
      <w:r>
        <w:rPr>
          <w:rFonts w:hint="eastAsia" w:ascii="宋体" w:hAnsi="宋体" w:cs="宋体"/>
          <w:color w:val="auto"/>
          <w:szCs w:val="24"/>
          <w:highlight w:val="none"/>
          <w:lang w:eastAsia="zh-CN"/>
        </w:rPr>
        <w:t>、</w:t>
      </w:r>
      <w:r>
        <w:rPr>
          <w:rFonts w:hint="eastAsia" w:ascii="宋体" w:hAnsi="宋体" w:cs="宋体"/>
          <w:color w:val="auto"/>
          <w:szCs w:val="24"/>
          <w:highlight w:val="none"/>
        </w:rPr>
        <w:t>有效的安全生产考核合格证书（B证）复印件</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4F413F88">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（9）拟投入本项目的项目总工身份证、职称证复印件，</w:t>
      </w:r>
      <w:r>
        <w:rPr>
          <w:rFonts w:hint="eastAsia" w:ascii="宋体" w:hAnsi="宋体" w:cs="宋体"/>
          <w:color w:val="auto"/>
          <w:spacing w:val="8"/>
          <w:szCs w:val="24"/>
          <w:highlight w:val="none"/>
        </w:rPr>
        <w:t>具有省级或以上交通运输行政主管部门颁发的安全生产考核合格证（“三类人员”B类证书）</w:t>
      </w:r>
      <w:r>
        <w:rPr>
          <w:rFonts w:hint="eastAsia" w:ascii="宋体" w:hAnsi="宋体" w:cs="宋体"/>
          <w:color w:val="auto"/>
          <w:szCs w:val="24"/>
          <w:highlight w:val="none"/>
        </w:rPr>
        <w:t>复印件</w:t>
      </w:r>
      <w:r>
        <w:rPr>
          <w:rFonts w:hint="eastAsia" w:ascii="宋体" w:hAnsi="宋体" w:cs="宋体"/>
          <w:b/>
          <w:color w:val="auto"/>
          <w:sz w:val="24"/>
          <w:szCs w:val="24"/>
          <w:highlight w:val="none"/>
        </w:rPr>
        <w:t>（必须提供）</w:t>
      </w:r>
      <w:r>
        <w:rPr>
          <w:rFonts w:hint="eastAsia" w:ascii="宋体" w:hAnsi="宋体" w:cs="宋体"/>
          <w:color w:val="auto"/>
          <w:spacing w:val="8"/>
          <w:szCs w:val="24"/>
          <w:highlight w:val="none"/>
        </w:rPr>
        <w:t>；</w:t>
      </w:r>
    </w:p>
    <w:p w14:paraId="5C0E4B77">
      <w:pPr>
        <w:pStyle w:val="13"/>
        <w:kinsoku w:val="0"/>
        <w:overflowPunct w:val="0"/>
        <w:spacing w:line="314"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（10）提交拟投入本项目的项目经理、项目总工最近3个月在本单位的社保证明；供应商为新注册成立的企业（距磋商截止日不足三个月），须提供企业自成立至今的社保证明</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02358CE5">
      <w:pPr>
        <w:pStyle w:val="13"/>
        <w:kinsoku w:val="0"/>
        <w:overflowPunct w:val="0"/>
        <w:spacing w:line="348" w:lineRule="auto"/>
        <w:ind w:left="0"/>
        <w:jc w:val="both"/>
        <w:rPr>
          <w:rFonts w:hint="eastAsia" w:ascii="宋体" w:hAnsi="宋体" w:cs="宋体"/>
          <w:color w:val="auto"/>
          <w:highlight w:val="none"/>
        </w:rPr>
      </w:pPr>
    </w:p>
    <w:p w14:paraId="20316EA0">
      <w:pPr>
        <w:jc w:val="center"/>
        <w:rPr>
          <w:rFonts w:ascii="宋体" w:hAnsi="宋体" w:cs="宋体"/>
          <w:b/>
          <w:color w:val="auto"/>
          <w:sz w:val="21"/>
          <w:szCs w:val="21"/>
          <w:highlight w:val="none"/>
        </w:rPr>
      </w:pPr>
      <w:r>
        <w:rPr>
          <w:rFonts w:ascii="宋体" w:hAnsi="宋体" w:cs="宋体"/>
          <w:b/>
          <w:color w:val="auto"/>
          <w:highlight w:val="none"/>
        </w:rPr>
        <w:br w:type="page"/>
      </w:r>
      <w:r>
        <w:rPr>
          <w:rFonts w:ascii="宋体" w:hAnsi="宋体" w:cs="宋体"/>
          <w:b/>
          <w:color w:val="auto"/>
          <w:szCs w:val="24"/>
          <w:highlight w:val="none"/>
        </w:rPr>
        <w:t>拟委任的项目经理和项目总工资历表</w:t>
      </w:r>
    </w:p>
    <w:p w14:paraId="761EFD0B">
      <w:pPr>
        <w:jc w:val="center"/>
        <w:rPr>
          <w:rFonts w:ascii="宋体" w:hAnsi="宋体" w:cs="宋体"/>
          <w:b/>
          <w:color w:val="auto"/>
          <w:sz w:val="21"/>
          <w:szCs w:val="21"/>
          <w:highlight w:val="none"/>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14:paraId="738C1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14:paraId="11EFFD6A">
            <w:pPr>
              <w:tabs>
                <w:tab w:val="left" w:pos="680"/>
              </w:tabs>
              <w:spacing w:before="73"/>
              <w:jc w:val="center"/>
              <w:rPr>
                <w:rFonts w:ascii="宋体" w:hAnsi="宋体" w:cs="宋体"/>
                <w:color w:val="auto"/>
                <w:szCs w:val="24"/>
                <w:highlight w:val="none"/>
              </w:rPr>
            </w:pPr>
            <w:r>
              <w:rPr>
                <w:rFonts w:ascii="宋体" w:hAnsi="宋体" w:cs="宋体"/>
                <w:color w:val="auto"/>
                <w:szCs w:val="24"/>
                <w:highlight w:val="none"/>
              </w:rPr>
              <w:t>姓</w:t>
            </w:r>
            <w:r>
              <w:rPr>
                <w:rFonts w:ascii="宋体" w:hAnsi="宋体" w:cs="宋体"/>
                <w:color w:val="auto"/>
                <w:szCs w:val="24"/>
                <w:highlight w:val="none"/>
              </w:rPr>
              <w:tab/>
            </w:r>
            <w:r>
              <w:rPr>
                <w:rFonts w:ascii="宋体" w:hAnsi="宋体" w:cs="宋体"/>
                <w:color w:val="auto"/>
                <w:szCs w:val="24"/>
                <w:highlight w:val="none"/>
              </w:rPr>
              <w:t>名</w:t>
            </w:r>
          </w:p>
        </w:tc>
        <w:tc>
          <w:tcPr>
            <w:tcW w:w="1645" w:type="dxa"/>
            <w:noWrap w:val="0"/>
            <w:vAlign w:val="center"/>
          </w:tcPr>
          <w:p w14:paraId="212EF611">
            <w:pPr>
              <w:jc w:val="center"/>
              <w:rPr>
                <w:rFonts w:ascii="宋体" w:hAnsi="宋体" w:cs="宋体"/>
                <w:color w:val="auto"/>
                <w:szCs w:val="24"/>
                <w:highlight w:val="none"/>
              </w:rPr>
            </w:pPr>
          </w:p>
        </w:tc>
        <w:tc>
          <w:tcPr>
            <w:tcW w:w="1516" w:type="dxa"/>
            <w:noWrap w:val="0"/>
            <w:vAlign w:val="center"/>
          </w:tcPr>
          <w:p w14:paraId="417FBB52">
            <w:pPr>
              <w:spacing w:before="73"/>
              <w:jc w:val="center"/>
              <w:rPr>
                <w:rFonts w:ascii="宋体" w:hAnsi="宋体" w:cs="宋体"/>
                <w:color w:val="auto"/>
                <w:szCs w:val="24"/>
                <w:highlight w:val="none"/>
              </w:rPr>
            </w:pPr>
            <w:r>
              <w:rPr>
                <w:rFonts w:ascii="宋体" w:hAnsi="宋体" w:cs="宋体"/>
                <w:color w:val="auto"/>
                <w:szCs w:val="24"/>
                <w:highlight w:val="none"/>
              </w:rPr>
              <w:t>年  龄</w:t>
            </w:r>
          </w:p>
        </w:tc>
        <w:tc>
          <w:tcPr>
            <w:tcW w:w="1478" w:type="dxa"/>
            <w:gridSpan w:val="2"/>
            <w:noWrap w:val="0"/>
            <w:vAlign w:val="center"/>
          </w:tcPr>
          <w:p w14:paraId="64B63872">
            <w:pPr>
              <w:jc w:val="center"/>
              <w:rPr>
                <w:rFonts w:ascii="宋体" w:hAnsi="宋体" w:cs="宋体"/>
                <w:color w:val="auto"/>
                <w:szCs w:val="24"/>
                <w:highlight w:val="none"/>
              </w:rPr>
            </w:pPr>
          </w:p>
        </w:tc>
        <w:tc>
          <w:tcPr>
            <w:tcW w:w="2169" w:type="dxa"/>
            <w:gridSpan w:val="2"/>
            <w:noWrap w:val="0"/>
            <w:vAlign w:val="center"/>
          </w:tcPr>
          <w:p w14:paraId="0E3311B5">
            <w:pPr>
              <w:spacing w:before="73"/>
              <w:jc w:val="center"/>
              <w:rPr>
                <w:rFonts w:ascii="宋体" w:hAnsi="宋体" w:cs="宋体"/>
                <w:color w:val="auto"/>
                <w:szCs w:val="24"/>
                <w:highlight w:val="none"/>
              </w:rPr>
            </w:pPr>
            <w:r>
              <w:rPr>
                <w:rFonts w:ascii="宋体" w:hAnsi="宋体" w:cs="宋体"/>
                <w:color w:val="auto"/>
                <w:szCs w:val="24"/>
                <w:highlight w:val="none"/>
              </w:rPr>
              <w:t>专  业</w:t>
            </w:r>
          </w:p>
        </w:tc>
        <w:tc>
          <w:tcPr>
            <w:tcW w:w="1477" w:type="dxa"/>
            <w:noWrap w:val="0"/>
            <w:vAlign w:val="center"/>
          </w:tcPr>
          <w:p w14:paraId="7CF1A8AE">
            <w:pPr>
              <w:jc w:val="center"/>
              <w:rPr>
                <w:rFonts w:ascii="宋体" w:hAnsi="宋体" w:cs="宋体"/>
                <w:color w:val="auto"/>
                <w:szCs w:val="24"/>
                <w:highlight w:val="none"/>
              </w:rPr>
            </w:pPr>
          </w:p>
        </w:tc>
      </w:tr>
      <w:tr w14:paraId="4D5C0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14:paraId="71593F87">
            <w:pPr>
              <w:tabs>
                <w:tab w:val="left" w:pos="680"/>
              </w:tabs>
              <w:spacing w:before="73"/>
              <w:jc w:val="center"/>
              <w:rPr>
                <w:rFonts w:ascii="宋体" w:hAnsi="宋体" w:cs="宋体"/>
                <w:color w:val="auto"/>
                <w:szCs w:val="24"/>
                <w:highlight w:val="none"/>
              </w:rPr>
            </w:pPr>
            <w:r>
              <w:rPr>
                <w:rFonts w:ascii="宋体" w:hAnsi="宋体" w:cs="宋体"/>
                <w:color w:val="auto"/>
                <w:szCs w:val="24"/>
                <w:highlight w:val="none"/>
              </w:rPr>
              <w:t>职</w:t>
            </w:r>
            <w:r>
              <w:rPr>
                <w:rFonts w:ascii="宋体" w:hAnsi="宋体" w:cs="宋体"/>
                <w:color w:val="auto"/>
                <w:szCs w:val="24"/>
                <w:highlight w:val="none"/>
              </w:rPr>
              <w:tab/>
            </w:r>
            <w:r>
              <w:rPr>
                <w:rFonts w:ascii="宋体" w:hAnsi="宋体" w:cs="宋体"/>
                <w:color w:val="auto"/>
                <w:szCs w:val="24"/>
                <w:highlight w:val="none"/>
              </w:rPr>
              <w:t>称</w:t>
            </w:r>
          </w:p>
        </w:tc>
        <w:tc>
          <w:tcPr>
            <w:tcW w:w="1645" w:type="dxa"/>
            <w:noWrap w:val="0"/>
            <w:vAlign w:val="center"/>
          </w:tcPr>
          <w:p w14:paraId="1E1117B2">
            <w:pPr>
              <w:jc w:val="center"/>
              <w:rPr>
                <w:rFonts w:ascii="宋体" w:hAnsi="宋体" w:cs="宋体"/>
                <w:color w:val="auto"/>
                <w:szCs w:val="24"/>
                <w:highlight w:val="none"/>
              </w:rPr>
            </w:pPr>
          </w:p>
        </w:tc>
        <w:tc>
          <w:tcPr>
            <w:tcW w:w="1516" w:type="dxa"/>
            <w:noWrap w:val="0"/>
            <w:vAlign w:val="center"/>
          </w:tcPr>
          <w:p w14:paraId="16E4EA0C">
            <w:pPr>
              <w:spacing w:before="73"/>
              <w:jc w:val="center"/>
              <w:rPr>
                <w:rFonts w:ascii="宋体" w:hAnsi="宋体" w:cs="宋体"/>
                <w:color w:val="auto"/>
                <w:szCs w:val="24"/>
                <w:highlight w:val="none"/>
              </w:rPr>
            </w:pPr>
            <w:r>
              <w:rPr>
                <w:rFonts w:ascii="宋体" w:hAnsi="宋体" w:cs="宋体"/>
                <w:color w:val="auto"/>
                <w:szCs w:val="24"/>
                <w:highlight w:val="none"/>
              </w:rPr>
              <w:t>公司单位</w:t>
            </w:r>
          </w:p>
          <w:p w14:paraId="173D0075">
            <w:pPr>
              <w:spacing w:before="73"/>
              <w:jc w:val="center"/>
              <w:rPr>
                <w:rFonts w:ascii="宋体" w:hAnsi="宋体" w:cs="宋体"/>
                <w:color w:val="auto"/>
                <w:szCs w:val="24"/>
                <w:highlight w:val="none"/>
              </w:rPr>
            </w:pPr>
            <w:r>
              <w:rPr>
                <w:rFonts w:ascii="宋体" w:hAnsi="宋体" w:cs="宋体"/>
                <w:color w:val="auto"/>
                <w:szCs w:val="24"/>
                <w:highlight w:val="none"/>
              </w:rPr>
              <w:t>职    务</w:t>
            </w:r>
          </w:p>
        </w:tc>
        <w:tc>
          <w:tcPr>
            <w:tcW w:w="1478" w:type="dxa"/>
            <w:gridSpan w:val="2"/>
            <w:noWrap w:val="0"/>
            <w:vAlign w:val="center"/>
          </w:tcPr>
          <w:p w14:paraId="57DF0C78">
            <w:pPr>
              <w:jc w:val="center"/>
              <w:rPr>
                <w:rFonts w:ascii="宋体" w:hAnsi="宋体" w:cs="宋体"/>
                <w:color w:val="auto"/>
                <w:szCs w:val="24"/>
                <w:highlight w:val="none"/>
              </w:rPr>
            </w:pPr>
          </w:p>
        </w:tc>
        <w:tc>
          <w:tcPr>
            <w:tcW w:w="2169" w:type="dxa"/>
            <w:gridSpan w:val="2"/>
            <w:noWrap w:val="0"/>
            <w:vAlign w:val="center"/>
          </w:tcPr>
          <w:p w14:paraId="4D6C9F5A">
            <w:pPr>
              <w:spacing w:before="73"/>
              <w:jc w:val="center"/>
              <w:rPr>
                <w:rFonts w:ascii="宋体" w:hAnsi="宋体" w:cs="宋体"/>
                <w:color w:val="auto"/>
                <w:szCs w:val="24"/>
                <w:highlight w:val="none"/>
              </w:rPr>
            </w:pPr>
            <w:r>
              <w:rPr>
                <w:rFonts w:ascii="宋体" w:hAnsi="宋体" w:cs="宋体"/>
                <w:color w:val="auto"/>
                <w:szCs w:val="24"/>
                <w:highlight w:val="none"/>
              </w:rPr>
              <w:t>拟在本标段</w:t>
            </w:r>
          </w:p>
          <w:p w14:paraId="1E8CB34F">
            <w:pPr>
              <w:spacing w:before="73"/>
              <w:jc w:val="center"/>
              <w:rPr>
                <w:rFonts w:ascii="宋体" w:hAnsi="宋体" w:cs="宋体"/>
                <w:color w:val="auto"/>
                <w:szCs w:val="24"/>
                <w:highlight w:val="none"/>
              </w:rPr>
            </w:pPr>
            <w:r>
              <w:rPr>
                <w:rFonts w:ascii="宋体" w:hAnsi="宋体" w:cs="宋体"/>
                <w:color w:val="auto"/>
                <w:szCs w:val="24"/>
                <w:highlight w:val="none"/>
              </w:rPr>
              <w:t>工程担任职务</w:t>
            </w:r>
          </w:p>
        </w:tc>
        <w:tc>
          <w:tcPr>
            <w:tcW w:w="1477" w:type="dxa"/>
            <w:noWrap w:val="0"/>
            <w:vAlign w:val="center"/>
          </w:tcPr>
          <w:p w14:paraId="4D519A55">
            <w:pPr>
              <w:jc w:val="center"/>
              <w:rPr>
                <w:rFonts w:ascii="宋体" w:hAnsi="宋体" w:cs="宋体"/>
                <w:color w:val="auto"/>
                <w:szCs w:val="24"/>
                <w:highlight w:val="none"/>
              </w:rPr>
            </w:pPr>
          </w:p>
        </w:tc>
      </w:tr>
      <w:tr w14:paraId="59E2F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14:paraId="1D7CB000">
            <w:pPr>
              <w:spacing w:before="73"/>
              <w:jc w:val="center"/>
              <w:rPr>
                <w:rFonts w:ascii="宋体" w:hAnsi="宋体" w:cs="宋体"/>
                <w:color w:val="auto"/>
                <w:szCs w:val="24"/>
                <w:highlight w:val="none"/>
              </w:rPr>
            </w:pPr>
            <w:r>
              <w:rPr>
                <w:rFonts w:ascii="宋体" w:hAnsi="宋体" w:cs="宋体"/>
                <w:color w:val="auto"/>
                <w:szCs w:val="24"/>
                <w:highlight w:val="none"/>
              </w:rPr>
              <w:t>毕业学校</w:t>
            </w:r>
          </w:p>
        </w:tc>
        <w:tc>
          <w:tcPr>
            <w:tcW w:w="8285" w:type="dxa"/>
            <w:gridSpan w:val="7"/>
            <w:noWrap w:val="0"/>
            <w:vAlign w:val="center"/>
          </w:tcPr>
          <w:p w14:paraId="2BA007D8">
            <w:pPr>
              <w:tabs>
                <w:tab w:val="left" w:pos="2820"/>
                <w:tab w:val="left" w:pos="4080"/>
              </w:tabs>
              <w:spacing w:before="73"/>
              <w:ind w:left="-1476" w:leftChars="-615" w:firstLine="1440" w:firstLineChars="600"/>
              <w:rPr>
                <w:rFonts w:ascii="宋体" w:hAnsi="宋体" w:cs="宋体"/>
                <w:color w:val="auto"/>
                <w:szCs w:val="24"/>
                <w:highlight w:val="none"/>
              </w:rPr>
            </w:pPr>
            <w:r>
              <w:rPr>
                <w:rFonts w:ascii="宋体" w:hAnsi="宋体" w:cs="宋体"/>
                <w:color w:val="auto"/>
                <w:szCs w:val="24"/>
                <w:highlight w:val="none"/>
                <w:u w:val="single"/>
              </w:rPr>
              <w:t xml:space="preserve">    </w:t>
            </w:r>
            <w:r>
              <w:rPr>
                <w:rFonts w:ascii="宋体" w:hAnsi="宋体" w:cs="宋体"/>
                <w:color w:val="auto"/>
                <w:szCs w:val="24"/>
                <w:highlight w:val="none"/>
              </w:rPr>
              <w:t>年</w:t>
            </w:r>
            <w:r>
              <w:rPr>
                <w:rFonts w:ascii="宋体" w:hAnsi="宋体" w:cs="宋体"/>
                <w:color w:val="auto"/>
                <w:szCs w:val="24"/>
                <w:highlight w:val="none"/>
                <w:u w:val="single"/>
              </w:rPr>
              <w:t xml:space="preserve">   </w:t>
            </w:r>
            <w:r>
              <w:rPr>
                <w:rFonts w:ascii="宋体" w:hAnsi="宋体" w:cs="宋体"/>
                <w:color w:val="auto"/>
                <w:szCs w:val="24"/>
                <w:highlight w:val="none"/>
              </w:rPr>
              <w:t>月毕业于</w:t>
            </w:r>
            <w:r>
              <w:rPr>
                <w:rFonts w:ascii="宋体" w:hAnsi="宋体" w:cs="宋体"/>
                <w:color w:val="auto"/>
                <w:szCs w:val="24"/>
                <w:highlight w:val="none"/>
                <w:u w:val="single"/>
              </w:rPr>
              <w:t xml:space="preserve">                 </w:t>
            </w:r>
            <w:r>
              <w:rPr>
                <w:rFonts w:ascii="宋体" w:hAnsi="宋体" w:cs="宋体"/>
                <w:color w:val="auto"/>
                <w:szCs w:val="24"/>
                <w:highlight w:val="none"/>
              </w:rPr>
              <w:t>学校</w:t>
            </w:r>
            <w:r>
              <w:rPr>
                <w:rFonts w:ascii="宋体" w:hAnsi="宋体" w:cs="宋体"/>
                <w:color w:val="auto"/>
                <w:szCs w:val="24"/>
                <w:highlight w:val="none"/>
                <w:u w:val="single"/>
              </w:rPr>
              <w:t xml:space="preserve">       </w:t>
            </w:r>
            <w:r>
              <w:rPr>
                <w:rFonts w:ascii="宋体" w:hAnsi="宋体" w:cs="宋体"/>
                <w:color w:val="auto"/>
                <w:szCs w:val="24"/>
                <w:highlight w:val="none"/>
              </w:rPr>
              <w:t>专业，学制</w:t>
            </w:r>
            <w:r>
              <w:rPr>
                <w:rFonts w:ascii="宋体" w:hAnsi="宋体" w:cs="宋体"/>
                <w:color w:val="auto"/>
                <w:szCs w:val="24"/>
                <w:highlight w:val="none"/>
                <w:u w:val="single"/>
              </w:rPr>
              <w:t xml:space="preserve">      </w:t>
            </w:r>
            <w:r>
              <w:rPr>
                <w:rFonts w:ascii="宋体" w:hAnsi="宋体" w:cs="宋体"/>
                <w:color w:val="auto"/>
                <w:szCs w:val="24"/>
                <w:highlight w:val="none"/>
              </w:rPr>
              <w:t>年</w:t>
            </w:r>
          </w:p>
        </w:tc>
      </w:tr>
      <w:tr w14:paraId="73877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8"/>
            <w:noWrap w:val="0"/>
            <w:vAlign w:val="center"/>
          </w:tcPr>
          <w:p w14:paraId="6404101F">
            <w:pPr>
              <w:jc w:val="center"/>
              <w:rPr>
                <w:rFonts w:ascii="宋体" w:hAnsi="宋体" w:cs="宋体"/>
                <w:color w:val="auto"/>
                <w:szCs w:val="24"/>
                <w:highlight w:val="none"/>
              </w:rPr>
            </w:pPr>
            <w:r>
              <w:rPr>
                <w:rFonts w:ascii="宋体" w:hAnsi="宋体" w:cs="宋体"/>
                <w:color w:val="auto"/>
                <w:szCs w:val="24"/>
                <w:highlight w:val="none"/>
              </w:rPr>
              <w:t>经     历</w:t>
            </w:r>
          </w:p>
        </w:tc>
      </w:tr>
      <w:tr w14:paraId="392EB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14:paraId="6880272C">
            <w:pPr>
              <w:jc w:val="center"/>
              <w:rPr>
                <w:rFonts w:ascii="宋体" w:hAnsi="宋体" w:cs="宋体"/>
                <w:color w:val="auto"/>
                <w:szCs w:val="24"/>
                <w:highlight w:val="none"/>
              </w:rPr>
            </w:pPr>
            <w:r>
              <w:rPr>
                <w:rFonts w:ascii="宋体" w:hAnsi="宋体" w:cs="宋体"/>
                <w:color w:val="auto"/>
                <w:szCs w:val="24"/>
                <w:highlight w:val="none"/>
                <w:u w:val="single"/>
              </w:rPr>
              <w:t xml:space="preserve">     </w:t>
            </w:r>
            <w:r>
              <w:rPr>
                <w:rFonts w:ascii="宋体" w:hAnsi="宋体" w:cs="宋体"/>
                <w:color w:val="auto"/>
                <w:szCs w:val="24"/>
                <w:highlight w:val="none"/>
              </w:rPr>
              <w:t>年～</w:t>
            </w:r>
          </w:p>
          <w:p w14:paraId="027417B4">
            <w:pPr>
              <w:jc w:val="center"/>
              <w:rPr>
                <w:rFonts w:ascii="宋体" w:hAnsi="宋体" w:cs="宋体"/>
                <w:color w:val="auto"/>
                <w:szCs w:val="24"/>
                <w:highlight w:val="none"/>
              </w:rPr>
            </w:pPr>
            <w:r>
              <w:rPr>
                <w:rFonts w:ascii="宋体" w:hAnsi="宋体" w:cs="宋体"/>
                <w:color w:val="auto"/>
                <w:szCs w:val="24"/>
                <w:highlight w:val="none"/>
                <w:u w:val="single"/>
              </w:rPr>
              <w:t xml:space="preserve">     </w:t>
            </w:r>
            <w:r>
              <w:rPr>
                <w:rFonts w:ascii="宋体" w:hAnsi="宋体" w:cs="宋体"/>
                <w:color w:val="auto"/>
                <w:szCs w:val="24"/>
                <w:highlight w:val="none"/>
              </w:rPr>
              <w:t>年</w:t>
            </w:r>
          </w:p>
        </w:tc>
        <w:tc>
          <w:tcPr>
            <w:tcW w:w="4023" w:type="dxa"/>
            <w:gridSpan w:val="3"/>
            <w:noWrap w:val="0"/>
            <w:vAlign w:val="center"/>
          </w:tcPr>
          <w:p w14:paraId="4EDF8A96">
            <w:pPr>
              <w:jc w:val="center"/>
              <w:rPr>
                <w:rFonts w:ascii="宋体" w:hAnsi="宋体" w:cs="宋体"/>
                <w:color w:val="auto"/>
                <w:szCs w:val="24"/>
                <w:highlight w:val="none"/>
              </w:rPr>
            </w:pPr>
            <w:r>
              <w:rPr>
                <w:rFonts w:ascii="宋体" w:hAnsi="宋体" w:cs="宋体"/>
                <w:color w:val="auto"/>
                <w:szCs w:val="24"/>
                <w:highlight w:val="none"/>
              </w:rPr>
              <w:t>参加过的工程项目名称</w:t>
            </w:r>
          </w:p>
        </w:tc>
        <w:tc>
          <w:tcPr>
            <w:tcW w:w="1392" w:type="dxa"/>
            <w:gridSpan w:val="2"/>
            <w:noWrap w:val="0"/>
            <w:vAlign w:val="center"/>
          </w:tcPr>
          <w:p w14:paraId="46C53D19">
            <w:pPr>
              <w:jc w:val="center"/>
              <w:rPr>
                <w:rFonts w:ascii="宋体" w:hAnsi="宋体" w:cs="宋体"/>
                <w:color w:val="auto"/>
                <w:szCs w:val="24"/>
                <w:highlight w:val="none"/>
              </w:rPr>
            </w:pPr>
            <w:r>
              <w:rPr>
                <w:rFonts w:ascii="宋体" w:hAnsi="宋体" w:cs="宋体"/>
                <w:color w:val="auto"/>
                <w:szCs w:val="24"/>
                <w:highlight w:val="none"/>
              </w:rPr>
              <w:t>担任何职</w:t>
            </w:r>
          </w:p>
        </w:tc>
        <w:tc>
          <w:tcPr>
            <w:tcW w:w="2870" w:type="dxa"/>
            <w:gridSpan w:val="2"/>
            <w:noWrap w:val="0"/>
            <w:vAlign w:val="center"/>
          </w:tcPr>
          <w:p w14:paraId="63C96F49">
            <w:pPr>
              <w:jc w:val="center"/>
              <w:rPr>
                <w:rFonts w:ascii="宋体" w:hAnsi="宋体" w:cs="宋体"/>
                <w:color w:val="auto"/>
                <w:szCs w:val="24"/>
                <w:highlight w:val="none"/>
              </w:rPr>
            </w:pPr>
            <w:r>
              <w:rPr>
                <w:rFonts w:ascii="宋体" w:hAnsi="宋体" w:cs="宋体"/>
                <w:color w:val="auto"/>
                <w:szCs w:val="24"/>
                <w:highlight w:val="none"/>
              </w:rPr>
              <w:t>发包人及</w:t>
            </w:r>
          </w:p>
          <w:p w14:paraId="41BF2AF4">
            <w:pPr>
              <w:jc w:val="center"/>
              <w:rPr>
                <w:rFonts w:ascii="宋体" w:hAnsi="宋体" w:cs="宋体"/>
                <w:color w:val="auto"/>
                <w:szCs w:val="24"/>
                <w:highlight w:val="none"/>
              </w:rPr>
            </w:pPr>
            <w:r>
              <w:rPr>
                <w:rFonts w:ascii="宋体" w:hAnsi="宋体" w:cs="宋体"/>
                <w:color w:val="auto"/>
                <w:szCs w:val="24"/>
                <w:highlight w:val="none"/>
              </w:rPr>
              <w:t>联系电话</w:t>
            </w:r>
          </w:p>
        </w:tc>
      </w:tr>
      <w:tr w14:paraId="7BF55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14:paraId="724C0846">
            <w:pPr>
              <w:jc w:val="center"/>
              <w:rPr>
                <w:rFonts w:ascii="宋体" w:hAnsi="宋体" w:cs="宋体"/>
                <w:color w:val="auto"/>
                <w:szCs w:val="24"/>
                <w:highlight w:val="none"/>
              </w:rPr>
            </w:pPr>
          </w:p>
        </w:tc>
        <w:tc>
          <w:tcPr>
            <w:tcW w:w="4023" w:type="dxa"/>
            <w:gridSpan w:val="3"/>
            <w:noWrap w:val="0"/>
            <w:vAlign w:val="center"/>
          </w:tcPr>
          <w:p w14:paraId="2806ED86">
            <w:pPr>
              <w:jc w:val="center"/>
              <w:rPr>
                <w:rFonts w:ascii="宋体" w:hAnsi="宋体" w:cs="宋体"/>
                <w:color w:val="auto"/>
                <w:szCs w:val="24"/>
                <w:highlight w:val="none"/>
              </w:rPr>
            </w:pPr>
          </w:p>
        </w:tc>
        <w:tc>
          <w:tcPr>
            <w:tcW w:w="1392" w:type="dxa"/>
            <w:gridSpan w:val="2"/>
            <w:noWrap w:val="0"/>
            <w:vAlign w:val="center"/>
          </w:tcPr>
          <w:p w14:paraId="4D38A03A">
            <w:pPr>
              <w:jc w:val="center"/>
              <w:rPr>
                <w:rFonts w:ascii="宋体" w:hAnsi="宋体" w:cs="宋体"/>
                <w:color w:val="auto"/>
                <w:szCs w:val="24"/>
                <w:highlight w:val="none"/>
              </w:rPr>
            </w:pPr>
          </w:p>
        </w:tc>
        <w:tc>
          <w:tcPr>
            <w:tcW w:w="2870" w:type="dxa"/>
            <w:gridSpan w:val="2"/>
            <w:noWrap w:val="0"/>
            <w:vAlign w:val="center"/>
          </w:tcPr>
          <w:p w14:paraId="64C58A35">
            <w:pPr>
              <w:jc w:val="center"/>
              <w:rPr>
                <w:rFonts w:ascii="宋体" w:hAnsi="宋体" w:cs="宋体"/>
                <w:color w:val="auto"/>
                <w:szCs w:val="24"/>
                <w:highlight w:val="none"/>
              </w:rPr>
            </w:pPr>
          </w:p>
        </w:tc>
      </w:tr>
      <w:tr w14:paraId="016E7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14:paraId="2F0F1565">
            <w:pPr>
              <w:jc w:val="center"/>
              <w:rPr>
                <w:rFonts w:ascii="宋体" w:hAnsi="宋体" w:cs="宋体"/>
                <w:color w:val="auto"/>
                <w:szCs w:val="24"/>
                <w:highlight w:val="none"/>
              </w:rPr>
            </w:pPr>
          </w:p>
        </w:tc>
        <w:tc>
          <w:tcPr>
            <w:tcW w:w="4023" w:type="dxa"/>
            <w:gridSpan w:val="3"/>
            <w:noWrap w:val="0"/>
            <w:vAlign w:val="center"/>
          </w:tcPr>
          <w:p w14:paraId="7E214731">
            <w:pPr>
              <w:jc w:val="center"/>
              <w:rPr>
                <w:rFonts w:ascii="宋体" w:hAnsi="宋体" w:cs="宋体"/>
                <w:color w:val="auto"/>
                <w:szCs w:val="24"/>
                <w:highlight w:val="none"/>
              </w:rPr>
            </w:pPr>
          </w:p>
        </w:tc>
        <w:tc>
          <w:tcPr>
            <w:tcW w:w="1392" w:type="dxa"/>
            <w:gridSpan w:val="2"/>
            <w:noWrap w:val="0"/>
            <w:vAlign w:val="center"/>
          </w:tcPr>
          <w:p w14:paraId="35A5942E">
            <w:pPr>
              <w:jc w:val="center"/>
              <w:rPr>
                <w:rFonts w:ascii="宋体" w:hAnsi="宋体" w:cs="宋体"/>
                <w:color w:val="auto"/>
                <w:szCs w:val="24"/>
                <w:highlight w:val="none"/>
              </w:rPr>
            </w:pPr>
          </w:p>
        </w:tc>
        <w:tc>
          <w:tcPr>
            <w:tcW w:w="2870" w:type="dxa"/>
            <w:gridSpan w:val="2"/>
            <w:noWrap w:val="0"/>
            <w:vAlign w:val="center"/>
          </w:tcPr>
          <w:p w14:paraId="02B9C497">
            <w:pPr>
              <w:jc w:val="center"/>
              <w:rPr>
                <w:rFonts w:ascii="宋体" w:hAnsi="宋体" w:cs="宋体"/>
                <w:color w:val="auto"/>
                <w:szCs w:val="24"/>
                <w:highlight w:val="none"/>
              </w:rPr>
            </w:pPr>
          </w:p>
        </w:tc>
      </w:tr>
      <w:tr w14:paraId="2BE08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14:paraId="68189318">
            <w:pPr>
              <w:jc w:val="center"/>
              <w:rPr>
                <w:rFonts w:ascii="宋体" w:hAnsi="宋体" w:cs="宋体"/>
                <w:color w:val="auto"/>
                <w:szCs w:val="24"/>
                <w:highlight w:val="none"/>
              </w:rPr>
            </w:pPr>
          </w:p>
        </w:tc>
        <w:tc>
          <w:tcPr>
            <w:tcW w:w="4023" w:type="dxa"/>
            <w:gridSpan w:val="3"/>
            <w:noWrap w:val="0"/>
            <w:vAlign w:val="center"/>
          </w:tcPr>
          <w:p w14:paraId="3279813A">
            <w:pPr>
              <w:jc w:val="center"/>
              <w:rPr>
                <w:rFonts w:ascii="宋体" w:hAnsi="宋体" w:cs="宋体"/>
                <w:color w:val="auto"/>
                <w:szCs w:val="24"/>
                <w:highlight w:val="none"/>
              </w:rPr>
            </w:pPr>
          </w:p>
        </w:tc>
        <w:tc>
          <w:tcPr>
            <w:tcW w:w="1392" w:type="dxa"/>
            <w:gridSpan w:val="2"/>
            <w:noWrap w:val="0"/>
            <w:vAlign w:val="center"/>
          </w:tcPr>
          <w:p w14:paraId="62EDDF7D">
            <w:pPr>
              <w:jc w:val="center"/>
              <w:rPr>
                <w:rFonts w:ascii="宋体" w:hAnsi="宋体" w:cs="宋体"/>
                <w:color w:val="auto"/>
                <w:szCs w:val="24"/>
                <w:highlight w:val="none"/>
              </w:rPr>
            </w:pPr>
          </w:p>
        </w:tc>
        <w:tc>
          <w:tcPr>
            <w:tcW w:w="2870" w:type="dxa"/>
            <w:gridSpan w:val="2"/>
            <w:noWrap w:val="0"/>
            <w:vAlign w:val="center"/>
          </w:tcPr>
          <w:p w14:paraId="3E063882">
            <w:pPr>
              <w:jc w:val="center"/>
              <w:rPr>
                <w:rFonts w:ascii="宋体" w:hAnsi="宋体" w:cs="宋体"/>
                <w:color w:val="auto"/>
                <w:szCs w:val="24"/>
                <w:highlight w:val="none"/>
              </w:rPr>
            </w:pPr>
          </w:p>
        </w:tc>
      </w:tr>
      <w:tr w14:paraId="1E64A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14:paraId="5824E925">
            <w:pPr>
              <w:jc w:val="center"/>
              <w:rPr>
                <w:rFonts w:ascii="宋体" w:hAnsi="宋体" w:cs="宋体"/>
                <w:color w:val="auto"/>
                <w:szCs w:val="24"/>
                <w:highlight w:val="none"/>
              </w:rPr>
            </w:pPr>
          </w:p>
        </w:tc>
        <w:tc>
          <w:tcPr>
            <w:tcW w:w="4023" w:type="dxa"/>
            <w:gridSpan w:val="3"/>
            <w:noWrap w:val="0"/>
            <w:vAlign w:val="center"/>
          </w:tcPr>
          <w:p w14:paraId="0253ABBA">
            <w:pPr>
              <w:jc w:val="center"/>
              <w:rPr>
                <w:rFonts w:ascii="宋体" w:hAnsi="宋体" w:cs="宋体"/>
                <w:color w:val="auto"/>
                <w:szCs w:val="24"/>
                <w:highlight w:val="none"/>
              </w:rPr>
            </w:pPr>
          </w:p>
        </w:tc>
        <w:tc>
          <w:tcPr>
            <w:tcW w:w="1392" w:type="dxa"/>
            <w:gridSpan w:val="2"/>
            <w:noWrap w:val="0"/>
            <w:vAlign w:val="center"/>
          </w:tcPr>
          <w:p w14:paraId="16927696">
            <w:pPr>
              <w:jc w:val="center"/>
              <w:rPr>
                <w:rFonts w:ascii="宋体" w:hAnsi="宋体" w:cs="宋体"/>
                <w:color w:val="auto"/>
                <w:szCs w:val="24"/>
                <w:highlight w:val="none"/>
              </w:rPr>
            </w:pPr>
          </w:p>
        </w:tc>
        <w:tc>
          <w:tcPr>
            <w:tcW w:w="2870" w:type="dxa"/>
            <w:gridSpan w:val="2"/>
            <w:noWrap w:val="0"/>
            <w:vAlign w:val="center"/>
          </w:tcPr>
          <w:p w14:paraId="6049BA9E">
            <w:pPr>
              <w:jc w:val="center"/>
              <w:rPr>
                <w:rFonts w:ascii="宋体" w:hAnsi="宋体" w:cs="宋体"/>
                <w:color w:val="auto"/>
                <w:szCs w:val="24"/>
                <w:highlight w:val="none"/>
              </w:rPr>
            </w:pPr>
          </w:p>
        </w:tc>
      </w:tr>
      <w:tr w14:paraId="28B83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7" w:type="dxa"/>
            <w:gridSpan w:val="4"/>
            <w:noWrap w:val="0"/>
            <w:vAlign w:val="center"/>
          </w:tcPr>
          <w:p w14:paraId="2EAE5522">
            <w:pPr>
              <w:jc w:val="center"/>
              <w:rPr>
                <w:rFonts w:ascii="宋体" w:hAnsi="宋体" w:cs="宋体"/>
                <w:color w:val="auto"/>
                <w:szCs w:val="24"/>
                <w:highlight w:val="none"/>
              </w:rPr>
            </w:pPr>
            <w:r>
              <w:rPr>
                <w:rFonts w:ascii="宋体" w:hAnsi="宋体" w:cs="宋体"/>
                <w:color w:val="auto"/>
                <w:szCs w:val="24"/>
                <w:highlight w:val="none"/>
              </w:rPr>
              <w:t>获奖情况</w:t>
            </w:r>
          </w:p>
        </w:tc>
        <w:tc>
          <w:tcPr>
            <w:tcW w:w="1392" w:type="dxa"/>
            <w:gridSpan w:val="2"/>
            <w:noWrap w:val="0"/>
            <w:vAlign w:val="center"/>
          </w:tcPr>
          <w:p w14:paraId="2E4379D3">
            <w:pPr>
              <w:jc w:val="center"/>
              <w:rPr>
                <w:rFonts w:ascii="宋体" w:hAnsi="宋体" w:cs="宋体"/>
                <w:color w:val="auto"/>
                <w:szCs w:val="24"/>
                <w:highlight w:val="none"/>
              </w:rPr>
            </w:pPr>
          </w:p>
        </w:tc>
        <w:tc>
          <w:tcPr>
            <w:tcW w:w="2870" w:type="dxa"/>
            <w:gridSpan w:val="2"/>
            <w:noWrap w:val="0"/>
            <w:vAlign w:val="center"/>
          </w:tcPr>
          <w:p w14:paraId="4021D401">
            <w:pPr>
              <w:jc w:val="center"/>
              <w:rPr>
                <w:rFonts w:ascii="宋体" w:hAnsi="宋体" w:cs="宋体"/>
                <w:color w:val="auto"/>
                <w:szCs w:val="24"/>
                <w:highlight w:val="none"/>
              </w:rPr>
            </w:pPr>
          </w:p>
        </w:tc>
      </w:tr>
      <w:tr w14:paraId="0F0F2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restart"/>
            <w:noWrap w:val="0"/>
            <w:vAlign w:val="center"/>
          </w:tcPr>
          <w:p w14:paraId="4BC67E8F">
            <w:pPr>
              <w:jc w:val="center"/>
              <w:rPr>
                <w:rFonts w:ascii="宋体" w:hAnsi="宋体" w:cs="宋体"/>
                <w:color w:val="auto"/>
                <w:szCs w:val="24"/>
                <w:highlight w:val="none"/>
              </w:rPr>
            </w:pPr>
            <w:r>
              <w:rPr>
                <w:rFonts w:ascii="宋体" w:hAnsi="宋体" w:cs="宋体"/>
                <w:color w:val="auto"/>
                <w:szCs w:val="24"/>
                <w:highlight w:val="none"/>
              </w:rPr>
              <w:t>目前任职</w:t>
            </w:r>
          </w:p>
          <w:p w14:paraId="2D2A2D04">
            <w:pPr>
              <w:jc w:val="center"/>
              <w:rPr>
                <w:rFonts w:ascii="宋体" w:hAnsi="宋体" w:cs="宋体"/>
                <w:color w:val="auto"/>
                <w:szCs w:val="24"/>
                <w:highlight w:val="none"/>
              </w:rPr>
            </w:pPr>
            <w:r>
              <w:rPr>
                <w:rFonts w:ascii="宋体" w:hAnsi="宋体" w:cs="宋体"/>
                <w:color w:val="auto"/>
                <w:szCs w:val="24"/>
                <w:highlight w:val="none"/>
              </w:rPr>
              <w:t>项目状况</w:t>
            </w:r>
          </w:p>
        </w:tc>
        <w:tc>
          <w:tcPr>
            <w:tcW w:w="4023" w:type="dxa"/>
            <w:gridSpan w:val="3"/>
            <w:noWrap w:val="0"/>
            <w:vAlign w:val="center"/>
          </w:tcPr>
          <w:p w14:paraId="447AE4DB">
            <w:pPr>
              <w:jc w:val="center"/>
              <w:rPr>
                <w:rFonts w:ascii="宋体" w:hAnsi="宋体" w:cs="宋体"/>
                <w:color w:val="auto"/>
                <w:szCs w:val="24"/>
                <w:highlight w:val="none"/>
              </w:rPr>
            </w:pPr>
            <w:r>
              <w:rPr>
                <w:rFonts w:ascii="宋体" w:hAnsi="宋体" w:cs="宋体"/>
                <w:color w:val="auto"/>
                <w:szCs w:val="24"/>
                <w:highlight w:val="none"/>
              </w:rPr>
              <w:t>项目名称</w:t>
            </w:r>
          </w:p>
        </w:tc>
        <w:tc>
          <w:tcPr>
            <w:tcW w:w="4262" w:type="dxa"/>
            <w:gridSpan w:val="4"/>
            <w:noWrap w:val="0"/>
            <w:vAlign w:val="center"/>
          </w:tcPr>
          <w:p w14:paraId="56E63E25">
            <w:pPr>
              <w:jc w:val="center"/>
              <w:rPr>
                <w:rFonts w:ascii="宋体" w:hAnsi="宋体" w:cs="宋体"/>
                <w:color w:val="auto"/>
                <w:szCs w:val="24"/>
                <w:highlight w:val="none"/>
              </w:rPr>
            </w:pPr>
          </w:p>
        </w:tc>
      </w:tr>
      <w:tr w14:paraId="59257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noWrap w:val="0"/>
            <w:vAlign w:val="center"/>
          </w:tcPr>
          <w:p w14:paraId="4ADE14DB">
            <w:pPr>
              <w:jc w:val="center"/>
              <w:rPr>
                <w:rFonts w:ascii="宋体" w:hAnsi="宋体" w:cs="宋体"/>
                <w:color w:val="auto"/>
                <w:szCs w:val="24"/>
                <w:highlight w:val="none"/>
              </w:rPr>
            </w:pPr>
          </w:p>
        </w:tc>
        <w:tc>
          <w:tcPr>
            <w:tcW w:w="4023" w:type="dxa"/>
            <w:gridSpan w:val="3"/>
            <w:noWrap w:val="0"/>
            <w:vAlign w:val="center"/>
          </w:tcPr>
          <w:p w14:paraId="744EEA7B">
            <w:pPr>
              <w:jc w:val="center"/>
              <w:rPr>
                <w:rFonts w:ascii="宋体" w:hAnsi="宋体" w:cs="宋体"/>
                <w:color w:val="auto"/>
                <w:szCs w:val="24"/>
                <w:highlight w:val="none"/>
              </w:rPr>
            </w:pPr>
            <w:r>
              <w:rPr>
                <w:rFonts w:ascii="宋体" w:hAnsi="宋体" w:cs="宋体"/>
                <w:color w:val="auto"/>
                <w:szCs w:val="24"/>
                <w:highlight w:val="none"/>
              </w:rPr>
              <w:t>担任职位</w:t>
            </w:r>
          </w:p>
        </w:tc>
        <w:tc>
          <w:tcPr>
            <w:tcW w:w="4262" w:type="dxa"/>
            <w:gridSpan w:val="4"/>
            <w:noWrap w:val="0"/>
            <w:vAlign w:val="center"/>
          </w:tcPr>
          <w:p w14:paraId="7A3BE11B">
            <w:pPr>
              <w:jc w:val="center"/>
              <w:rPr>
                <w:rFonts w:ascii="宋体" w:hAnsi="宋体" w:cs="宋体"/>
                <w:color w:val="auto"/>
                <w:szCs w:val="24"/>
                <w:highlight w:val="none"/>
              </w:rPr>
            </w:pPr>
          </w:p>
        </w:tc>
      </w:tr>
      <w:tr w14:paraId="210F1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vMerge w:val="continue"/>
            <w:noWrap w:val="0"/>
            <w:vAlign w:val="center"/>
          </w:tcPr>
          <w:p w14:paraId="43E5DDC7">
            <w:pPr>
              <w:jc w:val="center"/>
              <w:rPr>
                <w:rFonts w:ascii="宋体" w:hAnsi="宋体" w:cs="宋体"/>
                <w:color w:val="auto"/>
                <w:szCs w:val="24"/>
                <w:highlight w:val="none"/>
              </w:rPr>
            </w:pPr>
          </w:p>
        </w:tc>
        <w:tc>
          <w:tcPr>
            <w:tcW w:w="4023" w:type="dxa"/>
            <w:gridSpan w:val="3"/>
            <w:noWrap w:val="0"/>
            <w:vAlign w:val="center"/>
          </w:tcPr>
          <w:p w14:paraId="5E7DB631">
            <w:pPr>
              <w:jc w:val="center"/>
              <w:rPr>
                <w:rFonts w:ascii="宋体" w:hAnsi="宋体" w:cs="宋体"/>
                <w:color w:val="auto"/>
                <w:szCs w:val="24"/>
                <w:highlight w:val="none"/>
              </w:rPr>
            </w:pPr>
            <w:r>
              <w:rPr>
                <w:rFonts w:ascii="宋体" w:hAnsi="宋体" w:cs="宋体"/>
                <w:color w:val="auto"/>
                <w:szCs w:val="24"/>
                <w:highlight w:val="none"/>
              </w:rPr>
              <w:t>可以调离日期</w:t>
            </w:r>
          </w:p>
        </w:tc>
        <w:tc>
          <w:tcPr>
            <w:tcW w:w="4262" w:type="dxa"/>
            <w:gridSpan w:val="4"/>
            <w:noWrap w:val="0"/>
            <w:vAlign w:val="center"/>
          </w:tcPr>
          <w:p w14:paraId="16C60426">
            <w:pPr>
              <w:jc w:val="center"/>
              <w:rPr>
                <w:rFonts w:ascii="宋体" w:hAnsi="宋体" w:cs="宋体"/>
                <w:color w:val="auto"/>
                <w:szCs w:val="24"/>
                <w:highlight w:val="none"/>
              </w:rPr>
            </w:pPr>
          </w:p>
        </w:tc>
      </w:tr>
      <w:tr w14:paraId="0765F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354" w:type="dxa"/>
            <w:noWrap w:val="0"/>
            <w:vAlign w:val="center"/>
          </w:tcPr>
          <w:p w14:paraId="41257F56">
            <w:pPr>
              <w:jc w:val="center"/>
              <w:rPr>
                <w:rFonts w:ascii="宋体" w:hAnsi="宋体" w:cs="宋体"/>
                <w:color w:val="auto"/>
                <w:szCs w:val="24"/>
                <w:highlight w:val="none"/>
              </w:rPr>
            </w:pPr>
            <w:r>
              <w:rPr>
                <w:rFonts w:ascii="宋体" w:hAnsi="宋体" w:cs="宋体"/>
                <w:color w:val="auto"/>
                <w:szCs w:val="24"/>
                <w:highlight w:val="none"/>
              </w:rPr>
              <w:t>备注</w:t>
            </w:r>
          </w:p>
        </w:tc>
        <w:tc>
          <w:tcPr>
            <w:tcW w:w="8285" w:type="dxa"/>
            <w:gridSpan w:val="7"/>
            <w:noWrap w:val="0"/>
            <w:vAlign w:val="center"/>
          </w:tcPr>
          <w:p w14:paraId="645F1282">
            <w:pPr>
              <w:jc w:val="center"/>
              <w:rPr>
                <w:rFonts w:ascii="宋体" w:hAnsi="宋体" w:cs="宋体"/>
                <w:color w:val="auto"/>
                <w:szCs w:val="24"/>
                <w:highlight w:val="none"/>
              </w:rPr>
            </w:pPr>
          </w:p>
        </w:tc>
      </w:tr>
    </w:tbl>
    <w:p w14:paraId="2C3D9181">
      <w:pPr>
        <w:adjustRightInd/>
        <w:spacing w:before="128"/>
        <w:ind w:left="264"/>
        <w:rPr>
          <w:rFonts w:ascii="宋体" w:hAnsi="宋体" w:cs="宋体"/>
          <w:color w:val="auto"/>
          <w:sz w:val="21"/>
          <w:szCs w:val="22"/>
          <w:highlight w:val="none"/>
          <w:lang w:val="zh-CN" w:bidi="zh-CN"/>
        </w:rPr>
      </w:pPr>
      <w:r>
        <w:rPr>
          <w:rFonts w:ascii="宋体" w:hAnsi="宋体" w:cs="宋体"/>
          <w:color w:val="auto"/>
          <w:sz w:val="21"/>
          <w:szCs w:val="22"/>
          <w:highlight w:val="none"/>
          <w:lang w:val="zh-CN" w:bidi="zh-CN"/>
        </w:rPr>
        <w:t>注：1.本表应填写项目经理和项目总工相关情况。</w:t>
      </w:r>
    </w:p>
    <w:p w14:paraId="719ADF8F">
      <w:pPr>
        <w:adjustRightInd/>
        <w:spacing w:before="128"/>
        <w:ind w:left="264"/>
        <w:rPr>
          <w:rFonts w:ascii="宋体" w:hAnsi="宋体" w:cs="宋体"/>
          <w:color w:val="auto"/>
          <w:sz w:val="21"/>
          <w:szCs w:val="22"/>
          <w:highlight w:val="none"/>
          <w:lang w:val="zh-CN" w:bidi="zh-CN"/>
        </w:rPr>
      </w:pPr>
      <w:r>
        <w:rPr>
          <w:rFonts w:ascii="宋体" w:hAnsi="宋体" w:cs="宋体"/>
          <w:color w:val="auto"/>
          <w:sz w:val="21"/>
          <w:szCs w:val="22"/>
          <w:highlight w:val="none"/>
          <w:lang w:val="zh-CN" w:bidi="zh-CN"/>
        </w:rPr>
        <w:t>2.投标人应根据磋商文件第二章“供应商须知前附表”第附录4的要求在本表后附相关证明材料。</w:t>
      </w:r>
    </w:p>
    <w:p w14:paraId="52C5BB6E">
      <w:pPr>
        <w:ind w:left="840" w:leftChars="200" w:hanging="360" w:hangingChars="150"/>
        <w:rPr>
          <w:rFonts w:ascii="宋体" w:hAnsi="宋体" w:cs="宋体"/>
          <w:color w:val="auto"/>
          <w:highlight w:val="none"/>
        </w:rPr>
      </w:pPr>
    </w:p>
    <w:p w14:paraId="75572B06">
      <w:pPr>
        <w:pStyle w:val="13"/>
        <w:kinsoku w:val="0"/>
        <w:overflowPunct w:val="0"/>
        <w:spacing w:line="348" w:lineRule="auto"/>
        <w:ind w:left="0"/>
        <w:rPr>
          <w:rFonts w:hint="eastAsia" w:ascii="宋体" w:hAnsi="宋体" w:cs="宋体"/>
          <w:color w:val="auto"/>
          <w:highlight w:val="none"/>
        </w:rPr>
      </w:pPr>
    </w:p>
    <w:p w14:paraId="4584742C">
      <w:pPr>
        <w:pStyle w:val="13"/>
        <w:kinsoku w:val="0"/>
        <w:overflowPunct w:val="0"/>
        <w:spacing w:line="348" w:lineRule="auto"/>
        <w:ind w:left="0"/>
        <w:rPr>
          <w:rFonts w:hint="eastAsia" w:ascii="宋体" w:hAnsi="宋体" w:cs="宋体"/>
          <w:color w:val="auto"/>
          <w:highlight w:val="none"/>
        </w:rPr>
      </w:pPr>
    </w:p>
    <w:p w14:paraId="16EF2EC2">
      <w:pPr>
        <w:pStyle w:val="13"/>
        <w:kinsoku w:val="0"/>
        <w:overflowPunct w:val="0"/>
        <w:spacing w:line="348" w:lineRule="auto"/>
        <w:ind w:left="0"/>
        <w:rPr>
          <w:rFonts w:hint="eastAsia" w:ascii="宋体" w:hAnsi="宋体" w:cs="宋体"/>
          <w:color w:val="auto"/>
          <w:highlight w:val="none"/>
        </w:rPr>
      </w:pPr>
    </w:p>
    <w:p w14:paraId="5AC8877F">
      <w:pPr>
        <w:pStyle w:val="13"/>
        <w:kinsoku w:val="0"/>
        <w:overflowPunct w:val="0"/>
        <w:spacing w:line="348" w:lineRule="auto"/>
        <w:ind w:left="0"/>
        <w:rPr>
          <w:rFonts w:hint="eastAsia" w:ascii="宋体" w:hAnsi="宋体" w:cs="宋体"/>
          <w:color w:val="auto"/>
          <w:highlight w:val="none"/>
        </w:rPr>
      </w:pPr>
    </w:p>
    <w:p w14:paraId="35F61FEF">
      <w:pPr>
        <w:pStyle w:val="13"/>
        <w:kinsoku w:val="0"/>
        <w:overflowPunct w:val="0"/>
        <w:spacing w:line="348" w:lineRule="auto"/>
        <w:ind w:left="0"/>
        <w:rPr>
          <w:rFonts w:hint="eastAsia" w:ascii="宋体" w:hAnsi="宋体" w:cs="宋体"/>
          <w:color w:val="auto"/>
          <w:highlight w:val="none"/>
        </w:rPr>
      </w:pPr>
    </w:p>
    <w:p w14:paraId="57EDD3D7">
      <w:pPr>
        <w:pStyle w:val="13"/>
        <w:kinsoku w:val="0"/>
        <w:overflowPunct w:val="0"/>
        <w:spacing w:line="348" w:lineRule="auto"/>
        <w:ind w:left="0"/>
        <w:rPr>
          <w:rFonts w:hint="eastAsia" w:ascii="宋体" w:hAnsi="宋体" w:cs="宋体"/>
          <w:color w:val="auto"/>
          <w:highlight w:val="none"/>
        </w:rPr>
      </w:pPr>
    </w:p>
    <w:p w14:paraId="7D355736">
      <w:pPr>
        <w:pStyle w:val="13"/>
        <w:kinsoku w:val="0"/>
        <w:overflowPunct w:val="0"/>
        <w:spacing w:line="348" w:lineRule="auto"/>
        <w:ind w:left="0"/>
        <w:rPr>
          <w:rFonts w:hint="eastAsia" w:ascii="宋体" w:hAnsi="宋体" w:cs="宋体"/>
          <w:color w:val="auto"/>
          <w:highlight w:val="none"/>
        </w:rPr>
      </w:pPr>
    </w:p>
    <w:p w14:paraId="49C5EF1A">
      <w:pPr>
        <w:pStyle w:val="13"/>
        <w:kinsoku w:val="0"/>
        <w:overflowPunct w:val="0"/>
        <w:spacing w:line="348" w:lineRule="auto"/>
        <w:ind w:left="0"/>
        <w:rPr>
          <w:rFonts w:hint="eastAsia" w:ascii="宋体" w:hAnsi="宋体" w:cs="宋体"/>
          <w:color w:val="auto"/>
          <w:highlight w:val="none"/>
        </w:rPr>
      </w:pPr>
    </w:p>
    <w:p w14:paraId="28604054">
      <w:pPr>
        <w:pStyle w:val="13"/>
        <w:kinsoku w:val="0"/>
        <w:overflowPunct w:val="0"/>
        <w:spacing w:line="348" w:lineRule="auto"/>
        <w:ind w:left="0"/>
        <w:rPr>
          <w:rFonts w:hint="eastAsia" w:ascii="宋体" w:hAnsi="宋体" w:cs="宋体"/>
          <w:color w:val="auto"/>
          <w:highlight w:val="none"/>
        </w:rPr>
      </w:pPr>
    </w:p>
    <w:p w14:paraId="59F91706">
      <w:pPr>
        <w:pStyle w:val="13"/>
        <w:kinsoku w:val="0"/>
        <w:overflowPunct w:val="0"/>
        <w:spacing w:line="348" w:lineRule="auto"/>
        <w:ind w:left="0"/>
        <w:rPr>
          <w:rFonts w:hint="eastAsia" w:ascii="宋体" w:hAnsi="宋体" w:cs="宋体"/>
          <w:color w:val="auto"/>
          <w:highlight w:val="none"/>
        </w:rPr>
      </w:pPr>
    </w:p>
    <w:p w14:paraId="76B92E5C">
      <w:pPr>
        <w:pStyle w:val="13"/>
        <w:kinsoku w:val="0"/>
        <w:overflowPunct w:val="0"/>
        <w:spacing w:line="348" w:lineRule="auto"/>
        <w:ind w:left="0"/>
        <w:rPr>
          <w:rFonts w:hint="eastAsia" w:ascii="宋体" w:hAnsi="宋体" w:cs="宋体"/>
          <w:color w:val="auto"/>
          <w:highlight w:val="none"/>
        </w:rPr>
      </w:pPr>
    </w:p>
    <w:p w14:paraId="04E2576D">
      <w:pPr>
        <w:pStyle w:val="13"/>
        <w:kinsoku w:val="0"/>
        <w:overflowPunct w:val="0"/>
        <w:spacing w:line="348" w:lineRule="auto"/>
        <w:ind w:left="0"/>
        <w:rPr>
          <w:rFonts w:hint="eastAsia" w:ascii="宋体" w:hAnsi="宋体" w:cs="宋体"/>
          <w:color w:val="auto"/>
          <w:szCs w:val="24"/>
          <w:highlight w:val="none"/>
        </w:rPr>
      </w:pPr>
    </w:p>
    <w:p w14:paraId="2F7566E2">
      <w:pPr>
        <w:pStyle w:val="13"/>
        <w:kinsoku w:val="0"/>
        <w:overflowPunct w:val="0"/>
        <w:spacing w:line="350" w:lineRule="auto"/>
        <w:ind w:left="0"/>
        <w:rPr>
          <w:rFonts w:hint="eastAsia" w:ascii="宋体" w:hAnsi="宋体" w:cs="宋体"/>
          <w:color w:val="auto"/>
          <w:szCs w:val="24"/>
          <w:highlight w:val="none"/>
        </w:rPr>
      </w:pPr>
      <w:r>
        <w:rPr>
          <w:rFonts w:hint="eastAsia" w:ascii="宋体" w:hAnsi="宋体" w:cs="宋体"/>
          <w:color w:val="auto"/>
          <w:szCs w:val="24"/>
          <w:highlight w:val="none"/>
        </w:rPr>
        <w:t>（11）供应商近三个月依法缴纳税费或依法免缴税费的证明（复印件，格式自拟），供应商为新注册成立的企业（距磋商截止日不足三个月），须提供企业自成立至今的依法缴纳税收证明材料</w:t>
      </w:r>
      <w:r>
        <w:rPr>
          <w:rFonts w:hint="eastAsia" w:ascii="宋体" w:hAnsi="宋体" w:cs="宋体"/>
          <w:b/>
          <w:color w:val="auto"/>
          <w:szCs w:val="24"/>
          <w:highlight w:val="none"/>
        </w:rPr>
        <w:t>（必须提供）</w:t>
      </w:r>
      <w:r>
        <w:rPr>
          <w:rFonts w:hint="eastAsia" w:ascii="宋体" w:hAnsi="宋体" w:cs="宋体"/>
          <w:color w:val="auto"/>
          <w:szCs w:val="24"/>
          <w:highlight w:val="none"/>
        </w:rPr>
        <w:t>；</w:t>
      </w:r>
    </w:p>
    <w:p w14:paraId="7964E704">
      <w:pPr>
        <w:pStyle w:val="13"/>
        <w:kinsoku w:val="0"/>
        <w:overflowPunct w:val="0"/>
        <w:spacing w:line="350" w:lineRule="auto"/>
        <w:ind w:left="0"/>
        <w:rPr>
          <w:rFonts w:hint="eastAsia" w:ascii="宋体" w:hAnsi="宋体" w:cs="宋体"/>
          <w:color w:val="auto"/>
          <w:szCs w:val="24"/>
          <w:highlight w:val="none"/>
        </w:rPr>
      </w:pPr>
      <w:r>
        <w:rPr>
          <w:rFonts w:hint="eastAsia" w:ascii="宋体" w:hAnsi="宋体" w:cs="宋体"/>
          <w:color w:val="auto"/>
          <w:szCs w:val="24"/>
          <w:highlight w:val="none"/>
        </w:rPr>
        <w:t>（12）</w:t>
      </w:r>
      <w:r>
        <w:rPr>
          <w:rFonts w:hint="eastAsia" w:ascii="宋体" w:hAnsi="宋体" w:cs="宋体"/>
          <w:color w:val="auto"/>
          <w:szCs w:val="24"/>
          <w:highlight w:val="none"/>
          <w:lang w:val="en-US" w:eastAsia="zh-CN"/>
        </w:rPr>
        <w:t>2023年或2024年</w:t>
      </w:r>
      <w:r>
        <w:rPr>
          <w:rFonts w:hint="eastAsia" w:ascii="宋体" w:hAnsi="宋体" w:cs="宋体"/>
          <w:color w:val="auto"/>
          <w:szCs w:val="24"/>
          <w:highlight w:val="none"/>
        </w:rPr>
        <w:t>经审计的财务会计报表复印件</w:t>
      </w:r>
      <w:r>
        <w:rPr>
          <w:rFonts w:hint="eastAsia" w:ascii="宋体" w:hAnsi="宋体" w:eastAsia="宋体" w:cs="宋体"/>
          <w:color w:val="auto"/>
          <w:sz w:val="24"/>
          <w:szCs w:val="24"/>
          <w:highlight w:val="none"/>
          <w:lang w:eastAsia="zh-CN"/>
        </w:rPr>
        <w:t>或银行出具的资信证明</w:t>
      </w:r>
      <w:r>
        <w:rPr>
          <w:rFonts w:hint="eastAsia" w:ascii="宋体" w:hAnsi="宋体" w:cs="宋体"/>
          <w:color w:val="auto"/>
          <w:szCs w:val="24"/>
          <w:highlight w:val="none"/>
        </w:rPr>
        <w:t>；</w:t>
      </w:r>
      <w:r>
        <w:rPr>
          <w:rFonts w:hint="eastAsia" w:ascii="宋体" w:hAnsi="宋体" w:cs="宋体"/>
          <w:color w:val="auto"/>
          <w:kern w:val="10"/>
          <w:szCs w:val="24"/>
          <w:highlight w:val="none"/>
          <w:lang w:val="zh-CN"/>
        </w:rPr>
        <w:t>【备注：对于从取得营业执照时间起到响应文件递交截止时间为止不足要求年数的企业，只需提交企业取得营业执照年份至所要求最近年份经审计的财务报表】</w:t>
      </w:r>
      <w:r>
        <w:rPr>
          <w:rFonts w:hint="eastAsia" w:ascii="宋体" w:hAnsi="宋体" w:cs="宋体"/>
          <w:b/>
          <w:color w:val="auto"/>
          <w:szCs w:val="24"/>
          <w:highlight w:val="none"/>
        </w:rPr>
        <w:t>（必须提供）</w:t>
      </w:r>
      <w:r>
        <w:rPr>
          <w:rFonts w:hint="eastAsia" w:ascii="宋体" w:hAnsi="宋体" w:cs="宋体"/>
          <w:color w:val="auto"/>
          <w:szCs w:val="24"/>
          <w:highlight w:val="none"/>
          <w:lang w:val="zh-CN"/>
        </w:rPr>
        <w:t>；</w:t>
      </w:r>
    </w:p>
    <w:p w14:paraId="08E672D6">
      <w:pPr>
        <w:pStyle w:val="13"/>
        <w:kinsoku w:val="0"/>
        <w:overflowPunct w:val="0"/>
        <w:spacing w:line="350" w:lineRule="auto"/>
        <w:ind w:left="0"/>
        <w:rPr>
          <w:rFonts w:hint="eastAsia" w:ascii="宋体" w:hAnsi="宋体" w:cs="宋体"/>
          <w:color w:val="auto"/>
          <w:szCs w:val="24"/>
          <w:highlight w:val="none"/>
        </w:rPr>
      </w:pPr>
      <w:r>
        <w:rPr>
          <w:rFonts w:hint="eastAsia" w:ascii="宋体" w:hAnsi="宋体" w:cs="宋体"/>
          <w:color w:val="auto"/>
          <w:szCs w:val="24"/>
          <w:highlight w:val="none"/>
        </w:rPr>
        <w:t>（13）银行开户许可证或基本存款账户信息复印件（必须提供）；</w:t>
      </w:r>
    </w:p>
    <w:p w14:paraId="714437B7">
      <w:pPr>
        <w:pStyle w:val="13"/>
        <w:kinsoku w:val="0"/>
        <w:overflowPunct w:val="0"/>
        <w:spacing w:line="350" w:lineRule="auto"/>
        <w:ind w:left="0"/>
        <w:rPr>
          <w:rFonts w:hint="eastAsia" w:ascii="宋体" w:hAnsi="宋体" w:cs="宋体"/>
          <w:color w:val="auto"/>
          <w:szCs w:val="24"/>
          <w:highlight w:val="none"/>
        </w:rPr>
      </w:pPr>
      <w:r>
        <w:rPr>
          <w:rFonts w:hint="eastAsia" w:ascii="宋体" w:hAnsi="宋体" w:cs="宋体"/>
          <w:color w:val="auto"/>
          <w:szCs w:val="24"/>
          <w:highlight w:val="none"/>
        </w:rPr>
        <w:t>（14）供应商在“信用中国”网站</w:t>
      </w:r>
      <w:r>
        <w:rPr>
          <w:rFonts w:hint="eastAsia" w:ascii="宋体" w:hAnsi="宋体" w:cs="宋体"/>
          <w:color w:val="auto"/>
          <w:szCs w:val="24"/>
          <w:highlight w:val="none"/>
          <w:lang w:eastAsia="zh-CN"/>
        </w:rPr>
        <w:t>（</w:t>
      </w:r>
      <w:r>
        <w:rPr>
          <w:rFonts w:hint="eastAsia" w:ascii="宋体" w:hAnsi="宋体" w:cs="宋体"/>
          <w:color w:val="auto"/>
          <w:szCs w:val="24"/>
          <w:highlight w:val="none"/>
        </w:rPr>
        <w:t>www.creditchina.gov.cn</w:t>
      </w:r>
      <w:r>
        <w:rPr>
          <w:rFonts w:hint="eastAsia" w:ascii="宋体" w:hAnsi="宋体" w:cs="宋体"/>
          <w:color w:val="auto"/>
          <w:szCs w:val="24"/>
          <w:highlight w:val="none"/>
          <w:lang w:eastAsia="zh-CN"/>
        </w:rPr>
        <w:t>）</w:t>
      </w:r>
      <w:r>
        <w:rPr>
          <w:rFonts w:hint="eastAsia" w:ascii="宋体" w:hAnsi="宋体" w:cs="宋体"/>
          <w:color w:val="auto"/>
          <w:szCs w:val="24"/>
          <w:highlight w:val="none"/>
        </w:rPr>
        <w:t>、中国政府采购网</w:t>
      </w:r>
      <w:r>
        <w:rPr>
          <w:rFonts w:hint="eastAsia" w:ascii="宋体" w:hAnsi="宋体" w:cs="宋体"/>
          <w:color w:val="auto"/>
          <w:szCs w:val="24"/>
          <w:highlight w:val="none"/>
          <w:lang w:eastAsia="zh-CN"/>
        </w:rPr>
        <w:t>（</w:t>
      </w:r>
      <w:r>
        <w:rPr>
          <w:rFonts w:hint="eastAsia" w:ascii="宋体" w:hAnsi="宋体" w:cs="宋体"/>
          <w:color w:val="auto"/>
          <w:szCs w:val="24"/>
          <w:highlight w:val="none"/>
        </w:rPr>
        <w:t>www.ccgp.gov.cn</w:t>
      </w:r>
      <w:r>
        <w:rPr>
          <w:rFonts w:hint="eastAsia" w:ascii="宋体" w:hAnsi="宋体" w:cs="宋体"/>
          <w:color w:val="auto"/>
          <w:szCs w:val="24"/>
          <w:highlight w:val="none"/>
          <w:lang w:eastAsia="zh-CN"/>
        </w:rPr>
        <w:t>）</w:t>
      </w:r>
      <w:r>
        <w:rPr>
          <w:rFonts w:hint="eastAsia" w:ascii="宋体" w:hAnsi="宋体" w:cs="宋体"/>
          <w:color w:val="auto"/>
          <w:szCs w:val="24"/>
          <w:highlight w:val="none"/>
        </w:rPr>
        <w:t>查询结果截图，</w:t>
      </w:r>
      <w:r>
        <w:rPr>
          <w:rFonts w:hint="eastAsia" w:ascii="宋体" w:hAnsi="宋体" w:cs="宋体"/>
          <w:color w:val="auto"/>
          <w:szCs w:val="24"/>
          <w:highlight w:val="none"/>
          <w:lang w:val="zh-CN"/>
        </w:rPr>
        <w:t>供应商或其法定代表人、拟委任的项目经理在近三年内无行贿犯罪行为。（以“中国裁判文书网”查询结果为准），</w:t>
      </w:r>
      <w:r>
        <w:rPr>
          <w:rFonts w:hint="eastAsia" w:ascii="宋体" w:hAnsi="宋体" w:cs="宋体"/>
          <w:color w:val="auto"/>
          <w:szCs w:val="24"/>
          <w:highlight w:val="none"/>
        </w:rPr>
        <w:t>同时在诚信声明中声明说明奖惩情况；</w:t>
      </w:r>
    </w:p>
    <w:p w14:paraId="5E121CD1">
      <w:pPr>
        <w:pStyle w:val="13"/>
        <w:kinsoku w:val="0"/>
        <w:overflowPunct w:val="0"/>
        <w:spacing w:line="350" w:lineRule="auto"/>
        <w:ind w:left="0"/>
        <w:rPr>
          <w:rFonts w:hint="eastAsia" w:ascii="宋体" w:hAnsi="宋体" w:cs="宋体"/>
          <w:color w:val="auto"/>
          <w:szCs w:val="24"/>
          <w:highlight w:val="none"/>
        </w:rPr>
        <w:sectPr>
          <w:pgSz w:w="11910" w:h="16840"/>
          <w:pgMar w:top="1100" w:right="1202" w:bottom="919" w:left="1298" w:header="918" w:footer="975" w:gutter="0"/>
          <w:cols w:space="720" w:num="1"/>
        </w:sectPr>
      </w:pPr>
      <w:r>
        <w:rPr>
          <w:rFonts w:hint="eastAsia" w:ascii="宋体" w:hAnsi="宋体" w:cs="宋体"/>
          <w:color w:val="auto"/>
          <w:szCs w:val="24"/>
          <w:highlight w:val="none"/>
          <w:lang w:val="zh-CN" w:bidi="zh-CN"/>
        </w:rPr>
        <w:t>（</w:t>
      </w:r>
      <w:r>
        <w:rPr>
          <w:rFonts w:hint="eastAsia" w:ascii="宋体" w:hAnsi="宋体" w:cs="宋体"/>
          <w:color w:val="auto"/>
          <w:szCs w:val="24"/>
          <w:highlight w:val="none"/>
          <w:lang w:val="en-US" w:bidi="zh-CN"/>
        </w:rPr>
        <w:t>15</w:t>
      </w:r>
      <w:r>
        <w:rPr>
          <w:rFonts w:hint="eastAsia" w:ascii="宋体" w:hAnsi="宋体" w:cs="宋体"/>
          <w:color w:val="auto"/>
          <w:szCs w:val="24"/>
          <w:highlight w:val="none"/>
          <w:lang w:val="zh-CN" w:bidi="zh-CN"/>
        </w:rPr>
        <w:t>）</w:t>
      </w:r>
      <w:r>
        <w:rPr>
          <w:rFonts w:ascii="宋体" w:hAnsi="宋体" w:cs="宋体"/>
          <w:color w:val="auto"/>
          <w:szCs w:val="24"/>
          <w:highlight w:val="none"/>
          <w:lang w:val="zh-CN" w:bidi="zh-CN"/>
        </w:rPr>
        <w:t>供应商</w:t>
      </w:r>
      <w:r>
        <w:rPr>
          <w:rFonts w:ascii="宋体" w:hAnsi="宋体" w:cs="宋体"/>
          <w:color w:val="auto"/>
          <w:kern w:val="2"/>
          <w:szCs w:val="24"/>
          <w:highlight w:val="none"/>
        </w:rPr>
        <w:t>的信用评价等级</w:t>
      </w:r>
      <w:r>
        <w:rPr>
          <w:rFonts w:hint="eastAsia" w:ascii="宋体" w:hAnsi="宋体" w:cs="宋体"/>
          <w:color w:val="auto"/>
          <w:kern w:val="2"/>
          <w:szCs w:val="24"/>
          <w:highlight w:val="none"/>
          <w:lang w:eastAsia="zh-CN"/>
        </w:rPr>
        <w:t>；按照《广西壮族自治区交通运输厅关于修订广西公路建设市场施工企业信用评价规则实施细则的通知》（桂交规〔2022〕8号）及《广西壮族自治区交通运输厅关于公布2023年度广西公路养护工程施工信用评价结果的通知》（桂交建管函〔2024〕181号）或《广西壮族自治区交通运输厅关于公布广西公路建设市场2023年度公路设计企业、施工企业、监理企业及监理人员信用评价结果的通知》（桂交建管函〔2024〕208号）的规定执行。按照桂交规〔2022〕8号第十九条规定，初次进入广西公路建设市场的竞标单位，既无全国综合评价等级也无注册地省级交通运输主管部门的省级综合评价等级的施工企业初次进入广西公路建设市场时，应向广西公路建设市场信用评价领导小组办公室报送基本情况表，由领导小组办公室审核确定其信用评价等级</w:t>
      </w:r>
      <w:r>
        <w:rPr>
          <w:rFonts w:hint="eastAsia" w:ascii="宋体" w:hAnsi="宋体" w:cs="宋体"/>
          <w:b/>
          <w:bCs/>
          <w:color w:val="auto"/>
          <w:kern w:val="2"/>
          <w:szCs w:val="24"/>
          <w:highlight w:val="none"/>
          <w:lang w:eastAsia="zh-CN"/>
        </w:rPr>
        <w:t>（必须提供）</w:t>
      </w:r>
      <w:r>
        <w:rPr>
          <w:rFonts w:hint="eastAsia" w:ascii="宋体" w:hAnsi="宋体" w:cs="宋体"/>
          <w:color w:val="auto"/>
          <w:kern w:val="2"/>
          <w:szCs w:val="24"/>
          <w:highlight w:val="none"/>
          <w:lang w:eastAsia="zh-CN"/>
        </w:rPr>
        <w:t>；</w:t>
      </w:r>
    </w:p>
    <w:p w14:paraId="2A080756">
      <w:pPr>
        <w:pStyle w:val="13"/>
        <w:kinsoku w:val="0"/>
        <w:overflowPunct w:val="0"/>
        <w:spacing w:line="350" w:lineRule="auto"/>
        <w:ind w:left="0"/>
        <w:rPr>
          <w:rFonts w:hint="eastAsia" w:ascii="宋体" w:hAnsi="宋体" w:cs="宋体"/>
          <w:color w:val="auto"/>
          <w:szCs w:val="24"/>
          <w:highlight w:val="none"/>
        </w:rPr>
      </w:pPr>
    </w:p>
    <w:p w14:paraId="4BED7E7C">
      <w:pPr>
        <w:pStyle w:val="13"/>
        <w:kinsoku w:val="0"/>
        <w:overflowPunct w:val="0"/>
        <w:spacing w:line="350" w:lineRule="auto"/>
        <w:ind w:left="0" w:firstLine="208"/>
        <w:rPr>
          <w:rFonts w:hint="eastAsia" w:ascii="宋体" w:hAnsi="宋体" w:cs="宋体"/>
          <w:color w:val="auto"/>
          <w:sz w:val="21"/>
          <w:szCs w:val="21"/>
          <w:highlight w:val="none"/>
        </w:rPr>
      </w:pPr>
    </w:p>
    <w:p w14:paraId="17FE34AC">
      <w:pPr>
        <w:pStyle w:val="13"/>
        <w:kinsoku w:val="0"/>
        <w:overflowPunct w:val="0"/>
        <w:ind w:left="0"/>
        <w:rPr>
          <w:rFonts w:hint="eastAsia" w:ascii="宋体" w:hAnsi="宋体" w:cs="宋体"/>
          <w:color w:val="auto"/>
          <w:szCs w:val="24"/>
          <w:highlight w:val="none"/>
        </w:rPr>
      </w:pPr>
    </w:p>
    <w:p w14:paraId="2DB7FC99">
      <w:pPr>
        <w:pStyle w:val="13"/>
        <w:kinsoku w:val="0"/>
        <w:overflowPunct w:val="0"/>
        <w:ind w:left="0" w:firstLine="4075"/>
        <w:rPr>
          <w:rFonts w:hint="eastAsia" w:ascii="宋体" w:hAnsi="宋体" w:cs="宋体"/>
          <w:color w:val="auto"/>
          <w:szCs w:val="24"/>
          <w:highlight w:val="none"/>
        </w:rPr>
      </w:pPr>
      <w:r>
        <w:rPr>
          <w:rFonts w:hint="eastAsia" w:ascii="宋体" w:hAnsi="宋体" w:cs="宋体"/>
          <w:color w:val="auto"/>
          <w:szCs w:val="24"/>
          <w:highlight w:val="none"/>
        </w:rPr>
        <w:t>诚信声明（格式）</w:t>
      </w:r>
    </w:p>
    <w:p w14:paraId="204B1D6A">
      <w:pPr>
        <w:pStyle w:val="13"/>
        <w:kinsoku w:val="0"/>
        <w:overflowPunct w:val="0"/>
        <w:ind w:left="0"/>
        <w:rPr>
          <w:rFonts w:hint="eastAsia" w:ascii="宋体" w:hAnsi="宋体" w:cs="宋体"/>
          <w:color w:val="auto"/>
          <w:szCs w:val="24"/>
          <w:highlight w:val="none"/>
        </w:rPr>
      </w:pPr>
    </w:p>
    <w:p w14:paraId="0C639B4D">
      <w:pPr>
        <w:pStyle w:val="13"/>
        <w:kinsoku w:val="0"/>
        <w:overflowPunct w:val="0"/>
        <w:ind w:left="0"/>
        <w:rPr>
          <w:rFonts w:hint="eastAsia" w:ascii="宋体" w:hAnsi="宋体" w:cs="宋体"/>
          <w:color w:val="auto"/>
          <w:szCs w:val="24"/>
          <w:highlight w:val="none"/>
        </w:rPr>
      </w:pPr>
    </w:p>
    <w:p w14:paraId="15DD0E3C">
      <w:pPr>
        <w:pStyle w:val="13"/>
        <w:kinsoku w:val="0"/>
        <w:overflowPunct w:val="0"/>
        <w:ind w:left="0"/>
        <w:rPr>
          <w:rFonts w:hint="eastAsia" w:ascii="宋体" w:hAnsi="宋体" w:cs="宋体"/>
          <w:color w:val="auto"/>
          <w:szCs w:val="24"/>
          <w:highlight w:val="none"/>
        </w:rPr>
      </w:pPr>
    </w:p>
    <w:p w14:paraId="63762157">
      <w:pPr>
        <w:pStyle w:val="13"/>
        <w:tabs>
          <w:tab w:val="left" w:pos="2102"/>
        </w:tabs>
        <w:kinsoku w:val="0"/>
        <w:overflowPunct w:val="0"/>
        <w:ind w:left="0"/>
        <w:rPr>
          <w:rFonts w:hint="eastAsia" w:ascii="宋体" w:hAnsi="宋体" w:cs="宋体"/>
          <w:color w:val="auto"/>
          <w:szCs w:val="24"/>
          <w:highlight w:val="none"/>
        </w:rPr>
      </w:pPr>
      <w:r>
        <w:rPr>
          <w:rFonts w:hint="eastAsia" w:ascii="宋体" w:hAnsi="宋体" w:cs="宋体"/>
          <w:color w:val="auto"/>
          <w:w w:val="95"/>
          <w:szCs w:val="24"/>
          <w:highlight w:val="none"/>
        </w:rPr>
        <w:t>致：</w:t>
      </w:r>
      <w:r>
        <w:rPr>
          <w:rFonts w:hint="eastAsia" w:ascii="宋体" w:hAnsi="宋体" w:cs="宋体"/>
          <w:color w:val="auto"/>
          <w:w w:val="95"/>
          <w:szCs w:val="24"/>
          <w:highlight w:val="none"/>
          <w:u w:val="single"/>
        </w:rPr>
        <w:tab/>
      </w:r>
      <w:r>
        <w:rPr>
          <w:rFonts w:hint="eastAsia" w:ascii="宋体" w:hAnsi="宋体" w:cs="宋体"/>
          <w:color w:val="auto"/>
          <w:szCs w:val="24"/>
          <w:highlight w:val="none"/>
        </w:rPr>
        <w:t>（采购人名称）：</w:t>
      </w:r>
    </w:p>
    <w:p w14:paraId="6F62C709">
      <w:pPr>
        <w:pStyle w:val="13"/>
        <w:tabs>
          <w:tab w:val="left" w:pos="3571"/>
          <w:tab w:val="left" w:pos="3991"/>
        </w:tabs>
        <w:kinsoku w:val="0"/>
        <w:overflowPunct w:val="0"/>
        <w:spacing w:line="355"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u w:val="single"/>
        </w:rPr>
        <w:tab/>
      </w:r>
      <w:r>
        <w:rPr>
          <w:rFonts w:hint="eastAsia" w:ascii="宋体" w:hAnsi="宋体" w:cs="宋体"/>
          <w:color w:val="auto"/>
          <w:szCs w:val="24"/>
          <w:highlight w:val="none"/>
        </w:rPr>
        <w:t>（供应商名称）系中华人民共和国合法企业，经营地址</w:t>
      </w:r>
      <w:r>
        <w:rPr>
          <w:rFonts w:hint="eastAsia" w:ascii="宋体" w:hAnsi="宋体" w:cs="宋体"/>
          <w:color w:val="auto"/>
          <w:w w:val="95"/>
          <w:szCs w:val="24"/>
          <w:highlight w:val="none"/>
          <w:u w:val="single"/>
        </w:rPr>
        <w:tab/>
      </w:r>
      <w:r>
        <w:rPr>
          <w:rFonts w:hint="eastAsia" w:ascii="宋体" w:hAnsi="宋体" w:cs="宋体"/>
          <w:color w:val="auto"/>
          <w:szCs w:val="24"/>
          <w:highlight w:val="none"/>
        </w:rPr>
        <w:t>。</w:t>
      </w:r>
    </w:p>
    <w:p w14:paraId="0DF891AD">
      <w:pPr>
        <w:pStyle w:val="13"/>
        <w:tabs>
          <w:tab w:val="left" w:pos="2107"/>
          <w:tab w:val="left" w:pos="3887"/>
          <w:tab w:val="left" w:pos="6391"/>
        </w:tabs>
        <w:kinsoku w:val="0"/>
        <w:overflowPunct w:val="0"/>
        <w:spacing w:line="355" w:lineRule="auto"/>
        <w:ind w:left="209" w:leftChars="87" w:firstLine="240" w:firstLineChars="100"/>
        <w:jc w:val="both"/>
        <w:rPr>
          <w:rFonts w:hint="eastAsia" w:ascii="宋体" w:hAnsi="宋体" w:cs="宋体"/>
          <w:color w:val="auto"/>
          <w:szCs w:val="24"/>
          <w:highlight w:val="none"/>
        </w:rPr>
      </w:pPr>
      <w:r>
        <w:rPr>
          <w:rFonts w:hint="eastAsia" w:ascii="宋体" w:hAnsi="宋体" w:cs="宋体"/>
          <w:color w:val="auto"/>
          <w:szCs w:val="24"/>
          <w:highlight w:val="none"/>
        </w:rPr>
        <w:t>我</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（姓名）系</w:t>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（供应商名称）的法定代表人，我方愿意参加贵方组织的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项目的竞</w:t>
      </w:r>
    </w:p>
    <w:p w14:paraId="0D8F2357">
      <w:pPr>
        <w:pStyle w:val="13"/>
        <w:tabs>
          <w:tab w:val="left" w:pos="2107"/>
          <w:tab w:val="left" w:pos="3887"/>
          <w:tab w:val="left" w:pos="6391"/>
        </w:tabs>
        <w:kinsoku w:val="0"/>
        <w:overflowPunct w:val="0"/>
        <w:spacing w:line="355" w:lineRule="auto"/>
        <w:ind w:left="0"/>
        <w:jc w:val="both"/>
        <w:rPr>
          <w:rFonts w:hint="eastAsia" w:ascii="宋体" w:hAnsi="宋体" w:cs="宋体"/>
          <w:color w:val="auto"/>
          <w:szCs w:val="24"/>
          <w:highlight w:val="none"/>
        </w:rPr>
      </w:pPr>
      <w:r>
        <w:rPr>
          <w:rFonts w:hint="eastAsia" w:ascii="宋体" w:hAnsi="宋体" w:cs="宋体"/>
          <w:color w:val="auto"/>
          <w:szCs w:val="24"/>
          <w:highlight w:val="none"/>
        </w:rPr>
        <w:t>标，为便于贵方公正、择优地确定成交人及其服务</w:t>
      </w:r>
      <w:r>
        <w:rPr>
          <w:rFonts w:hint="eastAsia" w:ascii="宋体" w:hAnsi="宋体" w:cs="宋体"/>
          <w:color w:val="auto"/>
          <w:w w:val="95"/>
          <w:szCs w:val="24"/>
          <w:highlight w:val="none"/>
        </w:rPr>
        <w:t>，</w:t>
      </w:r>
      <w:r>
        <w:rPr>
          <w:rFonts w:hint="eastAsia" w:ascii="宋体" w:hAnsi="宋体" w:cs="宋体"/>
          <w:color w:val="auto"/>
          <w:szCs w:val="24"/>
          <w:highlight w:val="none"/>
        </w:rPr>
        <w:t>我方就本次竞标有关事项郑重声明如下：</w:t>
      </w:r>
    </w:p>
    <w:p w14:paraId="3BE9DC61">
      <w:pPr>
        <w:pStyle w:val="13"/>
        <w:kinsoku w:val="0"/>
        <w:overflowPunct w:val="0"/>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1.我方向贵方提交的所有响应文件、资料都是准确的和真实的。</w:t>
      </w:r>
    </w:p>
    <w:p w14:paraId="2A1AF092">
      <w:pPr>
        <w:pStyle w:val="13"/>
        <w:tabs>
          <w:tab w:val="left" w:pos="3571"/>
          <w:tab w:val="left" w:pos="3991"/>
        </w:tabs>
        <w:kinsoku w:val="0"/>
        <w:overflowPunct w:val="0"/>
        <w:spacing w:line="355"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2.我方不是采购人的附属机构；在获知本项目采购信息后，与采购人聘请的为此项目提供咨询服务的公司及其附属机构没有任何联系。</w:t>
      </w:r>
    </w:p>
    <w:p w14:paraId="7AAF11C5">
      <w:pPr>
        <w:pStyle w:val="13"/>
        <w:tabs>
          <w:tab w:val="left" w:pos="1996"/>
        </w:tabs>
        <w:kinsoku w:val="0"/>
        <w:overflowPunct w:val="0"/>
        <w:spacing w:line="357" w:lineRule="auto"/>
        <w:ind w:left="0" w:firstLine="420"/>
        <w:rPr>
          <w:rFonts w:hint="eastAsia" w:ascii="宋体" w:hAnsi="宋体" w:cs="宋体"/>
          <w:color w:val="auto"/>
          <w:szCs w:val="24"/>
          <w:highlight w:val="none"/>
        </w:rPr>
      </w:pPr>
      <w:r>
        <w:rPr>
          <w:rFonts w:hint="eastAsia" w:ascii="宋体" w:hAnsi="宋体" w:cs="宋体"/>
          <w:color w:val="auto"/>
          <w:szCs w:val="24"/>
          <w:highlight w:val="none"/>
        </w:rPr>
        <w:t>3.我方及由本人担任法定代表人的其他机构最近三年内被通报或者被处罚的违法行为</w:t>
      </w:r>
      <w:r>
        <w:rPr>
          <w:rFonts w:hint="eastAsia" w:ascii="宋体" w:hAnsi="宋体" w:cs="宋体"/>
          <w:color w:val="auto"/>
          <w:w w:val="95"/>
          <w:szCs w:val="24"/>
          <w:highlight w:val="none"/>
        </w:rPr>
        <w:t>有：</w:t>
      </w:r>
      <w:r>
        <w:rPr>
          <w:rFonts w:hint="eastAsia" w:ascii="宋体" w:hAnsi="宋体" w:cs="宋体"/>
          <w:color w:val="auto"/>
          <w:w w:val="95"/>
          <w:szCs w:val="24"/>
          <w:highlight w:val="none"/>
          <w:u w:val="single"/>
        </w:rPr>
        <w:tab/>
      </w:r>
      <w:r>
        <w:rPr>
          <w:rFonts w:hint="eastAsia" w:ascii="宋体" w:hAnsi="宋体" w:cs="宋体"/>
          <w:color w:val="auto"/>
          <w:szCs w:val="24"/>
          <w:highlight w:val="none"/>
        </w:rPr>
        <w:t>。</w:t>
      </w:r>
    </w:p>
    <w:p w14:paraId="1D0D3CE0">
      <w:pPr>
        <w:pStyle w:val="13"/>
        <w:tabs>
          <w:tab w:val="left" w:pos="3571"/>
          <w:tab w:val="left" w:pos="3991"/>
        </w:tabs>
        <w:kinsoku w:val="0"/>
        <w:overflowPunct w:val="0"/>
        <w:spacing w:line="355"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4.我方在对在“信用中国”网站</w:t>
      </w:r>
      <w:r>
        <w:rPr>
          <w:rFonts w:hint="eastAsia" w:ascii="宋体" w:hAnsi="宋体" w:cs="宋体"/>
          <w:color w:val="auto"/>
          <w:szCs w:val="24"/>
          <w:highlight w:val="none"/>
          <w:lang w:eastAsia="zh-CN"/>
        </w:rPr>
        <w:t>（</w:t>
      </w:r>
      <w:r>
        <w:rPr>
          <w:rFonts w:hint="eastAsia" w:ascii="宋体" w:hAnsi="宋体" w:cs="宋体"/>
          <w:color w:val="auto"/>
          <w:szCs w:val="24"/>
          <w:highlight w:val="none"/>
        </w:rPr>
        <w:t>www.creditchina.gov.cn</w:t>
      </w:r>
      <w:r>
        <w:rPr>
          <w:rFonts w:hint="eastAsia" w:ascii="宋体" w:hAnsi="宋体" w:cs="宋体"/>
          <w:color w:val="auto"/>
          <w:szCs w:val="24"/>
          <w:highlight w:val="none"/>
          <w:lang w:eastAsia="zh-CN"/>
        </w:rPr>
        <w:t>）</w:t>
      </w:r>
      <w:r>
        <w:rPr>
          <w:rFonts w:hint="eastAsia" w:ascii="宋体" w:hAnsi="宋体" w:cs="宋体"/>
          <w:color w:val="auto"/>
          <w:szCs w:val="24"/>
          <w:highlight w:val="none"/>
        </w:rPr>
        <w:t>、中国政府采购网</w:t>
      </w:r>
      <w:r>
        <w:rPr>
          <w:rFonts w:hint="eastAsia" w:ascii="宋体" w:hAnsi="宋体" w:cs="宋体"/>
          <w:color w:val="auto"/>
          <w:szCs w:val="24"/>
          <w:highlight w:val="none"/>
          <w:lang w:eastAsia="zh-CN"/>
        </w:rPr>
        <w:t>（</w:t>
      </w:r>
      <w:r>
        <w:rPr>
          <w:rFonts w:hint="eastAsia" w:ascii="宋体" w:hAnsi="宋体" w:cs="宋体"/>
          <w:color w:val="auto"/>
          <w:szCs w:val="24"/>
          <w:highlight w:val="none"/>
        </w:rPr>
        <w:t>www.ccgp.gov.cn</w:t>
      </w:r>
      <w:r>
        <w:rPr>
          <w:rFonts w:hint="eastAsia" w:ascii="宋体" w:hAnsi="宋体" w:cs="宋体"/>
          <w:color w:val="auto"/>
          <w:szCs w:val="24"/>
          <w:highlight w:val="none"/>
          <w:lang w:eastAsia="zh-CN"/>
        </w:rPr>
        <w:t>）</w:t>
      </w:r>
      <w:r>
        <w:rPr>
          <w:rFonts w:hint="eastAsia" w:ascii="宋体" w:hAnsi="宋体" w:cs="宋体"/>
          <w:color w:val="auto"/>
          <w:szCs w:val="24"/>
          <w:highlight w:val="none"/>
        </w:rPr>
        <w:t>的被列为失信被执行人、重大税收违法失信主体、政府采购严重违法失信行为记录名单</w:t>
      </w:r>
      <w:r>
        <w:rPr>
          <w:rFonts w:hint="eastAsia" w:ascii="宋体" w:hAnsi="宋体" w:cs="宋体"/>
          <w:color w:val="auto"/>
          <w:szCs w:val="24"/>
          <w:highlight w:val="none"/>
        </w:rPr>
        <w:tab/>
      </w:r>
      <w:r>
        <w:rPr>
          <w:rFonts w:hint="eastAsia" w:ascii="宋体" w:hAnsi="宋体" w:cs="宋体"/>
          <w:color w:val="auto"/>
          <w:szCs w:val="24"/>
          <w:highlight w:val="none"/>
        </w:rPr>
        <w:t>。</w:t>
      </w:r>
    </w:p>
    <w:p w14:paraId="25F8AF91">
      <w:pPr>
        <w:pStyle w:val="13"/>
        <w:tabs>
          <w:tab w:val="left" w:pos="3571"/>
          <w:tab w:val="left" w:pos="3991"/>
        </w:tabs>
        <w:kinsoku w:val="0"/>
        <w:overflowPunct w:val="0"/>
        <w:spacing w:line="355"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5.以上事项如有虚假或隐瞒，我方愿意承担一切后果，并不再寻求任何旨在减轻或免除法律责任的辩解。</w:t>
      </w:r>
    </w:p>
    <w:p w14:paraId="00AAE386">
      <w:pPr>
        <w:pStyle w:val="13"/>
        <w:kinsoku w:val="0"/>
        <w:overflowPunct w:val="0"/>
        <w:ind w:left="0"/>
        <w:rPr>
          <w:rFonts w:hint="eastAsia" w:ascii="宋体" w:hAnsi="宋体" w:cs="宋体"/>
          <w:color w:val="auto"/>
          <w:szCs w:val="24"/>
          <w:highlight w:val="none"/>
        </w:rPr>
      </w:pPr>
    </w:p>
    <w:p w14:paraId="1AE771DE">
      <w:pPr>
        <w:pStyle w:val="13"/>
        <w:kinsoku w:val="0"/>
        <w:overflowPunct w:val="0"/>
        <w:ind w:left="0"/>
        <w:rPr>
          <w:rFonts w:hint="eastAsia" w:ascii="宋体" w:hAnsi="宋体" w:cs="宋体"/>
          <w:color w:val="auto"/>
          <w:szCs w:val="24"/>
          <w:highlight w:val="none"/>
        </w:rPr>
      </w:pPr>
    </w:p>
    <w:p w14:paraId="29D1FFCE">
      <w:pPr>
        <w:pStyle w:val="13"/>
        <w:kinsoku w:val="0"/>
        <w:overflowPunct w:val="0"/>
        <w:ind w:left="0"/>
        <w:rPr>
          <w:rFonts w:hint="eastAsia" w:ascii="宋体" w:hAnsi="宋体" w:cs="宋体"/>
          <w:color w:val="auto"/>
          <w:szCs w:val="24"/>
          <w:highlight w:val="none"/>
        </w:rPr>
      </w:pPr>
    </w:p>
    <w:p w14:paraId="0522F0DC">
      <w:pPr>
        <w:pStyle w:val="13"/>
        <w:kinsoku w:val="0"/>
        <w:overflowPunct w:val="0"/>
        <w:ind w:left="0"/>
        <w:rPr>
          <w:rFonts w:hint="eastAsia" w:ascii="宋体" w:hAnsi="宋体" w:cs="宋体"/>
          <w:color w:val="auto"/>
          <w:szCs w:val="24"/>
          <w:highlight w:val="none"/>
        </w:rPr>
      </w:pPr>
    </w:p>
    <w:p w14:paraId="6859A1F2">
      <w:pPr>
        <w:pStyle w:val="13"/>
        <w:kinsoku w:val="0"/>
        <w:overflowPunct w:val="0"/>
        <w:ind w:left="0"/>
        <w:rPr>
          <w:rFonts w:hint="eastAsia" w:ascii="宋体" w:hAnsi="宋体" w:cs="宋体"/>
          <w:color w:val="auto"/>
          <w:szCs w:val="24"/>
          <w:highlight w:val="none"/>
        </w:rPr>
      </w:pPr>
    </w:p>
    <w:p w14:paraId="7016DA15">
      <w:pPr>
        <w:pStyle w:val="13"/>
        <w:kinsoku w:val="0"/>
        <w:overflowPunct w:val="0"/>
        <w:ind w:left="0"/>
        <w:rPr>
          <w:rFonts w:hint="eastAsia" w:ascii="宋体" w:hAnsi="宋体" w:cs="宋体"/>
          <w:color w:val="auto"/>
          <w:szCs w:val="24"/>
          <w:highlight w:val="none"/>
        </w:rPr>
      </w:pPr>
    </w:p>
    <w:p w14:paraId="5F4E53D0">
      <w:pPr>
        <w:pStyle w:val="13"/>
        <w:kinsoku w:val="0"/>
        <w:overflowPunct w:val="0"/>
        <w:ind w:left="0"/>
        <w:rPr>
          <w:rFonts w:hint="eastAsia" w:ascii="宋体" w:hAnsi="宋体" w:cs="宋体"/>
          <w:color w:val="auto"/>
          <w:szCs w:val="24"/>
          <w:highlight w:val="none"/>
        </w:rPr>
      </w:pPr>
    </w:p>
    <w:p w14:paraId="7B546D2A">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 xml:space="preserve"> </w:t>
      </w:r>
    </w:p>
    <w:p w14:paraId="7CE9C39D">
      <w:pPr>
        <w:pStyle w:val="13"/>
        <w:tabs>
          <w:tab w:val="left" w:pos="3571"/>
          <w:tab w:val="left" w:pos="3991"/>
        </w:tabs>
        <w:kinsoku w:val="0"/>
        <w:overflowPunct w:val="0"/>
        <w:spacing w:line="355" w:lineRule="auto"/>
        <w:ind w:left="0" w:firstLine="4941" w:firstLineChars="2059"/>
        <w:jc w:val="both"/>
        <w:rPr>
          <w:rFonts w:hint="eastAsia" w:ascii="宋体" w:hAnsi="宋体" w:cs="宋体"/>
          <w:color w:val="auto"/>
          <w:szCs w:val="24"/>
          <w:highlight w:val="none"/>
        </w:rPr>
      </w:pPr>
      <w:r>
        <w:rPr>
          <w:rFonts w:hint="eastAsia" w:ascii="宋体" w:hAnsi="宋体" w:cs="宋体"/>
          <w:color w:val="auto"/>
          <w:szCs w:val="24"/>
          <w:highlight w:val="none"/>
        </w:rPr>
        <w:t>法定代表人或授权代表签字:</w:t>
      </w:r>
    </w:p>
    <w:p w14:paraId="260CA5B5">
      <w:pPr>
        <w:pStyle w:val="13"/>
        <w:tabs>
          <w:tab w:val="left" w:pos="3571"/>
          <w:tab w:val="left" w:pos="3991"/>
        </w:tabs>
        <w:kinsoku w:val="0"/>
        <w:overflowPunct w:val="0"/>
        <w:spacing w:line="355" w:lineRule="auto"/>
        <w:ind w:left="0" w:firstLine="5901" w:firstLineChars="2459"/>
        <w:jc w:val="both"/>
        <w:rPr>
          <w:rFonts w:hint="eastAsia" w:ascii="宋体" w:hAnsi="宋体" w:cs="宋体"/>
          <w:color w:val="auto"/>
          <w:szCs w:val="24"/>
          <w:highlight w:val="none"/>
        </w:rPr>
      </w:pPr>
      <w:r>
        <w:rPr>
          <w:rFonts w:hint="eastAsia" w:ascii="宋体" w:hAnsi="宋体" w:cs="宋体"/>
          <w:color w:val="auto"/>
          <w:szCs w:val="24"/>
          <w:highlight w:val="none"/>
        </w:rPr>
        <w:t>供应商盖章：</w:t>
      </w:r>
    </w:p>
    <w:p w14:paraId="7A7022EC">
      <w:pPr>
        <w:pStyle w:val="13"/>
        <w:tabs>
          <w:tab w:val="left" w:pos="3571"/>
          <w:tab w:val="left" w:pos="3991"/>
        </w:tabs>
        <w:kinsoku w:val="0"/>
        <w:overflowPunct w:val="0"/>
        <w:spacing w:line="355" w:lineRule="auto"/>
        <w:ind w:left="0" w:firstLine="4941" w:firstLineChars="2059"/>
        <w:jc w:val="both"/>
        <w:rPr>
          <w:rFonts w:hint="eastAsia" w:ascii="宋体" w:hAnsi="宋体" w:cs="宋体"/>
          <w:color w:val="auto"/>
          <w:szCs w:val="24"/>
          <w:highlight w:val="none"/>
        </w:rPr>
      </w:pPr>
      <w:r>
        <w:rPr>
          <w:rFonts w:hint="eastAsia" w:ascii="宋体" w:hAnsi="宋体" w:cs="宋体"/>
          <w:color w:val="auto"/>
          <w:szCs w:val="24"/>
          <w:highlight w:val="none"/>
        </w:rPr>
        <w:t>日期:     年    月     日</w:t>
      </w:r>
    </w:p>
    <w:p w14:paraId="092E174A">
      <w:pPr>
        <w:pStyle w:val="13"/>
        <w:tabs>
          <w:tab w:val="left" w:pos="3571"/>
          <w:tab w:val="left" w:pos="3991"/>
        </w:tabs>
        <w:kinsoku w:val="0"/>
        <w:overflowPunct w:val="0"/>
        <w:spacing w:line="355" w:lineRule="auto"/>
        <w:ind w:left="0" w:firstLine="628"/>
        <w:jc w:val="both"/>
        <w:rPr>
          <w:rFonts w:hint="eastAsia" w:ascii="宋体" w:hAnsi="宋体" w:cs="宋体"/>
          <w:color w:val="auto"/>
          <w:szCs w:val="24"/>
          <w:highlight w:val="none"/>
        </w:rPr>
        <w:sectPr>
          <w:pgSz w:w="11910" w:h="16840"/>
          <w:pgMar w:top="1100" w:right="1202" w:bottom="919" w:left="1298" w:header="918" w:footer="975" w:gutter="0"/>
          <w:cols w:space="720" w:num="1"/>
        </w:sectPr>
      </w:pPr>
    </w:p>
    <w:p w14:paraId="09C3841F">
      <w:pPr>
        <w:pStyle w:val="13"/>
        <w:tabs>
          <w:tab w:val="left" w:pos="2856"/>
        </w:tabs>
        <w:kinsoku w:val="0"/>
        <w:overflowPunct w:val="0"/>
        <w:spacing w:line="604" w:lineRule="auto"/>
        <w:ind w:left="0" w:firstLine="208"/>
        <w:rPr>
          <w:rFonts w:hint="eastAsia" w:ascii="宋体" w:hAnsi="宋体" w:cs="宋体"/>
          <w:color w:val="auto"/>
          <w:w w:val="95"/>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）农民工工资保证金承诺书及承诺函（必须提供）；</w:t>
      </w:r>
    </w:p>
    <w:p w14:paraId="7281D00E">
      <w:pPr>
        <w:pStyle w:val="5"/>
        <w:jc w:val="center"/>
        <w:rPr>
          <w:rFonts w:hAnsi="宋体" w:cs="宋体"/>
          <w:color w:val="auto"/>
          <w:highlight w:val="none"/>
        </w:rPr>
      </w:pPr>
      <w:bookmarkStart w:id="221" w:name="_Toc508779730"/>
      <w:bookmarkStart w:id="222" w:name="_Toc7422531"/>
      <w:bookmarkStart w:id="223" w:name="_Toc234659831"/>
      <w:bookmarkStart w:id="224" w:name="_Toc511595220"/>
      <w:bookmarkStart w:id="225" w:name="_Toc271557273"/>
      <w:r>
        <w:rPr>
          <w:rFonts w:hAnsi="宋体" w:cs="宋体"/>
          <w:color w:val="auto"/>
          <w:highlight w:val="none"/>
        </w:rPr>
        <w:t>（一）、农民工工资保证金承诺书</w:t>
      </w:r>
      <w:bookmarkEnd w:id="221"/>
      <w:bookmarkEnd w:id="222"/>
      <w:bookmarkEnd w:id="223"/>
      <w:bookmarkEnd w:id="224"/>
      <w:bookmarkEnd w:id="225"/>
    </w:p>
    <w:p w14:paraId="610B8AEA">
      <w:pPr>
        <w:rPr>
          <w:rFonts w:ascii="宋体" w:hAnsi="宋体" w:cs="宋体"/>
          <w:color w:val="auto"/>
          <w:highlight w:val="none"/>
        </w:rPr>
      </w:pPr>
    </w:p>
    <w:p w14:paraId="162DE87C">
      <w:pPr>
        <w:spacing w:line="360" w:lineRule="auto"/>
        <w:rPr>
          <w:rFonts w:ascii="宋体" w:hAnsi="宋体" w:cs="宋体"/>
          <w:color w:val="auto"/>
          <w:szCs w:val="21"/>
          <w:highlight w:val="none"/>
        </w:rPr>
      </w:pPr>
      <w:r>
        <w:rPr>
          <w:rFonts w:ascii="宋体" w:hAnsi="宋体" w:cs="宋体"/>
          <w:color w:val="auto"/>
          <w:szCs w:val="21"/>
          <w:highlight w:val="none"/>
        </w:rPr>
        <w:t>致：</w:t>
      </w:r>
      <w:r>
        <w:rPr>
          <w:rFonts w:ascii="宋体" w:hAnsi="宋体" w:cs="宋体"/>
          <w:color w:val="auto"/>
          <w:szCs w:val="21"/>
          <w:highlight w:val="none"/>
          <w:u w:val="single"/>
        </w:rPr>
        <w:t xml:space="preserve">                             </w:t>
      </w:r>
      <w:r>
        <w:rPr>
          <w:rFonts w:ascii="宋体" w:hAnsi="宋体" w:cs="宋体"/>
          <w:color w:val="auto"/>
          <w:szCs w:val="21"/>
          <w:highlight w:val="none"/>
        </w:rPr>
        <w:t>（采购人名称）</w:t>
      </w:r>
    </w:p>
    <w:p w14:paraId="245B45F1">
      <w:pPr>
        <w:spacing w:line="360" w:lineRule="auto"/>
        <w:ind w:firstLine="420"/>
        <w:rPr>
          <w:rFonts w:ascii="宋体" w:hAnsi="宋体" w:cs="宋体"/>
          <w:color w:val="auto"/>
          <w:szCs w:val="21"/>
          <w:highlight w:val="none"/>
        </w:rPr>
      </w:pPr>
      <w:r>
        <w:rPr>
          <w:rFonts w:ascii="宋体" w:hAnsi="宋体" w:cs="宋体"/>
          <w:color w:val="auto"/>
          <w:szCs w:val="21"/>
          <w:highlight w:val="none"/>
        </w:rPr>
        <w:t>根据人力资源社会保障部、住房和城乡建设部、交通运输部、水利部、银保监会、铁路局、民航局关于印发《工程建设领域农民工工资保证金规定》的通知（人社部发[2021]65号）及《广西壮族自治区工程建设领域农民工工资专用账户管理暂行办法实施细则》的规定，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磋商文件</w:t>
      </w:r>
      <w:r>
        <w:rPr>
          <w:rFonts w:hint="eastAsia" w:ascii="宋体" w:hAnsi="宋体" w:cs="宋体"/>
          <w:color w:val="auto"/>
          <w:szCs w:val="21"/>
          <w:highlight w:val="none"/>
        </w:rPr>
        <w:t>竞标</w:t>
      </w:r>
      <w:r>
        <w:rPr>
          <w:rFonts w:ascii="宋体" w:hAnsi="宋体" w:cs="宋体"/>
          <w:color w:val="auto"/>
          <w:szCs w:val="21"/>
          <w:highlight w:val="none"/>
        </w:rPr>
        <w:t>中，我单位对农民工工资的支付作出以下郑重承诺：</w:t>
      </w:r>
    </w:p>
    <w:p w14:paraId="3C16B653">
      <w:pPr>
        <w:spacing w:line="360" w:lineRule="auto"/>
        <w:ind w:firstLine="420"/>
        <w:rPr>
          <w:rFonts w:ascii="宋体" w:hAnsi="宋体" w:cs="宋体"/>
          <w:color w:val="auto"/>
          <w:szCs w:val="21"/>
          <w:highlight w:val="none"/>
        </w:rPr>
      </w:pPr>
      <w:r>
        <w:rPr>
          <w:rFonts w:ascii="宋体" w:hAnsi="宋体" w:cs="宋体"/>
          <w:color w:val="auto"/>
          <w:szCs w:val="21"/>
          <w:highlight w:val="none"/>
        </w:rPr>
        <w:t>（一）我单位在本采购项目递交响应文件截止时间</w:t>
      </w:r>
      <w:r>
        <w:rPr>
          <w:rFonts w:ascii="宋体" w:hAnsi="宋体" w:cs="宋体"/>
          <w:color w:val="auto"/>
          <w:szCs w:val="21"/>
          <w:highlight w:val="none"/>
          <w:u w:val="single"/>
        </w:rPr>
        <w:t xml:space="preserve">         （开标日）</w:t>
      </w:r>
      <w:r>
        <w:rPr>
          <w:rFonts w:ascii="宋体" w:hAnsi="宋体" w:cs="宋体"/>
          <w:color w:val="auto"/>
          <w:szCs w:val="21"/>
          <w:highlight w:val="none"/>
        </w:rPr>
        <w:t>前所承建的工程项目，不存在拖欠或克扣农民工工资的行为。</w:t>
      </w:r>
    </w:p>
    <w:p w14:paraId="2C95612B">
      <w:pPr>
        <w:spacing w:line="360" w:lineRule="auto"/>
        <w:ind w:firstLine="420"/>
        <w:rPr>
          <w:rFonts w:ascii="宋体" w:hAnsi="宋体" w:cs="宋体"/>
          <w:color w:val="auto"/>
          <w:szCs w:val="21"/>
          <w:highlight w:val="none"/>
        </w:rPr>
      </w:pPr>
      <w:r>
        <w:rPr>
          <w:rFonts w:ascii="宋体" w:hAnsi="宋体" w:cs="宋体"/>
          <w:color w:val="auto"/>
          <w:szCs w:val="21"/>
          <w:highlight w:val="none"/>
        </w:rPr>
        <w:t>（二）成交后，我单位按通知规定在签订合同后在工程项目所在地商业银行开设农民工工资保证金专用账户，并按竞争性磋商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61C7F317">
      <w:pPr>
        <w:spacing w:line="360" w:lineRule="auto"/>
        <w:ind w:firstLine="420"/>
        <w:rPr>
          <w:rFonts w:ascii="宋体" w:hAnsi="宋体" w:cs="宋体"/>
          <w:color w:val="auto"/>
          <w:szCs w:val="21"/>
          <w:highlight w:val="none"/>
        </w:rPr>
      </w:pPr>
      <w:r>
        <w:rPr>
          <w:rFonts w:ascii="宋体" w:hAnsi="宋体" w:cs="宋体"/>
          <w:color w:val="auto"/>
          <w:szCs w:val="21"/>
          <w:highlight w:val="none"/>
        </w:rPr>
        <w:t>（三）在项目实施过程中，若出现结算价与成交价不一致时，以实际结算金额按竞争性磋商文件规定的计算额度存入农民工工资保证金。</w:t>
      </w:r>
    </w:p>
    <w:p w14:paraId="124E1C6E">
      <w:pPr>
        <w:spacing w:line="360" w:lineRule="auto"/>
        <w:ind w:firstLine="420"/>
        <w:rPr>
          <w:rFonts w:ascii="宋体" w:hAnsi="宋体" w:cs="宋体"/>
          <w:color w:val="auto"/>
          <w:szCs w:val="21"/>
          <w:highlight w:val="none"/>
        </w:rPr>
      </w:pPr>
      <w:r>
        <w:rPr>
          <w:rFonts w:ascii="宋体" w:hAnsi="宋体" w:cs="宋体"/>
          <w:color w:val="auto"/>
          <w:szCs w:val="21"/>
          <w:highlight w:val="none"/>
        </w:rPr>
        <w:t>（四）我单位向建设单位承诺依法足额支付农民工工资，一旦我单位（包含我单位的分包商）承建的</w:t>
      </w:r>
      <w:r>
        <w:rPr>
          <w:rFonts w:ascii="宋体" w:hAnsi="宋体" w:cs="宋体"/>
          <w:color w:val="auto"/>
          <w:szCs w:val="21"/>
          <w:highlight w:val="none"/>
          <w:u w:val="single"/>
        </w:rPr>
        <w:t xml:space="preserve">                                   项目</w:t>
      </w:r>
      <w:r>
        <w:rPr>
          <w:rFonts w:ascii="宋体" w:hAnsi="宋体" w:cs="宋体"/>
          <w:color w:val="auto"/>
          <w:szCs w:val="21"/>
          <w:highlight w:val="none"/>
        </w:rPr>
        <w:t>出现拖欠农民工工资情况的，可由劳动保障、交通主管部门（或授权机构）及建设单位根据相关规定从其农民工工资保证金中先予支取。</w:t>
      </w:r>
    </w:p>
    <w:p w14:paraId="01CFF82F">
      <w:pPr>
        <w:spacing w:line="360" w:lineRule="auto"/>
        <w:ind w:firstLine="4320" w:firstLineChars="1800"/>
        <w:rPr>
          <w:rFonts w:ascii="宋体" w:hAnsi="宋体" w:cs="宋体"/>
          <w:color w:val="auto"/>
          <w:szCs w:val="21"/>
          <w:highlight w:val="none"/>
        </w:rPr>
      </w:pPr>
    </w:p>
    <w:p w14:paraId="33706AA4">
      <w:pPr>
        <w:spacing w:line="360" w:lineRule="auto"/>
        <w:ind w:firstLine="4320" w:firstLineChars="1800"/>
        <w:rPr>
          <w:rFonts w:ascii="宋体" w:hAnsi="宋体" w:cs="宋体"/>
          <w:color w:val="auto"/>
          <w:szCs w:val="21"/>
          <w:highlight w:val="none"/>
        </w:rPr>
      </w:pPr>
    </w:p>
    <w:p w14:paraId="76A1B608">
      <w:pPr>
        <w:spacing w:line="360" w:lineRule="auto"/>
        <w:ind w:firstLine="4320" w:firstLineChars="1800"/>
        <w:rPr>
          <w:rFonts w:ascii="宋体" w:hAnsi="宋体" w:cs="宋体"/>
          <w:color w:val="auto"/>
          <w:szCs w:val="21"/>
          <w:highlight w:val="none"/>
        </w:rPr>
      </w:pPr>
      <w:r>
        <w:rPr>
          <w:rFonts w:ascii="宋体" w:hAnsi="宋体" w:cs="宋体"/>
          <w:color w:val="auto"/>
          <w:szCs w:val="21"/>
          <w:highlight w:val="none"/>
        </w:rPr>
        <w:t>承诺人：（</w:t>
      </w:r>
      <w:r>
        <w:rPr>
          <w:rFonts w:hint="eastAsia" w:ascii="宋体" w:hAnsi="宋体" w:cs="宋体"/>
          <w:color w:val="auto"/>
          <w:szCs w:val="21"/>
          <w:highlight w:val="none"/>
          <w:lang w:eastAsia="zh-CN"/>
        </w:rPr>
        <w:t>供应商</w:t>
      </w:r>
      <w:r>
        <w:rPr>
          <w:rFonts w:ascii="宋体" w:hAnsi="宋体" w:cs="宋体"/>
          <w:color w:val="auto"/>
          <w:szCs w:val="21"/>
          <w:highlight w:val="none"/>
        </w:rPr>
        <w:t>单位全称）（盖单位公章）</w:t>
      </w:r>
    </w:p>
    <w:p w14:paraId="280AED53">
      <w:pPr>
        <w:spacing w:line="360" w:lineRule="auto"/>
        <w:ind w:left="200" w:firstLine="4159" w:firstLineChars="1733"/>
        <w:rPr>
          <w:rFonts w:ascii="宋体" w:hAnsi="宋体" w:cs="宋体"/>
          <w:color w:val="auto"/>
          <w:szCs w:val="21"/>
          <w:highlight w:val="none"/>
        </w:rPr>
      </w:pPr>
      <w:r>
        <w:rPr>
          <w:rFonts w:ascii="宋体" w:hAnsi="宋体" w:cs="宋体"/>
          <w:color w:val="auto"/>
          <w:szCs w:val="21"/>
          <w:highlight w:val="none"/>
        </w:rPr>
        <w:t xml:space="preserve">法定代表人 </w:t>
      </w:r>
    </w:p>
    <w:p w14:paraId="2B66CB4D">
      <w:pPr>
        <w:spacing w:line="360" w:lineRule="auto"/>
        <w:ind w:firstLine="4320" w:firstLineChars="1800"/>
        <w:rPr>
          <w:rFonts w:ascii="宋体" w:hAnsi="宋体" w:cs="宋体"/>
          <w:color w:val="auto"/>
          <w:szCs w:val="21"/>
          <w:highlight w:val="none"/>
        </w:rPr>
      </w:pPr>
      <w:r>
        <w:rPr>
          <w:rFonts w:ascii="宋体" w:hAnsi="宋体" w:cs="宋体"/>
          <w:color w:val="auto"/>
          <w:szCs w:val="21"/>
          <w:highlight w:val="none"/>
        </w:rPr>
        <w:t xml:space="preserve">或其授权的代理人： （姓名） （签字）  </w:t>
      </w:r>
    </w:p>
    <w:p w14:paraId="51D723FE">
      <w:pPr>
        <w:spacing w:line="300" w:lineRule="auto"/>
        <w:ind w:firstLine="4800" w:firstLineChars="2000"/>
        <w:rPr>
          <w:rFonts w:ascii="宋体" w:hAnsi="宋体" w:cs="宋体"/>
          <w:color w:val="auto"/>
          <w:szCs w:val="21"/>
          <w:highlight w:val="none"/>
        </w:rPr>
      </w:pPr>
      <w:r>
        <w:rPr>
          <w:rFonts w:ascii="宋体" w:hAnsi="宋体" w:cs="宋体"/>
          <w:color w:val="auto"/>
          <w:szCs w:val="21"/>
          <w:highlight w:val="none"/>
        </w:rPr>
        <w:t>日   期：  年    月    日</w:t>
      </w:r>
    </w:p>
    <w:p w14:paraId="28EA4BE7">
      <w:pPr>
        <w:pStyle w:val="3"/>
        <w:rPr>
          <w:rFonts w:ascii="宋体" w:hAnsi="宋体" w:eastAsia="宋体" w:cs="宋体"/>
          <w:color w:val="auto"/>
          <w:highlight w:val="none"/>
        </w:rPr>
      </w:pPr>
    </w:p>
    <w:p w14:paraId="435CCEEC">
      <w:pPr>
        <w:ind w:firstLine="420"/>
        <w:rPr>
          <w:rFonts w:ascii="宋体" w:hAnsi="宋体" w:cs="宋体"/>
          <w:color w:val="auto"/>
          <w:szCs w:val="21"/>
          <w:highlight w:val="none"/>
        </w:rPr>
      </w:pPr>
      <w:r>
        <w:rPr>
          <w:rFonts w:ascii="宋体" w:hAnsi="宋体" w:cs="宋体"/>
          <w:color w:val="auto"/>
          <w:szCs w:val="21"/>
          <w:highlight w:val="none"/>
        </w:rPr>
        <w:t>（注：农民工工资保证金额度按成交价（A）金额计算：小于5000万元（含5000万元）的，按A×2%存入； 5000万元以上的，按5000×2%+（A-5000）×1.5%存入。）</w:t>
      </w:r>
    </w:p>
    <w:p w14:paraId="12C3CBEF">
      <w:pPr>
        <w:jc w:val="center"/>
        <w:rPr>
          <w:rFonts w:ascii="宋体" w:hAnsi="宋体" w:cs="宋体"/>
          <w:color w:val="auto"/>
          <w:szCs w:val="24"/>
          <w:highlight w:val="none"/>
          <w:u w:val="single"/>
        </w:rPr>
      </w:pPr>
      <w:r>
        <w:rPr>
          <w:rFonts w:ascii="宋体" w:hAnsi="宋体" w:cs="宋体"/>
          <w:color w:val="auto"/>
          <w:sz w:val="21"/>
          <w:szCs w:val="21"/>
          <w:highlight w:val="none"/>
        </w:rPr>
        <w:br w:type="page"/>
      </w:r>
      <w:r>
        <w:rPr>
          <w:rFonts w:ascii="宋体" w:hAnsi="宋体" w:cs="宋体"/>
          <w:b/>
          <w:bCs/>
          <w:color w:val="auto"/>
          <w:szCs w:val="24"/>
          <w:highlight w:val="none"/>
        </w:rPr>
        <w:t>承诺函</w:t>
      </w:r>
    </w:p>
    <w:p w14:paraId="5154491E">
      <w:pPr>
        <w:spacing w:before="240" w:after="240" w:line="500" w:lineRule="exact"/>
        <w:rPr>
          <w:rFonts w:ascii="宋体" w:hAnsi="宋体" w:cs="宋体"/>
          <w:color w:val="auto"/>
          <w:szCs w:val="24"/>
          <w:highlight w:val="none"/>
        </w:rPr>
      </w:pPr>
      <w:r>
        <w:rPr>
          <w:rFonts w:ascii="宋体" w:hAnsi="宋体" w:cs="宋体"/>
          <w:color w:val="auto"/>
          <w:szCs w:val="24"/>
          <w:highlight w:val="none"/>
          <w:u w:val="single"/>
        </w:rPr>
        <w:t xml:space="preserve">            </w:t>
      </w:r>
      <w:r>
        <w:rPr>
          <w:rFonts w:ascii="宋体" w:hAnsi="宋体" w:cs="宋体"/>
          <w:color w:val="auto"/>
          <w:szCs w:val="24"/>
          <w:highlight w:val="none"/>
        </w:rPr>
        <w:t>（采购人名称）：</w:t>
      </w:r>
    </w:p>
    <w:p w14:paraId="707DA2E0">
      <w:pPr>
        <w:spacing w:line="500" w:lineRule="exact"/>
        <w:ind w:firstLine="480" w:firstLineChars="200"/>
        <w:rPr>
          <w:rFonts w:ascii="宋体" w:hAnsi="宋体" w:cs="宋体"/>
          <w:color w:val="auto"/>
          <w:szCs w:val="24"/>
          <w:highlight w:val="none"/>
        </w:rPr>
      </w:pPr>
      <w:r>
        <w:rPr>
          <w:rFonts w:ascii="宋体" w:hAnsi="宋体" w:cs="宋体"/>
          <w:color w:val="auto"/>
          <w:szCs w:val="24"/>
          <w:highlight w:val="none"/>
        </w:rPr>
        <w:t>我方参加了</w:t>
      </w:r>
      <w:r>
        <w:rPr>
          <w:rFonts w:ascii="宋体" w:hAnsi="宋体" w:cs="宋体"/>
          <w:color w:val="auto"/>
          <w:szCs w:val="24"/>
          <w:highlight w:val="none"/>
          <w:u w:val="single"/>
        </w:rPr>
        <w:t>（项目名称）工程</w:t>
      </w:r>
      <w:r>
        <w:rPr>
          <w:rFonts w:ascii="宋体" w:hAnsi="宋体" w:cs="宋体"/>
          <w:color w:val="auto"/>
          <w:szCs w:val="24"/>
          <w:highlight w:val="none"/>
        </w:rPr>
        <w:t>施工</w:t>
      </w:r>
      <w:r>
        <w:rPr>
          <w:rFonts w:hint="eastAsia" w:ascii="宋体" w:hAnsi="宋体" w:cs="宋体"/>
          <w:color w:val="auto"/>
          <w:szCs w:val="24"/>
          <w:highlight w:val="none"/>
        </w:rPr>
        <w:t>竞标</w:t>
      </w:r>
      <w:r>
        <w:rPr>
          <w:rFonts w:ascii="宋体" w:hAnsi="宋体" w:cs="宋体"/>
          <w:color w:val="auto"/>
          <w:szCs w:val="24"/>
          <w:highlight w:val="none"/>
        </w:rPr>
        <w:t>，若我方成交，我方在此承诺：</w:t>
      </w:r>
    </w:p>
    <w:p w14:paraId="199A6AC1">
      <w:pPr>
        <w:spacing w:line="500" w:lineRule="exact"/>
        <w:ind w:firstLine="480" w:firstLineChars="200"/>
        <w:rPr>
          <w:rFonts w:ascii="宋体" w:hAnsi="宋体" w:cs="宋体"/>
          <w:color w:val="auto"/>
          <w:szCs w:val="24"/>
          <w:highlight w:val="none"/>
        </w:rPr>
      </w:pPr>
      <w:r>
        <w:rPr>
          <w:rFonts w:ascii="宋体" w:hAnsi="宋体" w:cs="宋体"/>
          <w:color w:val="auto"/>
          <w:szCs w:val="24"/>
          <w:highlight w:val="none"/>
        </w:rPr>
        <w:t>若本项目资格预审文件或</w:t>
      </w:r>
      <w:r>
        <w:rPr>
          <w:rFonts w:hint="eastAsia" w:ascii="宋体" w:hAnsi="宋体" w:cs="宋体"/>
          <w:color w:val="auto"/>
          <w:szCs w:val="24"/>
          <w:highlight w:val="none"/>
          <w:lang w:eastAsia="zh-CN"/>
        </w:rPr>
        <w:t>磋商文件</w:t>
      </w:r>
      <w:r>
        <w:rPr>
          <w:rFonts w:ascii="宋体" w:hAnsi="宋体" w:cs="宋体"/>
          <w:color w:val="auto"/>
          <w:szCs w:val="24"/>
          <w:highlight w:val="none"/>
        </w:rPr>
        <w:t>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0AB2A68E">
      <w:pPr>
        <w:spacing w:line="500" w:lineRule="exact"/>
        <w:ind w:firstLine="480" w:firstLineChars="200"/>
        <w:rPr>
          <w:rFonts w:ascii="宋体" w:hAnsi="宋体" w:cs="宋体"/>
          <w:color w:val="auto"/>
          <w:szCs w:val="24"/>
          <w:highlight w:val="none"/>
        </w:rPr>
      </w:pPr>
      <w:r>
        <w:rPr>
          <w:rFonts w:ascii="宋体" w:hAnsi="宋体" w:cs="宋体"/>
          <w:color w:val="auto"/>
          <w:szCs w:val="24"/>
          <w:highlight w:val="none"/>
        </w:rPr>
        <w:t>若我方已按本项目资格预审文件或</w:t>
      </w:r>
      <w:r>
        <w:rPr>
          <w:rFonts w:hint="eastAsia" w:ascii="宋体" w:hAnsi="宋体" w:cs="宋体"/>
          <w:color w:val="auto"/>
          <w:szCs w:val="24"/>
          <w:highlight w:val="none"/>
          <w:lang w:eastAsia="zh-CN"/>
        </w:rPr>
        <w:t>磋商文件</w:t>
      </w:r>
      <w:r>
        <w:rPr>
          <w:rFonts w:ascii="宋体" w:hAnsi="宋体" w:cs="宋体"/>
          <w:color w:val="auto"/>
          <w:szCs w:val="24"/>
          <w:highlight w:val="none"/>
        </w:rPr>
        <w:t>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7EED7B5B">
      <w:pPr>
        <w:spacing w:line="500" w:lineRule="exact"/>
        <w:ind w:firstLine="480" w:firstLineChars="200"/>
        <w:rPr>
          <w:rFonts w:ascii="宋体" w:hAnsi="宋体" w:cs="宋体"/>
          <w:color w:val="auto"/>
          <w:szCs w:val="24"/>
          <w:highlight w:val="none"/>
        </w:rPr>
      </w:pPr>
      <w:r>
        <w:rPr>
          <w:rFonts w:ascii="宋体" w:hAnsi="宋体" w:cs="宋体"/>
          <w:color w:val="auto"/>
          <w:szCs w:val="24"/>
          <w:highlight w:val="none"/>
        </w:rPr>
        <w:t>如我方违背了上述承诺，本项目采购人有权取消我方的成交资格，并由采购人将我方的违约行为上报省级交通主管部门，作为不良记录纳入公路建设市场信息管理系统。</w:t>
      </w:r>
    </w:p>
    <w:p w14:paraId="47786BBB">
      <w:pPr>
        <w:spacing w:line="500" w:lineRule="exact"/>
        <w:rPr>
          <w:rFonts w:ascii="宋体" w:hAnsi="宋体" w:cs="宋体"/>
          <w:color w:val="auto"/>
          <w:szCs w:val="24"/>
          <w:highlight w:val="none"/>
        </w:rPr>
      </w:pPr>
    </w:p>
    <w:p w14:paraId="144FC865">
      <w:pPr>
        <w:rPr>
          <w:rFonts w:ascii="宋体" w:hAnsi="宋体" w:cs="宋体"/>
          <w:color w:val="auto"/>
          <w:szCs w:val="24"/>
          <w:highlight w:val="none"/>
        </w:rPr>
      </w:pPr>
    </w:p>
    <w:p w14:paraId="4184D87B">
      <w:pPr>
        <w:spacing w:line="500" w:lineRule="exact"/>
        <w:rPr>
          <w:rFonts w:ascii="宋体" w:hAnsi="宋体" w:cs="宋体"/>
          <w:color w:val="auto"/>
          <w:szCs w:val="24"/>
          <w:highlight w:val="none"/>
        </w:rPr>
      </w:pPr>
      <w:r>
        <w:rPr>
          <w:rFonts w:ascii="宋体" w:hAnsi="宋体" w:cs="宋体"/>
          <w:color w:val="auto"/>
          <w:szCs w:val="24"/>
          <w:highlight w:val="none"/>
        </w:rPr>
        <w:t xml:space="preserve">                            供 应 商：</w:t>
      </w:r>
      <w:r>
        <w:rPr>
          <w:rFonts w:ascii="宋体" w:hAnsi="宋体" w:cs="宋体"/>
          <w:color w:val="auto"/>
          <w:szCs w:val="24"/>
          <w:highlight w:val="none"/>
          <w:u w:val="single"/>
        </w:rPr>
        <w:t xml:space="preserve">                     </w:t>
      </w:r>
      <w:r>
        <w:rPr>
          <w:rFonts w:ascii="宋体" w:hAnsi="宋体" w:cs="宋体"/>
          <w:color w:val="auto"/>
          <w:szCs w:val="24"/>
          <w:highlight w:val="none"/>
        </w:rPr>
        <w:t>（盖单位章）</w:t>
      </w:r>
    </w:p>
    <w:p w14:paraId="3C1B69CE">
      <w:pPr>
        <w:spacing w:line="500" w:lineRule="exact"/>
        <w:rPr>
          <w:rFonts w:ascii="宋体" w:hAnsi="宋体" w:cs="宋体"/>
          <w:color w:val="auto"/>
          <w:szCs w:val="24"/>
          <w:highlight w:val="none"/>
        </w:rPr>
      </w:pPr>
      <w:r>
        <w:rPr>
          <w:rFonts w:ascii="宋体" w:hAnsi="宋体" w:cs="宋体"/>
          <w:color w:val="auto"/>
          <w:szCs w:val="24"/>
          <w:highlight w:val="none"/>
        </w:rPr>
        <w:t xml:space="preserve">                            法定代表人或其委托代理人：</w:t>
      </w:r>
      <w:r>
        <w:rPr>
          <w:rFonts w:ascii="宋体" w:hAnsi="宋体" w:cs="宋体"/>
          <w:color w:val="auto"/>
          <w:szCs w:val="24"/>
          <w:highlight w:val="none"/>
          <w:u w:val="single"/>
        </w:rPr>
        <w:t xml:space="preserve">           </w:t>
      </w:r>
      <w:r>
        <w:rPr>
          <w:rFonts w:ascii="宋体" w:hAnsi="宋体" w:cs="宋体"/>
          <w:color w:val="auto"/>
          <w:szCs w:val="24"/>
          <w:highlight w:val="none"/>
        </w:rPr>
        <w:t>（签字）</w:t>
      </w:r>
    </w:p>
    <w:p w14:paraId="41DC879A">
      <w:pPr>
        <w:spacing w:line="500" w:lineRule="exact"/>
        <w:rPr>
          <w:rFonts w:ascii="宋体" w:hAnsi="宋体" w:cs="宋体"/>
          <w:color w:val="auto"/>
          <w:szCs w:val="24"/>
          <w:highlight w:val="none"/>
        </w:rPr>
      </w:pPr>
      <w:r>
        <w:rPr>
          <w:rFonts w:ascii="宋体" w:hAnsi="宋体" w:cs="宋体"/>
          <w:color w:val="auto"/>
          <w:szCs w:val="24"/>
          <w:highlight w:val="none"/>
        </w:rPr>
        <w:t xml:space="preserve">                                                                          </w:t>
      </w:r>
    </w:p>
    <w:p w14:paraId="21832E38">
      <w:pPr>
        <w:spacing w:line="500" w:lineRule="exact"/>
        <w:jc w:val="right"/>
        <w:rPr>
          <w:rFonts w:ascii="宋体" w:hAnsi="宋体" w:cs="宋体"/>
          <w:color w:val="auto"/>
          <w:szCs w:val="24"/>
          <w:highlight w:val="none"/>
        </w:rPr>
      </w:pPr>
      <w:r>
        <w:rPr>
          <w:rFonts w:ascii="宋体" w:hAnsi="宋体" w:cs="宋体"/>
          <w:color w:val="auto"/>
          <w:szCs w:val="24"/>
          <w:highlight w:val="none"/>
        </w:rPr>
        <w:t xml:space="preserve">  </w:t>
      </w:r>
      <w:r>
        <w:rPr>
          <w:rFonts w:ascii="宋体" w:hAnsi="宋体" w:cs="宋体"/>
          <w:color w:val="auto"/>
          <w:szCs w:val="24"/>
          <w:highlight w:val="none"/>
          <w:u w:val="single"/>
        </w:rPr>
        <w:t xml:space="preserve">        </w:t>
      </w:r>
      <w:r>
        <w:rPr>
          <w:rFonts w:ascii="宋体" w:hAnsi="宋体" w:cs="宋体"/>
          <w:color w:val="auto"/>
          <w:szCs w:val="24"/>
          <w:highlight w:val="none"/>
        </w:rPr>
        <w:t>年</w:t>
      </w:r>
      <w:r>
        <w:rPr>
          <w:rFonts w:ascii="宋体" w:hAnsi="宋体" w:cs="宋体"/>
          <w:color w:val="auto"/>
          <w:szCs w:val="24"/>
          <w:highlight w:val="none"/>
          <w:u w:val="single"/>
        </w:rPr>
        <w:t xml:space="preserve">    </w:t>
      </w:r>
      <w:r>
        <w:rPr>
          <w:rFonts w:ascii="宋体" w:hAnsi="宋体" w:cs="宋体"/>
          <w:color w:val="auto"/>
          <w:szCs w:val="24"/>
          <w:highlight w:val="none"/>
        </w:rPr>
        <w:t>月</w:t>
      </w:r>
      <w:r>
        <w:rPr>
          <w:rFonts w:ascii="宋体" w:hAnsi="宋体" w:cs="宋体"/>
          <w:color w:val="auto"/>
          <w:szCs w:val="24"/>
          <w:highlight w:val="none"/>
          <w:u w:val="single"/>
        </w:rPr>
        <w:t xml:space="preserve">    </w:t>
      </w:r>
      <w:r>
        <w:rPr>
          <w:rFonts w:ascii="宋体" w:hAnsi="宋体" w:cs="宋体"/>
          <w:color w:val="auto"/>
          <w:szCs w:val="24"/>
          <w:highlight w:val="none"/>
        </w:rPr>
        <w:t>日</w:t>
      </w:r>
    </w:p>
    <w:p w14:paraId="338E94A3">
      <w:pPr>
        <w:spacing w:line="360" w:lineRule="auto"/>
        <w:rPr>
          <w:rFonts w:ascii="宋体" w:hAnsi="宋体" w:cs="宋体"/>
          <w:bCs/>
          <w:color w:val="auto"/>
          <w:szCs w:val="24"/>
          <w:highlight w:val="none"/>
        </w:rPr>
        <w:sectPr>
          <w:pgSz w:w="11906" w:h="16838"/>
          <w:pgMar w:top="1100" w:right="1202" w:bottom="919" w:left="1298" w:header="851" w:footer="992" w:gutter="0"/>
          <w:cols w:space="720" w:num="1"/>
          <w:docGrid w:linePitch="312" w:charSpace="0"/>
        </w:sectPr>
      </w:pPr>
    </w:p>
    <w:p w14:paraId="11BA1984">
      <w:pPr>
        <w:pStyle w:val="13"/>
        <w:kinsoku w:val="0"/>
        <w:overflowPunct w:val="0"/>
        <w:spacing w:line="360" w:lineRule="auto"/>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）中小企业声明函或者残疾人福利性单位声明函或者供应商属于监狱企业的证明材料；</w:t>
      </w:r>
      <w:r>
        <w:rPr>
          <w:rFonts w:hint="eastAsia" w:ascii="宋体" w:hAnsi="宋体" w:cs="宋体"/>
          <w:b/>
          <w:bCs/>
          <w:color w:val="auto"/>
          <w:sz w:val="24"/>
          <w:szCs w:val="24"/>
          <w:highlight w:val="none"/>
        </w:rPr>
        <w:t>（必须提供）</w:t>
      </w:r>
    </w:p>
    <w:p w14:paraId="30A6D5CE">
      <w:pPr>
        <w:pStyle w:val="13"/>
        <w:kinsoku w:val="0"/>
        <w:overflowPunct w:val="0"/>
        <w:ind w:left="0"/>
        <w:rPr>
          <w:rFonts w:hint="eastAsia" w:ascii="宋体" w:hAnsi="宋体" w:cs="宋体"/>
          <w:color w:val="auto"/>
          <w:szCs w:val="24"/>
          <w:highlight w:val="none"/>
        </w:rPr>
      </w:pPr>
    </w:p>
    <w:p w14:paraId="535C1735">
      <w:pPr>
        <w:pStyle w:val="13"/>
        <w:kinsoku w:val="0"/>
        <w:overflowPunct w:val="0"/>
        <w:ind w:left="0"/>
        <w:rPr>
          <w:rFonts w:hint="eastAsia" w:ascii="宋体" w:hAnsi="宋体" w:cs="宋体"/>
          <w:color w:val="auto"/>
          <w:szCs w:val="24"/>
          <w:highlight w:val="none"/>
        </w:rPr>
      </w:pPr>
    </w:p>
    <w:p w14:paraId="680FF7C9">
      <w:pPr>
        <w:pStyle w:val="8"/>
        <w:kinsoku w:val="0"/>
        <w:overflowPunct w:val="0"/>
        <w:spacing w:line="630" w:lineRule="atLeast"/>
        <w:ind w:left="0" w:firstLine="3919"/>
        <w:rPr>
          <w:rFonts w:hAnsi="宋体" w:cs="宋体"/>
          <w:b/>
          <w:color w:val="auto"/>
          <w:sz w:val="28"/>
          <w:szCs w:val="28"/>
          <w:highlight w:val="none"/>
        </w:rPr>
      </w:pPr>
      <w:r>
        <w:rPr>
          <w:rFonts w:hAnsi="宋体" w:cs="宋体"/>
          <w:b/>
          <w:color w:val="auto"/>
          <w:sz w:val="28"/>
          <w:szCs w:val="28"/>
          <w:highlight w:val="none"/>
        </w:rPr>
        <w:t>中小企业声明函</w:t>
      </w:r>
    </w:p>
    <w:p w14:paraId="6086499E">
      <w:pPr>
        <w:autoSpaceDE/>
        <w:autoSpaceDN/>
        <w:adjustRightInd/>
        <w:spacing w:line="400" w:lineRule="exact"/>
        <w:ind w:firstLine="420" w:firstLineChars="200"/>
        <w:rPr>
          <w:rFonts w:ascii="宋体" w:hAnsi="宋体" w:cs="宋体"/>
          <w:color w:val="auto"/>
          <w:sz w:val="21"/>
          <w:szCs w:val="21"/>
          <w:highlight w:val="none"/>
        </w:rPr>
      </w:pPr>
    </w:p>
    <w:p w14:paraId="3771B63F">
      <w:pPr>
        <w:autoSpaceDE/>
        <w:autoSpaceDN/>
        <w:adjustRightInd/>
        <w:spacing w:line="400" w:lineRule="exact"/>
        <w:ind w:firstLine="420" w:firstLineChars="200"/>
        <w:rPr>
          <w:rFonts w:ascii="宋体" w:hAnsi="宋体" w:cs="宋体"/>
          <w:color w:val="auto"/>
          <w:kern w:val="2"/>
          <w:sz w:val="21"/>
          <w:szCs w:val="21"/>
          <w:highlight w:val="none"/>
        </w:rPr>
      </w:pPr>
      <w:r>
        <w:rPr>
          <w:rFonts w:ascii="宋体" w:hAnsi="宋体" w:cs="宋体"/>
          <w:color w:val="auto"/>
          <w:sz w:val="21"/>
          <w:szCs w:val="21"/>
          <w:highlight w:val="none"/>
        </w:rPr>
        <w:t>本公司（联合体）郑重声明，根据《政府采购促进中小企业发展管理办法》（财库﹝2020﹞46号）的规定，本公司（联合体）参加</w:t>
      </w:r>
      <w:r>
        <w:rPr>
          <w:rFonts w:ascii="宋体" w:hAnsi="宋体" w:cs="宋体"/>
          <w:color w:val="auto"/>
          <w:kern w:val="2"/>
          <w:sz w:val="21"/>
          <w:szCs w:val="21"/>
          <w:highlight w:val="none"/>
          <w:u w:val="single"/>
        </w:rPr>
        <w:t>（单位名称）</w:t>
      </w:r>
      <w:r>
        <w:rPr>
          <w:rFonts w:ascii="宋体" w:hAnsi="宋体" w:cs="宋体"/>
          <w:color w:val="auto"/>
          <w:kern w:val="2"/>
          <w:sz w:val="21"/>
          <w:szCs w:val="21"/>
          <w:highlight w:val="none"/>
        </w:rPr>
        <w:t>的</w:t>
      </w:r>
      <w:r>
        <w:rPr>
          <w:rFonts w:ascii="宋体" w:hAnsi="宋体" w:cs="宋体"/>
          <w:color w:val="auto"/>
          <w:kern w:val="2"/>
          <w:sz w:val="21"/>
          <w:szCs w:val="21"/>
          <w:highlight w:val="none"/>
          <w:u w:val="single"/>
        </w:rPr>
        <w:t>（项目名称）</w:t>
      </w:r>
      <w:r>
        <w:rPr>
          <w:rFonts w:ascii="宋体" w:hAnsi="宋体" w:cs="宋体"/>
          <w:color w:val="auto"/>
          <w:kern w:val="2"/>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ADB2D9">
      <w:pPr>
        <w:numPr>
          <w:ilvl w:val="0"/>
          <w:numId w:val="13"/>
        </w:numPr>
        <w:autoSpaceDE/>
        <w:autoSpaceDN/>
        <w:adjustRightInd/>
        <w:spacing w:line="400" w:lineRule="exact"/>
        <w:ind w:firstLine="420" w:firstLineChars="200"/>
        <w:jc w:val="both"/>
        <w:rPr>
          <w:rFonts w:ascii="宋体" w:hAnsi="宋体" w:cs="宋体"/>
          <w:color w:val="auto"/>
          <w:kern w:val="2"/>
          <w:sz w:val="21"/>
          <w:szCs w:val="21"/>
          <w:highlight w:val="none"/>
        </w:rPr>
      </w:pPr>
      <w:r>
        <w:rPr>
          <w:rFonts w:ascii="宋体" w:hAnsi="宋体" w:cs="宋体"/>
          <w:color w:val="auto"/>
          <w:kern w:val="2"/>
          <w:sz w:val="21"/>
          <w:szCs w:val="21"/>
          <w:highlight w:val="none"/>
          <w:u w:val="single"/>
        </w:rPr>
        <w:t>（标的名称）</w:t>
      </w:r>
      <w:r>
        <w:rPr>
          <w:rFonts w:ascii="宋体" w:hAnsi="宋体" w:cs="宋体"/>
          <w:color w:val="auto"/>
          <w:kern w:val="2"/>
          <w:sz w:val="21"/>
          <w:szCs w:val="21"/>
          <w:highlight w:val="none"/>
        </w:rPr>
        <w:t>，属于</w:t>
      </w:r>
      <w:r>
        <w:rPr>
          <w:rFonts w:ascii="宋体" w:hAnsi="宋体" w:cs="宋体"/>
          <w:color w:val="auto"/>
          <w:kern w:val="2"/>
          <w:sz w:val="21"/>
          <w:szCs w:val="21"/>
          <w:highlight w:val="none"/>
          <w:u w:val="single"/>
        </w:rPr>
        <w:t>（磋商文件中明确的所属行业）</w:t>
      </w:r>
      <w:r>
        <w:rPr>
          <w:rFonts w:ascii="宋体" w:hAnsi="宋体" w:cs="宋体"/>
          <w:color w:val="auto"/>
          <w:kern w:val="2"/>
          <w:sz w:val="21"/>
          <w:szCs w:val="21"/>
          <w:highlight w:val="none"/>
        </w:rPr>
        <w:t>；承建（承接）企业为</w:t>
      </w:r>
      <w:r>
        <w:rPr>
          <w:rFonts w:ascii="宋体" w:hAnsi="宋体" w:cs="宋体"/>
          <w:color w:val="auto"/>
          <w:kern w:val="2"/>
          <w:sz w:val="21"/>
          <w:szCs w:val="21"/>
          <w:highlight w:val="none"/>
          <w:u w:val="single"/>
        </w:rPr>
        <w:t>（企业名称）</w:t>
      </w:r>
      <w:r>
        <w:rPr>
          <w:rFonts w:ascii="宋体" w:hAnsi="宋体" w:cs="宋体"/>
          <w:color w:val="auto"/>
          <w:kern w:val="2"/>
          <w:sz w:val="21"/>
          <w:szCs w:val="21"/>
          <w:highlight w:val="none"/>
        </w:rPr>
        <w:t>，从业人员人，营业收入为万元，资产总额为万元，属于</w:t>
      </w:r>
      <w:r>
        <w:rPr>
          <w:rFonts w:ascii="宋体" w:hAnsi="宋体" w:cs="宋体"/>
          <w:color w:val="auto"/>
          <w:kern w:val="2"/>
          <w:sz w:val="21"/>
          <w:szCs w:val="21"/>
          <w:highlight w:val="none"/>
          <w:u w:val="single"/>
        </w:rPr>
        <w:t>（中型企业、小型企业、微型企业）</w:t>
      </w:r>
      <w:r>
        <w:rPr>
          <w:rFonts w:ascii="宋体" w:hAnsi="宋体" w:cs="宋体"/>
          <w:color w:val="auto"/>
          <w:kern w:val="2"/>
          <w:sz w:val="21"/>
          <w:szCs w:val="21"/>
          <w:highlight w:val="none"/>
        </w:rPr>
        <w:t>；</w:t>
      </w:r>
    </w:p>
    <w:p w14:paraId="7D6BB185">
      <w:pPr>
        <w:numPr>
          <w:ilvl w:val="0"/>
          <w:numId w:val="13"/>
        </w:numPr>
        <w:autoSpaceDE/>
        <w:autoSpaceDN/>
        <w:adjustRightInd/>
        <w:spacing w:line="400" w:lineRule="exact"/>
        <w:ind w:firstLine="420" w:firstLineChars="200"/>
        <w:jc w:val="both"/>
        <w:rPr>
          <w:rFonts w:ascii="宋体" w:hAnsi="宋体" w:cs="宋体"/>
          <w:color w:val="auto"/>
          <w:kern w:val="2"/>
          <w:sz w:val="21"/>
          <w:szCs w:val="21"/>
          <w:highlight w:val="none"/>
        </w:rPr>
      </w:pPr>
      <w:r>
        <w:rPr>
          <w:rFonts w:ascii="宋体" w:hAnsi="宋体" w:cs="宋体"/>
          <w:color w:val="auto"/>
          <w:kern w:val="2"/>
          <w:sz w:val="21"/>
          <w:szCs w:val="21"/>
          <w:highlight w:val="none"/>
          <w:u w:val="single"/>
        </w:rPr>
        <w:t>（标的名称）</w:t>
      </w:r>
      <w:r>
        <w:rPr>
          <w:rFonts w:ascii="宋体" w:hAnsi="宋体" w:cs="宋体"/>
          <w:color w:val="auto"/>
          <w:kern w:val="2"/>
          <w:sz w:val="21"/>
          <w:szCs w:val="21"/>
          <w:highlight w:val="none"/>
        </w:rPr>
        <w:t>，属于</w:t>
      </w:r>
      <w:r>
        <w:rPr>
          <w:rFonts w:ascii="宋体" w:hAnsi="宋体" w:cs="宋体"/>
          <w:color w:val="auto"/>
          <w:kern w:val="2"/>
          <w:sz w:val="21"/>
          <w:szCs w:val="21"/>
          <w:highlight w:val="none"/>
          <w:u w:val="single"/>
        </w:rPr>
        <w:t>（磋商文件中明确的所属行业）</w:t>
      </w:r>
      <w:r>
        <w:rPr>
          <w:rFonts w:ascii="宋体" w:hAnsi="宋体" w:cs="宋体"/>
          <w:color w:val="auto"/>
          <w:kern w:val="2"/>
          <w:sz w:val="21"/>
          <w:szCs w:val="21"/>
          <w:highlight w:val="none"/>
        </w:rPr>
        <w:t>；</w:t>
      </w:r>
      <w:r>
        <w:rPr>
          <w:rFonts w:ascii="宋体" w:hAnsi="宋体" w:cs="宋体"/>
          <w:color w:val="auto"/>
          <w:sz w:val="21"/>
          <w:szCs w:val="21"/>
          <w:highlight w:val="none"/>
        </w:rPr>
        <w:t>承建（承接）企业为</w:t>
      </w:r>
      <w:r>
        <w:rPr>
          <w:rFonts w:ascii="宋体" w:hAnsi="宋体" w:cs="宋体"/>
          <w:color w:val="auto"/>
          <w:kern w:val="2"/>
          <w:sz w:val="21"/>
          <w:szCs w:val="21"/>
          <w:highlight w:val="none"/>
          <w:u w:val="single"/>
        </w:rPr>
        <w:t>（企业名称）</w:t>
      </w:r>
      <w:r>
        <w:rPr>
          <w:rFonts w:ascii="宋体" w:hAnsi="宋体" w:cs="宋体"/>
          <w:color w:val="auto"/>
          <w:kern w:val="2"/>
          <w:sz w:val="21"/>
          <w:szCs w:val="21"/>
          <w:highlight w:val="none"/>
        </w:rPr>
        <w:t>，从业人员人，营业收入为万元，资产总额为万元，属于</w:t>
      </w:r>
      <w:r>
        <w:rPr>
          <w:rFonts w:ascii="宋体" w:hAnsi="宋体" w:cs="宋体"/>
          <w:color w:val="auto"/>
          <w:kern w:val="2"/>
          <w:sz w:val="21"/>
          <w:szCs w:val="21"/>
          <w:highlight w:val="none"/>
          <w:u w:val="single"/>
        </w:rPr>
        <w:t>（中型企业、小型企业、微型企业）</w:t>
      </w:r>
      <w:r>
        <w:rPr>
          <w:rFonts w:ascii="宋体" w:hAnsi="宋体" w:cs="宋体"/>
          <w:color w:val="auto"/>
          <w:kern w:val="2"/>
          <w:sz w:val="21"/>
          <w:szCs w:val="21"/>
          <w:highlight w:val="none"/>
        </w:rPr>
        <w:t>；</w:t>
      </w:r>
    </w:p>
    <w:p w14:paraId="54566531">
      <w:pPr>
        <w:autoSpaceDE/>
        <w:autoSpaceDN/>
        <w:adjustRightInd/>
        <w:spacing w:line="400" w:lineRule="exact"/>
        <w:ind w:left="480" w:leftChars="200"/>
        <w:rPr>
          <w:rFonts w:ascii="宋体" w:hAnsi="宋体" w:cs="宋体"/>
          <w:color w:val="auto"/>
          <w:kern w:val="2"/>
          <w:sz w:val="21"/>
          <w:szCs w:val="21"/>
          <w:highlight w:val="none"/>
        </w:rPr>
      </w:pPr>
      <w:r>
        <w:rPr>
          <w:rFonts w:ascii="宋体" w:hAnsi="宋体" w:cs="宋体"/>
          <w:color w:val="auto"/>
          <w:kern w:val="2"/>
          <w:sz w:val="21"/>
          <w:szCs w:val="21"/>
          <w:highlight w:val="none"/>
        </w:rPr>
        <w:t>……</w:t>
      </w:r>
    </w:p>
    <w:p w14:paraId="6F1EC970">
      <w:pPr>
        <w:autoSpaceDE/>
        <w:autoSpaceDN/>
        <w:adjustRightInd/>
        <w:spacing w:line="400" w:lineRule="exact"/>
        <w:ind w:firstLine="420" w:firstLineChars="200"/>
        <w:rPr>
          <w:rFonts w:ascii="宋体" w:hAnsi="宋体" w:cs="宋体"/>
          <w:color w:val="auto"/>
          <w:kern w:val="2"/>
          <w:sz w:val="21"/>
          <w:szCs w:val="21"/>
          <w:highlight w:val="none"/>
        </w:rPr>
      </w:pPr>
      <w:r>
        <w:rPr>
          <w:rFonts w:ascii="宋体" w:hAnsi="宋体" w:cs="宋体"/>
          <w:color w:val="auto"/>
          <w:kern w:val="2"/>
          <w:sz w:val="21"/>
          <w:szCs w:val="21"/>
          <w:highlight w:val="none"/>
        </w:rPr>
        <w:t>以上企业，不属于大企业的分支机构，不存在控股股东为大企业的情形，也不存在与大企业的负责人为同一人的情形。</w:t>
      </w:r>
    </w:p>
    <w:p w14:paraId="6DD26D49">
      <w:pPr>
        <w:autoSpaceDE/>
        <w:autoSpaceDN/>
        <w:adjustRightInd/>
        <w:spacing w:line="588" w:lineRule="exact"/>
        <w:ind w:firstLine="444" w:firstLineChars="200"/>
        <w:jc w:val="both"/>
        <w:rPr>
          <w:rFonts w:ascii="宋体" w:hAnsi="宋体" w:cs="宋体"/>
          <w:color w:val="auto"/>
          <w:spacing w:val="6"/>
          <w:kern w:val="2"/>
          <w:sz w:val="21"/>
          <w:szCs w:val="21"/>
          <w:highlight w:val="none"/>
        </w:rPr>
      </w:pPr>
    </w:p>
    <w:p w14:paraId="37A04CF4">
      <w:pPr>
        <w:autoSpaceDE/>
        <w:autoSpaceDN/>
        <w:adjustRightInd/>
        <w:spacing w:line="400" w:lineRule="exact"/>
        <w:ind w:firstLine="420" w:firstLineChars="200"/>
        <w:rPr>
          <w:rFonts w:ascii="宋体" w:hAnsi="宋体" w:cs="宋体"/>
          <w:color w:val="auto"/>
          <w:kern w:val="2"/>
          <w:sz w:val="21"/>
          <w:szCs w:val="21"/>
          <w:highlight w:val="none"/>
        </w:rPr>
      </w:pPr>
      <w:r>
        <w:rPr>
          <w:rFonts w:ascii="宋体" w:hAnsi="宋体" w:cs="宋体"/>
          <w:color w:val="auto"/>
          <w:kern w:val="2"/>
          <w:sz w:val="21"/>
          <w:szCs w:val="21"/>
          <w:highlight w:val="none"/>
        </w:rPr>
        <w:t>供应商（盖章）：</w:t>
      </w:r>
    </w:p>
    <w:p w14:paraId="0DAF9ABF">
      <w:pPr>
        <w:autoSpaceDE/>
        <w:autoSpaceDN/>
        <w:adjustRightInd/>
        <w:spacing w:line="400" w:lineRule="exact"/>
        <w:ind w:firstLine="420" w:firstLineChars="200"/>
        <w:rPr>
          <w:rFonts w:ascii="宋体" w:hAnsi="宋体" w:cs="宋体"/>
          <w:color w:val="auto"/>
          <w:kern w:val="2"/>
          <w:sz w:val="21"/>
          <w:szCs w:val="21"/>
          <w:highlight w:val="none"/>
        </w:rPr>
      </w:pPr>
      <w:r>
        <w:rPr>
          <w:rFonts w:ascii="宋体" w:hAnsi="宋体" w:cs="宋体"/>
          <w:color w:val="auto"/>
          <w:kern w:val="2"/>
          <w:sz w:val="21"/>
          <w:szCs w:val="21"/>
          <w:highlight w:val="none"/>
        </w:rPr>
        <w:t>日期：</w:t>
      </w:r>
    </w:p>
    <w:p w14:paraId="316F62D4">
      <w:pPr>
        <w:autoSpaceDE/>
        <w:autoSpaceDN/>
        <w:adjustRightInd/>
        <w:jc w:val="both"/>
        <w:rPr>
          <w:rFonts w:ascii="宋体" w:hAnsi="宋体" w:cs="宋体"/>
          <w:color w:val="auto"/>
          <w:kern w:val="2"/>
          <w:sz w:val="21"/>
          <w:szCs w:val="21"/>
          <w:highlight w:val="none"/>
        </w:rPr>
      </w:pPr>
    </w:p>
    <w:p w14:paraId="61A10EDB">
      <w:pPr>
        <w:autoSpaceDE/>
        <w:autoSpaceDN/>
        <w:adjustRightInd/>
        <w:jc w:val="both"/>
        <w:rPr>
          <w:rFonts w:ascii="宋体" w:hAnsi="宋体" w:cs="宋体"/>
          <w:color w:val="auto"/>
          <w:kern w:val="2"/>
          <w:sz w:val="21"/>
          <w:szCs w:val="21"/>
          <w:highlight w:val="none"/>
        </w:rPr>
      </w:pPr>
    </w:p>
    <w:p w14:paraId="27558BE8">
      <w:pPr>
        <w:pStyle w:val="13"/>
        <w:kinsoku w:val="0"/>
        <w:overflowPunct w:val="0"/>
        <w:ind w:left="0"/>
        <w:rPr>
          <w:rFonts w:hint="eastAsia" w:ascii="宋体" w:hAnsi="宋体" w:cs="宋体"/>
          <w:color w:val="auto"/>
          <w:sz w:val="21"/>
          <w:szCs w:val="21"/>
          <w:highlight w:val="none"/>
        </w:rPr>
      </w:pPr>
      <w:r>
        <w:rPr>
          <w:rFonts w:ascii="宋体" w:hAnsi="宋体" w:cs="宋体"/>
          <w:color w:val="auto"/>
          <w:kern w:val="2"/>
          <w:sz w:val="21"/>
          <w:szCs w:val="21"/>
          <w:highlight w:val="none"/>
        </w:rPr>
        <w:t>注：享受《政府采购促进中小企业发展管理办法》（财库〔2020〕46 号）规定的中小企业扶持政策的，</w:t>
      </w:r>
      <w:r>
        <w:rPr>
          <w:rFonts w:hint="eastAsia" w:ascii="宋体" w:hAnsi="宋体" w:cs="宋体"/>
          <w:color w:val="auto"/>
          <w:kern w:val="2"/>
          <w:sz w:val="21"/>
          <w:szCs w:val="21"/>
          <w:highlight w:val="none"/>
        </w:rPr>
        <w:t>采购</w:t>
      </w:r>
      <w:r>
        <w:rPr>
          <w:rFonts w:ascii="宋体" w:hAnsi="宋体" w:cs="宋体"/>
          <w:color w:val="auto"/>
          <w:kern w:val="2"/>
          <w:sz w:val="21"/>
          <w:szCs w:val="21"/>
          <w:highlight w:val="none"/>
        </w:rPr>
        <w:t>人、</w:t>
      </w:r>
      <w:r>
        <w:rPr>
          <w:rFonts w:hint="eastAsia" w:ascii="宋体" w:hAnsi="宋体" w:cs="宋体"/>
          <w:color w:val="auto"/>
          <w:kern w:val="2"/>
          <w:sz w:val="21"/>
          <w:szCs w:val="21"/>
          <w:highlight w:val="none"/>
        </w:rPr>
        <w:t>采购</w:t>
      </w:r>
      <w:r>
        <w:rPr>
          <w:rFonts w:ascii="宋体" w:hAnsi="宋体" w:cs="宋体"/>
          <w:color w:val="auto"/>
          <w:kern w:val="2"/>
          <w:sz w:val="21"/>
          <w:szCs w:val="21"/>
          <w:highlight w:val="none"/>
        </w:rPr>
        <w:t>标代理机构应当随</w:t>
      </w:r>
      <w:r>
        <w:rPr>
          <w:rFonts w:hint="eastAsia" w:ascii="宋体" w:hAnsi="宋体" w:cs="宋体"/>
          <w:color w:val="auto"/>
          <w:kern w:val="2"/>
          <w:sz w:val="21"/>
          <w:szCs w:val="21"/>
          <w:highlight w:val="none"/>
        </w:rPr>
        <w:t>成交</w:t>
      </w:r>
      <w:r>
        <w:rPr>
          <w:rFonts w:ascii="宋体" w:hAnsi="宋体" w:cs="宋体"/>
          <w:color w:val="auto"/>
          <w:kern w:val="2"/>
          <w:sz w:val="21"/>
          <w:szCs w:val="21"/>
          <w:highlight w:val="none"/>
        </w:rPr>
        <w:t>结果公开</w:t>
      </w:r>
      <w:r>
        <w:rPr>
          <w:rFonts w:hint="eastAsia" w:ascii="宋体" w:hAnsi="宋体" w:cs="宋体"/>
          <w:color w:val="auto"/>
          <w:kern w:val="2"/>
          <w:sz w:val="21"/>
          <w:szCs w:val="21"/>
          <w:highlight w:val="none"/>
        </w:rPr>
        <w:t>成交</w:t>
      </w:r>
      <w:r>
        <w:rPr>
          <w:rFonts w:ascii="宋体" w:hAnsi="宋体" w:cs="宋体"/>
          <w:color w:val="auto"/>
          <w:kern w:val="2"/>
          <w:sz w:val="21"/>
          <w:szCs w:val="21"/>
          <w:highlight w:val="none"/>
        </w:rPr>
        <w:t>人的《中小企业声明函》。从业人员、 营业收入、资产总额填报上一年度数据，无上一年度数据的新成立企业可不填报。</w:t>
      </w:r>
    </w:p>
    <w:p w14:paraId="08C6502D">
      <w:pPr>
        <w:pStyle w:val="13"/>
        <w:kinsoku w:val="0"/>
        <w:overflowPunct w:val="0"/>
        <w:ind w:left="0"/>
        <w:rPr>
          <w:rFonts w:hint="eastAsia" w:ascii="宋体" w:hAnsi="宋体" w:cs="宋体"/>
          <w:color w:val="auto"/>
          <w:sz w:val="21"/>
          <w:szCs w:val="21"/>
          <w:highlight w:val="none"/>
        </w:rPr>
      </w:pPr>
    </w:p>
    <w:p w14:paraId="136C3C4A">
      <w:pPr>
        <w:pStyle w:val="13"/>
        <w:kinsoku w:val="0"/>
        <w:overflowPunct w:val="0"/>
        <w:ind w:left="0"/>
        <w:rPr>
          <w:rFonts w:hint="eastAsia" w:ascii="宋体" w:hAnsi="宋体" w:cs="宋体"/>
          <w:color w:val="auto"/>
          <w:highlight w:val="none"/>
        </w:rPr>
      </w:pPr>
    </w:p>
    <w:p w14:paraId="38B16C2C">
      <w:pPr>
        <w:pStyle w:val="13"/>
        <w:kinsoku w:val="0"/>
        <w:overflowPunct w:val="0"/>
        <w:ind w:left="0"/>
        <w:rPr>
          <w:rFonts w:hint="eastAsia" w:ascii="宋体" w:hAnsi="宋体" w:cs="宋体"/>
          <w:color w:val="auto"/>
          <w:highlight w:val="none"/>
        </w:rPr>
      </w:pPr>
    </w:p>
    <w:p w14:paraId="557C411F">
      <w:pPr>
        <w:pStyle w:val="13"/>
        <w:kinsoku w:val="0"/>
        <w:overflowPunct w:val="0"/>
        <w:ind w:left="0"/>
        <w:rPr>
          <w:rFonts w:hint="eastAsia" w:ascii="宋体" w:hAnsi="宋体" w:cs="宋体"/>
          <w:color w:val="auto"/>
          <w:highlight w:val="none"/>
        </w:rPr>
      </w:pPr>
    </w:p>
    <w:p w14:paraId="55C2D6DB">
      <w:pPr>
        <w:pStyle w:val="13"/>
        <w:kinsoku w:val="0"/>
        <w:overflowPunct w:val="0"/>
        <w:ind w:left="0"/>
        <w:rPr>
          <w:rFonts w:hint="eastAsia" w:ascii="宋体" w:hAnsi="宋体" w:cs="宋体"/>
          <w:color w:val="auto"/>
          <w:highlight w:val="none"/>
        </w:rPr>
      </w:pPr>
    </w:p>
    <w:p w14:paraId="5A0C4F6C">
      <w:pPr>
        <w:pStyle w:val="13"/>
        <w:kinsoku w:val="0"/>
        <w:overflowPunct w:val="0"/>
        <w:ind w:left="0"/>
        <w:rPr>
          <w:rFonts w:hint="eastAsia" w:ascii="宋体" w:hAnsi="宋体" w:cs="宋体"/>
          <w:color w:val="auto"/>
          <w:highlight w:val="none"/>
        </w:rPr>
      </w:pPr>
    </w:p>
    <w:p w14:paraId="037430CA">
      <w:pPr>
        <w:pStyle w:val="13"/>
        <w:kinsoku w:val="0"/>
        <w:overflowPunct w:val="0"/>
        <w:ind w:left="0"/>
        <w:rPr>
          <w:rFonts w:hint="eastAsia" w:ascii="宋体" w:hAnsi="宋体" w:cs="宋体"/>
          <w:color w:val="auto"/>
          <w:highlight w:val="none"/>
        </w:rPr>
      </w:pPr>
    </w:p>
    <w:p w14:paraId="04AC4089">
      <w:pPr>
        <w:pStyle w:val="13"/>
        <w:kinsoku w:val="0"/>
        <w:overflowPunct w:val="0"/>
        <w:ind w:left="0"/>
        <w:rPr>
          <w:rFonts w:hint="eastAsia" w:ascii="宋体" w:hAnsi="宋体" w:cs="宋体"/>
          <w:color w:val="auto"/>
          <w:highlight w:val="none"/>
        </w:rPr>
      </w:pPr>
    </w:p>
    <w:p w14:paraId="2137FDEE">
      <w:pPr>
        <w:pStyle w:val="13"/>
        <w:kinsoku w:val="0"/>
        <w:overflowPunct w:val="0"/>
        <w:ind w:left="0"/>
        <w:rPr>
          <w:rFonts w:hint="eastAsia" w:ascii="宋体" w:hAnsi="宋体" w:cs="宋体"/>
          <w:color w:val="auto"/>
          <w:highlight w:val="none"/>
        </w:rPr>
      </w:pPr>
    </w:p>
    <w:p w14:paraId="44674456">
      <w:pPr>
        <w:pStyle w:val="13"/>
        <w:kinsoku w:val="0"/>
        <w:overflowPunct w:val="0"/>
        <w:ind w:left="0"/>
        <w:rPr>
          <w:rFonts w:hint="eastAsia" w:ascii="宋体" w:hAnsi="宋体" w:cs="宋体"/>
          <w:color w:val="auto"/>
          <w:highlight w:val="none"/>
        </w:rPr>
      </w:pPr>
    </w:p>
    <w:p w14:paraId="35DC724C">
      <w:pPr>
        <w:pStyle w:val="13"/>
        <w:kinsoku w:val="0"/>
        <w:overflowPunct w:val="0"/>
        <w:ind w:left="0"/>
        <w:rPr>
          <w:rFonts w:hint="eastAsia" w:ascii="宋体" w:hAnsi="宋体" w:cs="宋体"/>
          <w:color w:val="auto"/>
          <w:highlight w:val="none"/>
        </w:rPr>
      </w:pPr>
    </w:p>
    <w:p w14:paraId="6F54A2E7">
      <w:pPr>
        <w:pStyle w:val="13"/>
        <w:kinsoku w:val="0"/>
        <w:overflowPunct w:val="0"/>
        <w:ind w:left="0"/>
        <w:rPr>
          <w:rFonts w:hint="eastAsia" w:ascii="宋体" w:hAnsi="宋体" w:cs="宋体"/>
          <w:color w:val="auto"/>
          <w:highlight w:val="none"/>
        </w:rPr>
      </w:pPr>
    </w:p>
    <w:p w14:paraId="3654F7CA">
      <w:pPr>
        <w:pStyle w:val="13"/>
        <w:kinsoku w:val="0"/>
        <w:overflowPunct w:val="0"/>
        <w:ind w:left="0"/>
        <w:rPr>
          <w:rFonts w:hint="eastAsia" w:ascii="宋体" w:hAnsi="宋体" w:cs="宋体"/>
          <w:color w:val="auto"/>
          <w:highlight w:val="none"/>
        </w:rPr>
      </w:pPr>
    </w:p>
    <w:p w14:paraId="0F9F38D8">
      <w:pPr>
        <w:pStyle w:val="13"/>
        <w:kinsoku w:val="0"/>
        <w:overflowPunct w:val="0"/>
        <w:ind w:left="0"/>
        <w:rPr>
          <w:rFonts w:hint="eastAsia" w:ascii="宋体" w:hAnsi="宋体" w:cs="宋体"/>
          <w:color w:val="auto"/>
          <w:highlight w:val="none"/>
        </w:rPr>
      </w:pPr>
    </w:p>
    <w:p w14:paraId="644CD535">
      <w:pPr>
        <w:pStyle w:val="13"/>
        <w:kinsoku w:val="0"/>
        <w:overflowPunct w:val="0"/>
        <w:ind w:left="0"/>
        <w:rPr>
          <w:rFonts w:hint="eastAsia" w:ascii="宋体" w:hAnsi="宋体" w:cs="宋体"/>
          <w:color w:val="auto"/>
          <w:highlight w:val="none"/>
        </w:rPr>
      </w:pPr>
    </w:p>
    <w:p w14:paraId="63503E46">
      <w:pPr>
        <w:pStyle w:val="8"/>
        <w:kinsoku w:val="0"/>
        <w:overflowPunct w:val="0"/>
        <w:spacing w:line="630" w:lineRule="atLeast"/>
        <w:ind w:left="0" w:firstLine="3919"/>
        <w:rPr>
          <w:rFonts w:hAnsi="宋体" w:cs="宋体"/>
          <w:b/>
          <w:color w:val="auto"/>
          <w:szCs w:val="24"/>
          <w:highlight w:val="none"/>
        </w:rPr>
      </w:pPr>
      <w:r>
        <w:rPr>
          <w:rFonts w:hAnsi="宋体" w:cs="宋体"/>
          <w:b/>
          <w:color w:val="auto"/>
          <w:szCs w:val="24"/>
          <w:highlight w:val="none"/>
        </w:rPr>
        <w:t>残疾人福利性单位声明函</w:t>
      </w:r>
    </w:p>
    <w:p w14:paraId="2F08210B">
      <w:pPr>
        <w:widowControl/>
        <w:kinsoku w:val="0"/>
        <w:snapToGrid w:val="0"/>
        <w:spacing w:line="267" w:lineRule="auto"/>
        <w:textAlignment w:val="baseline"/>
        <w:rPr>
          <w:rFonts w:ascii="宋体" w:hAnsi="宋体" w:cs="Arial"/>
          <w:snapToGrid w:val="0"/>
          <w:color w:val="auto"/>
          <w:sz w:val="22"/>
          <w:szCs w:val="22"/>
          <w:highlight w:val="none"/>
        </w:rPr>
      </w:pPr>
    </w:p>
    <w:p w14:paraId="31B6F209">
      <w:pPr>
        <w:widowControl/>
        <w:kinsoku w:val="0"/>
        <w:snapToGrid w:val="0"/>
        <w:spacing w:line="267" w:lineRule="auto"/>
        <w:textAlignment w:val="baseline"/>
        <w:rPr>
          <w:rFonts w:ascii="宋体" w:hAnsi="宋体" w:cs="Arial"/>
          <w:snapToGrid w:val="0"/>
          <w:color w:val="auto"/>
          <w:sz w:val="22"/>
          <w:szCs w:val="22"/>
          <w:highlight w:val="none"/>
        </w:rPr>
      </w:pPr>
    </w:p>
    <w:p w14:paraId="4CDEB10C">
      <w:pPr>
        <w:widowControl/>
        <w:kinsoku w:val="0"/>
        <w:snapToGrid w:val="0"/>
        <w:spacing w:before="65" w:line="372" w:lineRule="auto"/>
        <w:ind w:firstLine="445"/>
        <w:jc w:val="both"/>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 xml:space="preserve">本单位郑重声明，根据《财政部民政部中国残疾人联合会关于促进残疾人就业政府采购政策的通知》 （财库〔2017〕 141 号） 的规定，本单位为符合条件的残疾人福利性单位，且本单位参加 </w:t>
      </w:r>
      <w:r>
        <w:rPr>
          <w:rFonts w:ascii="宋体" w:hAnsi="宋体" w:cs="宋体"/>
          <w:snapToGrid w:val="0"/>
          <w:color w:val="auto"/>
          <w:sz w:val="21"/>
          <w:szCs w:val="21"/>
          <w:highlight w:val="none"/>
          <w:u w:val="single"/>
        </w:rPr>
        <w:t xml:space="preserve">      </w:t>
      </w:r>
      <w:r>
        <w:rPr>
          <w:rFonts w:ascii="宋体" w:hAnsi="宋体" w:cs="宋体"/>
          <w:snapToGrid w:val="0"/>
          <w:color w:val="auto"/>
          <w:sz w:val="21"/>
          <w:szCs w:val="21"/>
          <w:highlight w:val="none"/>
        </w:rPr>
        <w:t xml:space="preserve"> 单位的 </w:t>
      </w:r>
      <w:r>
        <w:rPr>
          <w:rFonts w:ascii="宋体" w:hAnsi="宋体" w:cs="宋体"/>
          <w:snapToGrid w:val="0"/>
          <w:color w:val="auto"/>
          <w:sz w:val="21"/>
          <w:szCs w:val="21"/>
          <w:highlight w:val="none"/>
          <w:u w:val="single"/>
        </w:rPr>
        <w:t xml:space="preserve">      </w:t>
      </w:r>
      <w:r>
        <w:rPr>
          <w:rFonts w:ascii="宋体" w:hAnsi="宋体" w:cs="宋体"/>
          <w:snapToGrid w:val="0"/>
          <w:color w:val="auto"/>
          <w:sz w:val="21"/>
          <w:szCs w:val="21"/>
          <w:highlight w:val="none"/>
        </w:rPr>
        <w:t xml:space="preserve"> 项目采购活动提供本单位制造的货物（由本单位承担工程/提供服务） ，或者提供其他残疾人福利性单位制造的货物（不包括使用非残疾人福利性单位注册商标的货 物）。</w:t>
      </w:r>
    </w:p>
    <w:p w14:paraId="55E02D6F">
      <w:pPr>
        <w:widowControl/>
        <w:kinsoku w:val="0"/>
        <w:snapToGrid w:val="0"/>
        <w:spacing w:before="31" w:line="227" w:lineRule="auto"/>
        <w:ind w:left="446"/>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本单位对上述声明的真实性负责。如有虚假，将依法承担相应责任。</w:t>
      </w:r>
    </w:p>
    <w:p w14:paraId="4FEF4D4C">
      <w:pPr>
        <w:widowControl/>
        <w:kinsoku w:val="0"/>
        <w:snapToGrid w:val="0"/>
        <w:spacing w:line="302" w:lineRule="auto"/>
        <w:textAlignment w:val="baseline"/>
        <w:rPr>
          <w:rFonts w:ascii="宋体" w:hAnsi="宋体" w:cs="Arial"/>
          <w:snapToGrid w:val="0"/>
          <w:color w:val="auto"/>
          <w:sz w:val="21"/>
          <w:szCs w:val="21"/>
          <w:highlight w:val="none"/>
        </w:rPr>
      </w:pPr>
    </w:p>
    <w:p w14:paraId="4F02F0EC">
      <w:pPr>
        <w:widowControl/>
        <w:kinsoku w:val="0"/>
        <w:snapToGrid w:val="0"/>
        <w:spacing w:line="302" w:lineRule="auto"/>
        <w:textAlignment w:val="baseline"/>
        <w:rPr>
          <w:rFonts w:ascii="宋体" w:hAnsi="宋体" w:cs="Arial"/>
          <w:snapToGrid w:val="0"/>
          <w:color w:val="auto"/>
          <w:sz w:val="21"/>
          <w:szCs w:val="21"/>
          <w:highlight w:val="none"/>
        </w:rPr>
      </w:pPr>
    </w:p>
    <w:p w14:paraId="3955D3B8">
      <w:pPr>
        <w:widowControl/>
        <w:kinsoku w:val="0"/>
        <w:snapToGrid w:val="0"/>
        <w:spacing w:before="66" w:line="365" w:lineRule="auto"/>
        <w:ind w:left="481" w:right="6534" w:hanging="34"/>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 xml:space="preserve">单位名称（盖公章）： </w:t>
      </w:r>
    </w:p>
    <w:p w14:paraId="3C5D00ED">
      <w:pPr>
        <w:widowControl/>
        <w:kinsoku w:val="0"/>
        <w:snapToGrid w:val="0"/>
        <w:spacing w:before="66" w:line="365" w:lineRule="auto"/>
        <w:ind w:left="481" w:right="6534" w:hanging="34"/>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日  期：</w:t>
      </w:r>
    </w:p>
    <w:p w14:paraId="44DAD0CF">
      <w:pPr>
        <w:widowControl/>
        <w:kinsoku w:val="0"/>
        <w:snapToGrid w:val="0"/>
        <w:spacing w:line="259" w:lineRule="auto"/>
        <w:textAlignment w:val="baseline"/>
        <w:rPr>
          <w:rFonts w:ascii="宋体" w:hAnsi="宋体" w:cs="Arial"/>
          <w:snapToGrid w:val="0"/>
          <w:color w:val="auto"/>
          <w:sz w:val="21"/>
          <w:szCs w:val="21"/>
          <w:highlight w:val="none"/>
        </w:rPr>
      </w:pPr>
    </w:p>
    <w:p w14:paraId="452DE004">
      <w:pPr>
        <w:widowControl/>
        <w:kinsoku w:val="0"/>
        <w:snapToGrid w:val="0"/>
        <w:spacing w:before="66" w:line="367" w:lineRule="auto"/>
        <w:ind w:right="5" w:firstLine="1"/>
        <w:jc w:val="both"/>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注：请根据自己的真实情况出具《残疾人福利性单位声明函》 。依法享受中小企业优惠政策的，采购人或者采购代理机构在公告成交结果时，同时公告其《残疾人福利性单位声明函》，接受社会监督。</w:t>
      </w:r>
    </w:p>
    <w:p w14:paraId="34F864AD">
      <w:pPr>
        <w:widowControl/>
        <w:kinsoku w:val="0"/>
        <w:snapToGrid w:val="0"/>
        <w:spacing w:line="248" w:lineRule="auto"/>
        <w:textAlignment w:val="baseline"/>
        <w:rPr>
          <w:rFonts w:ascii="宋体" w:hAnsi="宋体" w:cs="Arial"/>
          <w:snapToGrid w:val="0"/>
          <w:color w:val="auto"/>
          <w:sz w:val="21"/>
          <w:szCs w:val="21"/>
          <w:highlight w:val="none"/>
        </w:rPr>
      </w:pPr>
    </w:p>
    <w:p w14:paraId="083C18BE">
      <w:pPr>
        <w:widowControl/>
        <w:kinsoku w:val="0"/>
        <w:snapToGrid w:val="0"/>
        <w:spacing w:line="248" w:lineRule="auto"/>
        <w:textAlignment w:val="baseline"/>
        <w:rPr>
          <w:rFonts w:ascii="宋体" w:hAnsi="宋体" w:cs="宋体"/>
          <w:b/>
          <w:color w:val="auto"/>
          <w:szCs w:val="24"/>
          <w:highlight w:val="none"/>
        </w:rPr>
      </w:pPr>
    </w:p>
    <w:p w14:paraId="64E77E89">
      <w:pPr>
        <w:widowControl/>
        <w:kinsoku w:val="0"/>
        <w:snapToGrid w:val="0"/>
        <w:spacing w:before="78" w:line="219" w:lineRule="auto"/>
        <w:ind w:left="3222"/>
        <w:textAlignment w:val="baseline"/>
        <w:rPr>
          <w:rFonts w:ascii="宋体" w:hAnsi="宋体" w:cs="宋体"/>
          <w:b/>
          <w:color w:val="auto"/>
          <w:szCs w:val="24"/>
          <w:highlight w:val="none"/>
        </w:rPr>
      </w:pPr>
      <w:r>
        <w:rPr>
          <w:rFonts w:ascii="宋体" w:hAnsi="宋体" w:cs="宋体"/>
          <w:b/>
          <w:color w:val="auto"/>
          <w:szCs w:val="24"/>
          <w:highlight w:val="none"/>
        </w:rPr>
        <w:t>监狱企业声明函（格式）</w:t>
      </w:r>
    </w:p>
    <w:p w14:paraId="227F1434">
      <w:pPr>
        <w:widowControl/>
        <w:kinsoku w:val="0"/>
        <w:snapToGrid w:val="0"/>
        <w:spacing w:line="308" w:lineRule="auto"/>
        <w:textAlignment w:val="baseline"/>
        <w:rPr>
          <w:rFonts w:ascii="宋体" w:hAnsi="宋体" w:cs="Arial"/>
          <w:snapToGrid w:val="0"/>
          <w:color w:val="auto"/>
          <w:sz w:val="22"/>
          <w:szCs w:val="22"/>
          <w:highlight w:val="none"/>
        </w:rPr>
      </w:pPr>
    </w:p>
    <w:p w14:paraId="45CA9230">
      <w:pPr>
        <w:widowControl/>
        <w:kinsoku w:val="0"/>
        <w:snapToGrid w:val="0"/>
        <w:spacing w:line="308" w:lineRule="auto"/>
        <w:textAlignment w:val="baseline"/>
        <w:rPr>
          <w:rFonts w:ascii="宋体" w:hAnsi="宋体" w:cs="Arial"/>
          <w:snapToGrid w:val="0"/>
          <w:color w:val="auto"/>
          <w:sz w:val="22"/>
          <w:szCs w:val="22"/>
          <w:highlight w:val="none"/>
        </w:rPr>
      </w:pPr>
    </w:p>
    <w:p w14:paraId="7B05F5B9">
      <w:pPr>
        <w:widowControl/>
        <w:kinsoku w:val="0"/>
        <w:snapToGrid w:val="0"/>
        <w:spacing w:before="66" w:line="323" w:lineRule="auto"/>
        <w:ind w:left="11" w:right="11" w:firstLine="434"/>
        <w:jc w:val="both"/>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 xml:space="preserve">本公司郑重声明，根据《财政部、司法部关于政府采购支持监狱企业发展有关问题的通知》 （财库〔2014〕68 号）的规定，本公司为 </w:t>
      </w:r>
      <w:r>
        <w:rPr>
          <w:rFonts w:ascii="宋体" w:hAnsi="宋体" w:cs="宋体"/>
          <w:snapToGrid w:val="0"/>
          <w:color w:val="auto"/>
          <w:sz w:val="21"/>
          <w:szCs w:val="21"/>
          <w:highlight w:val="none"/>
          <w:u w:val="single"/>
        </w:rPr>
        <w:t xml:space="preserve">                   </w:t>
      </w:r>
      <w:r>
        <w:rPr>
          <w:rFonts w:ascii="宋体" w:hAnsi="宋体" w:cs="宋体"/>
          <w:snapToGrid w:val="0"/>
          <w:color w:val="auto"/>
          <w:sz w:val="21"/>
          <w:szCs w:val="21"/>
          <w:highlight w:val="none"/>
        </w:rPr>
        <w:t>（请填写：监狱）企业。即本公司同时满足以下条件：</w:t>
      </w:r>
    </w:p>
    <w:p w14:paraId="4CD20057">
      <w:pPr>
        <w:widowControl/>
        <w:kinsoku w:val="0"/>
        <w:snapToGrid w:val="0"/>
        <w:spacing w:before="32" w:line="325" w:lineRule="auto"/>
        <w:ind w:left="4" w:right="4" w:firstLine="432"/>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1、我公司为司法部认定的为罪犯、戒毒人员提供生产项目和劳动对象，且全部产权属于司法部监狱管理局、戒毒管理局、直属煤矿管理局，各省、 自治区、直辖市监狱管理局、戒毒管理局， 各地（设区的市）监狱、强制隔离戒毒所、戒毒康复所， 以及新疆生产建设兵团监狱管理局、戒毒管理局的企业。</w:t>
      </w:r>
    </w:p>
    <w:p w14:paraId="60EC1A5F">
      <w:pPr>
        <w:widowControl/>
        <w:kinsoku w:val="0"/>
        <w:snapToGrid w:val="0"/>
        <w:spacing w:before="31" w:line="318" w:lineRule="auto"/>
        <w:ind w:left="4" w:right="4" w:firstLine="420"/>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2、我公司参加政府采购活动时，视同小型、微型企业，提供由省级以上监狱管理局、戒毒管理局（含新疆生产建设兵团）出具的属于监狱企业的证明文件。</w:t>
      </w:r>
    </w:p>
    <w:p w14:paraId="7957AFAF">
      <w:pPr>
        <w:widowControl/>
        <w:kinsoku w:val="0"/>
        <w:snapToGrid w:val="0"/>
        <w:spacing w:before="32" w:line="246" w:lineRule="auto"/>
        <w:ind w:left="446" w:right="2396" w:hanging="24"/>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 xml:space="preserve">本公司对上述声明的真实性负责。如有虚假，将依法承担相应责任。 </w:t>
      </w:r>
    </w:p>
    <w:p w14:paraId="6E983B0D">
      <w:pPr>
        <w:widowControl/>
        <w:kinsoku w:val="0"/>
        <w:snapToGrid w:val="0"/>
        <w:spacing w:before="32" w:line="246" w:lineRule="auto"/>
        <w:ind w:left="446" w:right="2396" w:hanging="24"/>
        <w:textAlignment w:val="baseline"/>
        <w:rPr>
          <w:rFonts w:ascii="宋体" w:hAnsi="宋体" w:cs="宋体"/>
          <w:snapToGrid w:val="0"/>
          <w:color w:val="auto"/>
          <w:sz w:val="21"/>
          <w:szCs w:val="21"/>
          <w:highlight w:val="none"/>
        </w:rPr>
      </w:pPr>
    </w:p>
    <w:p w14:paraId="77F2E139">
      <w:pPr>
        <w:widowControl/>
        <w:kinsoku w:val="0"/>
        <w:snapToGrid w:val="0"/>
        <w:spacing w:before="32" w:line="246" w:lineRule="auto"/>
        <w:ind w:left="446" w:right="2396" w:hanging="24"/>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单位名称（盖公章）：</w:t>
      </w:r>
    </w:p>
    <w:p w14:paraId="0324EA08">
      <w:pPr>
        <w:widowControl/>
        <w:kinsoku w:val="0"/>
        <w:snapToGrid w:val="0"/>
        <w:spacing w:line="348" w:lineRule="auto"/>
        <w:textAlignment w:val="baseline"/>
        <w:rPr>
          <w:rFonts w:ascii="宋体" w:hAnsi="宋体" w:cs="Arial"/>
          <w:snapToGrid w:val="0"/>
          <w:color w:val="auto"/>
          <w:sz w:val="21"/>
          <w:szCs w:val="21"/>
          <w:highlight w:val="none"/>
        </w:rPr>
      </w:pPr>
    </w:p>
    <w:p w14:paraId="43BBA51F">
      <w:pPr>
        <w:widowControl/>
        <w:kinsoku w:val="0"/>
        <w:snapToGrid w:val="0"/>
        <w:spacing w:before="66" w:line="228" w:lineRule="auto"/>
        <w:ind w:left="481"/>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日  期 ：  年   月    日</w:t>
      </w:r>
    </w:p>
    <w:p w14:paraId="11AF2CD1">
      <w:pPr>
        <w:widowControl/>
        <w:kinsoku w:val="0"/>
        <w:snapToGrid w:val="0"/>
        <w:spacing w:before="65" w:line="239" w:lineRule="auto"/>
        <w:ind w:left="4" w:right="85" w:firstLine="315" w:firstLineChars="150"/>
        <w:textAlignment w:val="baseline"/>
        <w:rPr>
          <w:rFonts w:ascii="宋体" w:hAnsi="宋体" w:cs="宋体"/>
          <w:snapToGrid w:val="0"/>
          <w:color w:val="auto"/>
          <w:sz w:val="21"/>
          <w:szCs w:val="21"/>
          <w:highlight w:val="none"/>
        </w:rPr>
      </w:pPr>
    </w:p>
    <w:p w14:paraId="5C91DB55">
      <w:pPr>
        <w:widowControl/>
        <w:kinsoku w:val="0"/>
        <w:snapToGrid w:val="0"/>
        <w:spacing w:before="65" w:line="239" w:lineRule="auto"/>
        <w:ind w:left="4" w:right="85" w:firstLine="315" w:firstLineChars="150"/>
        <w:textAlignment w:val="baseline"/>
        <w:rPr>
          <w:rFonts w:ascii="宋体" w:hAnsi="宋体" w:cs="宋体"/>
          <w:snapToGrid w:val="0"/>
          <w:color w:val="auto"/>
          <w:sz w:val="21"/>
          <w:szCs w:val="21"/>
          <w:highlight w:val="none"/>
        </w:rPr>
      </w:pPr>
      <w:r>
        <w:rPr>
          <w:rFonts w:ascii="宋体" w:hAnsi="宋体" w:cs="宋体"/>
          <w:snapToGrid w:val="0"/>
          <w:color w:val="auto"/>
          <w:sz w:val="21"/>
          <w:szCs w:val="21"/>
          <w:highlight w:val="none"/>
        </w:rPr>
        <w:t>注：供应商符合监狱标准的，按财库〔2014〕68号的要求，必须应当提供省级以上监狱管理局、 戒毒管理局（含新疆生产建设兵团）出具的属于监狱企业的证明文件。</w:t>
      </w:r>
    </w:p>
    <w:p w14:paraId="5802AD9F">
      <w:pPr>
        <w:pStyle w:val="13"/>
        <w:kinsoku w:val="0"/>
        <w:overflowPunct w:val="0"/>
        <w:ind w:left="0"/>
        <w:rPr>
          <w:rFonts w:hint="eastAsia" w:ascii="宋体" w:hAnsi="宋体" w:cs="宋体"/>
          <w:color w:val="auto"/>
          <w:sz w:val="21"/>
          <w:szCs w:val="21"/>
          <w:highlight w:val="none"/>
        </w:rPr>
      </w:pPr>
    </w:p>
    <w:p w14:paraId="29B1D952">
      <w:pPr>
        <w:pStyle w:val="13"/>
        <w:kinsoku w:val="0"/>
        <w:overflowPunct w:val="0"/>
        <w:ind w:left="0"/>
        <w:rPr>
          <w:rFonts w:hint="eastAsia" w:ascii="宋体" w:hAnsi="宋体" w:cs="宋体"/>
          <w:color w:val="auto"/>
          <w:highlight w:val="none"/>
        </w:rPr>
      </w:pPr>
    </w:p>
    <w:p w14:paraId="614A303B">
      <w:pPr>
        <w:pStyle w:val="13"/>
        <w:kinsoku w:val="0"/>
        <w:overflowPunct w:val="0"/>
        <w:spacing w:line="560" w:lineRule="exact"/>
        <w:ind w:left="0"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）无在岗项目承诺书（</w:t>
      </w:r>
      <w:r>
        <w:rPr>
          <w:rFonts w:hint="eastAsia" w:ascii="宋体" w:hAnsi="宋体" w:cs="宋体"/>
          <w:b/>
          <w:color w:val="auto"/>
          <w:sz w:val="24"/>
          <w:szCs w:val="24"/>
          <w:highlight w:val="none"/>
        </w:rPr>
        <w:t>必须提供）</w:t>
      </w:r>
    </w:p>
    <w:p w14:paraId="1196D93E">
      <w:pPr>
        <w:pStyle w:val="119"/>
        <w:spacing w:before="480" w:line="360" w:lineRule="auto"/>
        <w:ind w:firstLine="562"/>
        <w:jc w:val="center"/>
        <w:rPr>
          <w:rFonts w:ascii="宋体" w:hAnsi="宋体" w:cs="黑体"/>
          <w:b/>
          <w:color w:val="auto"/>
          <w:spacing w:val="28"/>
          <w:sz w:val="32"/>
          <w:szCs w:val="32"/>
          <w:highlight w:val="none"/>
        </w:rPr>
      </w:pPr>
      <w:r>
        <w:rPr>
          <w:rFonts w:hint="eastAsia" w:ascii="宋体" w:hAnsi="宋体" w:cs="黑体"/>
          <w:b/>
          <w:color w:val="auto"/>
          <w:spacing w:val="28"/>
          <w:sz w:val="32"/>
          <w:szCs w:val="32"/>
          <w:highlight w:val="none"/>
        </w:rPr>
        <w:t>无在岗项目</w:t>
      </w:r>
      <w:r>
        <w:rPr>
          <w:rFonts w:ascii="宋体" w:hAnsi="宋体" w:cs="黑体"/>
          <w:b/>
          <w:color w:val="auto"/>
          <w:spacing w:val="28"/>
          <w:sz w:val="32"/>
          <w:szCs w:val="32"/>
          <w:highlight w:val="none"/>
        </w:rPr>
        <w:t>承诺书</w:t>
      </w:r>
    </w:p>
    <w:p w14:paraId="74EF966C">
      <w:pPr>
        <w:pStyle w:val="120"/>
        <w:jc w:val="center"/>
        <w:rPr>
          <w:rFonts w:ascii="宋体" w:hAnsi="宋体" w:cs="黑体"/>
          <w:b/>
          <w:color w:val="auto"/>
          <w:spacing w:val="28"/>
          <w:sz w:val="32"/>
          <w:szCs w:val="32"/>
          <w:highlight w:val="none"/>
        </w:rPr>
      </w:pPr>
    </w:p>
    <w:p w14:paraId="151E91CF">
      <w:pPr>
        <w:pStyle w:val="120"/>
        <w:jc w:val="center"/>
        <w:rPr>
          <w:rFonts w:hint="eastAsia" w:ascii="宋体" w:hAnsi="宋体"/>
          <w:bCs/>
          <w:color w:val="auto"/>
          <w:spacing w:val="17"/>
          <w:szCs w:val="21"/>
          <w:highlight w:val="none"/>
        </w:rPr>
      </w:pPr>
      <w:r>
        <w:rPr>
          <w:rFonts w:hint="eastAsia" w:ascii="宋体" w:hAnsi="宋体"/>
          <w:bCs/>
          <w:color w:val="auto"/>
          <w:spacing w:val="17"/>
          <w:szCs w:val="21"/>
          <w:highlight w:val="none"/>
        </w:rPr>
        <w:t>（无在岗项目指</w:t>
      </w:r>
      <w:r>
        <w:rPr>
          <w:rFonts w:hint="eastAsia" w:ascii="宋体" w:hAnsi="宋体"/>
          <w:bCs/>
          <w:color w:val="auto"/>
          <w:spacing w:val="17"/>
          <w:szCs w:val="21"/>
          <w:highlight w:val="none"/>
          <w:lang w:bidi="ar"/>
        </w:rPr>
        <w:t>目前未在其他项目上任职，或目前</w:t>
      </w:r>
      <w:r>
        <w:rPr>
          <w:rFonts w:hint="eastAsia" w:ascii="宋体" w:hAnsi="宋体"/>
          <w:bCs/>
          <w:color w:val="auto"/>
          <w:spacing w:val="17"/>
          <w:szCs w:val="21"/>
          <w:highlight w:val="none"/>
        </w:rPr>
        <w:t>虽</w:t>
      </w:r>
      <w:r>
        <w:rPr>
          <w:rFonts w:hint="eastAsia" w:ascii="宋体" w:hAnsi="宋体"/>
          <w:bCs/>
          <w:color w:val="auto"/>
          <w:spacing w:val="17"/>
          <w:szCs w:val="21"/>
          <w:highlight w:val="none"/>
          <w:lang w:bidi="ar"/>
        </w:rPr>
        <w:t>在其他项目上任职但本项目中标后能够从任职的项目上随时撤离。</w:t>
      </w:r>
      <w:r>
        <w:rPr>
          <w:rFonts w:hint="eastAsia" w:ascii="宋体" w:hAnsi="宋体"/>
          <w:bCs/>
          <w:color w:val="auto"/>
          <w:spacing w:val="17"/>
          <w:szCs w:val="21"/>
          <w:highlight w:val="none"/>
        </w:rPr>
        <w:t>）</w:t>
      </w:r>
    </w:p>
    <w:p w14:paraId="0102E5C0">
      <w:pPr>
        <w:pStyle w:val="120"/>
        <w:jc w:val="center"/>
        <w:rPr>
          <w:rFonts w:hint="eastAsia" w:ascii="宋体" w:hAnsi="宋体"/>
          <w:bCs/>
          <w:color w:val="auto"/>
          <w:spacing w:val="17"/>
          <w:szCs w:val="21"/>
          <w:highlight w:val="none"/>
        </w:rPr>
      </w:pPr>
    </w:p>
    <w:p w14:paraId="6202C4BE">
      <w:pPr>
        <w:pStyle w:val="120"/>
        <w:jc w:val="center"/>
        <w:rPr>
          <w:rFonts w:hint="eastAsia" w:ascii="宋体" w:hAnsi="宋体"/>
          <w:bCs/>
          <w:color w:val="auto"/>
          <w:spacing w:val="17"/>
          <w:szCs w:val="21"/>
          <w:highlight w:val="none"/>
        </w:rPr>
      </w:pPr>
    </w:p>
    <w:p w14:paraId="602F1215">
      <w:pPr>
        <w:pStyle w:val="120"/>
        <w:spacing w:before="240" w:beforeLines="100" w:line="360" w:lineRule="auto"/>
        <w:rPr>
          <w:rFonts w:ascii="宋体" w:hAnsi="宋体"/>
          <w:color w:val="auto"/>
          <w:spacing w:val="17"/>
          <w:highlight w:val="none"/>
        </w:rPr>
      </w:pPr>
      <w:r>
        <w:rPr>
          <w:rFonts w:hint="eastAsia" w:ascii="宋体" w:hAnsi="宋体"/>
          <w:color w:val="auto"/>
          <w:spacing w:val="17"/>
          <w:highlight w:val="none"/>
          <w:u w:val="single"/>
        </w:rPr>
        <w:t xml:space="preserve">致：                         </w:t>
      </w:r>
      <w:r>
        <w:rPr>
          <w:rFonts w:hint="eastAsia" w:ascii="宋体" w:hAnsi="宋体"/>
          <w:color w:val="auto"/>
          <w:spacing w:val="17"/>
          <w:highlight w:val="none"/>
        </w:rPr>
        <w:t>（</w:t>
      </w:r>
      <w:r>
        <w:rPr>
          <w:rFonts w:hint="eastAsia" w:ascii="宋体" w:hAnsi="宋体"/>
          <w:color w:val="auto"/>
          <w:spacing w:val="17"/>
          <w:highlight w:val="none"/>
          <w:lang w:eastAsia="zh-CN"/>
        </w:rPr>
        <w:t>采购</w:t>
      </w:r>
      <w:r>
        <w:rPr>
          <w:rFonts w:hint="eastAsia" w:ascii="宋体" w:hAnsi="宋体"/>
          <w:color w:val="auto"/>
          <w:spacing w:val="17"/>
          <w:highlight w:val="none"/>
        </w:rPr>
        <w:t>人名称）：</w:t>
      </w:r>
    </w:p>
    <w:p w14:paraId="4CE22C68">
      <w:pPr>
        <w:pStyle w:val="120"/>
        <w:spacing w:line="360" w:lineRule="auto"/>
        <w:ind w:firstLine="480"/>
        <w:rPr>
          <w:rFonts w:hint="eastAsia" w:ascii="宋体" w:hAnsi="宋体"/>
          <w:color w:val="auto"/>
          <w:spacing w:val="17"/>
          <w:highlight w:val="none"/>
        </w:rPr>
      </w:pPr>
      <w:r>
        <w:rPr>
          <w:rFonts w:hint="eastAsia" w:ascii="宋体" w:hAnsi="宋体"/>
          <w:color w:val="auto"/>
          <w:spacing w:val="17"/>
          <w:highlight w:val="none"/>
        </w:rPr>
        <w:t>我方参加了贵单位</w:t>
      </w:r>
      <w:r>
        <w:rPr>
          <w:rFonts w:hint="eastAsia" w:ascii="宋体" w:hAnsi="宋体"/>
          <w:color w:val="auto"/>
          <w:spacing w:val="17"/>
          <w:highlight w:val="none"/>
          <w:lang w:eastAsia="zh-CN"/>
        </w:rPr>
        <w:t>采购</w:t>
      </w:r>
      <w:r>
        <w:rPr>
          <w:rFonts w:hint="eastAsia" w:ascii="宋体" w:hAnsi="宋体"/>
          <w:color w:val="auto"/>
          <w:spacing w:val="17"/>
          <w:highlight w:val="none"/>
        </w:rPr>
        <w:t>的</w:t>
      </w:r>
      <w:r>
        <w:rPr>
          <w:rFonts w:hint="eastAsia" w:ascii="宋体" w:hAnsi="宋体"/>
          <w:color w:val="auto"/>
          <w:spacing w:val="17"/>
          <w:highlight w:val="none"/>
          <w:u w:val="single"/>
        </w:rPr>
        <w:t xml:space="preserve">         （项目名称）       </w:t>
      </w:r>
      <w:r>
        <w:rPr>
          <w:rFonts w:hint="eastAsia" w:ascii="宋体" w:hAnsi="宋体"/>
          <w:color w:val="auto"/>
          <w:spacing w:val="17"/>
          <w:highlight w:val="none"/>
        </w:rPr>
        <w:t>的施工投标，我方对拟投入该项目的项目经理、项目总工、专职安全员的在岗情况承诺如下：</w:t>
      </w:r>
    </w:p>
    <w:p w14:paraId="21A35340">
      <w:pPr>
        <w:pStyle w:val="120"/>
        <w:spacing w:line="360" w:lineRule="auto"/>
        <w:ind w:firstLine="488" w:firstLineChars="200"/>
        <w:rPr>
          <w:rFonts w:hint="eastAsia" w:ascii="宋体" w:hAnsi="宋体"/>
          <w:color w:val="auto"/>
          <w:spacing w:val="17"/>
          <w:szCs w:val="21"/>
          <w:highlight w:val="none"/>
          <w:lang w:bidi="ar"/>
        </w:rPr>
      </w:pPr>
      <w:r>
        <w:rPr>
          <w:rFonts w:hint="eastAsia" w:ascii="宋体" w:hAnsi="宋体"/>
          <w:color w:val="auto"/>
          <w:spacing w:val="17"/>
          <w:highlight w:val="none"/>
        </w:rPr>
        <w:t>一、拟委任的项目经理</w:t>
      </w:r>
      <w:r>
        <w:rPr>
          <w:rFonts w:hint="eastAsia" w:ascii="宋体" w:hAnsi="宋体"/>
          <w:color w:val="auto"/>
          <w:spacing w:val="17"/>
          <w:szCs w:val="21"/>
          <w:highlight w:val="none"/>
          <w:u w:val="single"/>
          <w:lang w:bidi="ar"/>
        </w:rPr>
        <w:t xml:space="preserve">  （姓名及身份证号）  </w:t>
      </w:r>
      <w:r>
        <w:rPr>
          <w:rFonts w:hint="eastAsia" w:ascii="宋体" w:hAnsi="宋体"/>
          <w:color w:val="auto"/>
          <w:spacing w:val="17"/>
          <w:szCs w:val="21"/>
          <w:highlight w:val="none"/>
          <w:lang w:bidi="ar"/>
        </w:rPr>
        <w:t>，</w:t>
      </w:r>
    </w:p>
    <w:p w14:paraId="6014DAA4">
      <w:pPr>
        <w:pStyle w:val="120"/>
        <w:spacing w:line="360" w:lineRule="auto"/>
        <w:ind w:firstLine="488"/>
        <w:rPr>
          <w:rFonts w:hint="eastAsia" w:ascii="宋体" w:hAnsi="宋体"/>
          <w:color w:val="auto"/>
          <w:spacing w:val="17"/>
          <w:szCs w:val="21"/>
          <w:highlight w:val="none"/>
          <w:lang w:bidi="ar"/>
        </w:rPr>
      </w:pPr>
      <w:r>
        <w:rPr>
          <w:rFonts w:hint="eastAsia" w:ascii="宋体" w:hAnsi="宋体"/>
          <w:color w:val="auto"/>
          <w:spacing w:val="17"/>
          <w:szCs w:val="21"/>
          <w:highlight w:val="none"/>
          <w:lang w:bidi="ar"/>
        </w:rPr>
        <w:t>□ 目前未在其他项目上任职，现从事工作为</w:t>
      </w:r>
      <w:r>
        <w:rPr>
          <w:rFonts w:hint="eastAsia" w:ascii="宋体" w:hAnsi="宋体"/>
          <w:color w:val="auto"/>
          <w:spacing w:val="17"/>
          <w:szCs w:val="21"/>
          <w:highlight w:val="none"/>
          <w:u w:val="single"/>
          <w:lang w:bidi="ar"/>
        </w:rPr>
        <w:t xml:space="preserve">              </w:t>
      </w:r>
      <w:r>
        <w:rPr>
          <w:rFonts w:hint="eastAsia" w:ascii="宋体" w:hAnsi="宋体"/>
          <w:color w:val="auto"/>
          <w:spacing w:val="17"/>
          <w:szCs w:val="21"/>
          <w:highlight w:val="none"/>
          <w:lang w:bidi="ar"/>
        </w:rPr>
        <w:t>。</w:t>
      </w:r>
    </w:p>
    <w:p w14:paraId="25416D64">
      <w:pPr>
        <w:pStyle w:val="120"/>
        <w:spacing w:line="360" w:lineRule="auto"/>
        <w:ind w:firstLine="488"/>
        <w:rPr>
          <w:rFonts w:hint="eastAsia" w:ascii="宋体" w:hAnsi="宋体"/>
          <w:color w:val="auto"/>
          <w:spacing w:val="17"/>
          <w:szCs w:val="21"/>
          <w:highlight w:val="none"/>
          <w:lang w:bidi="ar"/>
        </w:rPr>
      </w:pPr>
      <w:r>
        <w:rPr>
          <w:rFonts w:hint="eastAsia" w:ascii="宋体" w:hAnsi="宋体"/>
          <w:color w:val="auto"/>
          <w:spacing w:val="17"/>
          <w:szCs w:val="21"/>
          <w:highlight w:val="none"/>
          <w:lang w:bidi="ar"/>
        </w:rPr>
        <w:t>□ 目前虽在其他项目上任职，但本项目</w:t>
      </w:r>
      <w:r>
        <w:rPr>
          <w:rFonts w:hint="eastAsia" w:ascii="宋体" w:hAnsi="宋体"/>
          <w:color w:val="auto"/>
          <w:spacing w:val="17"/>
          <w:szCs w:val="21"/>
          <w:highlight w:val="none"/>
          <w:lang w:eastAsia="zh-CN" w:bidi="ar"/>
        </w:rPr>
        <w:t>成交</w:t>
      </w:r>
      <w:r>
        <w:rPr>
          <w:rFonts w:hint="eastAsia" w:ascii="宋体" w:hAnsi="宋体"/>
          <w:color w:val="auto"/>
          <w:spacing w:val="17"/>
          <w:szCs w:val="21"/>
          <w:highlight w:val="none"/>
          <w:lang w:bidi="ar"/>
        </w:rPr>
        <w:t>后能够从该项目随时撤离，目前任职项目：</w:t>
      </w:r>
      <w:r>
        <w:rPr>
          <w:rFonts w:hint="eastAsia" w:ascii="宋体" w:hAnsi="宋体"/>
          <w:color w:val="auto"/>
          <w:spacing w:val="17"/>
          <w:szCs w:val="21"/>
          <w:highlight w:val="none"/>
          <w:u w:val="single"/>
          <w:lang w:bidi="ar"/>
        </w:rPr>
        <w:t xml:space="preserve">    （项目名称）    </w:t>
      </w:r>
      <w:r>
        <w:rPr>
          <w:rFonts w:hint="eastAsia" w:ascii="宋体" w:hAnsi="宋体"/>
          <w:color w:val="auto"/>
          <w:spacing w:val="17"/>
          <w:szCs w:val="21"/>
          <w:highlight w:val="none"/>
          <w:lang w:bidi="ar"/>
        </w:rPr>
        <w:t>，担任职位：</w:t>
      </w:r>
      <w:r>
        <w:rPr>
          <w:rFonts w:hint="eastAsia" w:ascii="宋体" w:hAnsi="宋体"/>
          <w:color w:val="auto"/>
          <w:spacing w:val="17"/>
          <w:szCs w:val="21"/>
          <w:highlight w:val="none"/>
          <w:u w:val="single"/>
          <w:lang w:bidi="ar"/>
        </w:rPr>
        <w:t xml:space="preserve">      </w:t>
      </w:r>
      <w:r>
        <w:rPr>
          <w:rFonts w:ascii="宋体" w:hAnsi="宋体"/>
          <w:color w:val="auto"/>
          <w:spacing w:val="17"/>
          <w:szCs w:val="21"/>
          <w:highlight w:val="none"/>
          <w:u w:val="single"/>
          <w:lang w:bidi="ar"/>
        </w:rPr>
        <w:t xml:space="preserve"> </w:t>
      </w:r>
      <w:r>
        <w:rPr>
          <w:rFonts w:hint="eastAsia" w:ascii="宋体" w:hAnsi="宋体"/>
          <w:color w:val="auto"/>
          <w:spacing w:val="17"/>
          <w:szCs w:val="21"/>
          <w:highlight w:val="none"/>
          <w:lang w:bidi="ar"/>
        </w:rPr>
        <w:t>。</w:t>
      </w:r>
    </w:p>
    <w:p w14:paraId="489C65FA">
      <w:pPr>
        <w:pStyle w:val="120"/>
        <w:spacing w:line="360" w:lineRule="auto"/>
        <w:ind w:firstLine="488"/>
        <w:rPr>
          <w:rFonts w:hint="eastAsia" w:ascii="宋体" w:hAnsi="宋体"/>
          <w:color w:val="auto"/>
          <w:spacing w:val="17"/>
          <w:szCs w:val="21"/>
          <w:highlight w:val="none"/>
          <w:lang w:bidi="ar"/>
        </w:rPr>
      </w:pPr>
      <w:r>
        <w:rPr>
          <w:rFonts w:hint="eastAsia" w:ascii="宋体" w:hAnsi="宋体"/>
          <w:color w:val="auto"/>
          <w:spacing w:val="17"/>
          <w:highlight w:val="none"/>
        </w:rPr>
        <w:t>二、拟委任的项目总工</w:t>
      </w:r>
      <w:r>
        <w:rPr>
          <w:rFonts w:hint="eastAsia" w:ascii="宋体" w:hAnsi="宋体"/>
          <w:color w:val="auto"/>
          <w:spacing w:val="17"/>
          <w:szCs w:val="21"/>
          <w:highlight w:val="none"/>
          <w:u w:val="single"/>
          <w:lang w:bidi="ar"/>
        </w:rPr>
        <w:t xml:space="preserve">  （姓名及身份证号）  </w:t>
      </w:r>
      <w:r>
        <w:rPr>
          <w:rFonts w:hint="eastAsia" w:ascii="宋体" w:hAnsi="宋体"/>
          <w:color w:val="auto"/>
          <w:spacing w:val="17"/>
          <w:szCs w:val="21"/>
          <w:highlight w:val="none"/>
          <w:lang w:bidi="ar"/>
        </w:rPr>
        <w:t>，</w:t>
      </w:r>
    </w:p>
    <w:p w14:paraId="77F3D0E9">
      <w:pPr>
        <w:pStyle w:val="120"/>
        <w:spacing w:line="360" w:lineRule="auto"/>
        <w:ind w:left="480"/>
        <w:rPr>
          <w:rFonts w:hint="eastAsia" w:ascii="宋体" w:hAnsi="宋体"/>
          <w:color w:val="auto"/>
          <w:spacing w:val="17"/>
          <w:szCs w:val="21"/>
          <w:highlight w:val="none"/>
          <w:lang w:bidi="ar"/>
        </w:rPr>
      </w:pPr>
      <w:r>
        <w:rPr>
          <w:rFonts w:hint="eastAsia" w:ascii="宋体" w:hAnsi="宋体"/>
          <w:color w:val="auto"/>
          <w:spacing w:val="17"/>
          <w:szCs w:val="21"/>
          <w:highlight w:val="none"/>
          <w:lang w:bidi="ar"/>
        </w:rPr>
        <w:t>□ 目前未在其他项目上任职，现从事工作为</w:t>
      </w:r>
      <w:r>
        <w:rPr>
          <w:rFonts w:hint="eastAsia" w:ascii="宋体" w:hAnsi="宋体"/>
          <w:color w:val="auto"/>
          <w:spacing w:val="17"/>
          <w:szCs w:val="21"/>
          <w:highlight w:val="none"/>
          <w:u w:val="single"/>
          <w:lang w:bidi="ar"/>
        </w:rPr>
        <w:t xml:space="preserve">              </w:t>
      </w:r>
      <w:r>
        <w:rPr>
          <w:rFonts w:hint="eastAsia" w:ascii="宋体" w:hAnsi="宋体"/>
          <w:color w:val="auto"/>
          <w:spacing w:val="17"/>
          <w:szCs w:val="21"/>
          <w:highlight w:val="none"/>
          <w:lang w:bidi="ar"/>
        </w:rPr>
        <w:t>。</w:t>
      </w:r>
    </w:p>
    <w:p w14:paraId="584A2062">
      <w:pPr>
        <w:pStyle w:val="120"/>
        <w:spacing w:line="360" w:lineRule="auto"/>
        <w:ind w:firstLine="488"/>
        <w:rPr>
          <w:rFonts w:hint="eastAsia" w:ascii="宋体" w:hAnsi="宋体"/>
          <w:color w:val="auto"/>
          <w:spacing w:val="17"/>
          <w:szCs w:val="21"/>
          <w:highlight w:val="none"/>
          <w:lang w:bidi="ar"/>
        </w:rPr>
      </w:pPr>
      <w:r>
        <w:rPr>
          <w:rFonts w:hint="eastAsia" w:ascii="宋体" w:hAnsi="宋体"/>
          <w:color w:val="auto"/>
          <w:spacing w:val="17"/>
          <w:szCs w:val="21"/>
          <w:highlight w:val="none"/>
          <w:lang w:bidi="ar"/>
        </w:rPr>
        <w:t>□ 目前虽在其他项目上任职，但本项目</w:t>
      </w:r>
      <w:r>
        <w:rPr>
          <w:rFonts w:hint="eastAsia" w:ascii="宋体" w:hAnsi="宋体"/>
          <w:color w:val="auto"/>
          <w:spacing w:val="17"/>
          <w:szCs w:val="21"/>
          <w:highlight w:val="none"/>
          <w:lang w:eastAsia="zh-CN" w:bidi="ar"/>
        </w:rPr>
        <w:t>成交</w:t>
      </w:r>
      <w:r>
        <w:rPr>
          <w:rFonts w:hint="eastAsia" w:ascii="宋体" w:hAnsi="宋体"/>
          <w:color w:val="auto"/>
          <w:spacing w:val="17"/>
          <w:szCs w:val="21"/>
          <w:highlight w:val="none"/>
          <w:lang w:bidi="ar"/>
        </w:rPr>
        <w:t>后能够从该项目随时撤离，目前任职项目：</w:t>
      </w:r>
      <w:r>
        <w:rPr>
          <w:rFonts w:hint="eastAsia" w:ascii="宋体" w:hAnsi="宋体"/>
          <w:color w:val="auto"/>
          <w:spacing w:val="17"/>
          <w:szCs w:val="21"/>
          <w:highlight w:val="none"/>
          <w:u w:val="single"/>
          <w:lang w:bidi="ar"/>
        </w:rPr>
        <w:t xml:space="preserve">    （项目名称）     </w:t>
      </w:r>
      <w:r>
        <w:rPr>
          <w:rFonts w:hint="eastAsia" w:ascii="宋体" w:hAnsi="宋体"/>
          <w:color w:val="auto"/>
          <w:spacing w:val="17"/>
          <w:szCs w:val="21"/>
          <w:highlight w:val="none"/>
          <w:lang w:bidi="ar"/>
        </w:rPr>
        <w:t>，担任职位：</w:t>
      </w:r>
      <w:r>
        <w:rPr>
          <w:rFonts w:hint="eastAsia" w:ascii="宋体" w:hAnsi="宋体"/>
          <w:color w:val="auto"/>
          <w:spacing w:val="17"/>
          <w:szCs w:val="21"/>
          <w:highlight w:val="none"/>
          <w:u w:val="single"/>
          <w:lang w:bidi="ar"/>
        </w:rPr>
        <w:t xml:space="preserve">      </w:t>
      </w:r>
      <w:r>
        <w:rPr>
          <w:rFonts w:ascii="宋体" w:hAnsi="宋体"/>
          <w:color w:val="auto"/>
          <w:spacing w:val="17"/>
          <w:szCs w:val="21"/>
          <w:highlight w:val="none"/>
          <w:u w:val="single"/>
          <w:lang w:bidi="ar"/>
        </w:rPr>
        <w:t xml:space="preserve"> </w:t>
      </w:r>
      <w:r>
        <w:rPr>
          <w:rFonts w:hint="eastAsia" w:ascii="宋体" w:hAnsi="宋体"/>
          <w:color w:val="auto"/>
          <w:spacing w:val="17"/>
          <w:szCs w:val="21"/>
          <w:highlight w:val="none"/>
          <w:lang w:bidi="ar"/>
        </w:rPr>
        <w:t>。</w:t>
      </w:r>
    </w:p>
    <w:p w14:paraId="5311A253">
      <w:pPr>
        <w:pStyle w:val="120"/>
        <w:spacing w:line="360" w:lineRule="auto"/>
        <w:ind w:left="480"/>
        <w:rPr>
          <w:rFonts w:hint="eastAsia" w:ascii="宋体" w:hAnsi="宋体"/>
          <w:color w:val="auto"/>
          <w:spacing w:val="17"/>
          <w:szCs w:val="21"/>
          <w:highlight w:val="none"/>
          <w:u w:val="single"/>
          <w:lang w:bidi="ar"/>
        </w:rPr>
      </w:pPr>
      <w:r>
        <w:rPr>
          <w:rFonts w:hint="eastAsia" w:ascii="宋体" w:hAnsi="宋体"/>
          <w:color w:val="auto"/>
          <w:spacing w:val="17"/>
          <w:highlight w:val="none"/>
        </w:rPr>
        <w:t>三、拟委任的专职安全员</w:t>
      </w:r>
      <w:r>
        <w:rPr>
          <w:rFonts w:hint="eastAsia" w:ascii="宋体" w:hAnsi="宋体"/>
          <w:color w:val="auto"/>
          <w:spacing w:val="17"/>
          <w:szCs w:val="21"/>
          <w:highlight w:val="none"/>
          <w:u w:val="single"/>
          <w:lang w:bidi="ar"/>
        </w:rPr>
        <w:t xml:space="preserve">  （姓名及身份证号）  </w:t>
      </w:r>
    </w:p>
    <w:p w14:paraId="1F250234">
      <w:pPr>
        <w:pStyle w:val="120"/>
        <w:spacing w:line="360" w:lineRule="auto"/>
        <w:ind w:left="480"/>
        <w:rPr>
          <w:rFonts w:hint="eastAsia" w:ascii="宋体" w:hAnsi="宋体"/>
          <w:color w:val="auto"/>
          <w:spacing w:val="17"/>
          <w:szCs w:val="21"/>
          <w:highlight w:val="none"/>
          <w:lang w:bidi="ar"/>
        </w:rPr>
      </w:pPr>
      <w:r>
        <w:rPr>
          <w:rFonts w:hint="eastAsia" w:ascii="宋体" w:hAnsi="宋体"/>
          <w:color w:val="auto"/>
          <w:spacing w:val="17"/>
          <w:szCs w:val="21"/>
          <w:highlight w:val="none"/>
          <w:lang w:bidi="ar"/>
        </w:rPr>
        <w:t>□ 目前未在其他项目上任职，现从事工作为</w:t>
      </w:r>
      <w:r>
        <w:rPr>
          <w:rFonts w:hint="eastAsia" w:ascii="宋体" w:hAnsi="宋体"/>
          <w:color w:val="auto"/>
          <w:spacing w:val="17"/>
          <w:szCs w:val="21"/>
          <w:highlight w:val="none"/>
          <w:u w:val="single"/>
          <w:lang w:bidi="ar"/>
        </w:rPr>
        <w:t xml:space="preserve">              </w:t>
      </w:r>
      <w:r>
        <w:rPr>
          <w:rFonts w:hint="eastAsia" w:ascii="宋体" w:hAnsi="宋体"/>
          <w:color w:val="auto"/>
          <w:spacing w:val="17"/>
          <w:szCs w:val="21"/>
          <w:highlight w:val="none"/>
          <w:lang w:bidi="ar"/>
        </w:rPr>
        <w:t>。</w:t>
      </w:r>
    </w:p>
    <w:p w14:paraId="12C525E8">
      <w:pPr>
        <w:pStyle w:val="120"/>
        <w:spacing w:line="360" w:lineRule="auto"/>
        <w:ind w:firstLine="488"/>
        <w:rPr>
          <w:rFonts w:hint="eastAsia" w:ascii="宋体" w:hAnsi="宋体"/>
          <w:color w:val="auto"/>
          <w:spacing w:val="17"/>
          <w:szCs w:val="21"/>
          <w:highlight w:val="none"/>
          <w:lang w:bidi="ar"/>
        </w:rPr>
      </w:pPr>
      <w:r>
        <w:rPr>
          <w:rFonts w:hint="eastAsia" w:ascii="宋体" w:hAnsi="宋体"/>
          <w:color w:val="auto"/>
          <w:spacing w:val="17"/>
          <w:szCs w:val="21"/>
          <w:highlight w:val="none"/>
          <w:lang w:bidi="ar"/>
        </w:rPr>
        <w:t>□ 目前虽在其他项目上任职，但本项目</w:t>
      </w:r>
      <w:r>
        <w:rPr>
          <w:rFonts w:hint="eastAsia" w:ascii="宋体" w:hAnsi="宋体"/>
          <w:color w:val="auto"/>
          <w:spacing w:val="17"/>
          <w:szCs w:val="21"/>
          <w:highlight w:val="none"/>
          <w:lang w:eastAsia="zh-CN" w:bidi="ar"/>
        </w:rPr>
        <w:t>成交</w:t>
      </w:r>
      <w:r>
        <w:rPr>
          <w:rFonts w:hint="eastAsia" w:ascii="宋体" w:hAnsi="宋体"/>
          <w:color w:val="auto"/>
          <w:spacing w:val="17"/>
          <w:szCs w:val="21"/>
          <w:highlight w:val="none"/>
          <w:lang w:bidi="ar"/>
        </w:rPr>
        <w:t>后能够从该项目随时撤离，目前任职项目：</w:t>
      </w:r>
      <w:r>
        <w:rPr>
          <w:rFonts w:hint="eastAsia" w:ascii="宋体" w:hAnsi="宋体"/>
          <w:color w:val="auto"/>
          <w:spacing w:val="17"/>
          <w:szCs w:val="21"/>
          <w:highlight w:val="none"/>
          <w:u w:val="single"/>
          <w:lang w:bidi="ar"/>
        </w:rPr>
        <w:t xml:space="preserve">    （项目名称）     </w:t>
      </w:r>
      <w:r>
        <w:rPr>
          <w:rFonts w:hint="eastAsia" w:ascii="宋体" w:hAnsi="宋体"/>
          <w:color w:val="auto"/>
          <w:spacing w:val="17"/>
          <w:szCs w:val="21"/>
          <w:highlight w:val="none"/>
          <w:lang w:bidi="ar"/>
        </w:rPr>
        <w:t>，担任职位：</w:t>
      </w:r>
      <w:r>
        <w:rPr>
          <w:rFonts w:hint="eastAsia" w:ascii="宋体" w:hAnsi="宋体"/>
          <w:color w:val="auto"/>
          <w:spacing w:val="17"/>
          <w:szCs w:val="21"/>
          <w:highlight w:val="none"/>
          <w:u w:val="single"/>
          <w:lang w:bidi="ar"/>
        </w:rPr>
        <w:t xml:space="preserve">      </w:t>
      </w:r>
      <w:r>
        <w:rPr>
          <w:rFonts w:ascii="宋体" w:hAnsi="宋体"/>
          <w:color w:val="auto"/>
          <w:spacing w:val="17"/>
          <w:szCs w:val="21"/>
          <w:highlight w:val="none"/>
          <w:u w:val="single"/>
          <w:lang w:bidi="ar"/>
        </w:rPr>
        <w:t xml:space="preserve"> </w:t>
      </w:r>
      <w:r>
        <w:rPr>
          <w:rFonts w:hint="eastAsia" w:ascii="宋体" w:hAnsi="宋体"/>
          <w:color w:val="auto"/>
          <w:spacing w:val="17"/>
          <w:szCs w:val="21"/>
          <w:highlight w:val="none"/>
          <w:lang w:bidi="ar"/>
        </w:rPr>
        <w:t>。</w:t>
      </w:r>
    </w:p>
    <w:p w14:paraId="77FDA948">
      <w:pPr>
        <w:pStyle w:val="120"/>
        <w:spacing w:line="360" w:lineRule="auto"/>
        <w:ind w:firstLine="480"/>
        <w:rPr>
          <w:rFonts w:hint="eastAsia" w:ascii="宋体" w:hAnsi="宋体"/>
          <w:color w:val="auto"/>
          <w:spacing w:val="17"/>
          <w:highlight w:val="none"/>
        </w:rPr>
      </w:pPr>
      <w:r>
        <w:rPr>
          <w:rFonts w:hint="eastAsia" w:ascii="宋体" w:hAnsi="宋体"/>
          <w:color w:val="auto"/>
          <w:spacing w:val="17"/>
          <w:highlight w:val="none"/>
        </w:rPr>
        <w:t>我方承诺对上述内容的真实性负责，若我方提供了虚假承诺或违背了上述承诺，</w:t>
      </w:r>
      <w:r>
        <w:rPr>
          <w:rFonts w:hint="eastAsia" w:ascii="宋体" w:hAnsi="宋体"/>
          <w:color w:val="auto"/>
          <w:spacing w:val="17"/>
          <w:highlight w:val="none"/>
          <w:lang w:eastAsia="zh-CN"/>
        </w:rPr>
        <w:t>采购</w:t>
      </w:r>
      <w:r>
        <w:rPr>
          <w:rFonts w:hint="eastAsia" w:ascii="宋体" w:hAnsi="宋体"/>
          <w:color w:val="auto"/>
          <w:spacing w:val="17"/>
          <w:highlight w:val="none"/>
        </w:rPr>
        <w:t>人有权废除、取消我方的</w:t>
      </w:r>
      <w:r>
        <w:rPr>
          <w:rFonts w:hint="eastAsia" w:ascii="宋体" w:hAnsi="宋体"/>
          <w:color w:val="auto"/>
          <w:spacing w:val="17"/>
          <w:highlight w:val="none"/>
          <w:lang w:eastAsia="zh-CN"/>
        </w:rPr>
        <w:t>成交</w:t>
      </w:r>
      <w:r>
        <w:rPr>
          <w:rFonts w:hint="eastAsia" w:ascii="宋体" w:hAnsi="宋体"/>
          <w:color w:val="auto"/>
          <w:spacing w:val="17"/>
          <w:highlight w:val="none"/>
        </w:rPr>
        <w:t>资格，并由</w:t>
      </w:r>
      <w:r>
        <w:rPr>
          <w:rFonts w:hint="eastAsia" w:ascii="宋体" w:hAnsi="宋体"/>
          <w:color w:val="auto"/>
          <w:spacing w:val="17"/>
          <w:highlight w:val="none"/>
          <w:lang w:eastAsia="zh-CN"/>
        </w:rPr>
        <w:t>采购</w:t>
      </w:r>
      <w:r>
        <w:rPr>
          <w:rFonts w:hint="eastAsia" w:ascii="宋体" w:hAnsi="宋体"/>
          <w:color w:val="auto"/>
          <w:spacing w:val="17"/>
          <w:highlight w:val="none"/>
        </w:rPr>
        <w:t>人将我方上述行为作为“失信行为”上报省级交通主管部门，并申请录入公路建设市场监督管理系统。</w:t>
      </w:r>
    </w:p>
    <w:p w14:paraId="099C9EA3">
      <w:pPr>
        <w:pStyle w:val="120"/>
        <w:spacing w:line="360" w:lineRule="auto"/>
        <w:ind w:firstLine="480"/>
        <w:jc w:val="left"/>
        <w:rPr>
          <w:rFonts w:hint="eastAsia" w:ascii="宋体" w:hAnsi="宋体"/>
          <w:color w:val="auto"/>
          <w:spacing w:val="17"/>
          <w:highlight w:val="none"/>
        </w:rPr>
      </w:pPr>
      <w:r>
        <w:rPr>
          <w:rFonts w:hint="eastAsia" w:ascii="宋体" w:hAnsi="宋体"/>
          <w:color w:val="auto"/>
          <w:spacing w:val="17"/>
          <w:highlight w:val="none"/>
        </w:rPr>
        <w:t xml:space="preserve">                </w:t>
      </w:r>
      <w:r>
        <w:rPr>
          <w:rFonts w:hint="eastAsia" w:ascii="宋体" w:hAnsi="宋体"/>
          <w:color w:val="auto"/>
          <w:spacing w:val="17"/>
          <w:highlight w:val="none"/>
          <w:lang w:eastAsia="zh-CN"/>
        </w:rPr>
        <w:t>供应商</w:t>
      </w:r>
      <w:r>
        <w:rPr>
          <w:rFonts w:hint="eastAsia" w:ascii="宋体" w:hAnsi="宋体"/>
          <w:color w:val="auto"/>
          <w:spacing w:val="17"/>
          <w:highlight w:val="none"/>
        </w:rPr>
        <w:t>：</w:t>
      </w:r>
      <w:r>
        <w:rPr>
          <w:rFonts w:hint="eastAsia" w:ascii="宋体" w:hAnsi="宋体"/>
          <w:color w:val="auto"/>
          <w:spacing w:val="17"/>
          <w:highlight w:val="none"/>
          <w:u w:val="single"/>
        </w:rPr>
        <w:t xml:space="preserve">              </w:t>
      </w:r>
      <w:r>
        <w:rPr>
          <w:rFonts w:hint="eastAsia" w:ascii="宋体" w:hAnsi="宋体"/>
          <w:color w:val="auto"/>
          <w:spacing w:val="17"/>
          <w:highlight w:val="none"/>
        </w:rPr>
        <w:t>（盖单位章）</w:t>
      </w:r>
    </w:p>
    <w:p w14:paraId="14C29346">
      <w:pPr>
        <w:pStyle w:val="120"/>
        <w:spacing w:line="360" w:lineRule="auto"/>
        <w:ind w:firstLine="480"/>
        <w:jc w:val="left"/>
        <w:rPr>
          <w:rFonts w:hint="eastAsia" w:ascii="宋体" w:hAnsi="宋体"/>
          <w:color w:val="auto"/>
          <w:spacing w:val="17"/>
          <w:highlight w:val="none"/>
        </w:rPr>
      </w:pPr>
      <w:r>
        <w:rPr>
          <w:rFonts w:hint="eastAsia" w:ascii="宋体" w:hAnsi="宋体"/>
          <w:color w:val="auto"/>
          <w:spacing w:val="17"/>
          <w:highlight w:val="none"/>
        </w:rPr>
        <w:t xml:space="preserve">                法定代表人或其委托代理人：</w:t>
      </w:r>
      <w:r>
        <w:rPr>
          <w:rFonts w:hint="eastAsia" w:ascii="宋体" w:hAnsi="宋体"/>
          <w:color w:val="auto"/>
          <w:spacing w:val="17"/>
          <w:highlight w:val="none"/>
          <w:u w:val="single"/>
        </w:rPr>
        <w:t xml:space="preserve">         </w:t>
      </w:r>
      <w:r>
        <w:rPr>
          <w:rFonts w:hint="eastAsia" w:ascii="宋体" w:hAnsi="宋体"/>
          <w:color w:val="auto"/>
          <w:spacing w:val="17"/>
          <w:highlight w:val="none"/>
        </w:rPr>
        <w:t xml:space="preserve">（签字）                                            </w:t>
      </w:r>
    </w:p>
    <w:p w14:paraId="1D539B8B">
      <w:pPr>
        <w:pStyle w:val="119"/>
        <w:autoSpaceDE w:val="0"/>
        <w:autoSpaceDN w:val="0"/>
        <w:spacing w:before="480" w:line="304" w:lineRule="auto"/>
        <w:ind w:left="1130" w:right="108" w:firstLine="400"/>
        <w:jc w:val="left"/>
        <w:rPr>
          <w:rFonts w:ascii="宋体" w:hAnsi="宋体" w:cs="宋体"/>
          <w:color w:val="auto"/>
          <w:kern w:val="0"/>
          <w:sz w:val="20"/>
          <w:highlight w:val="none"/>
          <w:lang w:val="zh-CN" w:bidi="zh-CN"/>
        </w:rPr>
      </w:pPr>
      <w:r>
        <w:rPr>
          <w:rFonts w:hint="eastAsia" w:ascii="宋体" w:hAnsi="宋体"/>
          <w:color w:val="auto"/>
          <w:spacing w:val="17"/>
          <w:highlight w:val="none"/>
        </w:rPr>
        <w:t xml:space="preserve">                          </w:t>
      </w:r>
      <w:r>
        <w:rPr>
          <w:rFonts w:hint="eastAsia" w:ascii="宋体" w:hAnsi="宋体"/>
          <w:color w:val="auto"/>
          <w:spacing w:val="17"/>
          <w:highlight w:val="none"/>
          <w:u w:val="single"/>
        </w:rPr>
        <w:t xml:space="preserve">        </w:t>
      </w:r>
      <w:r>
        <w:rPr>
          <w:rFonts w:hint="eastAsia" w:ascii="宋体" w:hAnsi="宋体"/>
          <w:color w:val="auto"/>
          <w:spacing w:val="17"/>
          <w:highlight w:val="none"/>
        </w:rPr>
        <w:t>年</w:t>
      </w:r>
      <w:r>
        <w:rPr>
          <w:rFonts w:hint="eastAsia" w:ascii="宋体" w:hAnsi="宋体"/>
          <w:color w:val="auto"/>
          <w:spacing w:val="17"/>
          <w:highlight w:val="none"/>
          <w:u w:val="single"/>
        </w:rPr>
        <w:t xml:space="preserve">    </w:t>
      </w:r>
      <w:r>
        <w:rPr>
          <w:rFonts w:hint="eastAsia" w:ascii="宋体" w:hAnsi="宋体"/>
          <w:color w:val="auto"/>
          <w:spacing w:val="17"/>
          <w:highlight w:val="none"/>
        </w:rPr>
        <w:t>月</w:t>
      </w:r>
      <w:r>
        <w:rPr>
          <w:rFonts w:hint="eastAsia" w:ascii="宋体" w:hAnsi="宋体"/>
          <w:color w:val="auto"/>
          <w:spacing w:val="17"/>
          <w:highlight w:val="none"/>
          <w:u w:val="single"/>
        </w:rPr>
        <w:t xml:space="preserve">    </w:t>
      </w:r>
      <w:r>
        <w:rPr>
          <w:rFonts w:hint="eastAsia" w:ascii="宋体" w:hAnsi="宋体"/>
          <w:color w:val="auto"/>
          <w:highlight w:val="none"/>
        </w:rPr>
        <w:t>日</w:t>
      </w:r>
    </w:p>
    <w:p w14:paraId="7BCF2CCC">
      <w:pPr>
        <w:pStyle w:val="13"/>
        <w:kinsoku w:val="0"/>
        <w:overflowPunct w:val="0"/>
        <w:ind w:left="0"/>
        <w:rPr>
          <w:rFonts w:hint="eastAsia" w:ascii="宋体" w:hAnsi="宋体" w:cs="宋体"/>
          <w:color w:val="auto"/>
          <w:sz w:val="15"/>
          <w:highlight w:val="none"/>
        </w:rPr>
      </w:pPr>
    </w:p>
    <w:p w14:paraId="15C27D9F">
      <w:pPr>
        <w:pStyle w:val="13"/>
        <w:kinsoku w:val="0"/>
        <w:overflowPunct w:val="0"/>
        <w:spacing w:line="350" w:lineRule="auto"/>
        <w:ind w:left="0" w:firstLine="208"/>
        <w:rPr>
          <w:rFonts w:hint="eastAsia" w:ascii="宋体" w:hAnsi="宋体" w:cs="宋体"/>
          <w:color w:val="auto"/>
          <w:highlight w:val="none"/>
        </w:rPr>
      </w:pPr>
    </w:p>
    <w:p w14:paraId="6D29638A">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）供应商认为必要提供的声明及其它资料。</w:t>
      </w:r>
    </w:p>
    <w:p w14:paraId="77E5DE4C">
      <w:pPr>
        <w:pStyle w:val="13"/>
        <w:kinsoku w:val="0"/>
        <w:overflowPunct w:val="0"/>
        <w:ind w:left="0"/>
        <w:rPr>
          <w:rFonts w:hint="eastAsia" w:ascii="宋体" w:hAnsi="宋体" w:cs="宋体"/>
          <w:color w:val="auto"/>
          <w:szCs w:val="24"/>
          <w:highlight w:val="none"/>
        </w:rPr>
      </w:pPr>
    </w:p>
    <w:p w14:paraId="2A6B5EC8">
      <w:pPr>
        <w:pStyle w:val="13"/>
        <w:kinsoku w:val="0"/>
        <w:overflowPunct w:val="0"/>
        <w:ind w:left="0"/>
        <w:rPr>
          <w:rFonts w:hint="eastAsia" w:ascii="宋体" w:hAnsi="宋体" w:cs="宋体"/>
          <w:color w:val="auto"/>
          <w:szCs w:val="24"/>
          <w:highlight w:val="none"/>
        </w:rPr>
      </w:pPr>
    </w:p>
    <w:p w14:paraId="0A7EF56F">
      <w:pPr>
        <w:pStyle w:val="13"/>
        <w:kinsoku w:val="0"/>
        <w:overflowPunct w:val="0"/>
        <w:ind w:left="0"/>
        <w:rPr>
          <w:rFonts w:hint="eastAsia" w:ascii="宋体" w:hAnsi="宋体" w:cs="宋体"/>
          <w:color w:val="auto"/>
          <w:highlight w:val="none"/>
        </w:rPr>
      </w:pPr>
    </w:p>
    <w:p w14:paraId="04DDF690">
      <w:pPr>
        <w:pStyle w:val="13"/>
        <w:kinsoku w:val="0"/>
        <w:overflowPunct w:val="0"/>
        <w:ind w:left="0"/>
        <w:rPr>
          <w:rFonts w:hint="eastAsia" w:ascii="宋体" w:hAnsi="宋体" w:cs="宋体"/>
          <w:color w:val="auto"/>
          <w:highlight w:val="none"/>
        </w:rPr>
      </w:pPr>
    </w:p>
    <w:p w14:paraId="07D19F6F">
      <w:pPr>
        <w:pStyle w:val="13"/>
        <w:kinsoku w:val="0"/>
        <w:overflowPunct w:val="0"/>
        <w:ind w:left="0"/>
        <w:rPr>
          <w:rFonts w:hint="eastAsia" w:ascii="宋体" w:hAnsi="宋体" w:cs="宋体"/>
          <w:color w:val="auto"/>
          <w:sz w:val="20"/>
          <w:highlight w:val="none"/>
        </w:rPr>
      </w:pPr>
    </w:p>
    <w:p w14:paraId="1394EB24">
      <w:pPr>
        <w:pStyle w:val="5"/>
        <w:rPr>
          <w:rFonts w:hAnsi="宋体" w:cs="宋体"/>
          <w:color w:val="auto"/>
          <w:highlight w:val="none"/>
        </w:rPr>
      </w:pPr>
      <w:bookmarkStart w:id="226" w:name="商务部分"/>
      <w:bookmarkEnd w:id="226"/>
      <w:bookmarkStart w:id="227" w:name="bookmark40"/>
      <w:bookmarkEnd w:id="227"/>
      <w:r>
        <w:rPr>
          <w:rFonts w:hAnsi="宋体" w:cs="宋体"/>
          <w:color w:val="auto"/>
          <w:highlight w:val="none"/>
        </w:rPr>
        <w:t>商务部分</w:t>
      </w:r>
    </w:p>
    <w:p w14:paraId="0205A9C9">
      <w:pPr>
        <w:pStyle w:val="13"/>
        <w:kinsoku w:val="0"/>
        <w:overflowPunct w:val="0"/>
        <w:ind w:left="0"/>
        <w:rPr>
          <w:rFonts w:hint="eastAsia" w:ascii="宋体" w:hAnsi="宋体" w:cs="宋体"/>
          <w:color w:val="auto"/>
          <w:sz w:val="20"/>
          <w:highlight w:val="none"/>
        </w:rPr>
      </w:pPr>
    </w:p>
    <w:p w14:paraId="1734EDD1">
      <w:pPr>
        <w:pStyle w:val="13"/>
        <w:kinsoku w:val="0"/>
        <w:overflowPunct w:val="0"/>
        <w:ind w:left="0"/>
        <w:rPr>
          <w:rFonts w:hint="eastAsia" w:ascii="宋体" w:hAnsi="宋体" w:cs="宋体"/>
          <w:color w:val="auto"/>
          <w:sz w:val="27"/>
          <w:highlight w:val="none"/>
        </w:rPr>
      </w:pPr>
    </w:p>
    <w:p w14:paraId="089BCE1F">
      <w:pPr>
        <w:pStyle w:val="13"/>
        <w:kinsoku w:val="0"/>
        <w:overflowPunct w:val="0"/>
        <w:spacing w:line="376" w:lineRule="auto"/>
        <w:ind w:left="0"/>
        <w:jc w:val="center"/>
        <w:rPr>
          <w:rFonts w:hint="eastAsia" w:ascii="宋体" w:hAnsi="宋体" w:cs="宋体"/>
          <w:color w:val="auto"/>
          <w:sz w:val="36"/>
          <w:highlight w:val="none"/>
        </w:rPr>
      </w:pPr>
      <w:r>
        <w:rPr>
          <w:rFonts w:hint="eastAsia" w:ascii="宋体" w:hAnsi="宋体" w:cs="宋体"/>
          <w:color w:val="auto"/>
          <w:sz w:val="36"/>
          <w:highlight w:val="none"/>
        </w:rPr>
        <w:t xml:space="preserve">项目名称 </w:t>
      </w:r>
    </w:p>
    <w:p w14:paraId="27B812A8">
      <w:pPr>
        <w:pStyle w:val="13"/>
        <w:kinsoku w:val="0"/>
        <w:overflowPunct w:val="0"/>
        <w:spacing w:line="376" w:lineRule="auto"/>
        <w:ind w:left="0"/>
        <w:jc w:val="center"/>
        <w:rPr>
          <w:rFonts w:hint="eastAsia" w:ascii="宋体" w:hAnsi="宋体" w:cs="宋体"/>
          <w:color w:val="auto"/>
          <w:sz w:val="36"/>
          <w:highlight w:val="none"/>
        </w:rPr>
      </w:pPr>
      <w:r>
        <w:rPr>
          <w:rFonts w:hint="eastAsia" w:ascii="宋体" w:hAnsi="宋体" w:cs="宋体"/>
          <w:color w:val="auto"/>
          <w:sz w:val="36"/>
          <w:highlight w:val="none"/>
        </w:rPr>
        <w:t>项目编号</w:t>
      </w:r>
    </w:p>
    <w:p w14:paraId="7BD8CCF7">
      <w:pPr>
        <w:pStyle w:val="13"/>
        <w:kinsoku w:val="0"/>
        <w:overflowPunct w:val="0"/>
        <w:ind w:left="0"/>
        <w:rPr>
          <w:rFonts w:hint="eastAsia" w:ascii="宋体" w:hAnsi="宋体" w:cs="宋体"/>
          <w:color w:val="auto"/>
          <w:sz w:val="36"/>
          <w:highlight w:val="none"/>
        </w:rPr>
      </w:pPr>
    </w:p>
    <w:p w14:paraId="71D21CF7">
      <w:pPr>
        <w:pStyle w:val="13"/>
        <w:kinsoku w:val="0"/>
        <w:overflowPunct w:val="0"/>
        <w:ind w:left="0"/>
        <w:rPr>
          <w:rFonts w:hint="eastAsia" w:ascii="宋体" w:hAnsi="宋体" w:cs="宋体"/>
          <w:color w:val="auto"/>
          <w:sz w:val="50"/>
          <w:highlight w:val="none"/>
        </w:rPr>
      </w:pPr>
    </w:p>
    <w:p w14:paraId="7D22FE38">
      <w:pPr>
        <w:pStyle w:val="13"/>
        <w:kinsoku w:val="0"/>
        <w:overflowPunct w:val="0"/>
        <w:ind w:left="0"/>
        <w:jc w:val="center"/>
        <w:rPr>
          <w:rFonts w:hint="eastAsia" w:ascii="宋体" w:hAnsi="宋体" w:cs="宋体"/>
          <w:color w:val="auto"/>
          <w:sz w:val="72"/>
          <w:highlight w:val="none"/>
        </w:rPr>
      </w:pPr>
      <w:r>
        <w:rPr>
          <w:rFonts w:hint="eastAsia" w:ascii="宋体" w:hAnsi="宋体" w:cs="宋体"/>
          <w:color w:val="auto"/>
          <w:sz w:val="72"/>
          <w:highlight w:val="none"/>
        </w:rPr>
        <w:t>响应文件</w:t>
      </w:r>
    </w:p>
    <w:p w14:paraId="379A2B1B">
      <w:pPr>
        <w:pStyle w:val="13"/>
        <w:kinsoku w:val="0"/>
        <w:overflowPunct w:val="0"/>
        <w:ind w:left="0"/>
        <w:rPr>
          <w:rFonts w:hint="eastAsia" w:ascii="宋体" w:hAnsi="宋体" w:cs="宋体"/>
          <w:color w:val="auto"/>
          <w:sz w:val="65"/>
          <w:highlight w:val="none"/>
        </w:rPr>
      </w:pPr>
    </w:p>
    <w:p w14:paraId="4577A707">
      <w:pPr>
        <w:pStyle w:val="13"/>
        <w:kinsoku w:val="0"/>
        <w:overflowPunct w:val="0"/>
        <w:ind w:left="0"/>
        <w:rPr>
          <w:rFonts w:hint="eastAsia" w:ascii="宋体" w:hAnsi="宋体" w:cs="宋体"/>
          <w:color w:val="auto"/>
          <w:sz w:val="44"/>
          <w:highlight w:val="none"/>
        </w:rPr>
      </w:pPr>
    </w:p>
    <w:p w14:paraId="606DB8BB">
      <w:pPr>
        <w:pStyle w:val="13"/>
        <w:kinsoku w:val="0"/>
        <w:overflowPunct w:val="0"/>
        <w:ind w:left="0"/>
        <w:rPr>
          <w:rFonts w:hint="eastAsia" w:ascii="宋体" w:hAnsi="宋体" w:cs="宋体"/>
          <w:color w:val="auto"/>
          <w:sz w:val="44"/>
          <w:highlight w:val="none"/>
        </w:rPr>
      </w:pPr>
    </w:p>
    <w:p w14:paraId="1E47B0A6">
      <w:pPr>
        <w:pStyle w:val="13"/>
        <w:kinsoku w:val="0"/>
        <w:overflowPunct w:val="0"/>
        <w:ind w:left="0"/>
        <w:rPr>
          <w:rFonts w:hint="eastAsia" w:ascii="宋体" w:hAnsi="宋体" w:cs="宋体"/>
          <w:color w:val="auto"/>
          <w:sz w:val="44"/>
          <w:highlight w:val="none"/>
        </w:rPr>
      </w:pPr>
    </w:p>
    <w:p w14:paraId="53A54595">
      <w:pPr>
        <w:pStyle w:val="13"/>
        <w:kinsoku w:val="0"/>
        <w:overflowPunct w:val="0"/>
        <w:ind w:left="0"/>
        <w:rPr>
          <w:rFonts w:hint="eastAsia" w:ascii="宋体" w:hAnsi="宋体" w:cs="宋体"/>
          <w:color w:val="auto"/>
          <w:sz w:val="44"/>
          <w:highlight w:val="none"/>
        </w:rPr>
      </w:pPr>
    </w:p>
    <w:p w14:paraId="56BB4280">
      <w:pPr>
        <w:pStyle w:val="13"/>
        <w:kinsoku w:val="0"/>
        <w:overflowPunct w:val="0"/>
        <w:ind w:left="0"/>
        <w:rPr>
          <w:rFonts w:hint="eastAsia" w:ascii="宋体" w:hAnsi="宋体" w:cs="宋体"/>
          <w:color w:val="auto"/>
          <w:sz w:val="44"/>
          <w:highlight w:val="none"/>
        </w:rPr>
      </w:pPr>
    </w:p>
    <w:p w14:paraId="6DAA442D">
      <w:pPr>
        <w:pStyle w:val="13"/>
        <w:kinsoku w:val="0"/>
        <w:overflowPunct w:val="0"/>
        <w:ind w:left="0"/>
        <w:rPr>
          <w:rFonts w:hint="eastAsia" w:ascii="宋体" w:hAnsi="宋体" w:cs="宋体"/>
          <w:color w:val="auto"/>
          <w:sz w:val="33"/>
          <w:highlight w:val="none"/>
        </w:rPr>
      </w:pPr>
    </w:p>
    <w:p w14:paraId="4AA5B69A">
      <w:pPr>
        <w:pStyle w:val="13"/>
        <w:tabs>
          <w:tab w:val="left" w:pos="2908"/>
        </w:tabs>
        <w:kinsoku w:val="0"/>
        <w:overflowPunct w:val="0"/>
        <w:ind w:left="0"/>
        <w:rPr>
          <w:rFonts w:hint="eastAsia" w:ascii="宋体" w:hAnsi="宋体" w:cs="宋体"/>
          <w:color w:val="auto"/>
          <w:sz w:val="28"/>
          <w:highlight w:val="none"/>
        </w:rPr>
      </w:pPr>
      <w:r>
        <w:rPr>
          <w:rFonts w:hint="eastAsia" w:ascii="宋体" w:hAnsi="宋体" w:cs="宋体"/>
          <w:color w:val="auto"/>
          <w:sz w:val="28"/>
          <w:highlight w:val="none"/>
        </w:rPr>
        <w:t>响应文件内容：</w:t>
      </w:r>
      <w:r>
        <w:rPr>
          <w:rFonts w:hint="eastAsia" w:ascii="宋体" w:hAnsi="宋体" w:cs="宋体"/>
          <w:color w:val="auto"/>
          <w:sz w:val="28"/>
          <w:highlight w:val="none"/>
          <w:u w:val="single"/>
        </w:rPr>
        <w:tab/>
      </w:r>
      <w:r>
        <w:rPr>
          <w:rFonts w:hint="eastAsia" w:ascii="宋体" w:hAnsi="宋体" w:cs="宋体"/>
          <w:color w:val="auto"/>
          <w:sz w:val="28"/>
          <w:highlight w:val="none"/>
          <w:u w:val="single"/>
        </w:rPr>
        <w:t>商务部分</w:t>
      </w:r>
    </w:p>
    <w:p w14:paraId="4E5E42A7">
      <w:pPr>
        <w:pStyle w:val="13"/>
        <w:kinsoku w:val="0"/>
        <w:overflowPunct w:val="0"/>
        <w:ind w:left="0"/>
        <w:rPr>
          <w:rFonts w:hint="eastAsia" w:ascii="宋体" w:hAnsi="宋体" w:cs="宋体"/>
          <w:color w:val="auto"/>
          <w:sz w:val="20"/>
          <w:highlight w:val="none"/>
        </w:rPr>
      </w:pPr>
    </w:p>
    <w:p w14:paraId="6E2DBE4B">
      <w:pPr>
        <w:pStyle w:val="13"/>
        <w:kinsoku w:val="0"/>
        <w:overflowPunct w:val="0"/>
        <w:ind w:left="0"/>
        <w:rPr>
          <w:rFonts w:hint="eastAsia" w:ascii="宋体" w:hAnsi="宋体" w:cs="宋体"/>
          <w:color w:val="auto"/>
          <w:sz w:val="22"/>
          <w:highlight w:val="none"/>
        </w:rPr>
      </w:pPr>
    </w:p>
    <w:p w14:paraId="7D11ED7D">
      <w:pPr>
        <w:pStyle w:val="13"/>
        <w:tabs>
          <w:tab w:val="left" w:pos="2488"/>
          <w:tab w:val="left" w:pos="5287"/>
          <w:tab w:val="left" w:pos="5848"/>
        </w:tabs>
        <w:kinsoku w:val="0"/>
        <w:overflowPunct w:val="0"/>
        <w:spacing w:line="643" w:lineRule="auto"/>
        <w:ind w:left="0"/>
        <w:rPr>
          <w:rFonts w:hint="eastAsia" w:ascii="宋体" w:hAnsi="宋体" w:cs="宋体"/>
          <w:color w:val="auto"/>
          <w:sz w:val="28"/>
          <w:highlight w:val="none"/>
        </w:rPr>
      </w:pPr>
      <w:r>
        <w:rPr>
          <w:rFonts w:hint="eastAsia" w:ascii="宋体" w:hAnsi="宋体" w:cs="宋体"/>
          <w:color w:val="auto"/>
          <w:sz w:val="28"/>
          <w:highlight w:val="none"/>
          <w:lang w:val="en-US" w:eastAsia="zh-CN"/>
        </w:rPr>
        <w:t>供应商</w:t>
      </w:r>
      <w:r>
        <w:rPr>
          <w:rFonts w:hint="eastAsia" w:ascii="宋体" w:hAnsi="宋体" w:cs="宋体"/>
          <w:color w:val="auto"/>
          <w:sz w:val="28"/>
          <w:highlight w:val="none"/>
        </w:rPr>
        <w:t>：</w:t>
      </w:r>
      <w:r>
        <w:rPr>
          <w:rFonts w:hint="eastAsia" w:ascii="宋体" w:hAnsi="宋体" w:cs="宋体"/>
          <w:color w:val="auto"/>
          <w:sz w:val="28"/>
          <w:highlight w:val="none"/>
          <w:u w:val="single"/>
        </w:rPr>
        <w:tab/>
      </w:r>
      <w:r>
        <w:rPr>
          <w:rFonts w:hint="eastAsia" w:ascii="宋体" w:hAnsi="宋体" w:cs="宋体"/>
          <w:color w:val="auto"/>
          <w:sz w:val="28"/>
          <w:highlight w:val="none"/>
          <w:u w:val="single"/>
        </w:rPr>
        <w:t>（全称）</w:t>
      </w:r>
      <w:r>
        <w:rPr>
          <w:rFonts w:hint="eastAsia" w:ascii="宋体" w:hAnsi="宋体" w:cs="宋体"/>
          <w:color w:val="auto"/>
          <w:sz w:val="28"/>
          <w:highlight w:val="none"/>
          <w:u w:val="single"/>
        </w:rPr>
        <w:tab/>
      </w:r>
      <w:r>
        <w:rPr>
          <w:rFonts w:hint="eastAsia" w:ascii="宋体" w:hAnsi="宋体" w:cs="宋体"/>
          <w:color w:val="auto"/>
          <w:sz w:val="28"/>
          <w:highlight w:val="none"/>
        </w:rPr>
        <w:t>（盖单位章）</w:t>
      </w:r>
    </w:p>
    <w:p w14:paraId="48035480">
      <w:pPr>
        <w:pStyle w:val="13"/>
        <w:tabs>
          <w:tab w:val="left" w:pos="2488"/>
          <w:tab w:val="left" w:pos="5287"/>
          <w:tab w:val="left" w:pos="5848"/>
        </w:tabs>
        <w:kinsoku w:val="0"/>
        <w:overflowPunct w:val="0"/>
        <w:spacing w:line="643" w:lineRule="auto"/>
        <w:ind w:left="0"/>
        <w:rPr>
          <w:rFonts w:hint="eastAsia" w:ascii="宋体" w:hAnsi="宋体" w:cs="宋体"/>
          <w:color w:val="auto"/>
          <w:sz w:val="28"/>
          <w:highlight w:val="none"/>
        </w:rPr>
      </w:pPr>
      <w:r>
        <w:rPr>
          <w:rFonts w:hint="eastAsia" w:ascii="宋体" w:hAnsi="宋体" w:cs="宋体"/>
          <w:color w:val="auto"/>
          <w:sz w:val="28"/>
          <w:highlight w:val="none"/>
        </w:rPr>
        <w:t>法定代表人或其委托代理人：</w:t>
      </w:r>
      <w:r>
        <w:rPr>
          <w:rFonts w:hint="eastAsia" w:ascii="宋体" w:hAnsi="宋体" w:cs="宋体"/>
          <w:color w:val="auto"/>
          <w:sz w:val="28"/>
          <w:highlight w:val="none"/>
          <w:u w:val="single"/>
        </w:rPr>
        <w:tab/>
      </w:r>
      <w:r>
        <w:rPr>
          <w:rFonts w:hint="eastAsia" w:ascii="宋体" w:hAnsi="宋体" w:cs="宋体"/>
          <w:color w:val="auto"/>
          <w:sz w:val="28"/>
          <w:highlight w:val="none"/>
          <w:u w:val="single"/>
        </w:rPr>
        <w:tab/>
      </w:r>
      <w:r>
        <w:rPr>
          <w:rFonts w:hint="eastAsia" w:ascii="宋体" w:hAnsi="宋体" w:cs="宋体"/>
          <w:color w:val="auto"/>
          <w:sz w:val="28"/>
          <w:highlight w:val="none"/>
        </w:rPr>
        <w:t>（签字）</w:t>
      </w:r>
    </w:p>
    <w:p w14:paraId="12191C00">
      <w:pPr>
        <w:pStyle w:val="13"/>
        <w:tabs>
          <w:tab w:val="left" w:pos="5277"/>
          <w:tab w:val="left" w:pos="6256"/>
          <w:tab w:val="left" w:pos="7238"/>
        </w:tabs>
        <w:kinsoku w:val="0"/>
        <w:overflowPunct w:val="0"/>
        <w:ind w:left="0"/>
        <w:rPr>
          <w:rFonts w:hint="eastAsia" w:ascii="宋体" w:hAnsi="宋体" w:cs="宋体"/>
          <w:color w:val="auto"/>
          <w:sz w:val="28"/>
          <w:highlight w:val="none"/>
        </w:rPr>
      </w:pPr>
      <w:r>
        <w:rPr>
          <w:rFonts w:hint="eastAsia" w:ascii="宋体" w:hAnsi="宋体" w:cs="宋体"/>
          <w:color w:val="auto"/>
          <w:sz w:val="28"/>
          <w:highlight w:val="none"/>
        </w:rPr>
        <w:t>日期：</w:t>
      </w:r>
      <w:r>
        <w:rPr>
          <w:rFonts w:hint="eastAsia" w:ascii="宋体" w:hAnsi="宋体" w:cs="宋体"/>
          <w:color w:val="auto"/>
          <w:sz w:val="28"/>
          <w:highlight w:val="none"/>
          <w:u w:val="single"/>
        </w:rPr>
        <w:tab/>
      </w:r>
      <w:r>
        <w:rPr>
          <w:rFonts w:hint="eastAsia" w:ascii="宋体" w:hAnsi="宋体" w:cs="宋体"/>
          <w:color w:val="auto"/>
          <w:sz w:val="28"/>
          <w:highlight w:val="none"/>
        </w:rPr>
        <w:t>年</w:t>
      </w:r>
      <w:r>
        <w:rPr>
          <w:rFonts w:hint="eastAsia" w:ascii="宋体" w:hAnsi="宋体" w:cs="宋体"/>
          <w:color w:val="auto"/>
          <w:sz w:val="28"/>
          <w:highlight w:val="none"/>
          <w:u w:val="single"/>
        </w:rPr>
        <w:tab/>
      </w:r>
      <w:r>
        <w:rPr>
          <w:rFonts w:hint="eastAsia" w:ascii="宋体" w:hAnsi="宋体" w:cs="宋体"/>
          <w:color w:val="auto"/>
          <w:sz w:val="28"/>
          <w:highlight w:val="none"/>
        </w:rPr>
        <w:t>月</w:t>
      </w:r>
      <w:r>
        <w:rPr>
          <w:rFonts w:hint="eastAsia" w:ascii="宋体" w:hAnsi="宋体" w:cs="宋体"/>
          <w:color w:val="auto"/>
          <w:sz w:val="28"/>
          <w:highlight w:val="none"/>
          <w:u w:val="single"/>
        </w:rPr>
        <w:tab/>
      </w:r>
      <w:r>
        <w:rPr>
          <w:rFonts w:hint="eastAsia" w:ascii="宋体" w:hAnsi="宋体" w:cs="宋体"/>
          <w:color w:val="auto"/>
          <w:sz w:val="28"/>
          <w:highlight w:val="none"/>
        </w:rPr>
        <w:t>日</w:t>
      </w:r>
    </w:p>
    <w:p w14:paraId="599BCC78">
      <w:pPr>
        <w:pStyle w:val="13"/>
        <w:tabs>
          <w:tab w:val="left" w:pos="5277"/>
          <w:tab w:val="left" w:pos="6256"/>
          <w:tab w:val="left" w:pos="7238"/>
        </w:tabs>
        <w:kinsoku w:val="0"/>
        <w:overflowPunct w:val="0"/>
        <w:ind w:left="0"/>
        <w:rPr>
          <w:rFonts w:hint="eastAsia" w:ascii="宋体" w:hAnsi="宋体" w:cs="宋体"/>
          <w:color w:val="auto"/>
          <w:sz w:val="28"/>
          <w:highlight w:val="none"/>
        </w:rPr>
        <w:sectPr>
          <w:footerReference r:id="rId10" w:type="default"/>
          <w:pgSz w:w="11910" w:h="16840"/>
          <w:pgMar w:top="1100" w:right="1202" w:bottom="919" w:left="1298" w:header="918" w:footer="721" w:gutter="0"/>
          <w:cols w:space="720" w:num="1"/>
        </w:sectPr>
      </w:pPr>
    </w:p>
    <w:p w14:paraId="75FB7D0B">
      <w:pPr>
        <w:pStyle w:val="13"/>
        <w:kinsoku w:val="0"/>
        <w:overflowPunct w:val="0"/>
        <w:ind w:left="0"/>
        <w:rPr>
          <w:rFonts w:hint="eastAsia" w:ascii="宋体" w:hAnsi="宋体" w:cs="宋体"/>
          <w:color w:val="auto"/>
          <w:sz w:val="20"/>
          <w:highlight w:val="none"/>
        </w:rPr>
      </w:pPr>
    </w:p>
    <w:p w14:paraId="4047424F">
      <w:pPr>
        <w:pStyle w:val="13"/>
        <w:kinsoku w:val="0"/>
        <w:overflowPunct w:val="0"/>
        <w:ind w:left="0"/>
        <w:rPr>
          <w:rFonts w:hint="eastAsia" w:ascii="宋体" w:hAnsi="宋体" w:cs="宋体"/>
          <w:color w:val="auto"/>
          <w:sz w:val="20"/>
          <w:highlight w:val="none"/>
        </w:rPr>
      </w:pPr>
    </w:p>
    <w:p w14:paraId="1141EE1F">
      <w:pPr>
        <w:pStyle w:val="13"/>
        <w:kinsoku w:val="0"/>
        <w:overflowPunct w:val="0"/>
        <w:ind w:left="0"/>
        <w:rPr>
          <w:rFonts w:hint="eastAsia" w:ascii="宋体" w:hAnsi="宋体" w:cs="宋体"/>
          <w:color w:val="auto"/>
          <w:sz w:val="20"/>
          <w:highlight w:val="none"/>
        </w:rPr>
      </w:pPr>
    </w:p>
    <w:p w14:paraId="2B2D4410">
      <w:pPr>
        <w:pStyle w:val="13"/>
        <w:kinsoku w:val="0"/>
        <w:overflowPunct w:val="0"/>
        <w:ind w:left="0"/>
        <w:rPr>
          <w:rFonts w:hint="eastAsia" w:ascii="宋体" w:hAnsi="宋体" w:cs="宋体"/>
          <w:color w:val="auto"/>
          <w:sz w:val="27"/>
          <w:highlight w:val="none"/>
        </w:rPr>
      </w:pPr>
    </w:p>
    <w:p w14:paraId="7FC1AC7A">
      <w:pPr>
        <w:pStyle w:val="13"/>
        <w:tabs>
          <w:tab w:val="left" w:pos="948"/>
        </w:tabs>
        <w:kinsoku w:val="0"/>
        <w:overflowPunct w:val="0"/>
        <w:spacing w:line="460" w:lineRule="exact"/>
        <w:ind w:left="0"/>
        <w:jc w:val="center"/>
        <w:rPr>
          <w:rFonts w:hint="eastAsia" w:ascii="宋体" w:hAnsi="宋体" w:cs="宋体"/>
          <w:color w:val="auto"/>
          <w:sz w:val="36"/>
          <w:highlight w:val="none"/>
        </w:rPr>
      </w:pPr>
      <w:r>
        <w:rPr>
          <w:rFonts w:hint="eastAsia" w:ascii="宋体" w:hAnsi="宋体" w:cs="宋体"/>
          <w:color w:val="auto"/>
          <w:sz w:val="36"/>
          <w:highlight w:val="none"/>
        </w:rPr>
        <w:t>目</w:t>
      </w:r>
      <w:r>
        <w:rPr>
          <w:rFonts w:hint="eastAsia" w:ascii="宋体" w:hAnsi="宋体" w:cs="宋体"/>
          <w:color w:val="auto"/>
          <w:sz w:val="36"/>
          <w:highlight w:val="none"/>
        </w:rPr>
        <w:tab/>
      </w:r>
      <w:r>
        <w:rPr>
          <w:rFonts w:hint="eastAsia" w:ascii="宋体" w:hAnsi="宋体" w:cs="宋体"/>
          <w:color w:val="auto"/>
          <w:sz w:val="36"/>
          <w:highlight w:val="none"/>
        </w:rPr>
        <w:t>录</w:t>
      </w:r>
    </w:p>
    <w:p w14:paraId="0C709CA6">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（1）竞标函</w:t>
      </w:r>
    </w:p>
    <w:p w14:paraId="3C4CD877">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（2）竞标函附录</w:t>
      </w:r>
    </w:p>
    <w:p w14:paraId="3FDC3ECC">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（3）已标价工程量清单</w:t>
      </w:r>
    </w:p>
    <w:p w14:paraId="7117DA93">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（4）供应商认为必要提供的声明及其它资料</w:t>
      </w:r>
    </w:p>
    <w:p w14:paraId="6220B364">
      <w:pPr>
        <w:pStyle w:val="13"/>
        <w:kinsoku w:val="0"/>
        <w:overflowPunct w:val="0"/>
        <w:ind w:left="0"/>
        <w:rPr>
          <w:rFonts w:hint="eastAsia" w:ascii="宋体" w:hAnsi="宋体" w:cs="宋体"/>
          <w:color w:val="auto"/>
          <w:szCs w:val="24"/>
          <w:highlight w:val="none"/>
        </w:rPr>
        <w:sectPr>
          <w:pgSz w:w="11910" w:h="16840"/>
          <w:pgMar w:top="1100" w:right="1202" w:bottom="919" w:left="1298" w:header="918" w:footer="721" w:gutter="0"/>
          <w:cols w:space="720" w:num="1"/>
        </w:sectPr>
      </w:pPr>
    </w:p>
    <w:p w14:paraId="7BBFE0E0">
      <w:pPr>
        <w:pStyle w:val="13"/>
        <w:kinsoku w:val="0"/>
        <w:overflowPunct w:val="0"/>
        <w:spacing w:line="360" w:lineRule="auto"/>
        <w:ind w:left="0"/>
        <w:jc w:val="center"/>
        <w:rPr>
          <w:rFonts w:hint="eastAsia" w:ascii="宋体" w:hAnsi="宋体" w:cs="宋体"/>
          <w:b/>
          <w:bCs/>
          <w:color w:val="auto"/>
          <w:sz w:val="28"/>
          <w:highlight w:val="none"/>
        </w:rPr>
      </w:pPr>
      <w:r>
        <w:rPr>
          <w:rFonts w:hint="eastAsia" w:ascii="宋体" w:hAnsi="宋体" w:cs="宋体"/>
          <w:b/>
          <w:bCs/>
          <w:color w:val="auto"/>
          <w:sz w:val="28"/>
          <w:highlight w:val="none"/>
        </w:rPr>
        <w:t>一、竞标函</w:t>
      </w:r>
    </w:p>
    <w:p w14:paraId="732F112F">
      <w:pPr>
        <w:pStyle w:val="13"/>
        <w:kinsoku w:val="0"/>
        <w:overflowPunct w:val="0"/>
        <w:spacing w:line="360" w:lineRule="auto"/>
        <w:ind w:left="0"/>
        <w:rPr>
          <w:rFonts w:hint="eastAsia" w:ascii="宋体" w:hAnsi="宋体" w:cs="宋体"/>
          <w:b/>
          <w:bCs/>
          <w:color w:val="auto"/>
          <w:sz w:val="20"/>
          <w:highlight w:val="none"/>
        </w:rPr>
      </w:pPr>
    </w:p>
    <w:p w14:paraId="71CDC91E">
      <w:pPr>
        <w:pStyle w:val="13"/>
        <w:kinsoku w:val="0"/>
        <w:overflowPunct w:val="0"/>
        <w:spacing w:line="360" w:lineRule="auto"/>
        <w:ind w:left="0"/>
        <w:rPr>
          <w:rFonts w:hint="eastAsia" w:ascii="宋体" w:hAnsi="宋体" w:cs="宋体"/>
          <w:color w:val="auto"/>
          <w:sz w:val="20"/>
          <w:highlight w:val="none"/>
        </w:rPr>
      </w:pPr>
    </w:p>
    <w:p w14:paraId="60E87863">
      <w:pPr>
        <w:pStyle w:val="13"/>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采购人名称</w:t>
      </w:r>
    </w:p>
    <w:p w14:paraId="621C53E3">
      <w:pPr>
        <w:pStyle w:val="13"/>
        <w:kinsoku w:val="0"/>
        <w:overflowPunct w:val="0"/>
        <w:spacing w:line="360" w:lineRule="auto"/>
        <w:ind w:left="0"/>
        <w:rPr>
          <w:rFonts w:hint="eastAsia" w:ascii="宋体" w:hAnsi="宋体" w:cs="宋体"/>
          <w:color w:val="auto"/>
          <w:szCs w:val="24"/>
          <w:highlight w:val="none"/>
        </w:rPr>
      </w:pPr>
    </w:p>
    <w:p w14:paraId="13D293BA">
      <w:pPr>
        <w:spacing w:line="360" w:lineRule="auto"/>
        <w:ind w:firstLine="480" w:firstLineChars="200"/>
        <w:rPr>
          <w:rFonts w:ascii="宋体" w:hAnsi="宋体" w:cs="宋体"/>
          <w:color w:val="auto"/>
          <w:szCs w:val="24"/>
          <w:highlight w:val="none"/>
        </w:rPr>
      </w:pPr>
      <w:r>
        <w:rPr>
          <w:rFonts w:ascii="宋体" w:hAnsi="宋体" w:cs="宋体"/>
          <w:color w:val="auto"/>
          <w:szCs w:val="24"/>
          <w:highlight w:val="none"/>
        </w:rPr>
        <w:t xml:space="preserve">1. 根据你方项目编号为 </w:t>
      </w:r>
      <w:r>
        <w:rPr>
          <w:rFonts w:ascii="宋体" w:hAnsi="宋体" w:cs="宋体"/>
          <w:color w:val="auto"/>
          <w:szCs w:val="24"/>
          <w:highlight w:val="none"/>
          <w:u w:val="single"/>
        </w:rPr>
        <w:t xml:space="preserve">             </w:t>
      </w:r>
      <w:r>
        <w:rPr>
          <w:rFonts w:ascii="宋体" w:hAnsi="宋体" w:cs="宋体"/>
          <w:color w:val="auto"/>
          <w:szCs w:val="24"/>
          <w:highlight w:val="none"/>
        </w:rPr>
        <w:t>的</w:t>
      </w:r>
      <w:r>
        <w:rPr>
          <w:rFonts w:ascii="宋体" w:hAnsi="宋体" w:cs="宋体"/>
          <w:color w:val="auto"/>
          <w:szCs w:val="24"/>
          <w:highlight w:val="none"/>
          <w:u w:val="single"/>
        </w:rPr>
        <w:t xml:space="preserve">                 （工程项目名称）</w:t>
      </w:r>
      <w:r>
        <w:rPr>
          <w:rFonts w:ascii="宋体" w:hAnsi="宋体" w:cs="宋体"/>
          <w:color w:val="auto"/>
          <w:szCs w:val="24"/>
          <w:highlight w:val="none"/>
        </w:rPr>
        <w:t>工程竞争性磋商文件，遵照《中华人民共和国政府采购法》等有关规定，经踏勘项目现场和研究上述竞争性磋商文件的竞标须知、合同条款、图纸、工程建设标准和工程量清单及其他有关文件后，我方愿以人民币</w:t>
      </w:r>
      <w:r>
        <w:rPr>
          <w:rFonts w:hint="eastAsia" w:ascii="宋体" w:hAnsi="宋体" w:cs="宋体"/>
          <w:color w:val="auto"/>
          <w:szCs w:val="24"/>
          <w:highlight w:val="none"/>
          <w:lang w:eastAsia="zh-CN"/>
        </w:rPr>
        <w:t>（</w:t>
      </w:r>
      <w:r>
        <w:rPr>
          <w:rFonts w:ascii="宋体" w:hAnsi="宋体" w:cs="宋体"/>
          <w:color w:val="auto"/>
          <w:szCs w:val="24"/>
          <w:highlight w:val="none"/>
        </w:rPr>
        <w:t>大写</w:t>
      </w:r>
      <w:r>
        <w:rPr>
          <w:rFonts w:hint="eastAsia" w:ascii="宋体" w:hAnsi="宋体" w:cs="宋体"/>
          <w:color w:val="auto"/>
          <w:szCs w:val="24"/>
          <w:highlight w:val="none"/>
          <w:lang w:eastAsia="zh-CN"/>
        </w:rPr>
        <w:t>）</w:t>
      </w:r>
      <w:r>
        <w:rPr>
          <w:rFonts w:ascii="宋体" w:hAnsi="宋体" w:cs="宋体"/>
          <w:color w:val="auto"/>
          <w:szCs w:val="24"/>
          <w:highlight w:val="none"/>
          <w:u w:val="single"/>
        </w:rPr>
        <w:tab/>
      </w:r>
      <w:r>
        <w:rPr>
          <w:rFonts w:ascii="宋体" w:hAnsi="宋体" w:cs="宋体"/>
          <w:color w:val="auto"/>
          <w:szCs w:val="24"/>
          <w:highlight w:val="none"/>
          <w:u w:val="single"/>
        </w:rPr>
        <w:t xml:space="preserve"> （¥        </w:t>
      </w:r>
      <w:r>
        <w:rPr>
          <w:rFonts w:ascii="宋体" w:hAnsi="宋体" w:cs="宋体"/>
          <w:color w:val="auto"/>
          <w:szCs w:val="24"/>
          <w:highlight w:val="none"/>
          <w:u w:val="single"/>
        </w:rPr>
        <w:tab/>
      </w:r>
      <w:r>
        <w:rPr>
          <w:rFonts w:ascii="宋体" w:hAnsi="宋体" w:cs="宋体"/>
          <w:color w:val="auto"/>
          <w:szCs w:val="24"/>
          <w:highlight w:val="none"/>
          <w:u w:val="single"/>
        </w:rPr>
        <w:t>元）</w:t>
      </w:r>
      <w:r>
        <w:rPr>
          <w:rFonts w:ascii="宋体" w:hAnsi="宋体" w:cs="宋体"/>
          <w:color w:val="auto"/>
          <w:szCs w:val="24"/>
          <w:highlight w:val="none"/>
        </w:rPr>
        <w:t>的竞标报价并按上述图纸、合同条款、工程建设标准和工程量清单（如有时）的条件要求承包上述工程的施工、竣工，并承担任何质量缺陷保修责任。我方保证工程质量达到</w:t>
      </w:r>
      <w:r>
        <w:rPr>
          <w:rFonts w:ascii="宋体" w:hAnsi="宋体" w:cs="宋体"/>
          <w:color w:val="auto"/>
          <w:szCs w:val="24"/>
          <w:highlight w:val="none"/>
          <w:u w:val="single"/>
        </w:rPr>
        <w:tab/>
      </w:r>
      <w:r>
        <w:rPr>
          <w:rFonts w:ascii="宋体" w:hAnsi="宋体" w:cs="宋体"/>
          <w:color w:val="auto"/>
          <w:szCs w:val="24"/>
          <w:highlight w:val="none"/>
        </w:rPr>
        <w:t>等级。</w:t>
      </w:r>
    </w:p>
    <w:p w14:paraId="395C372A">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2.我方已详细审核全部竞争性磋商文件，包括修改文件（如有时）及有关附件。</w:t>
      </w:r>
    </w:p>
    <w:p w14:paraId="5845420F">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3.我方承认竞标函附录是我方竞标函的组成部分。</w:t>
      </w:r>
    </w:p>
    <w:p w14:paraId="020E3C68">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4. 一旦我方成交，我方保证按合同书中规定的工期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日历天内完成并移交全部工程。</w:t>
      </w:r>
    </w:p>
    <w:p w14:paraId="04B87C8C">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5.如果我方成交，我方将按照文件规定提交履约保证金约作为履约担保。</w:t>
      </w:r>
    </w:p>
    <w:p w14:paraId="69124AEB">
      <w:pPr>
        <w:pStyle w:val="13"/>
        <w:kinsoku w:val="0"/>
        <w:overflowPunct w:val="0"/>
        <w:spacing w:line="360" w:lineRule="auto"/>
        <w:ind w:left="0" w:firstLine="441"/>
        <w:rPr>
          <w:rFonts w:hint="eastAsia" w:ascii="宋体" w:hAnsi="宋体" w:cs="宋体"/>
          <w:color w:val="auto"/>
          <w:szCs w:val="24"/>
          <w:highlight w:val="none"/>
        </w:rPr>
      </w:pPr>
      <w:r>
        <w:rPr>
          <w:rFonts w:hint="eastAsia" w:ascii="宋体" w:hAnsi="宋体" w:cs="宋体"/>
          <w:color w:val="auto"/>
          <w:szCs w:val="24"/>
          <w:highlight w:val="none"/>
        </w:rPr>
        <w:t>6.我方同意所提交的响应文件在竞争性磋商文件的竞标须知中第15条规定的竞标有效期内有效，在此期间内如果成交，我方将受此约束。</w:t>
      </w:r>
    </w:p>
    <w:p w14:paraId="67C79F72">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7.除非另外达成协议并生效，你方的成交通知书和本响应文件将成为约束双方的合同文件的组成部分。</w:t>
      </w:r>
    </w:p>
    <w:p w14:paraId="34483167">
      <w:pPr>
        <w:pStyle w:val="13"/>
        <w:tabs>
          <w:tab w:val="left" w:pos="5275"/>
        </w:tabs>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8.我方将与本竞标函一起，提交人民币</w:t>
      </w:r>
      <w:r>
        <w:rPr>
          <w:rFonts w:hint="eastAsia" w:ascii="宋体" w:hAnsi="宋体" w:cs="宋体"/>
          <w:color w:val="auto"/>
          <w:szCs w:val="24"/>
          <w:highlight w:val="none"/>
          <w:u w:val="single"/>
        </w:rPr>
        <w:tab/>
      </w:r>
      <w:r>
        <w:rPr>
          <w:rFonts w:hint="eastAsia" w:ascii="宋体" w:hAnsi="宋体" w:cs="宋体"/>
          <w:color w:val="auto"/>
          <w:szCs w:val="24"/>
          <w:highlight w:val="none"/>
        </w:rPr>
        <w:t>元作为竞标担保。</w:t>
      </w:r>
    </w:p>
    <w:p w14:paraId="102FC235">
      <w:pPr>
        <w:pStyle w:val="13"/>
        <w:tabs>
          <w:tab w:val="left" w:pos="6459"/>
        </w:tabs>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供应商：</w:t>
      </w:r>
      <w:r>
        <w:rPr>
          <w:rFonts w:hint="eastAsia" w:ascii="宋体" w:hAnsi="宋体" w:cs="宋体"/>
          <w:color w:val="auto"/>
          <w:w w:val="95"/>
          <w:szCs w:val="24"/>
          <w:highlight w:val="none"/>
          <w:u w:val="single"/>
        </w:rPr>
        <w:tab/>
      </w:r>
      <w:r>
        <w:rPr>
          <w:rFonts w:hint="eastAsia" w:ascii="宋体" w:hAnsi="宋体" w:cs="宋体"/>
          <w:color w:val="auto"/>
          <w:szCs w:val="24"/>
          <w:highlight w:val="none"/>
          <w:u w:val="single"/>
        </w:rPr>
        <w:t>（盖单位章）</w:t>
      </w:r>
    </w:p>
    <w:p w14:paraId="00B2E69A">
      <w:pPr>
        <w:pStyle w:val="13"/>
        <w:tabs>
          <w:tab w:val="left" w:pos="6459"/>
        </w:tabs>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单位地址：</w:t>
      </w:r>
      <w:r>
        <w:rPr>
          <w:rFonts w:hint="eastAsia" w:ascii="宋体" w:hAnsi="宋体" w:cs="宋体"/>
          <w:color w:val="auto"/>
          <w:szCs w:val="24"/>
          <w:highlight w:val="none"/>
          <w:u w:val="single"/>
        </w:rPr>
        <w:tab/>
      </w:r>
    </w:p>
    <w:p w14:paraId="09334D5D">
      <w:pPr>
        <w:pStyle w:val="13"/>
        <w:tabs>
          <w:tab w:val="left" w:pos="7511"/>
        </w:tabs>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法定代表人或其委托代理人（委托代理人）：</w:t>
      </w:r>
      <w:r>
        <w:rPr>
          <w:rFonts w:hint="eastAsia" w:ascii="宋体" w:hAnsi="宋体" w:cs="宋体"/>
          <w:color w:val="auto"/>
          <w:w w:val="95"/>
          <w:szCs w:val="24"/>
          <w:highlight w:val="none"/>
          <w:u w:val="single"/>
        </w:rPr>
        <w:tab/>
      </w:r>
      <w:r>
        <w:rPr>
          <w:rFonts w:hint="eastAsia" w:ascii="宋体" w:hAnsi="宋体" w:cs="宋体"/>
          <w:color w:val="auto"/>
          <w:szCs w:val="24"/>
          <w:highlight w:val="none"/>
          <w:u w:val="single"/>
        </w:rPr>
        <w:t>（签字）</w:t>
      </w:r>
    </w:p>
    <w:p w14:paraId="1E6C221F">
      <w:pPr>
        <w:pStyle w:val="13"/>
        <w:tabs>
          <w:tab w:val="left" w:pos="3887"/>
          <w:tab w:val="left" w:pos="5199"/>
          <w:tab w:val="left" w:pos="6459"/>
        </w:tabs>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邮政编码：</w:t>
      </w:r>
      <w:r>
        <w:rPr>
          <w:rFonts w:hint="eastAsia" w:ascii="宋体" w:hAnsi="宋体" w:cs="宋体"/>
          <w:color w:val="auto"/>
          <w:szCs w:val="24"/>
          <w:highlight w:val="none"/>
          <w:u w:val="single"/>
        </w:rPr>
        <w:tab/>
      </w:r>
      <w:r>
        <w:rPr>
          <w:rFonts w:hint="eastAsia" w:ascii="宋体" w:hAnsi="宋体" w:cs="宋体"/>
          <w:color w:val="auto"/>
          <w:szCs w:val="24"/>
          <w:highlight w:val="none"/>
        </w:rPr>
        <w:t>电话：</w:t>
      </w:r>
      <w:r>
        <w:rPr>
          <w:rFonts w:hint="eastAsia" w:ascii="宋体" w:hAnsi="宋体" w:cs="宋体"/>
          <w:color w:val="auto"/>
          <w:w w:val="95"/>
          <w:szCs w:val="24"/>
          <w:highlight w:val="none"/>
          <w:u w:val="single"/>
        </w:rPr>
        <w:tab/>
      </w:r>
      <w:r>
        <w:rPr>
          <w:rFonts w:hint="eastAsia" w:ascii="宋体" w:hAnsi="宋体" w:cs="宋体"/>
          <w:color w:val="auto"/>
          <w:szCs w:val="24"/>
          <w:highlight w:val="none"/>
        </w:rPr>
        <w:t>传真：</w:t>
      </w:r>
      <w:r>
        <w:rPr>
          <w:rFonts w:hint="eastAsia" w:ascii="宋体" w:hAnsi="宋体" w:cs="宋体"/>
          <w:color w:val="auto"/>
          <w:szCs w:val="24"/>
          <w:highlight w:val="none"/>
          <w:u w:val="single"/>
        </w:rPr>
        <w:tab/>
      </w:r>
    </w:p>
    <w:p w14:paraId="30995658">
      <w:pPr>
        <w:pStyle w:val="13"/>
        <w:tabs>
          <w:tab w:val="left" w:pos="6459"/>
        </w:tabs>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开户银行名称：</w:t>
      </w:r>
      <w:r>
        <w:rPr>
          <w:rFonts w:hint="eastAsia" w:ascii="宋体" w:hAnsi="宋体" w:cs="宋体"/>
          <w:color w:val="auto"/>
          <w:szCs w:val="24"/>
          <w:highlight w:val="none"/>
          <w:u w:val="single"/>
        </w:rPr>
        <w:tab/>
      </w:r>
    </w:p>
    <w:p w14:paraId="07912531">
      <w:pPr>
        <w:pStyle w:val="13"/>
        <w:tabs>
          <w:tab w:val="left" w:pos="6459"/>
        </w:tabs>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开户银行账号：</w:t>
      </w:r>
      <w:r>
        <w:rPr>
          <w:rFonts w:hint="eastAsia" w:ascii="宋体" w:hAnsi="宋体" w:cs="宋体"/>
          <w:color w:val="auto"/>
          <w:szCs w:val="24"/>
          <w:highlight w:val="none"/>
          <w:u w:val="single"/>
        </w:rPr>
        <w:tab/>
      </w:r>
    </w:p>
    <w:p w14:paraId="16ED9450">
      <w:pPr>
        <w:pStyle w:val="13"/>
        <w:tabs>
          <w:tab w:val="left" w:pos="6459"/>
        </w:tabs>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开户银行地址：</w:t>
      </w:r>
      <w:r>
        <w:rPr>
          <w:rFonts w:hint="eastAsia" w:ascii="宋体" w:hAnsi="宋体" w:cs="宋体"/>
          <w:color w:val="auto"/>
          <w:szCs w:val="24"/>
          <w:highlight w:val="none"/>
          <w:u w:val="single"/>
        </w:rPr>
        <w:tab/>
      </w:r>
    </w:p>
    <w:p w14:paraId="2DDCFF7E">
      <w:pPr>
        <w:pStyle w:val="13"/>
        <w:tabs>
          <w:tab w:val="left" w:pos="6459"/>
        </w:tabs>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开户银行电话：</w:t>
      </w:r>
      <w:r>
        <w:rPr>
          <w:rFonts w:hint="eastAsia" w:ascii="宋体" w:hAnsi="宋体" w:cs="宋体"/>
          <w:color w:val="auto"/>
          <w:szCs w:val="24"/>
          <w:highlight w:val="none"/>
          <w:u w:val="single"/>
        </w:rPr>
        <w:tab/>
      </w:r>
    </w:p>
    <w:p w14:paraId="167A11EB">
      <w:pPr>
        <w:pStyle w:val="13"/>
        <w:tabs>
          <w:tab w:val="left" w:pos="3362"/>
          <w:tab w:val="left" w:pos="4307"/>
          <w:tab w:val="left" w:pos="5147"/>
        </w:tabs>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rPr>
        <w:tab/>
      </w:r>
      <w:r>
        <w:rPr>
          <w:rFonts w:hint="eastAsia" w:ascii="宋体" w:hAnsi="宋体" w:cs="宋体"/>
          <w:color w:val="auto"/>
          <w:szCs w:val="24"/>
          <w:highlight w:val="none"/>
        </w:rPr>
        <w:t>年</w:t>
      </w:r>
      <w:r>
        <w:rPr>
          <w:rFonts w:hint="eastAsia" w:ascii="宋体" w:hAnsi="宋体" w:cs="宋体"/>
          <w:color w:val="auto"/>
          <w:szCs w:val="24"/>
          <w:highlight w:val="none"/>
        </w:rPr>
        <w:tab/>
      </w:r>
      <w:r>
        <w:rPr>
          <w:rFonts w:hint="eastAsia" w:ascii="宋体" w:hAnsi="宋体" w:cs="宋体"/>
          <w:color w:val="auto"/>
          <w:szCs w:val="24"/>
          <w:highlight w:val="none"/>
        </w:rPr>
        <w:t>月</w:t>
      </w:r>
      <w:r>
        <w:rPr>
          <w:rFonts w:hint="eastAsia" w:ascii="宋体" w:hAnsi="宋体" w:cs="宋体"/>
          <w:color w:val="auto"/>
          <w:szCs w:val="24"/>
          <w:highlight w:val="none"/>
        </w:rPr>
        <w:tab/>
      </w:r>
      <w:r>
        <w:rPr>
          <w:rFonts w:hint="eastAsia" w:ascii="宋体" w:hAnsi="宋体" w:cs="宋体"/>
          <w:color w:val="auto"/>
          <w:szCs w:val="24"/>
          <w:highlight w:val="none"/>
        </w:rPr>
        <w:t>日</w:t>
      </w:r>
    </w:p>
    <w:p w14:paraId="5EA31B1E">
      <w:pPr>
        <w:pStyle w:val="13"/>
        <w:tabs>
          <w:tab w:val="left" w:pos="3362"/>
          <w:tab w:val="left" w:pos="4307"/>
          <w:tab w:val="left" w:pos="5147"/>
        </w:tabs>
        <w:kinsoku w:val="0"/>
        <w:overflowPunct w:val="0"/>
        <w:ind w:left="0"/>
        <w:rPr>
          <w:rFonts w:hint="eastAsia" w:ascii="宋体" w:hAnsi="宋体" w:cs="宋体"/>
          <w:color w:val="auto"/>
          <w:szCs w:val="24"/>
          <w:highlight w:val="none"/>
        </w:rPr>
        <w:sectPr>
          <w:pgSz w:w="11910" w:h="16840"/>
          <w:pgMar w:top="1100" w:right="1202" w:bottom="919" w:left="1298" w:header="918" w:footer="721" w:gutter="0"/>
          <w:cols w:space="720" w:num="1"/>
        </w:sectPr>
      </w:pPr>
    </w:p>
    <w:p w14:paraId="00ABEF53">
      <w:pPr>
        <w:pStyle w:val="13"/>
        <w:kinsoku w:val="0"/>
        <w:overflowPunct w:val="0"/>
        <w:ind w:left="0"/>
        <w:rPr>
          <w:rFonts w:hint="eastAsia" w:ascii="宋体" w:hAnsi="宋体" w:cs="宋体"/>
          <w:color w:val="auto"/>
          <w:sz w:val="7"/>
          <w:highlight w:val="none"/>
        </w:rPr>
      </w:pPr>
    </w:p>
    <w:p w14:paraId="69861998">
      <w:pPr>
        <w:pStyle w:val="13"/>
        <w:kinsoku w:val="0"/>
        <w:overflowPunct w:val="0"/>
        <w:ind w:left="0"/>
        <w:jc w:val="center"/>
        <w:rPr>
          <w:rFonts w:hint="eastAsia" w:ascii="宋体" w:hAnsi="宋体" w:cs="宋体"/>
          <w:color w:val="auto"/>
          <w:sz w:val="28"/>
          <w:highlight w:val="none"/>
        </w:rPr>
      </w:pPr>
      <w:r>
        <w:rPr>
          <w:rFonts w:hint="eastAsia" w:ascii="宋体" w:hAnsi="宋体" w:cs="宋体"/>
          <w:color w:val="auto"/>
          <w:sz w:val="28"/>
          <w:highlight w:val="none"/>
        </w:rPr>
        <w:t>二、竞标函附录</w:t>
      </w:r>
    </w:p>
    <w:p w14:paraId="1532CF5C">
      <w:pPr>
        <w:pStyle w:val="13"/>
        <w:tabs>
          <w:tab w:val="left" w:pos="6867"/>
        </w:tabs>
        <w:kinsoku w:val="0"/>
        <w:overflowPunct w:val="0"/>
        <w:ind w:left="0"/>
        <w:rPr>
          <w:rFonts w:hint="eastAsia" w:ascii="宋体" w:hAnsi="宋体" w:cs="宋体"/>
          <w:color w:val="auto"/>
          <w:highlight w:val="none"/>
        </w:rPr>
      </w:pPr>
      <w:r>
        <w:rPr>
          <w:rFonts w:hint="eastAsia" w:ascii="宋体" w:hAnsi="宋体" w:cs="宋体"/>
          <w:color w:val="auto"/>
          <w:w w:val="95"/>
          <w:highlight w:val="none"/>
        </w:rPr>
        <w:tab/>
      </w:r>
      <w:r>
        <w:rPr>
          <w:rFonts w:hint="eastAsia" w:ascii="宋体" w:hAnsi="宋体" w:cs="宋体"/>
          <w:color w:val="auto"/>
          <w:highlight w:val="none"/>
        </w:rPr>
        <w:t>币种：人民币</w:t>
      </w:r>
    </w:p>
    <w:p w14:paraId="50BF2128">
      <w:pPr>
        <w:pStyle w:val="13"/>
        <w:kinsoku w:val="0"/>
        <w:overflowPunct w:val="0"/>
        <w:ind w:left="0"/>
        <w:rPr>
          <w:rFonts w:hint="eastAsia" w:ascii="宋体" w:hAnsi="宋体" w:cs="宋体"/>
          <w:color w:val="auto"/>
          <w:sz w:val="21"/>
          <w:szCs w:val="21"/>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888"/>
        <w:gridCol w:w="1435"/>
        <w:gridCol w:w="3423"/>
        <w:gridCol w:w="719"/>
      </w:tblGrid>
      <w:tr w14:paraId="4220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9" w:type="dxa"/>
            <w:noWrap w:val="0"/>
            <w:vAlign w:val="center"/>
          </w:tcPr>
          <w:p w14:paraId="389EFB04">
            <w:pPr>
              <w:tabs>
                <w:tab w:val="left" w:pos="1080"/>
              </w:tabs>
              <w:jc w:val="center"/>
              <w:rPr>
                <w:rFonts w:ascii="宋体" w:hAnsi="宋体" w:cs="宋体"/>
                <w:color w:val="auto"/>
                <w:szCs w:val="24"/>
                <w:highlight w:val="none"/>
              </w:rPr>
            </w:pPr>
            <w:r>
              <w:rPr>
                <w:rFonts w:ascii="宋体" w:hAnsi="宋体" w:cs="宋体"/>
                <w:color w:val="auto"/>
                <w:szCs w:val="24"/>
                <w:highlight w:val="none"/>
              </w:rPr>
              <w:t>序号</w:t>
            </w:r>
          </w:p>
        </w:tc>
        <w:tc>
          <w:tcPr>
            <w:tcW w:w="2888" w:type="dxa"/>
            <w:noWrap w:val="0"/>
            <w:vAlign w:val="center"/>
          </w:tcPr>
          <w:p w14:paraId="7D942A79">
            <w:pPr>
              <w:tabs>
                <w:tab w:val="left" w:pos="1080"/>
              </w:tabs>
              <w:jc w:val="center"/>
              <w:rPr>
                <w:rFonts w:ascii="宋体" w:hAnsi="宋体" w:cs="宋体"/>
                <w:color w:val="auto"/>
                <w:szCs w:val="24"/>
                <w:highlight w:val="none"/>
              </w:rPr>
            </w:pPr>
            <w:r>
              <w:rPr>
                <w:rFonts w:ascii="宋体" w:hAnsi="宋体" w:cs="宋体"/>
                <w:color w:val="auto"/>
                <w:szCs w:val="24"/>
                <w:highlight w:val="none"/>
              </w:rPr>
              <w:t>条款名称</w:t>
            </w:r>
          </w:p>
        </w:tc>
        <w:tc>
          <w:tcPr>
            <w:tcW w:w="1435" w:type="dxa"/>
            <w:noWrap w:val="0"/>
            <w:vAlign w:val="center"/>
          </w:tcPr>
          <w:p w14:paraId="3E079C0F">
            <w:pPr>
              <w:tabs>
                <w:tab w:val="left" w:pos="1080"/>
              </w:tabs>
              <w:jc w:val="center"/>
              <w:rPr>
                <w:rFonts w:ascii="宋体" w:hAnsi="宋体" w:cs="宋体"/>
                <w:color w:val="auto"/>
                <w:szCs w:val="24"/>
                <w:highlight w:val="none"/>
              </w:rPr>
            </w:pPr>
            <w:r>
              <w:rPr>
                <w:rFonts w:ascii="宋体" w:hAnsi="宋体" w:cs="宋体"/>
                <w:color w:val="auto"/>
                <w:szCs w:val="24"/>
                <w:highlight w:val="none"/>
              </w:rPr>
              <w:t>合同条目号</w:t>
            </w:r>
          </w:p>
        </w:tc>
        <w:tc>
          <w:tcPr>
            <w:tcW w:w="3423" w:type="dxa"/>
            <w:noWrap w:val="0"/>
            <w:vAlign w:val="center"/>
          </w:tcPr>
          <w:p w14:paraId="3C72E432">
            <w:pPr>
              <w:tabs>
                <w:tab w:val="left" w:pos="1080"/>
              </w:tabs>
              <w:jc w:val="center"/>
              <w:rPr>
                <w:rFonts w:ascii="宋体" w:hAnsi="宋体" w:cs="宋体"/>
                <w:color w:val="auto"/>
                <w:szCs w:val="24"/>
                <w:highlight w:val="none"/>
              </w:rPr>
            </w:pPr>
            <w:r>
              <w:rPr>
                <w:rFonts w:ascii="宋体" w:hAnsi="宋体" w:cs="宋体"/>
                <w:color w:val="auto"/>
                <w:szCs w:val="24"/>
                <w:highlight w:val="none"/>
              </w:rPr>
              <w:t>约定内容</w:t>
            </w:r>
          </w:p>
        </w:tc>
        <w:tc>
          <w:tcPr>
            <w:tcW w:w="719" w:type="dxa"/>
            <w:noWrap w:val="0"/>
            <w:vAlign w:val="center"/>
          </w:tcPr>
          <w:p w14:paraId="64A193D7">
            <w:pPr>
              <w:tabs>
                <w:tab w:val="left" w:pos="1080"/>
              </w:tabs>
              <w:jc w:val="center"/>
              <w:rPr>
                <w:rFonts w:ascii="宋体" w:hAnsi="宋体" w:cs="宋体"/>
                <w:color w:val="auto"/>
                <w:szCs w:val="24"/>
                <w:highlight w:val="none"/>
              </w:rPr>
            </w:pPr>
            <w:r>
              <w:rPr>
                <w:rFonts w:ascii="宋体" w:hAnsi="宋体" w:cs="宋体"/>
                <w:color w:val="auto"/>
                <w:szCs w:val="24"/>
                <w:highlight w:val="none"/>
              </w:rPr>
              <w:t>备注</w:t>
            </w:r>
          </w:p>
        </w:tc>
      </w:tr>
      <w:tr w14:paraId="4438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9" w:type="dxa"/>
            <w:noWrap w:val="0"/>
            <w:vAlign w:val="center"/>
          </w:tcPr>
          <w:p w14:paraId="311BAF4C">
            <w:pPr>
              <w:tabs>
                <w:tab w:val="left" w:pos="1080"/>
              </w:tabs>
              <w:jc w:val="center"/>
              <w:rPr>
                <w:rFonts w:ascii="宋体" w:hAnsi="宋体" w:cs="宋体"/>
                <w:color w:val="auto"/>
                <w:szCs w:val="24"/>
                <w:highlight w:val="none"/>
              </w:rPr>
            </w:pPr>
            <w:r>
              <w:rPr>
                <w:rFonts w:ascii="宋体" w:hAnsi="宋体" w:cs="宋体"/>
                <w:color w:val="auto"/>
                <w:szCs w:val="24"/>
                <w:highlight w:val="none"/>
              </w:rPr>
              <w:t>1</w:t>
            </w:r>
          </w:p>
        </w:tc>
        <w:tc>
          <w:tcPr>
            <w:tcW w:w="2888" w:type="dxa"/>
            <w:noWrap w:val="0"/>
            <w:vAlign w:val="center"/>
          </w:tcPr>
          <w:p w14:paraId="05F711D8">
            <w:pPr>
              <w:tabs>
                <w:tab w:val="left" w:pos="1080"/>
              </w:tabs>
              <w:jc w:val="center"/>
              <w:rPr>
                <w:rFonts w:ascii="宋体" w:hAnsi="宋体" w:cs="宋体"/>
                <w:color w:val="auto"/>
                <w:szCs w:val="24"/>
                <w:highlight w:val="none"/>
              </w:rPr>
            </w:pPr>
            <w:r>
              <w:rPr>
                <w:rFonts w:ascii="宋体" w:hAnsi="宋体" w:cs="宋体"/>
                <w:color w:val="auto"/>
                <w:szCs w:val="24"/>
                <w:highlight w:val="none"/>
              </w:rPr>
              <w:t>缺陷责任期</w:t>
            </w:r>
          </w:p>
        </w:tc>
        <w:tc>
          <w:tcPr>
            <w:tcW w:w="1435" w:type="dxa"/>
            <w:noWrap w:val="0"/>
            <w:vAlign w:val="center"/>
          </w:tcPr>
          <w:p w14:paraId="30FD32CA">
            <w:pPr>
              <w:tabs>
                <w:tab w:val="left" w:pos="1080"/>
              </w:tabs>
              <w:jc w:val="center"/>
              <w:rPr>
                <w:rFonts w:ascii="宋体" w:hAnsi="宋体" w:cs="宋体"/>
                <w:color w:val="auto"/>
                <w:szCs w:val="24"/>
                <w:highlight w:val="none"/>
              </w:rPr>
            </w:pPr>
            <w:r>
              <w:rPr>
                <w:rFonts w:ascii="宋体" w:hAnsi="宋体" w:cs="宋体"/>
                <w:color w:val="auto"/>
                <w:szCs w:val="24"/>
                <w:highlight w:val="none"/>
              </w:rPr>
              <w:t>1.1.4.5</w:t>
            </w:r>
          </w:p>
        </w:tc>
        <w:tc>
          <w:tcPr>
            <w:tcW w:w="3423" w:type="dxa"/>
            <w:noWrap w:val="0"/>
            <w:vAlign w:val="center"/>
          </w:tcPr>
          <w:p w14:paraId="4CF16A5E">
            <w:pPr>
              <w:tabs>
                <w:tab w:val="left" w:pos="1080"/>
              </w:tabs>
              <w:rPr>
                <w:rFonts w:ascii="宋体" w:hAnsi="宋体" w:cs="宋体"/>
                <w:color w:val="auto"/>
                <w:szCs w:val="24"/>
                <w:highlight w:val="none"/>
              </w:rPr>
            </w:pPr>
            <w:r>
              <w:rPr>
                <w:rFonts w:ascii="宋体" w:hAnsi="宋体" w:cs="宋体"/>
                <w:color w:val="auto"/>
                <w:szCs w:val="24"/>
                <w:highlight w:val="none"/>
              </w:rPr>
              <w:t>自实际交工期起计算12个月</w:t>
            </w:r>
          </w:p>
        </w:tc>
        <w:tc>
          <w:tcPr>
            <w:tcW w:w="719" w:type="dxa"/>
            <w:noWrap w:val="0"/>
            <w:vAlign w:val="top"/>
          </w:tcPr>
          <w:p w14:paraId="58B8EE3C">
            <w:pPr>
              <w:tabs>
                <w:tab w:val="left" w:pos="1080"/>
              </w:tabs>
              <w:jc w:val="center"/>
              <w:rPr>
                <w:rFonts w:ascii="宋体" w:hAnsi="宋体" w:cs="宋体"/>
                <w:color w:val="auto"/>
                <w:szCs w:val="24"/>
                <w:highlight w:val="none"/>
              </w:rPr>
            </w:pPr>
          </w:p>
        </w:tc>
      </w:tr>
      <w:tr w14:paraId="239F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9" w:type="dxa"/>
            <w:noWrap w:val="0"/>
            <w:vAlign w:val="center"/>
          </w:tcPr>
          <w:p w14:paraId="756F4B45">
            <w:pPr>
              <w:tabs>
                <w:tab w:val="left" w:pos="1080"/>
              </w:tabs>
              <w:jc w:val="center"/>
              <w:rPr>
                <w:rFonts w:ascii="宋体" w:hAnsi="宋体" w:cs="宋体"/>
                <w:color w:val="auto"/>
                <w:szCs w:val="24"/>
                <w:highlight w:val="none"/>
              </w:rPr>
            </w:pPr>
            <w:r>
              <w:rPr>
                <w:rFonts w:ascii="宋体" w:hAnsi="宋体" w:cs="宋体"/>
                <w:color w:val="auto"/>
                <w:szCs w:val="24"/>
                <w:highlight w:val="none"/>
              </w:rPr>
              <w:t>2</w:t>
            </w:r>
          </w:p>
        </w:tc>
        <w:tc>
          <w:tcPr>
            <w:tcW w:w="2888" w:type="dxa"/>
            <w:noWrap w:val="0"/>
            <w:vAlign w:val="center"/>
          </w:tcPr>
          <w:p w14:paraId="583C21E8">
            <w:pPr>
              <w:tabs>
                <w:tab w:val="left" w:pos="1080"/>
              </w:tabs>
              <w:jc w:val="center"/>
              <w:rPr>
                <w:rFonts w:ascii="宋体" w:hAnsi="宋体" w:cs="宋体"/>
                <w:color w:val="auto"/>
                <w:szCs w:val="24"/>
                <w:highlight w:val="none"/>
              </w:rPr>
            </w:pPr>
            <w:r>
              <w:rPr>
                <w:rFonts w:ascii="宋体" w:hAnsi="宋体" w:cs="宋体"/>
                <w:color w:val="auto"/>
                <w:szCs w:val="24"/>
                <w:highlight w:val="none"/>
              </w:rPr>
              <w:t>逾期交工违约金</w:t>
            </w:r>
          </w:p>
        </w:tc>
        <w:tc>
          <w:tcPr>
            <w:tcW w:w="1435" w:type="dxa"/>
            <w:noWrap w:val="0"/>
            <w:vAlign w:val="center"/>
          </w:tcPr>
          <w:p w14:paraId="5EAAE0E3">
            <w:pPr>
              <w:tabs>
                <w:tab w:val="left" w:pos="1080"/>
              </w:tabs>
              <w:jc w:val="center"/>
              <w:rPr>
                <w:rFonts w:ascii="宋体" w:hAnsi="宋体" w:cs="宋体"/>
                <w:color w:val="auto"/>
                <w:szCs w:val="24"/>
                <w:highlight w:val="none"/>
              </w:rPr>
            </w:pPr>
            <w:r>
              <w:rPr>
                <w:rFonts w:ascii="宋体" w:hAnsi="宋体" w:cs="宋体"/>
                <w:color w:val="auto"/>
                <w:szCs w:val="24"/>
                <w:highlight w:val="none"/>
              </w:rPr>
              <w:t>11.5</w:t>
            </w:r>
          </w:p>
        </w:tc>
        <w:tc>
          <w:tcPr>
            <w:tcW w:w="3423" w:type="dxa"/>
            <w:noWrap w:val="0"/>
            <w:vAlign w:val="center"/>
          </w:tcPr>
          <w:p w14:paraId="34922781">
            <w:pPr>
              <w:tabs>
                <w:tab w:val="left" w:pos="1080"/>
              </w:tabs>
              <w:rPr>
                <w:rFonts w:ascii="宋体" w:hAnsi="宋体" w:cs="宋体"/>
                <w:color w:val="auto"/>
                <w:szCs w:val="24"/>
                <w:highlight w:val="none"/>
              </w:rPr>
            </w:pPr>
            <w:r>
              <w:rPr>
                <w:rFonts w:ascii="宋体" w:hAnsi="宋体" w:cs="宋体"/>
                <w:color w:val="auto"/>
                <w:szCs w:val="24"/>
                <w:highlight w:val="none"/>
              </w:rPr>
              <w:t>5000元/天</w:t>
            </w:r>
          </w:p>
        </w:tc>
        <w:tc>
          <w:tcPr>
            <w:tcW w:w="719" w:type="dxa"/>
            <w:noWrap w:val="0"/>
            <w:vAlign w:val="top"/>
          </w:tcPr>
          <w:p w14:paraId="5C3E152F">
            <w:pPr>
              <w:tabs>
                <w:tab w:val="left" w:pos="1080"/>
              </w:tabs>
              <w:jc w:val="center"/>
              <w:rPr>
                <w:rFonts w:ascii="宋体" w:hAnsi="宋体" w:cs="宋体"/>
                <w:color w:val="auto"/>
                <w:szCs w:val="24"/>
                <w:highlight w:val="none"/>
              </w:rPr>
            </w:pPr>
          </w:p>
        </w:tc>
      </w:tr>
      <w:tr w14:paraId="40C2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 w:type="dxa"/>
            <w:noWrap w:val="0"/>
            <w:vAlign w:val="center"/>
          </w:tcPr>
          <w:p w14:paraId="3D5F6C01">
            <w:pPr>
              <w:tabs>
                <w:tab w:val="left" w:pos="1080"/>
              </w:tabs>
              <w:jc w:val="center"/>
              <w:rPr>
                <w:rFonts w:ascii="宋体" w:hAnsi="宋体" w:cs="宋体"/>
                <w:color w:val="auto"/>
                <w:szCs w:val="24"/>
                <w:highlight w:val="none"/>
              </w:rPr>
            </w:pPr>
            <w:r>
              <w:rPr>
                <w:rFonts w:ascii="宋体" w:hAnsi="宋体" w:cs="宋体"/>
                <w:color w:val="auto"/>
                <w:szCs w:val="24"/>
                <w:highlight w:val="none"/>
              </w:rPr>
              <w:t>3</w:t>
            </w:r>
          </w:p>
        </w:tc>
        <w:tc>
          <w:tcPr>
            <w:tcW w:w="2888" w:type="dxa"/>
            <w:noWrap w:val="0"/>
            <w:vAlign w:val="center"/>
          </w:tcPr>
          <w:p w14:paraId="0FD9D318">
            <w:pPr>
              <w:tabs>
                <w:tab w:val="left" w:pos="1080"/>
              </w:tabs>
              <w:jc w:val="center"/>
              <w:rPr>
                <w:rFonts w:ascii="宋体" w:hAnsi="宋体" w:cs="宋体"/>
                <w:color w:val="auto"/>
                <w:szCs w:val="24"/>
                <w:highlight w:val="none"/>
              </w:rPr>
            </w:pPr>
            <w:r>
              <w:rPr>
                <w:rFonts w:ascii="宋体" w:hAnsi="宋体" w:cs="宋体"/>
                <w:color w:val="auto"/>
                <w:szCs w:val="24"/>
                <w:highlight w:val="none"/>
              </w:rPr>
              <w:t>逾期交工违约金限额</w:t>
            </w:r>
          </w:p>
        </w:tc>
        <w:tc>
          <w:tcPr>
            <w:tcW w:w="1435" w:type="dxa"/>
            <w:noWrap w:val="0"/>
            <w:vAlign w:val="center"/>
          </w:tcPr>
          <w:p w14:paraId="2D50165E">
            <w:pPr>
              <w:tabs>
                <w:tab w:val="left" w:pos="1080"/>
              </w:tabs>
              <w:jc w:val="center"/>
              <w:rPr>
                <w:rFonts w:ascii="宋体" w:hAnsi="宋体" w:cs="宋体"/>
                <w:color w:val="auto"/>
                <w:szCs w:val="24"/>
                <w:highlight w:val="none"/>
              </w:rPr>
            </w:pPr>
            <w:r>
              <w:rPr>
                <w:rFonts w:ascii="宋体" w:hAnsi="宋体" w:cs="宋体"/>
                <w:color w:val="auto"/>
                <w:szCs w:val="24"/>
                <w:highlight w:val="none"/>
              </w:rPr>
              <w:t>11.5</w:t>
            </w:r>
          </w:p>
        </w:tc>
        <w:tc>
          <w:tcPr>
            <w:tcW w:w="3423" w:type="dxa"/>
            <w:noWrap w:val="0"/>
            <w:vAlign w:val="center"/>
          </w:tcPr>
          <w:p w14:paraId="1F7A57D7">
            <w:pPr>
              <w:tabs>
                <w:tab w:val="left" w:pos="1080"/>
              </w:tabs>
              <w:rPr>
                <w:rFonts w:ascii="宋体" w:hAnsi="宋体" w:cs="宋体"/>
                <w:color w:val="auto"/>
                <w:szCs w:val="24"/>
                <w:highlight w:val="none"/>
              </w:rPr>
            </w:pPr>
            <w:r>
              <w:rPr>
                <w:rFonts w:ascii="宋体" w:hAnsi="宋体" w:cs="宋体"/>
                <w:color w:val="auto"/>
                <w:szCs w:val="24"/>
                <w:highlight w:val="none"/>
              </w:rPr>
              <w:t>10%签约合同价</w:t>
            </w:r>
          </w:p>
        </w:tc>
        <w:tc>
          <w:tcPr>
            <w:tcW w:w="719" w:type="dxa"/>
            <w:noWrap w:val="0"/>
            <w:vAlign w:val="top"/>
          </w:tcPr>
          <w:p w14:paraId="680526BB">
            <w:pPr>
              <w:tabs>
                <w:tab w:val="left" w:pos="1080"/>
              </w:tabs>
              <w:jc w:val="center"/>
              <w:rPr>
                <w:rFonts w:ascii="宋体" w:hAnsi="宋体" w:cs="宋体"/>
                <w:color w:val="auto"/>
                <w:szCs w:val="24"/>
                <w:highlight w:val="none"/>
              </w:rPr>
            </w:pPr>
          </w:p>
        </w:tc>
      </w:tr>
      <w:tr w14:paraId="7734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9" w:type="dxa"/>
            <w:noWrap w:val="0"/>
            <w:vAlign w:val="center"/>
          </w:tcPr>
          <w:p w14:paraId="138A0E9A">
            <w:pPr>
              <w:tabs>
                <w:tab w:val="left" w:pos="1080"/>
              </w:tabs>
              <w:jc w:val="center"/>
              <w:rPr>
                <w:rFonts w:ascii="宋体" w:hAnsi="宋体" w:cs="宋体"/>
                <w:color w:val="auto"/>
                <w:szCs w:val="24"/>
                <w:highlight w:val="none"/>
              </w:rPr>
            </w:pPr>
            <w:r>
              <w:rPr>
                <w:rFonts w:ascii="宋体" w:hAnsi="宋体" w:cs="宋体"/>
                <w:color w:val="auto"/>
                <w:szCs w:val="24"/>
                <w:highlight w:val="none"/>
              </w:rPr>
              <w:t>4</w:t>
            </w:r>
          </w:p>
        </w:tc>
        <w:tc>
          <w:tcPr>
            <w:tcW w:w="2888" w:type="dxa"/>
            <w:noWrap w:val="0"/>
            <w:vAlign w:val="center"/>
          </w:tcPr>
          <w:p w14:paraId="29052EB7">
            <w:pPr>
              <w:tabs>
                <w:tab w:val="left" w:pos="1080"/>
              </w:tabs>
              <w:jc w:val="center"/>
              <w:rPr>
                <w:rFonts w:ascii="宋体" w:hAnsi="宋体" w:cs="宋体"/>
                <w:color w:val="auto"/>
                <w:szCs w:val="24"/>
                <w:highlight w:val="none"/>
              </w:rPr>
            </w:pPr>
            <w:r>
              <w:rPr>
                <w:rFonts w:ascii="宋体" w:hAnsi="宋体" w:cs="宋体"/>
                <w:color w:val="auto"/>
                <w:szCs w:val="24"/>
                <w:highlight w:val="none"/>
              </w:rPr>
              <w:t>提前交工的奖金</w:t>
            </w:r>
          </w:p>
        </w:tc>
        <w:tc>
          <w:tcPr>
            <w:tcW w:w="1435" w:type="dxa"/>
            <w:noWrap w:val="0"/>
            <w:vAlign w:val="center"/>
          </w:tcPr>
          <w:p w14:paraId="0189F039">
            <w:pPr>
              <w:tabs>
                <w:tab w:val="left" w:pos="1080"/>
              </w:tabs>
              <w:jc w:val="center"/>
              <w:rPr>
                <w:rFonts w:ascii="宋体" w:hAnsi="宋体" w:cs="宋体"/>
                <w:color w:val="auto"/>
                <w:szCs w:val="24"/>
                <w:highlight w:val="none"/>
              </w:rPr>
            </w:pPr>
            <w:r>
              <w:rPr>
                <w:rFonts w:ascii="宋体" w:hAnsi="宋体" w:cs="宋体"/>
                <w:color w:val="auto"/>
                <w:szCs w:val="24"/>
                <w:highlight w:val="none"/>
              </w:rPr>
              <w:t>11.6</w:t>
            </w:r>
          </w:p>
        </w:tc>
        <w:tc>
          <w:tcPr>
            <w:tcW w:w="3423" w:type="dxa"/>
            <w:noWrap w:val="0"/>
            <w:vAlign w:val="center"/>
          </w:tcPr>
          <w:p w14:paraId="2A7C4C46">
            <w:pPr>
              <w:tabs>
                <w:tab w:val="left" w:pos="1080"/>
              </w:tabs>
              <w:rPr>
                <w:rFonts w:ascii="宋体" w:hAnsi="宋体" w:cs="宋体"/>
                <w:color w:val="auto"/>
                <w:szCs w:val="24"/>
                <w:highlight w:val="none"/>
              </w:rPr>
            </w:pPr>
            <w:r>
              <w:rPr>
                <w:rFonts w:ascii="宋体" w:hAnsi="宋体" w:cs="宋体"/>
                <w:color w:val="auto"/>
                <w:szCs w:val="24"/>
                <w:highlight w:val="none"/>
              </w:rPr>
              <w:t>/</w:t>
            </w:r>
          </w:p>
        </w:tc>
        <w:tc>
          <w:tcPr>
            <w:tcW w:w="719" w:type="dxa"/>
            <w:noWrap w:val="0"/>
            <w:vAlign w:val="top"/>
          </w:tcPr>
          <w:p w14:paraId="2DCFEC1D">
            <w:pPr>
              <w:tabs>
                <w:tab w:val="left" w:pos="1080"/>
              </w:tabs>
              <w:jc w:val="center"/>
              <w:rPr>
                <w:rFonts w:ascii="宋体" w:hAnsi="宋体" w:cs="宋体"/>
                <w:color w:val="auto"/>
                <w:szCs w:val="24"/>
                <w:highlight w:val="none"/>
              </w:rPr>
            </w:pPr>
          </w:p>
        </w:tc>
      </w:tr>
      <w:tr w14:paraId="20F8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9" w:type="dxa"/>
            <w:noWrap w:val="0"/>
            <w:vAlign w:val="center"/>
          </w:tcPr>
          <w:p w14:paraId="251BE240">
            <w:pPr>
              <w:tabs>
                <w:tab w:val="left" w:pos="1080"/>
              </w:tabs>
              <w:jc w:val="center"/>
              <w:rPr>
                <w:rFonts w:ascii="宋体" w:hAnsi="宋体" w:cs="宋体"/>
                <w:color w:val="auto"/>
                <w:szCs w:val="24"/>
                <w:highlight w:val="none"/>
              </w:rPr>
            </w:pPr>
            <w:r>
              <w:rPr>
                <w:rFonts w:ascii="宋体" w:hAnsi="宋体" w:cs="宋体"/>
                <w:color w:val="auto"/>
                <w:szCs w:val="24"/>
                <w:highlight w:val="none"/>
              </w:rPr>
              <w:t>5</w:t>
            </w:r>
          </w:p>
        </w:tc>
        <w:tc>
          <w:tcPr>
            <w:tcW w:w="2888" w:type="dxa"/>
            <w:noWrap w:val="0"/>
            <w:vAlign w:val="center"/>
          </w:tcPr>
          <w:p w14:paraId="61D14C23">
            <w:pPr>
              <w:tabs>
                <w:tab w:val="left" w:pos="1080"/>
              </w:tabs>
              <w:jc w:val="center"/>
              <w:rPr>
                <w:rFonts w:ascii="宋体" w:hAnsi="宋体" w:cs="宋体"/>
                <w:color w:val="auto"/>
                <w:szCs w:val="24"/>
                <w:highlight w:val="none"/>
              </w:rPr>
            </w:pPr>
            <w:r>
              <w:rPr>
                <w:rFonts w:ascii="宋体" w:hAnsi="宋体" w:cs="宋体"/>
                <w:color w:val="auto"/>
                <w:szCs w:val="24"/>
                <w:highlight w:val="none"/>
              </w:rPr>
              <w:t>提前交工的奖金限额</w:t>
            </w:r>
          </w:p>
        </w:tc>
        <w:tc>
          <w:tcPr>
            <w:tcW w:w="1435" w:type="dxa"/>
            <w:noWrap w:val="0"/>
            <w:vAlign w:val="center"/>
          </w:tcPr>
          <w:p w14:paraId="28EF7D63">
            <w:pPr>
              <w:tabs>
                <w:tab w:val="left" w:pos="1080"/>
              </w:tabs>
              <w:jc w:val="center"/>
              <w:rPr>
                <w:rFonts w:ascii="宋体" w:hAnsi="宋体" w:cs="宋体"/>
                <w:color w:val="auto"/>
                <w:szCs w:val="24"/>
                <w:highlight w:val="none"/>
              </w:rPr>
            </w:pPr>
            <w:r>
              <w:rPr>
                <w:rFonts w:ascii="宋体" w:hAnsi="宋体" w:cs="宋体"/>
                <w:color w:val="auto"/>
                <w:szCs w:val="24"/>
                <w:highlight w:val="none"/>
              </w:rPr>
              <w:t>11.6</w:t>
            </w:r>
          </w:p>
        </w:tc>
        <w:tc>
          <w:tcPr>
            <w:tcW w:w="3423" w:type="dxa"/>
            <w:noWrap w:val="0"/>
            <w:vAlign w:val="center"/>
          </w:tcPr>
          <w:p w14:paraId="6436E085">
            <w:pPr>
              <w:tabs>
                <w:tab w:val="left" w:pos="1080"/>
              </w:tabs>
              <w:rPr>
                <w:rFonts w:ascii="宋体" w:hAnsi="宋体" w:cs="宋体"/>
                <w:color w:val="auto"/>
                <w:szCs w:val="24"/>
                <w:highlight w:val="none"/>
              </w:rPr>
            </w:pPr>
            <w:r>
              <w:rPr>
                <w:rFonts w:ascii="宋体" w:hAnsi="宋体" w:cs="宋体"/>
                <w:color w:val="auto"/>
                <w:szCs w:val="24"/>
                <w:highlight w:val="none"/>
              </w:rPr>
              <w:t>/</w:t>
            </w:r>
          </w:p>
        </w:tc>
        <w:tc>
          <w:tcPr>
            <w:tcW w:w="719" w:type="dxa"/>
            <w:noWrap w:val="0"/>
            <w:vAlign w:val="top"/>
          </w:tcPr>
          <w:p w14:paraId="664B08A0">
            <w:pPr>
              <w:tabs>
                <w:tab w:val="left" w:pos="1080"/>
              </w:tabs>
              <w:jc w:val="center"/>
              <w:rPr>
                <w:rFonts w:ascii="宋体" w:hAnsi="宋体" w:cs="宋体"/>
                <w:color w:val="auto"/>
                <w:szCs w:val="24"/>
                <w:highlight w:val="none"/>
              </w:rPr>
            </w:pPr>
          </w:p>
        </w:tc>
      </w:tr>
      <w:tr w14:paraId="0F70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 w:type="dxa"/>
            <w:noWrap w:val="0"/>
            <w:vAlign w:val="center"/>
          </w:tcPr>
          <w:p w14:paraId="4F26C36A">
            <w:pPr>
              <w:tabs>
                <w:tab w:val="left" w:pos="1080"/>
              </w:tabs>
              <w:jc w:val="center"/>
              <w:rPr>
                <w:rFonts w:ascii="宋体" w:hAnsi="宋体" w:cs="宋体"/>
                <w:color w:val="auto"/>
                <w:szCs w:val="24"/>
                <w:highlight w:val="none"/>
              </w:rPr>
            </w:pPr>
            <w:r>
              <w:rPr>
                <w:rFonts w:ascii="宋体" w:hAnsi="宋体" w:cs="宋体"/>
                <w:color w:val="auto"/>
                <w:szCs w:val="24"/>
                <w:highlight w:val="none"/>
              </w:rPr>
              <w:t>6</w:t>
            </w:r>
          </w:p>
        </w:tc>
        <w:tc>
          <w:tcPr>
            <w:tcW w:w="2888" w:type="dxa"/>
            <w:noWrap w:val="0"/>
            <w:vAlign w:val="center"/>
          </w:tcPr>
          <w:p w14:paraId="198D2745">
            <w:pPr>
              <w:tabs>
                <w:tab w:val="left" w:pos="1080"/>
              </w:tabs>
              <w:jc w:val="center"/>
              <w:rPr>
                <w:rFonts w:ascii="宋体" w:hAnsi="宋体" w:cs="宋体"/>
                <w:color w:val="auto"/>
                <w:szCs w:val="24"/>
                <w:highlight w:val="none"/>
              </w:rPr>
            </w:pPr>
            <w:r>
              <w:rPr>
                <w:rFonts w:ascii="宋体" w:hAnsi="宋体" w:cs="宋体"/>
                <w:color w:val="auto"/>
                <w:szCs w:val="24"/>
                <w:highlight w:val="none"/>
              </w:rPr>
              <w:t>价格调整的差额计算</w:t>
            </w:r>
          </w:p>
        </w:tc>
        <w:tc>
          <w:tcPr>
            <w:tcW w:w="1435" w:type="dxa"/>
            <w:noWrap w:val="0"/>
            <w:vAlign w:val="center"/>
          </w:tcPr>
          <w:p w14:paraId="4633DE55">
            <w:pPr>
              <w:tabs>
                <w:tab w:val="left" w:pos="1080"/>
              </w:tabs>
              <w:jc w:val="center"/>
              <w:rPr>
                <w:rFonts w:ascii="宋体" w:hAnsi="宋体" w:cs="宋体"/>
                <w:color w:val="auto"/>
                <w:szCs w:val="24"/>
                <w:highlight w:val="none"/>
              </w:rPr>
            </w:pPr>
            <w:r>
              <w:rPr>
                <w:rFonts w:ascii="宋体" w:hAnsi="宋体" w:cs="宋体"/>
                <w:color w:val="auto"/>
                <w:szCs w:val="24"/>
                <w:highlight w:val="none"/>
              </w:rPr>
              <w:t>16.1.1</w:t>
            </w:r>
          </w:p>
        </w:tc>
        <w:tc>
          <w:tcPr>
            <w:tcW w:w="3423" w:type="dxa"/>
            <w:noWrap w:val="0"/>
            <w:vAlign w:val="center"/>
          </w:tcPr>
          <w:p w14:paraId="1675AE71">
            <w:pPr>
              <w:tabs>
                <w:tab w:val="left" w:pos="1080"/>
              </w:tabs>
              <w:rPr>
                <w:rFonts w:ascii="宋体" w:hAnsi="宋体" w:cs="宋体"/>
                <w:color w:val="auto"/>
                <w:szCs w:val="24"/>
                <w:highlight w:val="none"/>
              </w:rPr>
            </w:pPr>
            <w:r>
              <w:rPr>
                <w:rFonts w:ascii="宋体" w:hAnsi="宋体" w:cs="宋体"/>
                <w:color w:val="auto"/>
                <w:szCs w:val="24"/>
                <w:highlight w:val="none"/>
              </w:rPr>
              <w:t>不调价</w:t>
            </w:r>
          </w:p>
        </w:tc>
        <w:tc>
          <w:tcPr>
            <w:tcW w:w="719" w:type="dxa"/>
            <w:noWrap w:val="0"/>
            <w:vAlign w:val="top"/>
          </w:tcPr>
          <w:p w14:paraId="09EA83DA">
            <w:pPr>
              <w:tabs>
                <w:tab w:val="left" w:pos="1080"/>
              </w:tabs>
              <w:jc w:val="center"/>
              <w:rPr>
                <w:rFonts w:ascii="宋体" w:hAnsi="宋体" w:cs="宋体"/>
                <w:color w:val="auto"/>
                <w:szCs w:val="24"/>
                <w:highlight w:val="none"/>
              </w:rPr>
            </w:pPr>
          </w:p>
        </w:tc>
      </w:tr>
      <w:tr w14:paraId="665E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829" w:type="dxa"/>
            <w:noWrap w:val="0"/>
            <w:vAlign w:val="center"/>
          </w:tcPr>
          <w:p w14:paraId="50ED87E1">
            <w:pPr>
              <w:tabs>
                <w:tab w:val="left" w:pos="1080"/>
              </w:tabs>
              <w:jc w:val="center"/>
              <w:rPr>
                <w:rFonts w:ascii="宋体" w:hAnsi="宋体" w:cs="宋体"/>
                <w:color w:val="auto"/>
                <w:szCs w:val="24"/>
                <w:highlight w:val="none"/>
              </w:rPr>
            </w:pPr>
            <w:r>
              <w:rPr>
                <w:rFonts w:ascii="宋体" w:hAnsi="宋体" w:cs="宋体"/>
                <w:color w:val="auto"/>
                <w:szCs w:val="24"/>
                <w:highlight w:val="none"/>
              </w:rPr>
              <w:t>7</w:t>
            </w:r>
          </w:p>
        </w:tc>
        <w:tc>
          <w:tcPr>
            <w:tcW w:w="2888" w:type="dxa"/>
            <w:noWrap w:val="0"/>
            <w:vAlign w:val="center"/>
          </w:tcPr>
          <w:p w14:paraId="4B5867C0">
            <w:pPr>
              <w:tabs>
                <w:tab w:val="left" w:pos="1080"/>
              </w:tabs>
              <w:jc w:val="center"/>
              <w:rPr>
                <w:rFonts w:ascii="宋体" w:hAnsi="宋体" w:cs="宋体"/>
                <w:color w:val="auto"/>
                <w:szCs w:val="24"/>
                <w:highlight w:val="none"/>
              </w:rPr>
            </w:pPr>
            <w:r>
              <w:rPr>
                <w:rFonts w:ascii="宋体" w:hAnsi="宋体" w:cs="宋体"/>
                <w:color w:val="auto"/>
                <w:szCs w:val="24"/>
                <w:highlight w:val="none"/>
              </w:rPr>
              <w:t>开工预付款金额</w:t>
            </w:r>
          </w:p>
        </w:tc>
        <w:tc>
          <w:tcPr>
            <w:tcW w:w="1435" w:type="dxa"/>
            <w:noWrap w:val="0"/>
            <w:vAlign w:val="center"/>
          </w:tcPr>
          <w:p w14:paraId="43440C08">
            <w:pPr>
              <w:tabs>
                <w:tab w:val="left" w:pos="1080"/>
              </w:tabs>
              <w:jc w:val="center"/>
              <w:rPr>
                <w:rFonts w:ascii="宋体" w:hAnsi="宋体" w:cs="宋体"/>
                <w:color w:val="auto"/>
                <w:szCs w:val="24"/>
                <w:highlight w:val="none"/>
              </w:rPr>
            </w:pPr>
            <w:r>
              <w:rPr>
                <w:rFonts w:ascii="宋体" w:hAnsi="宋体" w:cs="宋体"/>
                <w:color w:val="auto"/>
                <w:szCs w:val="24"/>
                <w:highlight w:val="none"/>
              </w:rPr>
              <w:t>17.2.1</w:t>
            </w:r>
          </w:p>
        </w:tc>
        <w:tc>
          <w:tcPr>
            <w:tcW w:w="3423" w:type="dxa"/>
            <w:noWrap w:val="0"/>
            <w:vAlign w:val="center"/>
          </w:tcPr>
          <w:p w14:paraId="024429CC">
            <w:pPr>
              <w:tabs>
                <w:tab w:val="left" w:pos="1080"/>
              </w:tabs>
              <w:rPr>
                <w:rFonts w:ascii="宋体" w:hAnsi="宋体" w:cs="宋体"/>
                <w:color w:val="auto"/>
                <w:szCs w:val="24"/>
                <w:highlight w:val="none"/>
              </w:rPr>
            </w:pPr>
            <w:r>
              <w:rPr>
                <w:rFonts w:hint="eastAsia" w:ascii="宋体" w:hAnsi="宋体" w:cs="宋体"/>
                <w:color w:val="auto"/>
                <w:szCs w:val="24"/>
                <w:highlight w:val="none"/>
                <w:lang w:val="en-US" w:eastAsia="zh-CN"/>
              </w:rPr>
              <w:t>1</w:t>
            </w:r>
            <w:r>
              <w:rPr>
                <w:rFonts w:ascii="宋体" w:hAnsi="宋体" w:cs="宋体"/>
                <w:color w:val="auto"/>
                <w:szCs w:val="24"/>
                <w:highlight w:val="none"/>
              </w:rPr>
              <w:t>0%签约合同价</w:t>
            </w:r>
          </w:p>
        </w:tc>
        <w:tc>
          <w:tcPr>
            <w:tcW w:w="719" w:type="dxa"/>
            <w:noWrap w:val="0"/>
            <w:vAlign w:val="top"/>
          </w:tcPr>
          <w:p w14:paraId="68013465">
            <w:pPr>
              <w:tabs>
                <w:tab w:val="left" w:pos="1080"/>
              </w:tabs>
              <w:jc w:val="center"/>
              <w:rPr>
                <w:rFonts w:ascii="宋体" w:hAnsi="宋体" w:cs="宋体"/>
                <w:color w:val="auto"/>
                <w:szCs w:val="24"/>
                <w:highlight w:val="none"/>
              </w:rPr>
            </w:pPr>
          </w:p>
        </w:tc>
      </w:tr>
      <w:tr w14:paraId="50F8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9" w:type="dxa"/>
            <w:noWrap w:val="0"/>
            <w:vAlign w:val="center"/>
          </w:tcPr>
          <w:p w14:paraId="4B253030">
            <w:pPr>
              <w:tabs>
                <w:tab w:val="left" w:pos="1080"/>
              </w:tabs>
              <w:jc w:val="center"/>
              <w:rPr>
                <w:rFonts w:ascii="宋体" w:hAnsi="宋体" w:cs="宋体"/>
                <w:color w:val="auto"/>
                <w:szCs w:val="24"/>
                <w:highlight w:val="none"/>
              </w:rPr>
            </w:pPr>
            <w:r>
              <w:rPr>
                <w:rFonts w:ascii="宋体" w:hAnsi="宋体" w:cs="宋体"/>
                <w:color w:val="auto"/>
                <w:szCs w:val="24"/>
                <w:highlight w:val="none"/>
              </w:rPr>
              <w:t>8</w:t>
            </w:r>
          </w:p>
        </w:tc>
        <w:tc>
          <w:tcPr>
            <w:tcW w:w="2888" w:type="dxa"/>
            <w:noWrap w:val="0"/>
            <w:vAlign w:val="center"/>
          </w:tcPr>
          <w:p w14:paraId="3A6A9FB4">
            <w:pPr>
              <w:tabs>
                <w:tab w:val="left" w:pos="1080"/>
              </w:tabs>
              <w:jc w:val="center"/>
              <w:rPr>
                <w:rFonts w:ascii="宋体" w:hAnsi="宋体" w:cs="宋体"/>
                <w:color w:val="auto"/>
                <w:szCs w:val="24"/>
                <w:highlight w:val="none"/>
              </w:rPr>
            </w:pPr>
            <w:r>
              <w:rPr>
                <w:rFonts w:ascii="宋体" w:hAnsi="宋体" w:cs="宋体"/>
                <w:color w:val="auto"/>
                <w:szCs w:val="24"/>
                <w:highlight w:val="none"/>
              </w:rPr>
              <w:t>材料、设备预付款比例</w:t>
            </w:r>
          </w:p>
        </w:tc>
        <w:tc>
          <w:tcPr>
            <w:tcW w:w="1435" w:type="dxa"/>
            <w:noWrap w:val="0"/>
            <w:vAlign w:val="center"/>
          </w:tcPr>
          <w:p w14:paraId="6CE61F9F">
            <w:pPr>
              <w:tabs>
                <w:tab w:val="left" w:pos="1080"/>
              </w:tabs>
              <w:jc w:val="center"/>
              <w:rPr>
                <w:rFonts w:ascii="宋体" w:hAnsi="宋体" w:cs="宋体"/>
                <w:color w:val="auto"/>
                <w:szCs w:val="24"/>
                <w:highlight w:val="none"/>
              </w:rPr>
            </w:pPr>
            <w:r>
              <w:rPr>
                <w:rFonts w:ascii="宋体" w:hAnsi="宋体" w:cs="宋体"/>
                <w:color w:val="auto"/>
                <w:szCs w:val="24"/>
                <w:highlight w:val="none"/>
              </w:rPr>
              <w:t>17.2.1</w:t>
            </w:r>
          </w:p>
        </w:tc>
        <w:tc>
          <w:tcPr>
            <w:tcW w:w="3423" w:type="dxa"/>
            <w:noWrap w:val="0"/>
            <w:vAlign w:val="center"/>
          </w:tcPr>
          <w:p w14:paraId="3EA2C1ED">
            <w:pPr>
              <w:tabs>
                <w:tab w:val="left" w:pos="1080"/>
              </w:tabs>
              <w:rPr>
                <w:rFonts w:ascii="宋体" w:hAnsi="宋体" w:cs="宋体"/>
                <w:color w:val="auto"/>
                <w:szCs w:val="24"/>
                <w:highlight w:val="none"/>
              </w:rPr>
            </w:pPr>
            <w:r>
              <w:rPr>
                <w:rFonts w:ascii="宋体" w:hAnsi="宋体" w:cs="宋体"/>
                <w:color w:val="auto"/>
                <w:szCs w:val="24"/>
                <w:highlight w:val="none"/>
                <w:u w:val="single"/>
              </w:rPr>
              <w:t>钢材、水泥、沥青、砂、石</w:t>
            </w:r>
            <w:r>
              <w:rPr>
                <w:rFonts w:ascii="宋体" w:hAnsi="宋体" w:cs="宋体"/>
                <w:color w:val="auto"/>
                <w:szCs w:val="24"/>
                <w:highlight w:val="none"/>
              </w:rPr>
              <w:t>等主要材料、设备单据所列费用70%</w:t>
            </w:r>
          </w:p>
        </w:tc>
        <w:tc>
          <w:tcPr>
            <w:tcW w:w="719" w:type="dxa"/>
            <w:noWrap w:val="0"/>
            <w:vAlign w:val="top"/>
          </w:tcPr>
          <w:p w14:paraId="222D2184">
            <w:pPr>
              <w:tabs>
                <w:tab w:val="left" w:pos="1080"/>
              </w:tabs>
              <w:jc w:val="center"/>
              <w:rPr>
                <w:rFonts w:ascii="宋体" w:hAnsi="宋体" w:cs="宋体"/>
                <w:color w:val="auto"/>
                <w:szCs w:val="24"/>
                <w:highlight w:val="none"/>
              </w:rPr>
            </w:pPr>
          </w:p>
        </w:tc>
      </w:tr>
      <w:tr w14:paraId="03FE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29" w:type="dxa"/>
            <w:noWrap w:val="0"/>
            <w:vAlign w:val="center"/>
          </w:tcPr>
          <w:p w14:paraId="6B5FC4E1">
            <w:pPr>
              <w:tabs>
                <w:tab w:val="left" w:pos="1080"/>
              </w:tabs>
              <w:jc w:val="center"/>
              <w:rPr>
                <w:rFonts w:ascii="宋体" w:hAnsi="宋体" w:cs="宋体"/>
                <w:color w:val="auto"/>
                <w:szCs w:val="24"/>
                <w:highlight w:val="none"/>
              </w:rPr>
            </w:pPr>
            <w:r>
              <w:rPr>
                <w:rFonts w:ascii="宋体" w:hAnsi="宋体" w:cs="宋体"/>
                <w:color w:val="auto"/>
                <w:szCs w:val="24"/>
                <w:highlight w:val="none"/>
              </w:rPr>
              <w:t>9</w:t>
            </w:r>
          </w:p>
        </w:tc>
        <w:tc>
          <w:tcPr>
            <w:tcW w:w="2888" w:type="dxa"/>
            <w:noWrap w:val="0"/>
            <w:vAlign w:val="center"/>
          </w:tcPr>
          <w:p w14:paraId="6AE7E91C">
            <w:pPr>
              <w:tabs>
                <w:tab w:val="left" w:pos="1080"/>
              </w:tabs>
              <w:jc w:val="center"/>
              <w:rPr>
                <w:rFonts w:ascii="宋体" w:hAnsi="宋体" w:cs="宋体"/>
                <w:color w:val="auto"/>
                <w:szCs w:val="24"/>
                <w:highlight w:val="none"/>
              </w:rPr>
            </w:pPr>
            <w:r>
              <w:rPr>
                <w:rFonts w:ascii="宋体" w:hAnsi="宋体" w:cs="宋体"/>
                <w:color w:val="auto"/>
                <w:szCs w:val="24"/>
                <w:highlight w:val="none"/>
              </w:rPr>
              <w:t>进度付款证书最低限额</w:t>
            </w:r>
          </w:p>
        </w:tc>
        <w:tc>
          <w:tcPr>
            <w:tcW w:w="1435" w:type="dxa"/>
            <w:noWrap w:val="0"/>
            <w:vAlign w:val="center"/>
          </w:tcPr>
          <w:p w14:paraId="75D38AC4">
            <w:pPr>
              <w:tabs>
                <w:tab w:val="left" w:pos="1080"/>
              </w:tabs>
              <w:jc w:val="center"/>
              <w:rPr>
                <w:rFonts w:ascii="宋体" w:hAnsi="宋体" w:cs="宋体"/>
                <w:color w:val="auto"/>
                <w:szCs w:val="24"/>
                <w:highlight w:val="none"/>
              </w:rPr>
            </w:pPr>
            <w:r>
              <w:rPr>
                <w:rFonts w:ascii="宋体" w:hAnsi="宋体" w:cs="宋体"/>
                <w:color w:val="auto"/>
                <w:szCs w:val="24"/>
                <w:highlight w:val="none"/>
              </w:rPr>
              <w:t>17.3.3（1）</w:t>
            </w:r>
          </w:p>
        </w:tc>
        <w:tc>
          <w:tcPr>
            <w:tcW w:w="3423" w:type="dxa"/>
            <w:noWrap w:val="0"/>
            <w:vAlign w:val="center"/>
          </w:tcPr>
          <w:p w14:paraId="5C017F02">
            <w:pPr>
              <w:tabs>
                <w:tab w:val="left" w:pos="1080"/>
              </w:tabs>
              <w:rPr>
                <w:rFonts w:ascii="宋体" w:hAnsi="宋体" w:cs="宋体"/>
                <w:b/>
                <w:color w:val="auto"/>
                <w:szCs w:val="24"/>
                <w:highlight w:val="none"/>
              </w:rPr>
            </w:pPr>
            <w:r>
              <w:rPr>
                <w:rFonts w:ascii="宋体" w:hAnsi="宋体" w:cs="宋体"/>
                <w:b/>
                <w:color w:val="auto"/>
                <w:szCs w:val="24"/>
                <w:highlight w:val="none"/>
              </w:rPr>
              <w:t>5%签约合同价</w:t>
            </w:r>
          </w:p>
        </w:tc>
        <w:tc>
          <w:tcPr>
            <w:tcW w:w="719" w:type="dxa"/>
            <w:noWrap w:val="0"/>
            <w:vAlign w:val="top"/>
          </w:tcPr>
          <w:p w14:paraId="5B00C1A2">
            <w:pPr>
              <w:tabs>
                <w:tab w:val="left" w:pos="1080"/>
              </w:tabs>
              <w:jc w:val="center"/>
              <w:rPr>
                <w:rFonts w:ascii="宋体" w:hAnsi="宋体" w:cs="宋体"/>
                <w:color w:val="auto"/>
                <w:szCs w:val="24"/>
                <w:highlight w:val="none"/>
              </w:rPr>
            </w:pPr>
          </w:p>
        </w:tc>
      </w:tr>
      <w:tr w14:paraId="2C5E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829" w:type="dxa"/>
            <w:noWrap w:val="0"/>
            <w:vAlign w:val="center"/>
          </w:tcPr>
          <w:p w14:paraId="0D26465F">
            <w:pPr>
              <w:tabs>
                <w:tab w:val="left" w:pos="1080"/>
              </w:tabs>
              <w:jc w:val="center"/>
              <w:rPr>
                <w:rFonts w:ascii="宋体" w:hAnsi="宋体" w:cs="宋体"/>
                <w:color w:val="auto"/>
                <w:szCs w:val="24"/>
                <w:highlight w:val="none"/>
              </w:rPr>
            </w:pPr>
            <w:r>
              <w:rPr>
                <w:rFonts w:ascii="宋体" w:hAnsi="宋体" w:cs="宋体"/>
                <w:color w:val="auto"/>
                <w:szCs w:val="24"/>
                <w:highlight w:val="none"/>
              </w:rPr>
              <w:t>10</w:t>
            </w:r>
          </w:p>
        </w:tc>
        <w:tc>
          <w:tcPr>
            <w:tcW w:w="2888" w:type="dxa"/>
            <w:noWrap w:val="0"/>
            <w:vAlign w:val="center"/>
          </w:tcPr>
          <w:p w14:paraId="2EEE1C96">
            <w:pPr>
              <w:tabs>
                <w:tab w:val="left" w:pos="1080"/>
              </w:tabs>
              <w:jc w:val="center"/>
              <w:rPr>
                <w:rFonts w:ascii="宋体" w:hAnsi="宋体" w:cs="宋体"/>
                <w:color w:val="auto"/>
                <w:szCs w:val="24"/>
                <w:highlight w:val="none"/>
              </w:rPr>
            </w:pPr>
            <w:r>
              <w:rPr>
                <w:rFonts w:ascii="宋体" w:hAnsi="宋体" w:cs="宋体"/>
                <w:color w:val="auto"/>
                <w:szCs w:val="24"/>
                <w:highlight w:val="none"/>
              </w:rPr>
              <w:t>逾期付款违约金的利率</w:t>
            </w:r>
          </w:p>
        </w:tc>
        <w:tc>
          <w:tcPr>
            <w:tcW w:w="1435" w:type="dxa"/>
            <w:noWrap w:val="0"/>
            <w:vAlign w:val="center"/>
          </w:tcPr>
          <w:p w14:paraId="29630197">
            <w:pPr>
              <w:tabs>
                <w:tab w:val="left" w:pos="1080"/>
              </w:tabs>
              <w:jc w:val="center"/>
              <w:rPr>
                <w:rFonts w:ascii="宋体" w:hAnsi="宋体" w:cs="宋体"/>
                <w:color w:val="auto"/>
                <w:szCs w:val="24"/>
                <w:highlight w:val="none"/>
              </w:rPr>
            </w:pPr>
            <w:r>
              <w:rPr>
                <w:rFonts w:ascii="宋体" w:hAnsi="宋体" w:cs="宋体"/>
                <w:color w:val="auto"/>
                <w:szCs w:val="24"/>
                <w:highlight w:val="none"/>
              </w:rPr>
              <w:t>17.3.3（2）</w:t>
            </w:r>
          </w:p>
        </w:tc>
        <w:tc>
          <w:tcPr>
            <w:tcW w:w="3423" w:type="dxa"/>
            <w:noWrap w:val="0"/>
            <w:vAlign w:val="center"/>
          </w:tcPr>
          <w:p w14:paraId="0F9713E4">
            <w:pPr>
              <w:tabs>
                <w:tab w:val="left" w:pos="1080"/>
              </w:tabs>
              <w:rPr>
                <w:rFonts w:ascii="宋体" w:hAnsi="宋体" w:cs="宋体"/>
                <w:color w:val="auto"/>
                <w:szCs w:val="24"/>
                <w:highlight w:val="none"/>
              </w:rPr>
            </w:pPr>
            <w:r>
              <w:rPr>
                <w:rFonts w:ascii="宋体" w:hAnsi="宋体" w:cs="宋体"/>
                <w:color w:val="auto"/>
                <w:szCs w:val="24"/>
                <w:highlight w:val="none"/>
              </w:rPr>
              <w:t>0.15‰/天</w:t>
            </w:r>
          </w:p>
        </w:tc>
        <w:tc>
          <w:tcPr>
            <w:tcW w:w="719" w:type="dxa"/>
            <w:noWrap w:val="0"/>
            <w:vAlign w:val="top"/>
          </w:tcPr>
          <w:p w14:paraId="180C0E15">
            <w:pPr>
              <w:tabs>
                <w:tab w:val="left" w:pos="1080"/>
              </w:tabs>
              <w:jc w:val="center"/>
              <w:rPr>
                <w:rFonts w:ascii="宋体" w:hAnsi="宋体" w:cs="宋体"/>
                <w:color w:val="auto"/>
                <w:szCs w:val="24"/>
                <w:highlight w:val="none"/>
              </w:rPr>
            </w:pPr>
          </w:p>
        </w:tc>
      </w:tr>
      <w:tr w14:paraId="69E3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829" w:type="dxa"/>
            <w:noWrap w:val="0"/>
            <w:vAlign w:val="center"/>
          </w:tcPr>
          <w:p w14:paraId="56B7237B">
            <w:pPr>
              <w:tabs>
                <w:tab w:val="left" w:pos="1080"/>
              </w:tabs>
              <w:jc w:val="center"/>
              <w:rPr>
                <w:rFonts w:ascii="宋体" w:hAnsi="宋体" w:cs="宋体"/>
                <w:color w:val="auto"/>
                <w:szCs w:val="24"/>
                <w:highlight w:val="none"/>
              </w:rPr>
            </w:pPr>
            <w:r>
              <w:rPr>
                <w:rFonts w:ascii="宋体" w:hAnsi="宋体" w:cs="宋体"/>
                <w:color w:val="auto"/>
                <w:szCs w:val="24"/>
                <w:highlight w:val="none"/>
              </w:rPr>
              <w:t>11</w:t>
            </w:r>
          </w:p>
        </w:tc>
        <w:tc>
          <w:tcPr>
            <w:tcW w:w="2888" w:type="dxa"/>
            <w:noWrap w:val="0"/>
            <w:vAlign w:val="center"/>
          </w:tcPr>
          <w:p w14:paraId="72EF857C">
            <w:pPr>
              <w:tabs>
                <w:tab w:val="left" w:pos="1080"/>
              </w:tabs>
              <w:jc w:val="center"/>
              <w:rPr>
                <w:rFonts w:ascii="宋体" w:hAnsi="宋体" w:cs="宋体"/>
                <w:color w:val="auto"/>
                <w:szCs w:val="24"/>
                <w:highlight w:val="none"/>
              </w:rPr>
            </w:pPr>
            <w:r>
              <w:rPr>
                <w:rFonts w:ascii="宋体" w:hAnsi="宋体" w:cs="宋体"/>
                <w:color w:val="auto"/>
                <w:szCs w:val="24"/>
                <w:highlight w:val="none"/>
              </w:rPr>
              <w:t>质量保证金限额</w:t>
            </w:r>
          </w:p>
        </w:tc>
        <w:tc>
          <w:tcPr>
            <w:tcW w:w="1435" w:type="dxa"/>
            <w:noWrap w:val="0"/>
            <w:vAlign w:val="center"/>
          </w:tcPr>
          <w:p w14:paraId="05798E86">
            <w:pPr>
              <w:tabs>
                <w:tab w:val="left" w:pos="1080"/>
              </w:tabs>
              <w:jc w:val="center"/>
              <w:rPr>
                <w:rFonts w:ascii="宋体" w:hAnsi="宋体" w:cs="宋体"/>
                <w:color w:val="auto"/>
                <w:szCs w:val="24"/>
                <w:highlight w:val="none"/>
              </w:rPr>
            </w:pPr>
            <w:r>
              <w:rPr>
                <w:rFonts w:ascii="宋体" w:hAnsi="宋体" w:cs="宋体"/>
                <w:color w:val="auto"/>
                <w:szCs w:val="24"/>
                <w:highlight w:val="none"/>
              </w:rPr>
              <w:t>17.4.1</w:t>
            </w:r>
          </w:p>
        </w:tc>
        <w:tc>
          <w:tcPr>
            <w:tcW w:w="3423" w:type="dxa"/>
            <w:noWrap w:val="0"/>
            <w:vAlign w:val="center"/>
          </w:tcPr>
          <w:p w14:paraId="0442110F">
            <w:pPr>
              <w:pStyle w:val="112"/>
              <w:autoSpaceDE w:val="0"/>
              <w:autoSpaceDN w:val="0"/>
              <w:spacing w:before="128" w:line="357" w:lineRule="auto"/>
              <w:ind w:left="106" w:right="96"/>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zh-CN" w:bidi="zh-CN"/>
              </w:rPr>
              <w:t xml:space="preserve"> </w:t>
            </w:r>
            <w:r>
              <w:rPr>
                <w:rFonts w:hint="eastAsia" w:ascii="宋体" w:hAnsi="宋体" w:cs="宋体"/>
                <w:color w:val="auto"/>
                <w:spacing w:val="-6"/>
                <w:sz w:val="24"/>
                <w:szCs w:val="24"/>
                <w:highlight w:val="none"/>
                <w:u w:val="single"/>
                <w:lang w:val="zh-CN" w:bidi="zh-CN"/>
              </w:rPr>
              <w:t xml:space="preserve"> </w:t>
            </w:r>
            <w:r>
              <w:rPr>
                <w:rFonts w:hint="eastAsia" w:ascii="宋体" w:hAnsi="宋体" w:cs="宋体"/>
                <w:color w:val="auto"/>
                <w:spacing w:val="-6"/>
                <w:sz w:val="24"/>
                <w:szCs w:val="24"/>
                <w:highlight w:val="none"/>
                <w:u w:val="single"/>
                <w:lang w:bidi="zh-CN"/>
              </w:rPr>
              <w:t>3</w:t>
            </w:r>
            <w:r>
              <w:rPr>
                <w:rFonts w:hint="eastAsia" w:ascii="宋体" w:hAnsi="宋体" w:cs="宋体"/>
                <w:color w:val="auto"/>
                <w:spacing w:val="-6"/>
                <w:sz w:val="24"/>
                <w:szCs w:val="24"/>
                <w:highlight w:val="none"/>
                <w:u w:val="single"/>
                <w:lang w:val="zh-CN" w:bidi="zh-CN"/>
              </w:rPr>
              <w:t xml:space="preserve"> </w:t>
            </w:r>
            <w:r>
              <w:rPr>
                <w:rFonts w:hint="eastAsia" w:ascii="宋体" w:hAnsi="宋体" w:cs="宋体"/>
                <w:color w:val="auto"/>
                <w:spacing w:val="-6"/>
                <w:sz w:val="24"/>
                <w:szCs w:val="24"/>
                <w:highlight w:val="none"/>
                <w:lang w:val="zh-CN" w:bidi="zh-CN"/>
              </w:rPr>
              <w:t>%合同价格，</w:t>
            </w:r>
            <w:r>
              <w:rPr>
                <w:rFonts w:hint="eastAsia" w:ascii="宋体" w:hAnsi="宋体" w:cs="宋体"/>
                <w:color w:val="auto"/>
                <w:spacing w:val="-8"/>
                <w:kern w:val="0"/>
                <w:sz w:val="24"/>
                <w:szCs w:val="24"/>
                <w:highlight w:val="none"/>
                <w:lang w:val="zh-CN" w:bidi="zh-CN"/>
              </w:rPr>
              <w:t>若交工验收时承包人具备被采购项目所在地省级交通运输主管部门评定为最高信用等级，发</w:t>
            </w:r>
            <w:r>
              <w:rPr>
                <w:rFonts w:hint="eastAsia" w:ascii="宋体" w:hAnsi="宋体" w:cs="宋体"/>
                <w:color w:val="auto"/>
                <w:spacing w:val="7"/>
                <w:kern w:val="0"/>
                <w:sz w:val="24"/>
                <w:szCs w:val="24"/>
                <w:highlight w:val="none"/>
                <w:lang w:val="zh-CN" w:bidi="zh-CN"/>
              </w:rPr>
              <w:t>包人给予</w:t>
            </w:r>
            <w:r>
              <w:rPr>
                <w:rFonts w:hint="eastAsia" w:ascii="宋体" w:hAnsi="宋体" w:cs="宋体"/>
                <w:color w:val="auto"/>
                <w:spacing w:val="7"/>
                <w:kern w:val="0"/>
                <w:sz w:val="24"/>
                <w:szCs w:val="24"/>
                <w:highlight w:val="none"/>
                <w:lang w:bidi="zh-CN"/>
              </w:rPr>
              <w:t>2</w:t>
            </w:r>
            <w:r>
              <w:rPr>
                <w:rFonts w:hint="eastAsia" w:ascii="宋体" w:hAnsi="宋体" w:cs="宋体"/>
                <w:color w:val="auto"/>
                <w:spacing w:val="10"/>
                <w:kern w:val="0"/>
                <w:sz w:val="24"/>
                <w:szCs w:val="24"/>
                <w:highlight w:val="none"/>
                <w:lang w:val="zh-CN" w:bidi="zh-CN"/>
              </w:rPr>
              <w:t>%</w:t>
            </w:r>
            <w:r>
              <w:rPr>
                <w:rFonts w:hint="eastAsia" w:ascii="宋体" w:hAnsi="宋体" w:cs="宋体"/>
                <w:color w:val="auto"/>
                <w:spacing w:val="6"/>
                <w:kern w:val="0"/>
                <w:sz w:val="24"/>
                <w:szCs w:val="24"/>
                <w:highlight w:val="none"/>
                <w:lang w:val="zh-CN" w:bidi="zh-CN"/>
              </w:rPr>
              <w:t>合同价格质量保证金</w:t>
            </w:r>
            <w:r>
              <w:rPr>
                <w:rFonts w:hint="eastAsia" w:ascii="宋体" w:hAnsi="宋体" w:cs="宋体"/>
                <w:color w:val="auto"/>
                <w:kern w:val="0"/>
                <w:sz w:val="24"/>
                <w:szCs w:val="24"/>
                <w:highlight w:val="none"/>
                <w:lang w:val="zh-CN" w:bidi="zh-CN"/>
              </w:rPr>
              <w:t>的优惠</w:t>
            </w:r>
          </w:p>
        </w:tc>
        <w:tc>
          <w:tcPr>
            <w:tcW w:w="719" w:type="dxa"/>
            <w:noWrap w:val="0"/>
            <w:vAlign w:val="top"/>
          </w:tcPr>
          <w:p w14:paraId="26FD9054">
            <w:pPr>
              <w:tabs>
                <w:tab w:val="left" w:pos="1080"/>
              </w:tabs>
              <w:jc w:val="center"/>
              <w:rPr>
                <w:rFonts w:ascii="宋体" w:hAnsi="宋体" w:cs="宋体"/>
                <w:color w:val="auto"/>
                <w:szCs w:val="24"/>
                <w:highlight w:val="none"/>
              </w:rPr>
            </w:pPr>
          </w:p>
        </w:tc>
      </w:tr>
      <w:tr w14:paraId="78AD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29" w:type="dxa"/>
            <w:noWrap w:val="0"/>
            <w:vAlign w:val="center"/>
          </w:tcPr>
          <w:p w14:paraId="63774102">
            <w:pPr>
              <w:tabs>
                <w:tab w:val="left" w:pos="1080"/>
              </w:tabs>
              <w:jc w:val="center"/>
              <w:rPr>
                <w:rFonts w:ascii="宋体" w:hAnsi="宋体" w:cs="宋体"/>
                <w:color w:val="auto"/>
                <w:szCs w:val="24"/>
                <w:highlight w:val="none"/>
              </w:rPr>
            </w:pPr>
            <w:r>
              <w:rPr>
                <w:rFonts w:ascii="宋体" w:hAnsi="宋体" w:cs="宋体"/>
                <w:color w:val="auto"/>
                <w:szCs w:val="24"/>
                <w:highlight w:val="none"/>
              </w:rPr>
              <w:t>12</w:t>
            </w:r>
          </w:p>
        </w:tc>
        <w:tc>
          <w:tcPr>
            <w:tcW w:w="2888" w:type="dxa"/>
            <w:noWrap w:val="0"/>
            <w:vAlign w:val="center"/>
          </w:tcPr>
          <w:p w14:paraId="5C23E3F7">
            <w:pPr>
              <w:tabs>
                <w:tab w:val="left" w:pos="1080"/>
              </w:tabs>
              <w:jc w:val="center"/>
              <w:rPr>
                <w:rFonts w:ascii="宋体" w:hAnsi="宋体" w:cs="宋体"/>
                <w:color w:val="auto"/>
                <w:szCs w:val="24"/>
                <w:highlight w:val="none"/>
              </w:rPr>
            </w:pPr>
            <w:r>
              <w:rPr>
                <w:rFonts w:ascii="宋体" w:hAnsi="宋体" w:cs="宋体"/>
                <w:color w:val="auto"/>
                <w:szCs w:val="24"/>
                <w:highlight w:val="none"/>
              </w:rPr>
              <w:t>保修期</w:t>
            </w:r>
          </w:p>
        </w:tc>
        <w:tc>
          <w:tcPr>
            <w:tcW w:w="1435" w:type="dxa"/>
            <w:noWrap w:val="0"/>
            <w:vAlign w:val="center"/>
          </w:tcPr>
          <w:p w14:paraId="5FFA15FC">
            <w:pPr>
              <w:tabs>
                <w:tab w:val="left" w:pos="1080"/>
              </w:tabs>
              <w:jc w:val="center"/>
              <w:rPr>
                <w:rFonts w:ascii="宋体" w:hAnsi="宋体" w:cs="宋体"/>
                <w:color w:val="auto"/>
                <w:szCs w:val="24"/>
                <w:highlight w:val="none"/>
              </w:rPr>
            </w:pPr>
            <w:r>
              <w:rPr>
                <w:rFonts w:ascii="宋体" w:hAnsi="宋体" w:cs="宋体"/>
                <w:color w:val="auto"/>
                <w:szCs w:val="24"/>
                <w:highlight w:val="none"/>
              </w:rPr>
              <w:t>19.7</w:t>
            </w:r>
          </w:p>
        </w:tc>
        <w:tc>
          <w:tcPr>
            <w:tcW w:w="3423" w:type="dxa"/>
            <w:noWrap w:val="0"/>
            <w:vAlign w:val="center"/>
          </w:tcPr>
          <w:p w14:paraId="0984061C">
            <w:pPr>
              <w:tabs>
                <w:tab w:val="left" w:pos="1080"/>
              </w:tabs>
              <w:rPr>
                <w:rFonts w:ascii="宋体" w:hAnsi="宋体" w:cs="宋体"/>
                <w:color w:val="auto"/>
                <w:szCs w:val="24"/>
                <w:highlight w:val="none"/>
              </w:rPr>
            </w:pPr>
            <w:r>
              <w:rPr>
                <w:rFonts w:ascii="宋体" w:hAnsi="宋体" w:cs="宋体"/>
                <w:color w:val="auto"/>
                <w:szCs w:val="24"/>
                <w:highlight w:val="none"/>
              </w:rPr>
              <w:t>自实际交工日期起计算5年</w:t>
            </w:r>
          </w:p>
        </w:tc>
        <w:tc>
          <w:tcPr>
            <w:tcW w:w="719" w:type="dxa"/>
            <w:noWrap w:val="0"/>
            <w:vAlign w:val="top"/>
          </w:tcPr>
          <w:p w14:paraId="10F2476E">
            <w:pPr>
              <w:tabs>
                <w:tab w:val="left" w:pos="1080"/>
              </w:tabs>
              <w:jc w:val="center"/>
              <w:rPr>
                <w:rFonts w:ascii="宋体" w:hAnsi="宋体" w:cs="宋体"/>
                <w:color w:val="auto"/>
                <w:szCs w:val="24"/>
                <w:highlight w:val="none"/>
              </w:rPr>
            </w:pPr>
          </w:p>
        </w:tc>
      </w:tr>
    </w:tbl>
    <w:p w14:paraId="78B609E2">
      <w:pPr>
        <w:pStyle w:val="13"/>
        <w:kinsoku w:val="0"/>
        <w:overflowPunct w:val="0"/>
        <w:ind w:left="0"/>
        <w:rPr>
          <w:rFonts w:hint="eastAsia" w:ascii="宋体" w:hAnsi="宋体" w:cs="宋体"/>
          <w:color w:val="auto"/>
          <w:sz w:val="20"/>
          <w:highlight w:val="none"/>
        </w:rPr>
      </w:pPr>
    </w:p>
    <w:p w14:paraId="47DA6F41">
      <w:pPr>
        <w:pStyle w:val="13"/>
        <w:tabs>
          <w:tab w:val="left" w:pos="2216"/>
          <w:tab w:val="left" w:pos="3056"/>
          <w:tab w:val="left" w:pos="3896"/>
        </w:tabs>
        <w:kinsoku w:val="0"/>
        <w:overflowPunct w:val="0"/>
        <w:spacing w:line="544" w:lineRule="auto"/>
        <w:ind w:left="0"/>
        <w:rPr>
          <w:rFonts w:hint="eastAsia" w:ascii="宋体" w:hAnsi="宋体" w:cs="宋体"/>
          <w:color w:val="auto"/>
          <w:szCs w:val="24"/>
          <w:highlight w:val="none"/>
        </w:rPr>
      </w:pPr>
      <w:r>
        <w:rPr>
          <w:rFonts w:hint="eastAsia" w:ascii="宋体" w:hAnsi="宋体" w:cs="宋体"/>
          <w:color w:val="auto"/>
          <w:szCs w:val="24"/>
          <w:highlight w:val="none"/>
        </w:rPr>
        <w:t>供应商（盖单位章）：</w:t>
      </w:r>
    </w:p>
    <w:p w14:paraId="258378C6">
      <w:pPr>
        <w:pStyle w:val="13"/>
        <w:tabs>
          <w:tab w:val="left" w:pos="2216"/>
          <w:tab w:val="left" w:pos="3056"/>
          <w:tab w:val="left" w:pos="3896"/>
        </w:tabs>
        <w:kinsoku w:val="0"/>
        <w:overflowPunct w:val="0"/>
        <w:spacing w:line="544" w:lineRule="auto"/>
        <w:ind w:left="0"/>
        <w:rPr>
          <w:rFonts w:hint="eastAsia" w:ascii="宋体" w:hAnsi="宋体" w:cs="宋体"/>
          <w:color w:val="auto"/>
          <w:szCs w:val="24"/>
          <w:highlight w:val="none"/>
        </w:rPr>
      </w:pPr>
      <w:r>
        <w:rPr>
          <w:rFonts w:hint="eastAsia" w:ascii="宋体" w:hAnsi="宋体" w:cs="宋体"/>
          <w:color w:val="auto"/>
          <w:szCs w:val="24"/>
          <w:highlight w:val="none"/>
        </w:rPr>
        <w:t>法定代表人或其委托理人（签字或盖章）：</w:t>
      </w:r>
    </w:p>
    <w:p w14:paraId="414C45AE">
      <w:pPr>
        <w:pStyle w:val="13"/>
        <w:tabs>
          <w:tab w:val="left" w:pos="2216"/>
          <w:tab w:val="left" w:pos="3056"/>
          <w:tab w:val="left" w:pos="3896"/>
        </w:tabs>
        <w:kinsoku w:val="0"/>
        <w:overflowPunct w:val="0"/>
        <w:spacing w:line="544" w:lineRule="auto"/>
        <w:ind w:left="0"/>
        <w:rPr>
          <w:rFonts w:hint="eastAsia" w:ascii="宋体" w:hAnsi="宋体" w:cs="宋体"/>
          <w:color w:val="auto"/>
          <w:szCs w:val="24"/>
          <w:highlight w:val="none"/>
        </w:rPr>
      </w:pPr>
      <w:r>
        <w:rPr>
          <w:rFonts w:hint="eastAsia" w:ascii="宋体" w:hAnsi="宋体" w:cs="宋体"/>
          <w:color w:val="auto"/>
          <w:szCs w:val="24"/>
          <w:highlight w:val="none"/>
        </w:rPr>
        <w:t>日期：</w:t>
      </w:r>
      <w:r>
        <w:rPr>
          <w:rFonts w:hint="eastAsia" w:ascii="宋体" w:hAnsi="宋体" w:cs="宋体"/>
          <w:color w:val="auto"/>
          <w:szCs w:val="24"/>
          <w:highlight w:val="none"/>
          <w:u w:val="single"/>
        </w:rPr>
        <w:tab/>
      </w:r>
      <w:r>
        <w:rPr>
          <w:rFonts w:hint="eastAsia" w:ascii="宋体" w:hAnsi="宋体" w:cs="宋体"/>
          <w:color w:val="auto"/>
          <w:szCs w:val="24"/>
          <w:highlight w:val="none"/>
        </w:rPr>
        <w:t>年</w:t>
      </w:r>
      <w:r>
        <w:rPr>
          <w:rFonts w:hint="eastAsia" w:ascii="宋体" w:hAnsi="宋体" w:cs="宋体"/>
          <w:color w:val="auto"/>
          <w:szCs w:val="24"/>
          <w:highlight w:val="none"/>
          <w:u w:val="single"/>
        </w:rPr>
        <w:tab/>
      </w:r>
      <w:r>
        <w:rPr>
          <w:rFonts w:hint="eastAsia" w:ascii="宋体" w:hAnsi="宋体" w:cs="宋体"/>
          <w:color w:val="auto"/>
          <w:szCs w:val="24"/>
          <w:highlight w:val="none"/>
        </w:rPr>
        <w:t>月</w:t>
      </w:r>
      <w:r>
        <w:rPr>
          <w:rFonts w:hint="eastAsia" w:ascii="宋体" w:hAnsi="宋体" w:cs="宋体"/>
          <w:color w:val="auto"/>
          <w:szCs w:val="24"/>
          <w:highlight w:val="none"/>
          <w:u w:val="single"/>
        </w:rPr>
        <w:tab/>
      </w:r>
      <w:r>
        <w:rPr>
          <w:rFonts w:hint="eastAsia" w:ascii="宋体" w:hAnsi="宋体" w:cs="宋体"/>
          <w:color w:val="auto"/>
          <w:szCs w:val="24"/>
          <w:highlight w:val="none"/>
        </w:rPr>
        <w:t>日</w:t>
      </w:r>
    </w:p>
    <w:p w14:paraId="737994C3">
      <w:pPr>
        <w:pStyle w:val="13"/>
        <w:tabs>
          <w:tab w:val="left" w:pos="2216"/>
          <w:tab w:val="left" w:pos="3056"/>
          <w:tab w:val="left" w:pos="3896"/>
        </w:tabs>
        <w:kinsoku w:val="0"/>
        <w:overflowPunct w:val="0"/>
        <w:spacing w:line="544" w:lineRule="auto"/>
        <w:ind w:left="0"/>
        <w:rPr>
          <w:rFonts w:hint="eastAsia" w:ascii="宋体" w:hAnsi="宋体" w:cs="宋体"/>
          <w:color w:val="auto"/>
          <w:sz w:val="21"/>
          <w:szCs w:val="21"/>
          <w:highlight w:val="none"/>
        </w:rPr>
        <w:sectPr>
          <w:pgSz w:w="11910" w:h="16840"/>
          <w:pgMar w:top="1100" w:right="1202" w:bottom="919" w:left="1298" w:header="918" w:footer="721" w:gutter="0"/>
          <w:cols w:space="720" w:num="1"/>
        </w:sectPr>
      </w:pPr>
    </w:p>
    <w:p w14:paraId="36B49DDF">
      <w:pPr>
        <w:pStyle w:val="13"/>
        <w:kinsoku w:val="0"/>
        <w:overflowPunct w:val="0"/>
        <w:ind w:left="0"/>
        <w:rPr>
          <w:rFonts w:hint="eastAsia" w:ascii="宋体" w:hAnsi="宋体" w:cs="宋体"/>
          <w:color w:val="auto"/>
          <w:sz w:val="7"/>
          <w:highlight w:val="none"/>
        </w:rPr>
      </w:pPr>
    </w:p>
    <w:p w14:paraId="0B67802B">
      <w:pPr>
        <w:pStyle w:val="13"/>
        <w:kinsoku w:val="0"/>
        <w:overflowPunct w:val="0"/>
        <w:ind w:left="0"/>
        <w:jc w:val="center"/>
        <w:rPr>
          <w:rFonts w:hint="eastAsia" w:ascii="宋体" w:hAnsi="宋体" w:cs="宋体"/>
          <w:color w:val="auto"/>
          <w:sz w:val="28"/>
          <w:highlight w:val="none"/>
        </w:rPr>
      </w:pPr>
      <w:r>
        <w:rPr>
          <w:rFonts w:hint="eastAsia" w:ascii="宋体" w:hAnsi="宋体" w:cs="宋体"/>
          <w:color w:val="auto"/>
          <w:sz w:val="28"/>
          <w:highlight w:val="none"/>
        </w:rPr>
        <w:t>三、已标价工程量清单</w:t>
      </w:r>
    </w:p>
    <w:p w14:paraId="6CDDBD88">
      <w:pPr>
        <w:pStyle w:val="13"/>
        <w:kinsoku w:val="0"/>
        <w:overflowPunct w:val="0"/>
        <w:ind w:left="0"/>
        <w:rPr>
          <w:rFonts w:hint="eastAsia" w:ascii="宋体" w:hAnsi="宋体" w:cs="宋体"/>
          <w:color w:val="auto"/>
          <w:sz w:val="41"/>
          <w:highlight w:val="none"/>
        </w:rPr>
      </w:pPr>
    </w:p>
    <w:p w14:paraId="1E8AE42F">
      <w:pPr>
        <w:spacing w:line="360" w:lineRule="auto"/>
        <w:ind w:firstLine="480"/>
        <w:rPr>
          <w:rFonts w:ascii="宋体" w:hAnsi="宋体" w:cs="宋体"/>
          <w:color w:val="auto"/>
          <w:szCs w:val="24"/>
          <w:highlight w:val="none"/>
        </w:rPr>
      </w:pPr>
      <w:r>
        <w:rPr>
          <w:rFonts w:ascii="宋体" w:hAnsi="宋体" w:cs="宋体"/>
          <w:color w:val="auto"/>
          <w:szCs w:val="24"/>
          <w:highlight w:val="none"/>
        </w:rPr>
        <w:t>供应商人应按照第六章“工程量清单”的要求逐项填报工程量清单，包括工程量清单说明、</w:t>
      </w:r>
      <w:r>
        <w:rPr>
          <w:rFonts w:hint="eastAsia" w:ascii="宋体" w:hAnsi="宋体" w:cs="宋体"/>
          <w:color w:val="auto"/>
          <w:szCs w:val="24"/>
          <w:highlight w:val="none"/>
          <w:lang w:eastAsia="zh-CN"/>
        </w:rPr>
        <w:t>响应</w:t>
      </w:r>
      <w:r>
        <w:rPr>
          <w:rFonts w:ascii="宋体" w:hAnsi="宋体" w:cs="宋体"/>
          <w:color w:val="auto"/>
          <w:szCs w:val="24"/>
          <w:highlight w:val="none"/>
        </w:rPr>
        <w:t>报价说明及工程量清单各项表格。</w:t>
      </w:r>
    </w:p>
    <w:p w14:paraId="2BAA6FFC">
      <w:pPr>
        <w:pStyle w:val="13"/>
        <w:kinsoku w:val="0"/>
        <w:overflowPunct w:val="0"/>
        <w:ind w:left="0"/>
        <w:rPr>
          <w:rFonts w:hint="eastAsia" w:ascii="宋体" w:hAnsi="宋体" w:cs="宋体"/>
          <w:color w:val="auto"/>
          <w:szCs w:val="24"/>
          <w:highlight w:val="none"/>
        </w:rPr>
      </w:pPr>
    </w:p>
    <w:p w14:paraId="6BF5EAB4">
      <w:pPr>
        <w:pStyle w:val="13"/>
        <w:kinsoku w:val="0"/>
        <w:overflowPunct w:val="0"/>
        <w:ind w:left="0"/>
        <w:rPr>
          <w:rFonts w:hint="eastAsia" w:ascii="宋体" w:hAnsi="宋体" w:cs="宋体"/>
          <w:color w:val="auto"/>
          <w:sz w:val="21"/>
          <w:szCs w:val="21"/>
          <w:highlight w:val="none"/>
        </w:rPr>
      </w:pPr>
    </w:p>
    <w:p w14:paraId="6696CF61">
      <w:pPr>
        <w:pStyle w:val="13"/>
        <w:kinsoku w:val="0"/>
        <w:overflowPunct w:val="0"/>
        <w:ind w:left="0"/>
        <w:rPr>
          <w:rFonts w:hint="eastAsia" w:ascii="宋体" w:hAnsi="宋体" w:cs="宋体"/>
          <w:color w:val="auto"/>
          <w:highlight w:val="none"/>
        </w:rPr>
      </w:pPr>
    </w:p>
    <w:p w14:paraId="43E7A2E3">
      <w:pPr>
        <w:pStyle w:val="13"/>
        <w:kinsoku w:val="0"/>
        <w:overflowPunct w:val="0"/>
        <w:ind w:left="0"/>
        <w:rPr>
          <w:rFonts w:hint="eastAsia" w:ascii="宋体" w:hAnsi="宋体" w:cs="宋体"/>
          <w:color w:val="auto"/>
          <w:highlight w:val="none"/>
        </w:rPr>
      </w:pPr>
    </w:p>
    <w:p w14:paraId="337D4E02">
      <w:pPr>
        <w:pStyle w:val="13"/>
        <w:kinsoku w:val="0"/>
        <w:overflowPunct w:val="0"/>
        <w:ind w:left="0"/>
        <w:rPr>
          <w:rFonts w:hint="eastAsia" w:ascii="宋体" w:hAnsi="宋体" w:cs="宋体"/>
          <w:color w:val="auto"/>
          <w:highlight w:val="none"/>
        </w:rPr>
      </w:pPr>
    </w:p>
    <w:p w14:paraId="0A52C502">
      <w:pPr>
        <w:pStyle w:val="13"/>
        <w:kinsoku w:val="0"/>
        <w:overflowPunct w:val="0"/>
        <w:ind w:left="0"/>
        <w:rPr>
          <w:rFonts w:hint="eastAsia" w:ascii="宋体" w:hAnsi="宋体" w:cs="宋体"/>
          <w:color w:val="auto"/>
          <w:highlight w:val="none"/>
        </w:rPr>
      </w:pPr>
    </w:p>
    <w:p w14:paraId="618D7C5A">
      <w:pPr>
        <w:pStyle w:val="13"/>
        <w:kinsoku w:val="0"/>
        <w:overflowPunct w:val="0"/>
        <w:ind w:left="0"/>
        <w:rPr>
          <w:rFonts w:hint="eastAsia" w:ascii="宋体" w:hAnsi="宋体" w:cs="宋体"/>
          <w:color w:val="auto"/>
          <w:highlight w:val="none"/>
        </w:rPr>
      </w:pPr>
    </w:p>
    <w:p w14:paraId="746B30BB">
      <w:pPr>
        <w:pStyle w:val="13"/>
        <w:kinsoku w:val="0"/>
        <w:overflowPunct w:val="0"/>
        <w:ind w:left="0"/>
        <w:rPr>
          <w:rFonts w:hint="eastAsia" w:ascii="宋体" w:hAnsi="宋体" w:cs="宋体"/>
          <w:color w:val="auto"/>
          <w:highlight w:val="none"/>
        </w:rPr>
      </w:pPr>
    </w:p>
    <w:p w14:paraId="3232AA94">
      <w:pPr>
        <w:pStyle w:val="13"/>
        <w:kinsoku w:val="0"/>
        <w:overflowPunct w:val="0"/>
        <w:ind w:left="0"/>
        <w:rPr>
          <w:rFonts w:hint="eastAsia" w:ascii="宋体" w:hAnsi="宋体" w:cs="宋体"/>
          <w:color w:val="auto"/>
          <w:highlight w:val="none"/>
        </w:rPr>
      </w:pPr>
    </w:p>
    <w:p w14:paraId="6FD0C8ED">
      <w:pPr>
        <w:pStyle w:val="13"/>
        <w:kinsoku w:val="0"/>
        <w:overflowPunct w:val="0"/>
        <w:ind w:left="0"/>
        <w:rPr>
          <w:rFonts w:hint="eastAsia" w:ascii="宋体" w:hAnsi="宋体" w:cs="宋体"/>
          <w:color w:val="auto"/>
          <w:highlight w:val="none"/>
        </w:rPr>
      </w:pPr>
    </w:p>
    <w:p w14:paraId="0560020D">
      <w:pPr>
        <w:pStyle w:val="13"/>
        <w:kinsoku w:val="0"/>
        <w:overflowPunct w:val="0"/>
        <w:ind w:left="0"/>
        <w:rPr>
          <w:rFonts w:hint="eastAsia" w:ascii="宋体" w:hAnsi="宋体" w:cs="宋体"/>
          <w:color w:val="auto"/>
          <w:highlight w:val="none"/>
        </w:rPr>
      </w:pPr>
    </w:p>
    <w:p w14:paraId="1ED1A91C">
      <w:pPr>
        <w:pStyle w:val="13"/>
        <w:kinsoku w:val="0"/>
        <w:overflowPunct w:val="0"/>
        <w:ind w:left="0"/>
        <w:rPr>
          <w:rFonts w:hint="eastAsia" w:ascii="宋体" w:hAnsi="宋体" w:cs="宋体"/>
          <w:color w:val="auto"/>
          <w:highlight w:val="none"/>
        </w:rPr>
      </w:pPr>
    </w:p>
    <w:p w14:paraId="52C11B90">
      <w:pPr>
        <w:pStyle w:val="13"/>
        <w:kinsoku w:val="0"/>
        <w:overflowPunct w:val="0"/>
        <w:ind w:left="0"/>
        <w:rPr>
          <w:rFonts w:hint="eastAsia" w:ascii="宋体" w:hAnsi="宋体" w:cs="宋体"/>
          <w:color w:val="auto"/>
          <w:highlight w:val="none"/>
        </w:rPr>
      </w:pPr>
    </w:p>
    <w:p w14:paraId="0868CCE2">
      <w:pPr>
        <w:pStyle w:val="13"/>
        <w:kinsoku w:val="0"/>
        <w:overflowPunct w:val="0"/>
        <w:ind w:left="0"/>
        <w:rPr>
          <w:rFonts w:hint="eastAsia" w:ascii="宋体" w:hAnsi="宋体" w:cs="宋体"/>
          <w:color w:val="auto"/>
          <w:highlight w:val="none"/>
        </w:rPr>
      </w:pPr>
    </w:p>
    <w:p w14:paraId="2D10C222">
      <w:pPr>
        <w:pStyle w:val="13"/>
        <w:kinsoku w:val="0"/>
        <w:overflowPunct w:val="0"/>
        <w:ind w:left="0"/>
        <w:rPr>
          <w:rFonts w:hint="eastAsia" w:ascii="宋体" w:hAnsi="宋体" w:cs="宋体"/>
          <w:color w:val="auto"/>
          <w:highlight w:val="none"/>
        </w:rPr>
      </w:pPr>
    </w:p>
    <w:p w14:paraId="2963DBF1">
      <w:pPr>
        <w:pStyle w:val="13"/>
        <w:kinsoku w:val="0"/>
        <w:overflowPunct w:val="0"/>
        <w:ind w:left="0"/>
        <w:rPr>
          <w:rFonts w:hint="eastAsia" w:ascii="宋体" w:hAnsi="宋体" w:cs="宋体"/>
          <w:color w:val="auto"/>
          <w:highlight w:val="none"/>
        </w:rPr>
      </w:pPr>
    </w:p>
    <w:p w14:paraId="1EE3BF49">
      <w:pPr>
        <w:pStyle w:val="13"/>
        <w:kinsoku w:val="0"/>
        <w:overflowPunct w:val="0"/>
        <w:ind w:left="0"/>
        <w:rPr>
          <w:rFonts w:hint="eastAsia" w:ascii="宋体" w:hAnsi="宋体" w:cs="宋体"/>
          <w:color w:val="auto"/>
          <w:highlight w:val="none"/>
        </w:rPr>
      </w:pPr>
    </w:p>
    <w:p w14:paraId="30ACDC8C">
      <w:pPr>
        <w:pStyle w:val="13"/>
        <w:kinsoku w:val="0"/>
        <w:overflowPunct w:val="0"/>
        <w:ind w:left="0"/>
        <w:rPr>
          <w:rFonts w:hint="eastAsia" w:ascii="宋体" w:hAnsi="宋体" w:cs="宋体"/>
          <w:color w:val="auto"/>
          <w:highlight w:val="none"/>
        </w:rPr>
      </w:pPr>
    </w:p>
    <w:p w14:paraId="7BF88B29">
      <w:pPr>
        <w:pStyle w:val="13"/>
        <w:kinsoku w:val="0"/>
        <w:overflowPunct w:val="0"/>
        <w:ind w:left="0"/>
        <w:rPr>
          <w:rFonts w:hint="eastAsia" w:ascii="宋体" w:hAnsi="宋体" w:cs="宋体"/>
          <w:color w:val="auto"/>
          <w:highlight w:val="none"/>
        </w:rPr>
      </w:pPr>
    </w:p>
    <w:p w14:paraId="4E3A6785">
      <w:pPr>
        <w:pStyle w:val="13"/>
        <w:kinsoku w:val="0"/>
        <w:overflowPunct w:val="0"/>
        <w:ind w:left="0"/>
        <w:rPr>
          <w:rFonts w:hint="eastAsia" w:ascii="宋体" w:hAnsi="宋体" w:cs="宋体"/>
          <w:color w:val="auto"/>
          <w:highlight w:val="none"/>
        </w:rPr>
      </w:pPr>
    </w:p>
    <w:p w14:paraId="59AC68D0">
      <w:pPr>
        <w:pStyle w:val="13"/>
        <w:kinsoku w:val="0"/>
        <w:overflowPunct w:val="0"/>
        <w:ind w:left="0"/>
        <w:rPr>
          <w:rFonts w:hint="eastAsia" w:ascii="宋体" w:hAnsi="宋体" w:cs="宋体"/>
          <w:color w:val="auto"/>
          <w:highlight w:val="none"/>
        </w:rPr>
      </w:pPr>
    </w:p>
    <w:p w14:paraId="5AF043BE">
      <w:pPr>
        <w:pStyle w:val="13"/>
        <w:kinsoku w:val="0"/>
        <w:overflowPunct w:val="0"/>
        <w:ind w:left="0"/>
        <w:rPr>
          <w:rFonts w:hint="eastAsia" w:ascii="宋体" w:hAnsi="宋体" w:cs="宋体"/>
          <w:color w:val="auto"/>
          <w:highlight w:val="none"/>
        </w:rPr>
      </w:pPr>
    </w:p>
    <w:p w14:paraId="4CDE29A5">
      <w:pPr>
        <w:pStyle w:val="13"/>
        <w:kinsoku w:val="0"/>
        <w:overflowPunct w:val="0"/>
        <w:ind w:left="0"/>
        <w:rPr>
          <w:rFonts w:hint="eastAsia" w:ascii="宋体" w:hAnsi="宋体" w:cs="宋体"/>
          <w:color w:val="auto"/>
          <w:highlight w:val="none"/>
        </w:rPr>
      </w:pPr>
    </w:p>
    <w:p w14:paraId="6E0C3988">
      <w:pPr>
        <w:pStyle w:val="13"/>
        <w:kinsoku w:val="0"/>
        <w:overflowPunct w:val="0"/>
        <w:ind w:left="0"/>
        <w:rPr>
          <w:rFonts w:hint="eastAsia" w:ascii="宋体" w:hAnsi="宋体" w:cs="宋体"/>
          <w:color w:val="auto"/>
          <w:highlight w:val="none"/>
        </w:rPr>
      </w:pPr>
    </w:p>
    <w:p w14:paraId="69B1AA9F">
      <w:pPr>
        <w:pStyle w:val="13"/>
        <w:kinsoku w:val="0"/>
        <w:overflowPunct w:val="0"/>
        <w:ind w:left="0"/>
        <w:rPr>
          <w:rFonts w:hint="eastAsia" w:ascii="宋体" w:hAnsi="宋体" w:cs="宋体"/>
          <w:color w:val="auto"/>
          <w:highlight w:val="none"/>
        </w:rPr>
      </w:pPr>
    </w:p>
    <w:p w14:paraId="70FD3070">
      <w:pPr>
        <w:pStyle w:val="13"/>
        <w:kinsoku w:val="0"/>
        <w:overflowPunct w:val="0"/>
        <w:ind w:left="0"/>
        <w:rPr>
          <w:rFonts w:hint="eastAsia" w:ascii="宋体" w:hAnsi="宋体" w:cs="宋体"/>
          <w:color w:val="auto"/>
          <w:highlight w:val="none"/>
        </w:rPr>
      </w:pPr>
    </w:p>
    <w:p w14:paraId="0C7CFEC2">
      <w:pPr>
        <w:pStyle w:val="13"/>
        <w:kinsoku w:val="0"/>
        <w:overflowPunct w:val="0"/>
        <w:ind w:left="0"/>
        <w:rPr>
          <w:rFonts w:hint="eastAsia" w:ascii="宋体" w:hAnsi="宋体" w:cs="宋体"/>
          <w:color w:val="auto"/>
          <w:highlight w:val="none"/>
        </w:rPr>
      </w:pPr>
    </w:p>
    <w:p w14:paraId="687D351F">
      <w:pPr>
        <w:pStyle w:val="13"/>
        <w:kinsoku w:val="0"/>
        <w:overflowPunct w:val="0"/>
        <w:ind w:left="0"/>
        <w:rPr>
          <w:rFonts w:hint="eastAsia" w:ascii="宋体" w:hAnsi="宋体" w:cs="宋体"/>
          <w:color w:val="auto"/>
          <w:highlight w:val="none"/>
        </w:rPr>
      </w:pPr>
    </w:p>
    <w:p w14:paraId="087B6F4D">
      <w:pPr>
        <w:pStyle w:val="11"/>
        <w:ind w:firstLine="0"/>
        <w:rPr>
          <w:rFonts w:hint="eastAsia" w:hAnsi="宋体" w:cs="宋体"/>
          <w:color w:val="auto"/>
          <w:highlight w:val="none"/>
        </w:rPr>
      </w:pPr>
      <w:r>
        <w:rPr>
          <w:rFonts w:hint="eastAsia" w:hAnsi="宋体" w:cs="宋体"/>
          <w:bCs/>
          <w:color w:val="auto"/>
          <w:highlight w:val="none"/>
        </w:rPr>
        <w:t>注：工程量清单报价有关资料，应逐页加盖供应商法人公章并由授权代理人或法人签字，否则竞标无效。</w:t>
      </w:r>
    </w:p>
    <w:p w14:paraId="37786987">
      <w:pPr>
        <w:pStyle w:val="13"/>
        <w:kinsoku w:val="0"/>
        <w:overflowPunct w:val="0"/>
        <w:ind w:left="0"/>
        <w:rPr>
          <w:rFonts w:hint="eastAsia" w:ascii="宋体" w:hAnsi="宋体" w:cs="宋体"/>
          <w:color w:val="auto"/>
          <w:highlight w:val="none"/>
        </w:rPr>
        <w:sectPr>
          <w:pgSz w:w="11910" w:h="16840"/>
          <w:pgMar w:top="1100" w:right="1202" w:bottom="919" w:left="1298" w:header="918" w:footer="721" w:gutter="0"/>
          <w:cols w:space="720" w:num="1"/>
        </w:sectPr>
      </w:pPr>
    </w:p>
    <w:p w14:paraId="21D3314F">
      <w:pPr>
        <w:pStyle w:val="13"/>
        <w:kinsoku w:val="0"/>
        <w:overflowPunct w:val="0"/>
        <w:ind w:left="0"/>
        <w:rPr>
          <w:rFonts w:hint="eastAsia" w:ascii="宋体" w:hAnsi="宋体" w:cs="宋体"/>
          <w:color w:val="auto"/>
          <w:sz w:val="7"/>
          <w:highlight w:val="none"/>
        </w:rPr>
      </w:pPr>
    </w:p>
    <w:p w14:paraId="565C8C0A">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四、供应商认为必要提供的声明及其它资料</w:t>
      </w:r>
    </w:p>
    <w:p w14:paraId="5F3E92B3">
      <w:pPr>
        <w:pStyle w:val="13"/>
        <w:kinsoku w:val="0"/>
        <w:overflowPunct w:val="0"/>
        <w:ind w:left="0"/>
        <w:rPr>
          <w:rFonts w:hint="eastAsia" w:ascii="宋体" w:hAnsi="宋体" w:cs="宋体"/>
          <w:color w:val="auto"/>
          <w:sz w:val="28"/>
          <w:highlight w:val="none"/>
        </w:rPr>
        <w:sectPr>
          <w:pgSz w:w="11910" w:h="16840"/>
          <w:pgMar w:top="1100" w:right="1202" w:bottom="919" w:left="1298" w:header="918" w:footer="721" w:gutter="0"/>
          <w:cols w:space="720" w:num="1"/>
        </w:sectPr>
      </w:pPr>
    </w:p>
    <w:p w14:paraId="7CE4D623">
      <w:pPr>
        <w:pStyle w:val="5"/>
        <w:rPr>
          <w:rFonts w:hAnsi="宋体" w:cs="宋体"/>
          <w:color w:val="auto"/>
          <w:highlight w:val="none"/>
        </w:rPr>
      </w:pPr>
      <w:bookmarkStart w:id="228" w:name="技术部分"/>
      <w:bookmarkEnd w:id="228"/>
      <w:r>
        <w:rPr>
          <w:rFonts w:hAnsi="宋体" w:cs="宋体"/>
          <w:color w:val="auto"/>
          <w:highlight w:val="none"/>
        </w:rPr>
        <w:t>技术部分</w:t>
      </w:r>
    </w:p>
    <w:p w14:paraId="468CCEAA">
      <w:pPr>
        <w:pStyle w:val="13"/>
        <w:kinsoku w:val="0"/>
        <w:overflowPunct w:val="0"/>
        <w:ind w:left="0"/>
        <w:rPr>
          <w:rFonts w:hint="eastAsia" w:ascii="宋体" w:hAnsi="宋体" w:cs="宋体"/>
          <w:color w:val="auto"/>
          <w:sz w:val="20"/>
          <w:highlight w:val="none"/>
        </w:rPr>
      </w:pPr>
    </w:p>
    <w:p w14:paraId="4D589B3F">
      <w:pPr>
        <w:pStyle w:val="13"/>
        <w:kinsoku w:val="0"/>
        <w:overflowPunct w:val="0"/>
        <w:ind w:left="0"/>
        <w:rPr>
          <w:rFonts w:hint="eastAsia" w:ascii="宋体" w:hAnsi="宋体" w:cs="宋体"/>
          <w:color w:val="auto"/>
          <w:sz w:val="27"/>
          <w:highlight w:val="none"/>
        </w:rPr>
      </w:pPr>
    </w:p>
    <w:p w14:paraId="40E10FDF">
      <w:pPr>
        <w:pStyle w:val="13"/>
        <w:kinsoku w:val="0"/>
        <w:overflowPunct w:val="0"/>
        <w:spacing w:line="376" w:lineRule="auto"/>
        <w:ind w:left="0"/>
        <w:jc w:val="center"/>
        <w:rPr>
          <w:rFonts w:hint="eastAsia" w:ascii="宋体" w:hAnsi="宋体" w:cs="宋体"/>
          <w:color w:val="auto"/>
          <w:sz w:val="36"/>
          <w:highlight w:val="none"/>
        </w:rPr>
      </w:pPr>
      <w:r>
        <w:rPr>
          <w:rFonts w:hint="eastAsia" w:ascii="宋体" w:hAnsi="宋体" w:cs="宋体"/>
          <w:color w:val="auto"/>
          <w:sz w:val="36"/>
          <w:highlight w:val="none"/>
        </w:rPr>
        <w:t xml:space="preserve">项目名称 </w:t>
      </w:r>
    </w:p>
    <w:p w14:paraId="2BA65A6E">
      <w:pPr>
        <w:pStyle w:val="13"/>
        <w:kinsoku w:val="0"/>
        <w:overflowPunct w:val="0"/>
        <w:spacing w:line="376" w:lineRule="auto"/>
        <w:ind w:left="0"/>
        <w:jc w:val="center"/>
        <w:rPr>
          <w:rFonts w:hint="eastAsia" w:ascii="宋体" w:hAnsi="宋体" w:cs="宋体"/>
          <w:color w:val="auto"/>
          <w:sz w:val="36"/>
          <w:highlight w:val="none"/>
        </w:rPr>
      </w:pPr>
      <w:r>
        <w:rPr>
          <w:rFonts w:hint="eastAsia" w:ascii="宋体" w:hAnsi="宋体" w:cs="宋体"/>
          <w:color w:val="auto"/>
          <w:sz w:val="36"/>
          <w:highlight w:val="none"/>
        </w:rPr>
        <w:t>项目编号</w:t>
      </w:r>
    </w:p>
    <w:p w14:paraId="6BE6ADE3">
      <w:pPr>
        <w:pStyle w:val="13"/>
        <w:kinsoku w:val="0"/>
        <w:overflowPunct w:val="0"/>
        <w:ind w:left="0"/>
        <w:rPr>
          <w:rFonts w:hint="eastAsia" w:ascii="宋体" w:hAnsi="宋体" w:cs="宋体"/>
          <w:color w:val="auto"/>
          <w:sz w:val="36"/>
          <w:highlight w:val="none"/>
        </w:rPr>
      </w:pPr>
    </w:p>
    <w:p w14:paraId="696D98BE">
      <w:pPr>
        <w:pStyle w:val="13"/>
        <w:kinsoku w:val="0"/>
        <w:overflowPunct w:val="0"/>
        <w:ind w:left="0"/>
        <w:rPr>
          <w:rFonts w:hint="eastAsia" w:ascii="宋体" w:hAnsi="宋体" w:cs="宋体"/>
          <w:color w:val="auto"/>
          <w:sz w:val="50"/>
          <w:highlight w:val="none"/>
        </w:rPr>
      </w:pPr>
    </w:p>
    <w:p w14:paraId="33B82DF4">
      <w:pPr>
        <w:pStyle w:val="13"/>
        <w:kinsoku w:val="0"/>
        <w:overflowPunct w:val="0"/>
        <w:ind w:left="0"/>
        <w:jc w:val="center"/>
        <w:rPr>
          <w:rFonts w:hint="eastAsia" w:ascii="宋体" w:hAnsi="宋体" w:cs="宋体"/>
          <w:color w:val="auto"/>
          <w:sz w:val="72"/>
          <w:highlight w:val="none"/>
        </w:rPr>
      </w:pPr>
      <w:r>
        <w:rPr>
          <w:rFonts w:hint="eastAsia" w:ascii="宋体" w:hAnsi="宋体" w:cs="宋体"/>
          <w:color w:val="auto"/>
          <w:sz w:val="72"/>
          <w:highlight w:val="none"/>
        </w:rPr>
        <w:t>响应文件</w:t>
      </w:r>
    </w:p>
    <w:p w14:paraId="1BA40022">
      <w:pPr>
        <w:pStyle w:val="13"/>
        <w:kinsoku w:val="0"/>
        <w:overflowPunct w:val="0"/>
        <w:ind w:left="0"/>
        <w:rPr>
          <w:rFonts w:hint="eastAsia" w:ascii="宋体" w:hAnsi="宋体" w:cs="宋体"/>
          <w:color w:val="auto"/>
          <w:sz w:val="65"/>
          <w:highlight w:val="none"/>
        </w:rPr>
      </w:pPr>
    </w:p>
    <w:p w14:paraId="4BB4541F">
      <w:pPr>
        <w:pStyle w:val="13"/>
        <w:kinsoku w:val="0"/>
        <w:overflowPunct w:val="0"/>
        <w:ind w:left="0"/>
        <w:rPr>
          <w:rFonts w:hint="eastAsia" w:ascii="宋体" w:hAnsi="宋体" w:cs="宋体"/>
          <w:color w:val="auto"/>
          <w:sz w:val="44"/>
          <w:highlight w:val="none"/>
        </w:rPr>
      </w:pPr>
    </w:p>
    <w:p w14:paraId="028A2D3B">
      <w:pPr>
        <w:pStyle w:val="13"/>
        <w:kinsoku w:val="0"/>
        <w:overflowPunct w:val="0"/>
        <w:ind w:left="0"/>
        <w:rPr>
          <w:rFonts w:hint="eastAsia" w:ascii="宋体" w:hAnsi="宋体" w:cs="宋体"/>
          <w:color w:val="auto"/>
          <w:sz w:val="44"/>
          <w:highlight w:val="none"/>
        </w:rPr>
      </w:pPr>
    </w:p>
    <w:p w14:paraId="19E7DDE0">
      <w:pPr>
        <w:pStyle w:val="13"/>
        <w:kinsoku w:val="0"/>
        <w:overflowPunct w:val="0"/>
        <w:ind w:left="0"/>
        <w:rPr>
          <w:rFonts w:hint="eastAsia" w:ascii="宋体" w:hAnsi="宋体" w:cs="宋体"/>
          <w:color w:val="auto"/>
          <w:sz w:val="44"/>
          <w:highlight w:val="none"/>
        </w:rPr>
      </w:pPr>
    </w:p>
    <w:p w14:paraId="38C64159">
      <w:pPr>
        <w:pStyle w:val="13"/>
        <w:kinsoku w:val="0"/>
        <w:overflowPunct w:val="0"/>
        <w:ind w:left="0"/>
        <w:rPr>
          <w:rFonts w:hint="eastAsia" w:ascii="宋体" w:hAnsi="宋体" w:cs="宋体"/>
          <w:color w:val="auto"/>
          <w:sz w:val="44"/>
          <w:highlight w:val="none"/>
        </w:rPr>
      </w:pPr>
    </w:p>
    <w:p w14:paraId="31E1671B">
      <w:pPr>
        <w:pStyle w:val="13"/>
        <w:kinsoku w:val="0"/>
        <w:overflowPunct w:val="0"/>
        <w:ind w:left="0"/>
        <w:rPr>
          <w:rFonts w:hint="eastAsia" w:ascii="宋体" w:hAnsi="宋体" w:cs="宋体"/>
          <w:color w:val="auto"/>
          <w:sz w:val="44"/>
          <w:highlight w:val="none"/>
        </w:rPr>
      </w:pPr>
    </w:p>
    <w:p w14:paraId="461A4069">
      <w:pPr>
        <w:pStyle w:val="13"/>
        <w:kinsoku w:val="0"/>
        <w:overflowPunct w:val="0"/>
        <w:ind w:left="0"/>
        <w:rPr>
          <w:rFonts w:hint="eastAsia" w:ascii="宋体" w:hAnsi="宋体" w:cs="宋体"/>
          <w:color w:val="auto"/>
          <w:sz w:val="33"/>
          <w:highlight w:val="none"/>
        </w:rPr>
      </w:pPr>
    </w:p>
    <w:p w14:paraId="0D3930CE">
      <w:pPr>
        <w:pStyle w:val="13"/>
        <w:tabs>
          <w:tab w:val="left" w:pos="2908"/>
        </w:tabs>
        <w:kinsoku w:val="0"/>
        <w:overflowPunct w:val="0"/>
        <w:ind w:left="0"/>
        <w:rPr>
          <w:rFonts w:hint="eastAsia" w:ascii="宋体" w:hAnsi="宋体" w:cs="宋体"/>
          <w:color w:val="auto"/>
          <w:sz w:val="28"/>
          <w:highlight w:val="none"/>
        </w:rPr>
      </w:pPr>
      <w:r>
        <w:rPr>
          <w:rFonts w:hint="eastAsia" w:ascii="宋体" w:hAnsi="宋体" w:cs="宋体"/>
          <w:color w:val="auto"/>
          <w:sz w:val="28"/>
          <w:highlight w:val="none"/>
        </w:rPr>
        <w:t>响应文件内容：</w:t>
      </w:r>
      <w:r>
        <w:rPr>
          <w:rFonts w:hint="eastAsia" w:ascii="宋体" w:hAnsi="宋体" w:cs="宋体"/>
          <w:color w:val="auto"/>
          <w:sz w:val="28"/>
          <w:highlight w:val="none"/>
          <w:u w:val="single"/>
        </w:rPr>
        <w:tab/>
      </w:r>
      <w:r>
        <w:rPr>
          <w:rFonts w:hint="eastAsia" w:ascii="宋体" w:hAnsi="宋体" w:cs="宋体"/>
          <w:color w:val="auto"/>
          <w:sz w:val="28"/>
          <w:highlight w:val="none"/>
          <w:u w:val="single"/>
        </w:rPr>
        <w:t>技术部分</w:t>
      </w:r>
    </w:p>
    <w:p w14:paraId="2DA967C3">
      <w:pPr>
        <w:pStyle w:val="13"/>
        <w:kinsoku w:val="0"/>
        <w:overflowPunct w:val="0"/>
        <w:ind w:left="0"/>
        <w:rPr>
          <w:rFonts w:hint="eastAsia" w:ascii="宋体" w:hAnsi="宋体" w:cs="宋体"/>
          <w:color w:val="auto"/>
          <w:sz w:val="20"/>
          <w:highlight w:val="none"/>
        </w:rPr>
      </w:pPr>
    </w:p>
    <w:p w14:paraId="78B56FA6">
      <w:pPr>
        <w:pStyle w:val="13"/>
        <w:kinsoku w:val="0"/>
        <w:overflowPunct w:val="0"/>
        <w:ind w:left="0"/>
        <w:rPr>
          <w:rFonts w:hint="eastAsia" w:ascii="宋体" w:hAnsi="宋体" w:cs="宋体"/>
          <w:color w:val="auto"/>
          <w:sz w:val="22"/>
          <w:highlight w:val="none"/>
        </w:rPr>
      </w:pPr>
    </w:p>
    <w:p w14:paraId="5591D7C7">
      <w:pPr>
        <w:pStyle w:val="13"/>
        <w:tabs>
          <w:tab w:val="left" w:pos="2488"/>
          <w:tab w:val="left" w:pos="5287"/>
          <w:tab w:val="left" w:pos="5848"/>
        </w:tabs>
        <w:kinsoku w:val="0"/>
        <w:overflowPunct w:val="0"/>
        <w:spacing w:line="640" w:lineRule="auto"/>
        <w:ind w:left="0"/>
        <w:rPr>
          <w:rFonts w:hint="eastAsia" w:ascii="宋体" w:hAnsi="宋体" w:cs="宋体"/>
          <w:color w:val="auto"/>
          <w:sz w:val="28"/>
          <w:highlight w:val="none"/>
        </w:rPr>
      </w:pPr>
      <w:r>
        <w:rPr>
          <w:rFonts w:hint="eastAsia" w:ascii="宋体" w:hAnsi="宋体" w:cs="宋体"/>
          <w:color w:val="auto"/>
          <w:sz w:val="28"/>
          <w:highlight w:val="none"/>
        </w:rPr>
        <w:t>供应商：</w:t>
      </w:r>
      <w:r>
        <w:rPr>
          <w:rFonts w:hint="eastAsia" w:ascii="宋体" w:hAnsi="宋体" w:cs="宋体"/>
          <w:color w:val="auto"/>
          <w:sz w:val="28"/>
          <w:highlight w:val="none"/>
          <w:u w:val="single"/>
        </w:rPr>
        <w:tab/>
      </w:r>
      <w:r>
        <w:rPr>
          <w:rFonts w:hint="eastAsia" w:ascii="宋体" w:hAnsi="宋体" w:cs="宋体"/>
          <w:color w:val="auto"/>
          <w:sz w:val="28"/>
          <w:highlight w:val="none"/>
          <w:u w:val="single"/>
        </w:rPr>
        <w:t>（全称）</w:t>
      </w:r>
      <w:r>
        <w:rPr>
          <w:rFonts w:hint="eastAsia" w:ascii="宋体" w:hAnsi="宋体" w:cs="宋体"/>
          <w:color w:val="auto"/>
          <w:sz w:val="28"/>
          <w:highlight w:val="none"/>
          <w:u w:val="single"/>
        </w:rPr>
        <w:tab/>
      </w:r>
      <w:r>
        <w:rPr>
          <w:rFonts w:hint="eastAsia" w:ascii="宋体" w:hAnsi="宋体" w:cs="宋体"/>
          <w:color w:val="auto"/>
          <w:sz w:val="28"/>
          <w:highlight w:val="none"/>
        </w:rPr>
        <w:t>（盖单位章）</w:t>
      </w:r>
    </w:p>
    <w:p w14:paraId="4E811C5E">
      <w:pPr>
        <w:pStyle w:val="13"/>
        <w:tabs>
          <w:tab w:val="left" w:pos="2488"/>
          <w:tab w:val="left" w:pos="5287"/>
          <w:tab w:val="left" w:pos="5848"/>
        </w:tabs>
        <w:kinsoku w:val="0"/>
        <w:overflowPunct w:val="0"/>
        <w:spacing w:line="640" w:lineRule="auto"/>
        <w:ind w:left="0"/>
        <w:rPr>
          <w:rFonts w:hint="eastAsia" w:ascii="宋体" w:hAnsi="宋体" w:cs="宋体"/>
          <w:color w:val="auto"/>
          <w:sz w:val="28"/>
          <w:highlight w:val="none"/>
        </w:rPr>
      </w:pPr>
      <w:r>
        <w:rPr>
          <w:rFonts w:hint="eastAsia" w:ascii="宋体" w:hAnsi="宋体" w:cs="宋体"/>
          <w:color w:val="auto"/>
          <w:sz w:val="28"/>
          <w:highlight w:val="none"/>
        </w:rPr>
        <w:t>法定代表人或其委托代理人：</w:t>
      </w:r>
      <w:r>
        <w:rPr>
          <w:rFonts w:hint="eastAsia" w:ascii="宋体" w:hAnsi="宋体" w:cs="宋体"/>
          <w:color w:val="auto"/>
          <w:sz w:val="28"/>
          <w:highlight w:val="none"/>
          <w:u w:val="single"/>
        </w:rPr>
        <w:tab/>
      </w:r>
      <w:r>
        <w:rPr>
          <w:rFonts w:hint="eastAsia" w:ascii="宋体" w:hAnsi="宋体" w:cs="宋体"/>
          <w:color w:val="auto"/>
          <w:sz w:val="28"/>
          <w:highlight w:val="none"/>
          <w:u w:val="single"/>
        </w:rPr>
        <w:tab/>
      </w:r>
      <w:r>
        <w:rPr>
          <w:rFonts w:hint="eastAsia" w:ascii="宋体" w:hAnsi="宋体" w:cs="宋体"/>
          <w:color w:val="auto"/>
          <w:sz w:val="28"/>
          <w:highlight w:val="none"/>
        </w:rPr>
        <w:t>（签字）</w:t>
      </w:r>
    </w:p>
    <w:p w14:paraId="47EFB6D5">
      <w:pPr>
        <w:pStyle w:val="13"/>
        <w:tabs>
          <w:tab w:val="left" w:pos="5277"/>
          <w:tab w:val="left" w:pos="6256"/>
          <w:tab w:val="left" w:pos="7238"/>
        </w:tabs>
        <w:kinsoku w:val="0"/>
        <w:overflowPunct w:val="0"/>
        <w:ind w:left="0"/>
        <w:rPr>
          <w:rFonts w:hint="eastAsia" w:ascii="宋体" w:hAnsi="宋体" w:cs="宋体"/>
          <w:color w:val="auto"/>
          <w:sz w:val="28"/>
          <w:highlight w:val="none"/>
        </w:rPr>
      </w:pPr>
      <w:r>
        <w:rPr>
          <w:rFonts w:hint="eastAsia" w:ascii="宋体" w:hAnsi="宋体" w:cs="宋体"/>
          <w:color w:val="auto"/>
          <w:sz w:val="28"/>
          <w:highlight w:val="none"/>
        </w:rPr>
        <w:t>日期：</w:t>
      </w:r>
      <w:r>
        <w:rPr>
          <w:rFonts w:hint="eastAsia" w:ascii="宋体" w:hAnsi="宋体" w:cs="宋体"/>
          <w:color w:val="auto"/>
          <w:sz w:val="28"/>
          <w:highlight w:val="none"/>
          <w:u w:val="single"/>
        </w:rPr>
        <w:tab/>
      </w:r>
      <w:r>
        <w:rPr>
          <w:rFonts w:hint="eastAsia" w:ascii="宋体" w:hAnsi="宋体" w:cs="宋体"/>
          <w:color w:val="auto"/>
          <w:sz w:val="28"/>
          <w:highlight w:val="none"/>
        </w:rPr>
        <w:t>年</w:t>
      </w:r>
      <w:r>
        <w:rPr>
          <w:rFonts w:hint="eastAsia" w:ascii="宋体" w:hAnsi="宋体" w:cs="宋体"/>
          <w:color w:val="auto"/>
          <w:sz w:val="28"/>
          <w:highlight w:val="none"/>
          <w:u w:val="single"/>
        </w:rPr>
        <w:tab/>
      </w:r>
      <w:r>
        <w:rPr>
          <w:rFonts w:hint="eastAsia" w:ascii="宋体" w:hAnsi="宋体" w:cs="宋体"/>
          <w:color w:val="auto"/>
          <w:sz w:val="28"/>
          <w:highlight w:val="none"/>
        </w:rPr>
        <w:t>月</w:t>
      </w:r>
      <w:r>
        <w:rPr>
          <w:rFonts w:hint="eastAsia" w:ascii="宋体" w:hAnsi="宋体" w:cs="宋体"/>
          <w:color w:val="auto"/>
          <w:sz w:val="28"/>
          <w:highlight w:val="none"/>
          <w:u w:val="single"/>
        </w:rPr>
        <w:tab/>
      </w:r>
      <w:r>
        <w:rPr>
          <w:rFonts w:hint="eastAsia" w:ascii="宋体" w:hAnsi="宋体" w:cs="宋体"/>
          <w:color w:val="auto"/>
          <w:sz w:val="28"/>
          <w:highlight w:val="none"/>
        </w:rPr>
        <w:t>日</w:t>
      </w:r>
    </w:p>
    <w:p w14:paraId="638D29B4">
      <w:pPr>
        <w:pStyle w:val="13"/>
        <w:tabs>
          <w:tab w:val="left" w:pos="5277"/>
          <w:tab w:val="left" w:pos="6256"/>
          <w:tab w:val="left" w:pos="7238"/>
        </w:tabs>
        <w:kinsoku w:val="0"/>
        <w:overflowPunct w:val="0"/>
        <w:ind w:left="0"/>
        <w:rPr>
          <w:rFonts w:hint="eastAsia" w:ascii="宋体" w:hAnsi="宋体" w:cs="宋体"/>
          <w:color w:val="auto"/>
          <w:sz w:val="28"/>
          <w:highlight w:val="none"/>
        </w:rPr>
        <w:sectPr>
          <w:pgSz w:w="11910" w:h="16840"/>
          <w:pgMar w:top="1100" w:right="1202" w:bottom="919" w:left="1298" w:header="918" w:footer="721" w:gutter="0"/>
          <w:cols w:space="720" w:num="1"/>
        </w:sectPr>
      </w:pPr>
    </w:p>
    <w:p w14:paraId="1231B278">
      <w:pPr>
        <w:pStyle w:val="13"/>
        <w:kinsoku w:val="0"/>
        <w:overflowPunct w:val="0"/>
        <w:ind w:left="0"/>
        <w:rPr>
          <w:rFonts w:hint="eastAsia" w:ascii="宋体" w:hAnsi="宋体" w:cs="宋体"/>
          <w:color w:val="auto"/>
          <w:sz w:val="20"/>
          <w:highlight w:val="none"/>
        </w:rPr>
      </w:pPr>
    </w:p>
    <w:p w14:paraId="1ECBA1C0">
      <w:pPr>
        <w:pStyle w:val="13"/>
        <w:tabs>
          <w:tab w:val="left" w:pos="948"/>
        </w:tabs>
        <w:kinsoku w:val="0"/>
        <w:overflowPunct w:val="0"/>
        <w:ind w:left="0"/>
        <w:jc w:val="center"/>
        <w:rPr>
          <w:rFonts w:hint="eastAsia" w:ascii="宋体" w:hAnsi="宋体" w:cs="宋体"/>
          <w:color w:val="auto"/>
          <w:sz w:val="36"/>
          <w:highlight w:val="none"/>
        </w:rPr>
      </w:pPr>
      <w:r>
        <w:rPr>
          <w:rFonts w:hint="eastAsia" w:ascii="宋体" w:hAnsi="宋体" w:cs="宋体"/>
          <w:color w:val="auto"/>
          <w:sz w:val="36"/>
          <w:highlight w:val="none"/>
        </w:rPr>
        <w:t>目</w:t>
      </w:r>
      <w:r>
        <w:rPr>
          <w:rFonts w:hint="eastAsia" w:ascii="宋体" w:hAnsi="宋体" w:cs="宋体"/>
          <w:color w:val="auto"/>
          <w:sz w:val="36"/>
          <w:highlight w:val="none"/>
        </w:rPr>
        <w:tab/>
      </w:r>
      <w:r>
        <w:rPr>
          <w:rFonts w:hint="eastAsia" w:ascii="宋体" w:hAnsi="宋体" w:cs="宋体"/>
          <w:color w:val="auto"/>
          <w:sz w:val="36"/>
          <w:highlight w:val="none"/>
        </w:rPr>
        <w:t>录</w:t>
      </w:r>
    </w:p>
    <w:p w14:paraId="2A4ADD0A">
      <w:pPr>
        <w:pStyle w:val="13"/>
        <w:kinsoku w:val="0"/>
        <w:overflowPunct w:val="0"/>
        <w:ind w:left="0"/>
        <w:rPr>
          <w:rFonts w:hint="eastAsia" w:ascii="宋体" w:hAnsi="宋体" w:cs="宋体"/>
          <w:color w:val="auto"/>
          <w:highlight w:val="none"/>
        </w:rPr>
      </w:pPr>
      <w:r>
        <w:rPr>
          <w:rFonts w:hint="eastAsia" w:ascii="宋体" w:hAnsi="宋体" w:cs="宋体"/>
          <w:color w:val="auto"/>
          <w:highlight w:val="none"/>
        </w:rPr>
        <w:t>（1）施工组织设计</w:t>
      </w:r>
    </w:p>
    <w:p w14:paraId="6F4A0C84">
      <w:pPr>
        <w:pStyle w:val="13"/>
        <w:kinsoku w:val="0"/>
        <w:overflowPunct w:val="0"/>
        <w:ind w:left="0"/>
        <w:rPr>
          <w:rFonts w:hint="eastAsia" w:ascii="宋体" w:hAnsi="宋体" w:cs="宋体"/>
          <w:color w:val="auto"/>
          <w:highlight w:val="none"/>
        </w:rPr>
      </w:pPr>
      <w:r>
        <w:rPr>
          <w:rFonts w:hint="eastAsia" w:ascii="宋体" w:hAnsi="宋体" w:cs="宋体"/>
          <w:color w:val="auto"/>
          <w:highlight w:val="none"/>
        </w:rPr>
        <w:t>（2）项目管理机构</w:t>
      </w:r>
    </w:p>
    <w:p w14:paraId="50C9CDCC">
      <w:pPr>
        <w:pStyle w:val="13"/>
        <w:kinsoku w:val="0"/>
        <w:overflowPunct w:val="0"/>
        <w:ind w:left="0"/>
        <w:rPr>
          <w:rFonts w:hint="eastAsia" w:ascii="宋体" w:hAnsi="宋体" w:cs="宋体"/>
          <w:color w:val="auto"/>
          <w:highlight w:val="none"/>
        </w:rPr>
      </w:pPr>
      <w:r>
        <w:rPr>
          <w:rFonts w:hint="eastAsia" w:ascii="宋体" w:hAnsi="宋体" w:cs="宋体"/>
          <w:color w:val="auto"/>
          <w:highlight w:val="none"/>
        </w:rPr>
        <w:t>（3）供应商认为必要提供的声明及其它资料</w:t>
      </w:r>
    </w:p>
    <w:p w14:paraId="26812EBF">
      <w:pPr>
        <w:pStyle w:val="13"/>
        <w:kinsoku w:val="0"/>
        <w:overflowPunct w:val="0"/>
        <w:ind w:left="0"/>
        <w:rPr>
          <w:rFonts w:hint="eastAsia" w:ascii="宋体" w:hAnsi="宋体" w:cs="宋体"/>
          <w:color w:val="auto"/>
          <w:highlight w:val="none"/>
        </w:rPr>
        <w:sectPr>
          <w:pgSz w:w="11910" w:h="16840"/>
          <w:pgMar w:top="1100" w:right="1202" w:bottom="919" w:left="1298" w:header="918" w:footer="721" w:gutter="0"/>
          <w:cols w:space="720" w:num="1"/>
        </w:sectPr>
      </w:pPr>
    </w:p>
    <w:p w14:paraId="20B0D493">
      <w:pPr>
        <w:pStyle w:val="13"/>
        <w:kinsoku w:val="0"/>
        <w:overflowPunct w:val="0"/>
        <w:ind w:left="0"/>
        <w:rPr>
          <w:rFonts w:hint="eastAsia" w:ascii="宋体" w:hAnsi="宋体" w:cs="宋体"/>
          <w:color w:val="auto"/>
          <w:sz w:val="20"/>
          <w:highlight w:val="none"/>
        </w:rPr>
      </w:pPr>
    </w:p>
    <w:p w14:paraId="4499CF50">
      <w:pPr>
        <w:pStyle w:val="13"/>
        <w:kinsoku w:val="0"/>
        <w:overflowPunct w:val="0"/>
        <w:ind w:left="0"/>
        <w:rPr>
          <w:rFonts w:hint="eastAsia" w:ascii="宋体" w:hAnsi="宋体" w:cs="宋体"/>
          <w:color w:val="auto"/>
          <w:sz w:val="20"/>
          <w:highlight w:val="none"/>
        </w:rPr>
      </w:pPr>
    </w:p>
    <w:p w14:paraId="06C94378">
      <w:pPr>
        <w:pStyle w:val="13"/>
        <w:kinsoku w:val="0"/>
        <w:overflowPunct w:val="0"/>
        <w:ind w:left="0"/>
        <w:rPr>
          <w:rFonts w:hint="eastAsia" w:ascii="宋体" w:hAnsi="宋体" w:cs="宋体"/>
          <w:color w:val="auto"/>
          <w:sz w:val="20"/>
          <w:highlight w:val="none"/>
        </w:rPr>
      </w:pPr>
    </w:p>
    <w:p w14:paraId="07E22F0C">
      <w:pPr>
        <w:pStyle w:val="4"/>
        <w:jc w:val="center"/>
        <w:rPr>
          <w:rFonts w:ascii="宋体" w:hAnsi="宋体" w:eastAsia="宋体" w:cs="宋体"/>
          <w:b/>
          <w:color w:val="auto"/>
          <w:sz w:val="32"/>
          <w:szCs w:val="32"/>
          <w:highlight w:val="none"/>
        </w:rPr>
      </w:pPr>
      <w:bookmarkStart w:id="229" w:name="一、施工组织设计"/>
      <w:bookmarkEnd w:id="229"/>
      <w:bookmarkStart w:id="230" w:name="_Toc514786936"/>
      <w:bookmarkStart w:id="231" w:name="_Toc517163153"/>
      <w:r>
        <w:rPr>
          <w:rFonts w:ascii="宋体" w:hAnsi="宋体" w:eastAsia="宋体" w:cs="宋体"/>
          <w:b/>
          <w:color w:val="auto"/>
          <w:sz w:val="32"/>
          <w:szCs w:val="32"/>
          <w:highlight w:val="none"/>
        </w:rPr>
        <w:t>一、施工组织设计</w:t>
      </w:r>
      <w:bookmarkEnd w:id="230"/>
      <w:bookmarkEnd w:id="231"/>
    </w:p>
    <w:p w14:paraId="2EEF8DAE">
      <w:pPr>
        <w:spacing w:line="360" w:lineRule="auto"/>
        <w:rPr>
          <w:rFonts w:ascii="宋体" w:hAnsi="宋体" w:cs="宋体"/>
          <w:color w:val="auto"/>
          <w:sz w:val="21"/>
          <w:szCs w:val="21"/>
          <w:highlight w:val="none"/>
        </w:rPr>
      </w:pPr>
    </w:p>
    <w:p w14:paraId="68B9C70D">
      <w:pPr>
        <w:numPr>
          <w:ilvl w:val="3"/>
          <w:numId w:val="14"/>
        </w:numPr>
        <w:tabs>
          <w:tab w:val="left" w:pos="900"/>
          <w:tab w:val="clear" w:pos="1680"/>
        </w:tabs>
        <w:autoSpaceDE/>
        <w:autoSpaceDN/>
        <w:adjustRightInd/>
        <w:spacing w:line="360" w:lineRule="auto"/>
        <w:ind w:left="0" w:firstLine="540"/>
        <w:jc w:val="both"/>
        <w:rPr>
          <w:rFonts w:ascii="宋体" w:hAnsi="宋体" w:cs="宋体"/>
          <w:color w:val="auto"/>
          <w:szCs w:val="24"/>
          <w:highlight w:val="none"/>
        </w:rPr>
      </w:pPr>
      <w:r>
        <w:rPr>
          <w:rFonts w:ascii="宋体" w:hAnsi="宋体" w:cs="宋体"/>
          <w:color w:val="auto"/>
          <w:szCs w:val="24"/>
          <w:highlight w:val="none"/>
        </w:rPr>
        <w:t>供应商应按以下要点编制施工组织设计（文字宜精练、内容具有针对性，总体控制在30000字以内）：</w:t>
      </w:r>
    </w:p>
    <w:p w14:paraId="31427319">
      <w:pPr>
        <w:numPr>
          <w:ilvl w:val="0"/>
          <w:numId w:val="15"/>
        </w:numPr>
        <w:tabs>
          <w:tab w:val="left" w:pos="1260"/>
          <w:tab w:val="clear" w:pos="1560"/>
        </w:tabs>
        <w:autoSpaceDE/>
        <w:autoSpaceDN/>
        <w:adjustRightInd/>
        <w:spacing w:line="360" w:lineRule="auto"/>
        <w:ind w:left="0" w:firstLine="540"/>
        <w:jc w:val="both"/>
        <w:rPr>
          <w:rFonts w:ascii="宋体" w:hAnsi="宋体" w:cs="宋体"/>
          <w:color w:val="auto"/>
          <w:szCs w:val="24"/>
          <w:highlight w:val="none"/>
        </w:rPr>
      </w:pPr>
      <w:r>
        <w:rPr>
          <w:rFonts w:ascii="宋体" w:hAnsi="宋体" w:cs="宋体"/>
          <w:color w:val="auto"/>
          <w:szCs w:val="24"/>
          <w:highlight w:val="none"/>
        </w:rPr>
        <w:t>总体施工组织布置及规划</w:t>
      </w:r>
    </w:p>
    <w:p w14:paraId="04DEA88B">
      <w:pPr>
        <w:numPr>
          <w:ilvl w:val="0"/>
          <w:numId w:val="15"/>
        </w:numPr>
        <w:tabs>
          <w:tab w:val="left" w:pos="1260"/>
          <w:tab w:val="clear" w:pos="1560"/>
        </w:tabs>
        <w:autoSpaceDE/>
        <w:autoSpaceDN/>
        <w:adjustRightInd/>
        <w:spacing w:line="360" w:lineRule="auto"/>
        <w:ind w:left="0" w:firstLine="540"/>
        <w:jc w:val="both"/>
        <w:rPr>
          <w:rFonts w:ascii="宋体" w:hAnsi="宋体" w:cs="宋体"/>
          <w:color w:val="auto"/>
          <w:szCs w:val="24"/>
          <w:highlight w:val="none"/>
        </w:rPr>
      </w:pPr>
      <w:r>
        <w:rPr>
          <w:rFonts w:ascii="宋体" w:hAnsi="宋体" w:cs="宋体"/>
          <w:color w:val="auto"/>
          <w:szCs w:val="24"/>
          <w:highlight w:val="none"/>
        </w:rPr>
        <w:t>主要工程项目的施工方案、方法与技术措施（尤其对重点、关键和难点工程的施工方案、方法及其措施）</w:t>
      </w:r>
    </w:p>
    <w:p w14:paraId="76B38F52">
      <w:pPr>
        <w:numPr>
          <w:ilvl w:val="0"/>
          <w:numId w:val="15"/>
        </w:numPr>
        <w:tabs>
          <w:tab w:val="left" w:pos="1260"/>
          <w:tab w:val="clear" w:pos="1560"/>
        </w:tabs>
        <w:autoSpaceDE/>
        <w:autoSpaceDN/>
        <w:adjustRightInd/>
        <w:spacing w:line="360" w:lineRule="auto"/>
        <w:ind w:left="0" w:firstLine="540"/>
        <w:jc w:val="both"/>
        <w:rPr>
          <w:rFonts w:ascii="宋体" w:hAnsi="宋体" w:cs="宋体"/>
          <w:color w:val="auto"/>
          <w:szCs w:val="24"/>
          <w:highlight w:val="none"/>
        </w:rPr>
      </w:pPr>
      <w:r>
        <w:rPr>
          <w:rFonts w:ascii="宋体" w:hAnsi="宋体" w:cs="宋体"/>
          <w:color w:val="auto"/>
          <w:szCs w:val="24"/>
          <w:highlight w:val="none"/>
        </w:rPr>
        <w:t>工期保证体系及保证措施</w:t>
      </w:r>
    </w:p>
    <w:p w14:paraId="74116B9B">
      <w:pPr>
        <w:numPr>
          <w:ilvl w:val="0"/>
          <w:numId w:val="15"/>
        </w:numPr>
        <w:tabs>
          <w:tab w:val="left" w:pos="1260"/>
          <w:tab w:val="clear" w:pos="1560"/>
        </w:tabs>
        <w:autoSpaceDE/>
        <w:autoSpaceDN/>
        <w:adjustRightInd/>
        <w:spacing w:line="360" w:lineRule="auto"/>
        <w:ind w:left="0" w:firstLine="540"/>
        <w:jc w:val="both"/>
        <w:rPr>
          <w:rFonts w:ascii="宋体" w:hAnsi="宋体" w:cs="宋体"/>
          <w:color w:val="auto"/>
          <w:szCs w:val="24"/>
          <w:highlight w:val="none"/>
        </w:rPr>
      </w:pPr>
      <w:r>
        <w:rPr>
          <w:rFonts w:ascii="宋体" w:hAnsi="宋体" w:cs="宋体"/>
          <w:color w:val="auto"/>
          <w:szCs w:val="24"/>
          <w:highlight w:val="none"/>
        </w:rPr>
        <w:t>典型示范工程、工程质量管理体系及保证措施</w:t>
      </w:r>
    </w:p>
    <w:p w14:paraId="5693F17E">
      <w:pPr>
        <w:numPr>
          <w:ilvl w:val="0"/>
          <w:numId w:val="15"/>
        </w:numPr>
        <w:tabs>
          <w:tab w:val="left" w:pos="1260"/>
          <w:tab w:val="clear" w:pos="1560"/>
        </w:tabs>
        <w:autoSpaceDE/>
        <w:autoSpaceDN/>
        <w:adjustRightInd/>
        <w:spacing w:line="360" w:lineRule="auto"/>
        <w:ind w:left="0" w:firstLine="540"/>
        <w:jc w:val="both"/>
        <w:rPr>
          <w:rFonts w:ascii="宋体" w:hAnsi="宋体" w:cs="宋体"/>
          <w:color w:val="auto"/>
          <w:szCs w:val="24"/>
          <w:highlight w:val="none"/>
        </w:rPr>
      </w:pPr>
      <w:r>
        <w:rPr>
          <w:rFonts w:ascii="宋体" w:hAnsi="宋体" w:cs="宋体"/>
          <w:color w:val="auto"/>
          <w:szCs w:val="24"/>
          <w:highlight w:val="none"/>
        </w:rPr>
        <w:t>安全生产管理体系及保证措施</w:t>
      </w:r>
    </w:p>
    <w:p w14:paraId="0634A9D6">
      <w:pPr>
        <w:numPr>
          <w:ilvl w:val="0"/>
          <w:numId w:val="15"/>
        </w:numPr>
        <w:tabs>
          <w:tab w:val="left" w:pos="1260"/>
          <w:tab w:val="clear" w:pos="1560"/>
        </w:tabs>
        <w:autoSpaceDE/>
        <w:autoSpaceDN/>
        <w:adjustRightInd/>
        <w:spacing w:line="360" w:lineRule="auto"/>
        <w:ind w:left="0" w:firstLine="540"/>
        <w:jc w:val="both"/>
        <w:rPr>
          <w:rFonts w:ascii="宋体" w:hAnsi="宋体" w:cs="宋体"/>
          <w:color w:val="auto"/>
          <w:szCs w:val="24"/>
          <w:highlight w:val="none"/>
        </w:rPr>
      </w:pPr>
      <w:r>
        <w:rPr>
          <w:rFonts w:ascii="宋体" w:hAnsi="宋体" w:cs="宋体"/>
          <w:color w:val="auto"/>
          <w:szCs w:val="24"/>
          <w:highlight w:val="none"/>
        </w:rPr>
        <w:t>环境保护、水土保持保证体系及保证措施</w:t>
      </w:r>
    </w:p>
    <w:p w14:paraId="608AF3F3">
      <w:pPr>
        <w:numPr>
          <w:ilvl w:val="0"/>
          <w:numId w:val="15"/>
        </w:numPr>
        <w:tabs>
          <w:tab w:val="left" w:pos="1260"/>
          <w:tab w:val="clear" w:pos="1560"/>
        </w:tabs>
        <w:autoSpaceDE/>
        <w:autoSpaceDN/>
        <w:adjustRightInd/>
        <w:spacing w:line="360" w:lineRule="auto"/>
        <w:ind w:left="0" w:firstLine="540"/>
        <w:jc w:val="both"/>
        <w:rPr>
          <w:rFonts w:ascii="宋体" w:hAnsi="宋体" w:cs="宋体"/>
          <w:color w:val="auto"/>
          <w:szCs w:val="24"/>
          <w:highlight w:val="none"/>
        </w:rPr>
      </w:pPr>
      <w:r>
        <w:rPr>
          <w:rFonts w:ascii="宋体" w:hAnsi="宋体" w:cs="宋体"/>
          <w:color w:val="auto"/>
          <w:szCs w:val="24"/>
          <w:highlight w:val="none"/>
        </w:rPr>
        <w:t>文明施工、文物保护保证体系及保证措施</w:t>
      </w:r>
    </w:p>
    <w:p w14:paraId="6B7AD925">
      <w:pPr>
        <w:numPr>
          <w:ilvl w:val="0"/>
          <w:numId w:val="15"/>
        </w:numPr>
        <w:tabs>
          <w:tab w:val="left" w:pos="1260"/>
          <w:tab w:val="clear" w:pos="1560"/>
        </w:tabs>
        <w:autoSpaceDE/>
        <w:autoSpaceDN/>
        <w:adjustRightInd/>
        <w:spacing w:line="360" w:lineRule="auto"/>
        <w:ind w:left="0" w:firstLine="540"/>
        <w:jc w:val="both"/>
        <w:rPr>
          <w:rFonts w:ascii="宋体" w:hAnsi="宋体" w:cs="宋体"/>
          <w:color w:val="auto"/>
          <w:szCs w:val="24"/>
          <w:highlight w:val="none"/>
        </w:rPr>
      </w:pPr>
      <w:r>
        <w:rPr>
          <w:rFonts w:ascii="宋体" w:hAnsi="宋体" w:cs="宋体"/>
          <w:color w:val="auto"/>
          <w:szCs w:val="24"/>
          <w:highlight w:val="none"/>
        </w:rPr>
        <w:t>项目风险预测与防范，事故应急预案</w:t>
      </w:r>
    </w:p>
    <w:p w14:paraId="30BB3C62">
      <w:pPr>
        <w:numPr>
          <w:ilvl w:val="0"/>
          <w:numId w:val="15"/>
        </w:numPr>
        <w:tabs>
          <w:tab w:val="left" w:pos="1260"/>
          <w:tab w:val="clear" w:pos="1560"/>
        </w:tabs>
        <w:autoSpaceDE/>
        <w:autoSpaceDN/>
        <w:adjustRightInd/>
        <w:spacing w:line="360" w:lineRule="auto"/>
        <w:ind w:left="0" w:firstLine="540"/>
        <w:jc w:val="both"/>
        <w:rPr>
          <w:rFonts w:ascii="宋体" w:hAnsi="宋体" w:cs="宋体"/>
          <w:color w:val="auto"/>
          <w:szCs w:val="24"/>
          <w:highlight w:val="none"/>
        </w:rPr>
      </w:pPr>
      <w:r>
        <w:rPr>
          <w:rFonts w:ascii="宋体" w:hAnsi="宋体" w:cs="宋体"/>
          <w:color w:val="auto"/>
          <w:szCs w:val="24"/>
          <w:highlight w:val="none"/>
        </w:rPr>
        <w:t>其他应说明的事项</w:t>
      </w:r>
    </w:p>
    <w:p w14:paraId="095B1DB1">
      <w:pPr>
        <w:numPr>
          <w:ilvl w:val="3"/>
          <w:numId w:val="14"/>
        </w:numPr>
        <w:tabs>
          <w:tab w:val="left" w:pos="900"/>
          <w:tab w:val="clear" w:pos="1680"/>
        </w:tabs>
        <w:autoSpaceDE/>
        <w:autoSpaceDN/>
        <w:adjustRightInd/>
        <w:spacing w:line="360" w:lineRule="auto"/>
        <w:ind w:left="0" w:firstLine="540"/>
        <w:jc w:val="both"/>
        <w:rPr>
          <w:rFonts w:ascii="宋体" w:hAnsi="宋体" w:cs="宋体"/>
          <w:color w:val="auto"/>
          <w:szCs w:val="24"/>
          <w:highlight w:val="none"/>
        </w:rPr>
      </w:pPr>
      <w:r>
        <w:rPr>
          <w:rFonts w:ascii="宋体" w:hAnsi="宋体" w:cs="宋体"/>
          <w:color w:val="auto"/>
          <w:szCs w:val="24"/>
          <w:highlight w:val="none"/>
        </w:rPr>
        <w:t>施工组织设计除采用文字表述外可附下列图表，图表采用《公路工程标准施工招标文件》（2018版）的第九章“投标文件格式”“第五、施工组织设计”第2点中附表格式，图表及格式要求详见《公路工程标准施工招标文件》（2018版），本《</w:t>
      </w:r>
      <w:r>
        <w:rPr>
          <w:rFonts w:hint="eastAsia" w:ascii="宋体" w:hAnsi="宋体" w:cs="宋体"/>
          <w:color w:val="auto"/>
          <w:szCs w:val="24"/>
          <w:highlight w:val="none"/>
          <w:lang w:eastAsia="zh-CN"/>
        </w:rPr>
        <w:t>磋商文件</w:t>
      </w:r>
      <w:r>
        <w:rPr>
          <w:rFonts w:ascii="宋体" w:hAnsi="宋体" w:cs="宋体"/>
          <w:color w:val="auto"/>
          <w:szCs w:val="24"/>
          <w:highlight w:val="none"/>
        </w:rPr>
        <w:t>》中不再摘录。</w:t>
      </w:r>
    </w:p>
    <w:p w14:paraId="75DD8941">
      <w:pPr>
        <w:spacing w:line="360" w:lineRule="auto"/>
        <w:rPr>
          <w:rFonts w:ascii="宋体" w:hAnsi="宋体" w:cs="宋体"/>
          <w:color w:val="auto"/>
          <w:szCs w:val="24"/>
          <w:highlight w:val="none"/>
        </w:rPr>
      </w:pPr>
      <w:r>
        <w:rPr>
          <w:rFonts w:ascii="宋体" w:hAnsi="宋体" w:cs="宋体"/>
          <w:color w:val="auto"/>
          <w:szCs w:val="24"/>
          <w:highlight w:val="none"/>
        </w:rPr>
        <w:t xml:space="preserve">        附表一  施工总体计划表</w:t>
      </w:r>
    </w:p>
    <w:p w14:paraId="550280C9">
      <w:pPr>
        <w:spacing w:line="360" w:lineRule="auto"/>
        <w:rPr>
          <w:rFonts w:ascii="宋体" w:hAnsi="宋体" w:cs="宋体"/>
          <w:color w:val="auto"/>
          <w:szCs w:val="24"/>
          <w:highlight w:val="none"/>
        </w:rPr>
      </w:pPr>
      <w:r>
        <w:rPr>
          <w:rFonts w:ascii="宋体" w:hAnsi="宋体" w:cs="宋体"/>
          <w:color w:val="auto"/>
          <w:szCs w:val="24"/>
          <w:highlight w:val="none"/>
        </w:rPr>
        <w:t xml:space="preserve">        附表二  分项工程进度率计划（斜率图）</w:t>
      </w:r>
    </w:p>
    <w:p w14:paraId="3DE2A295">
      <w:pPr>
        <w:spacing w:line="360" w:lineRule="auto"/>
        <w:rPr>
          <w:rFonts w:ascii="宋体" w:hAnsi="宋体" w:cs="宋体"/>
          <w:color w:val="auto"/>
          <w:szCs w:val="24"/>
          <w:highlight w:val="none"/>
        </w:rPr>
      </w:pPr>
      <w:r>
        <w:rPr>
          <w:rFonts w:ascii="宋体" w:hAnsi="宋体" w:cs="宋体"/>
          <w:color w:val="auto"/>
          <w:szCs w:val="24"/>
          <w:highlight w:val="none"/>
        </w:rPr>
        <w:t xml:space="preserve">        附表三  工程管理曲线</w:t>
      </w:r>
    </w:p>
    <w:p w14:paraId="0DFB8BC9">
      <w:pPr>
        <w:spacing w:line="360" w:lineRule="auto"/>
        <w:rPr>
          <w:rFonts w:ascii="宋体" w:hAnsi="宋体" w:cs="宋体"/>
          <w:color w:val="auto"/>
          <w:szCs w:val="24"/>
          <w:highlight w:val="none"/>
        </w:rPr>
      </w:pPr>
      <w:r>
        <w:rPr>
          <w:rFonts w:ascii="宋体" w:hAnsi="宋体" w:cs="宋体"/>
          <w:color w:val="auto"/>
          <w:szCs w:val="24"/>
          <w:highlight w:val="none"/>
        </w:rPr>
        <w:t xml:space="preserve">        附表四  分项工程生产率和施工周期表</w:t>
      </w:r>
    </w:p>
    <w:p w14:paraId="6D2CA651">
      <w:pPr>
        <w:spacing w:line="360" w:lineRule="auto"/>
        <w:rPr>
          <w:rFonts w:ascii="宋体" w:hAnsi="宋体" w:cs="宋体"/>
          <w:color w:val="auto"/>
          <w:szCs w:val="24"/>
          <w:highlight w:val="none"/>
        </w:rPr>
      </w:pPr>
      <w:r>
        <w:rPr>
          <w:rFonts w:ascii="宋体" w:hAnsi="宋体" w:cs="宋体"/>
          <w:color w:val="auto"/>
          <w:szCs w:val="24"/>
          <w:highlight w:val="none"/>
        </w:rPr>
        <w:t xml:space="preserve">        附表五  施工总平面图</w:t>
      </w:r>
    </w:p>
    <w:p w14:paraId="33D4029A">
      <w:pPr>
        <w:spacing w:line="360" w:lineRule="auto"/>
        <w:rPr>
          <w:rFonts w:ascii="宋体" w:hAnsi="宋体" w:cs="宋体"/>
          <w:color w:val="auto"/>
          <w:szCs w:val="24"/>
          <w:highlight w:val="none"/>
        </w:rPr>
      </w:pPr>
      <w:r>
        <w:rPr>
          <w:rFonts w:ascii="宋体" w:hAnsi="宋体" w:cs="宋体"/>
          <w:color w:val="auto"/>
          <w:szCs w:val="24"/>
          <w:highlight w:val="none"/>
        </w:rPr>
        <w:t xml:space="preserve">        附表六  劳动力计划表</w:t>
      </w:r>
    </w:p>
    <w:p w14:paraId="352282A1">
      <w:pPr>
        <w:spacing w:line="360" w:lineRule="auto"/>
        <w:rPr>
          <w:rFonts w:ascii="宋体" w:hAnsi="宋体" w:cs="宋体"/>
          <w:color w:val="auto"/>
          <w:szCs w:val="24"/>
          <w:highlight w:val="none"/>
        </w:rPr>
      </w:pPr>
      <w:r>
        <w:rPr>
          <w:rFonts w:ascii="宋体" w:hAnsi="宋体" w:cs="宋体"/>
          <w:color w:val="auto"/>
          <w:szCs w:val="24"/>
          <w:highlight w:val="none"/>
        </w:rPr>
        <w:t xml:space="preserve">        附表七  临时占地计划表</w:t>
      </w:r>
    </w:p>
    <w:p w14:paraId="24EE7ED2">
      <w:pPr>
        <w:spacing w:line="360" w:lineRule="auto"/>
        <w:rPr>
          <w:rFonts w:ascii="宋体" w:hAnsi="宋体" w:cs="宋体"/>
          <w:color w:val="auto"/>
          <w:szCs w:val="24"/>
          <w:highlight w:val="none"/>
        </w:rPr>
      </w:pPr>
      <w:r>
        <w:rPr>
          <w:rFonts w:ascii="宋体" w:hAnsi="宋体" w:cs="宋体"/>
          <w:color w:val="auto"/>
          <w:szCs w:val="24"/>
          <w:highlight w:val="none"/>
        </w:rPr>
        <w:t xml:space="preserve">        附表八  外供电力需求计划表</w:t>
      </w:r>
    </w:p>
    <w:p w14:paraId="16246665">
      <w:pPr>
        <w:rPr>
          <w:rFonts w:ascii="宋体" w:hAnsi="宋体" w:cs="宋体"/>
          <w:color w:val="auto"/>
          <w:szCs w:val="24"/>
          <w:highlight w:val="none"/>
        </w:rPr>
        <w:sectPr>
          <w:footerReference r:id="rId11" w:type="default"/>
          <w:pgSz w:w="11910" w:h="16840"/>
          <w:pgMar w:top="1100" w:right="1202" w:bottom="919" w:left="1298" w:header="720" w:footer="720" w:gutter="0"/>
          <w:cols w:space="720" w:num="1"/>
        </w:sectPr>
      </w:pPr>
    </w:p>
    <w:p w14:paraId="292EE00B">
      <w:pPr>
        <w:pStyle w:val="5"/>
        <w:kinsoku w:val="0"/>
        <w:overflowPunct w:val="0"/>
        <w:rPr>
          <w:rFonts w:hAnsi="宋体" w:cs="宋体"/>
          <w:b w:val="0"/>
          <w:color w:val="auto"/>
          <w:highlight w:val="none"/>
        </w:rPr>
      </w:pPr>
      <w:bookmarkStart w:id="232" w:name="_Toc514786937"/>
      <w:bookmarkStart w:id="233" w:name="_Toc514759068"/>
      <w:r>
        <w:rPr>
          <w:rFonts w:hAnsi="宋体" w:cs="宋体"/>
          <w:color w:val="auto"/>
          <w:highlight w:val="none"/>
        </w:rPr>
        <w:t>二、项目管理机构</w:t>
      </w:r>
      <w:bookmarkEnd w:id="232"/>
      <w:bookmarkEnd w:id="233"/>
    </w:p>
    <w:p w14:paraId="71236A95">
      <w:pPr>
        <w:spacing w:line="360" w:lineRule="auto"/>
        <w:rPr>
          <w:rFonts w:ascii="宋体" w:hAnsi="宋体" w:cs="宋体"/>
          <w:color w:val="auto"/>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14:paraId="743C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9" w:hRule="atLeast"/>
        </w:trPr>
        <w:tc>
          <w:tcPr>
            <w:tcW w:w="9036" w:type="dxa"/>
            <w:noWrap w:val="0"/>
            <w:vAlign w:val="top"/>
          </w:tcPr>
          <w:p w14:paraId="02181B4E">
            <w:pPr>
              <w:spacing w:line="360" w:lineRule="auto"/>
              <w:rPr>
                <w:rFonts w:ascii="宋体" w:hAnsi="宋体" w:cs="宋体"/>
                <w:color w:val="auto"/>
                <w:szCs w:val="21"/>
                <w:highlight w:val="none"/>
              </w:rPr>
            </w:pPr>
            <w:r>
              <w:rPr>
                <w:rFonts w:ascii="宋体" w:hAnsi="宋体" w:cs="宋体"/>
                <w:color w:val="auto"/>
                <w:sz w:val="21"/>
                <w:szCs w:val="21"/>
                <w:highlight w:val="none"/>
              </w:rPr>
              <w:t>拟为承包本标段工程设立的组织机构以框图方式表示</w:t>
            </w:r>
          </w:p>
        </w:tc>
      </w:tr>
      <w:tr w14:paraId="4CD4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9036" w:type="dxa"/>
            <w:noWrap w:val="0"/>
            <w:vAlign w:val="top"/>
          </w:tcPr>
          <w:p w14:paraId="56CECF0A">
            <w:pPr>
              <w:spacing w:line="360" w:lineRule="auto"/>
              <w:rPr>
                <w:rFonts w:ascii="宋体" w:hAnsi="宋体" w:cs="宋体"/>
                <w:color w:val="auto"/>
                <w:szCs w:val="21"/>
                <w:highlight w:val="none"/>
              </w:rPr>
            </w:pPr>
            <w:r>
              <w:rPr>
                <w:rFonts w:ascii="宋体" w:hAnsi="宋体" w:cs="宋体"/>
                <w:color w:val="auto"/>
                <w:sz w:val="21"/>
                <w:szCs w:val="21"/>
                <w:highlight w:val="none"/>
              </w:rPr>
              <w:t>说明</w:t>
            </w:r>
          </w:p>
        </w:tc>
      </w:tr>
    </w:tbl>
    <w:p w14:paraId="25BCDD6C">
      <w:pPr>
        <w:pStyle w:val="5"/>
        <w:kinsoku w:val="0"/>
        <w:overflowPunct w:val="0"/>
        <w:rPr>
          <w:rFonts w:hAnsi="宋体" w:cs="宋体"/>
          <w:b w:val="0"/>
          <w:color w:val="auto"/>
          <w:highlight w:val="none"/>
        </w:rPr>
        <w:sectPr>
          <w:pgSz w:w="11910" w:h="16840"/>
          <w:pgMar w:top="1100" w:right="1202" w:bottom="919" w:left="1298" w:header="918" w:footer="721" w:gutter="0"/>
          <w:cols w:space="720" w:num="1"/>
        </w:sectPr>
      </w:pPr>
    </w:p>
    <w:p w14:paraId="039581D9">
      <w:pPr>
        <w:pStyle w:val="13"/>
        <w:kinsoku w:val="0"/>
        <w:overflowPunct w:val="0"/>
        <w:ind w:left="0"/>
        <w:rPr>
          <w:rFonts w:hint="eastAsia" w:ascii="宋体" w:hAnsi="宋体" w:cs="宋体"/>
          <w:b/>
          <w:color w:val="auto"/>
          <w:sz w:val="20"/>
          <w:highlight w:val="none"/>
        </w:rPr>
      </w:pPr>
    </w:p>
    <w:p w14:paraId="4DD83E22">
      <w:pPr>
        <w:pStyle w:val="13"/>
        <w:kinsoku w:val="0"/>
        <w:overflowPunct w:val="0"/>
        <w:ind w:left="0"/>
        <w:rPr>
          <w:rFonts w:hint="eastAsia" w:ascii="宋体" w:hAnsi="宋体" w:cs="宋体"/>
          <w:b/>
          <w:color w:val="auto"/>
          <w:sz w:val="20"/>
          <w:highlight w:val="none"/>
        </w:rPr>
      </w:pPr>
    </w:p>
    <w:p w14:paraId="71F21D3C">
      <w:pPr>
        <w:pStyle w:val="13"/>
        <w:kinsoku w:val="0"/>
        <w:overflowPunct w:val="0"/>
        <w:ind w:left="0"/>
        <w:rPr>
          <w:rFonts w:hint="eastAsia" w:ascii="宋体" w:hAnsi="宋体" w:cs="宋体"/>
          <w:b/>
          <w:color w:val="auto"/>
          <w:sz w:val="14"/>
          <w:highlight w:val="none"/>
        </w:rPr>
      </w:pPr>
    </w:p>
    <w:p w14:paraId="58602F2B">
      <w:pPr>
        <w:pStyle w:val="13"/>
        <w:kinsoku w:val="0"/>
        <w:overflowPunct w:val="0"/>
        <w:ind w:left="0"/>
        <w:rPr>
          <w:rFonts w:hint="eastAsia" w:ascii="宋体" w:hAnsi="宋体" w:cs="宋体"/>
          <w:color w:val="auto"/>
          <w:sz w:val="32"/>
          <w:highlight w:val="none"/>
        </w:rPr>
      </w:pPr>
      <w:r>
        <w:rPr>
          <w:rFonts w:hint="eastAsia" w:ascii="宋体" w:hAnsi="宋体" w:cs="宋体"/>
          <w:b/>
          <w:color w:val="auto"/>
          <w:sz w:val="32"/>
          <w:highlight w:val="none"/>
        </w:rPr>
        <w:t>三、供应商认为必要提供的声明及其它资料</w:t>
      </w:r>
    </w:p>
    <w:p w14:paraId="2D8FB5E1">
      <w:pPr>
        <w:pStyle w:val="13"/>
        <w:kinsoku w:val="0"/>
        <w:overflowPunct w:val="0"/>
        <w:ind w:left="0"/>
        <w:rPr>
          <w:rFonts w:hint="eastAsia" w:ascii="宋体" w:hAnsi="宋体" w:cs="宋体"/>
          <w:color w:val="auto"/>
          <w:sz w:val="32"/>
          <w:highlight w:val="none"/>
        </w:rPr>
        <w:sectPr>
          <w:pgSz w:w="11910" w:h="16840"/>
          <w:pgMar w:top="1100" w:right="1202" w:bottom="919" w:left="1298" w:header="794" w:footer="721" w:gutter="0"/>
          <w:cols w:space="720" w:num="1"/>
          <w:docGrid w:linePitch="326" w:charSpace="0"/>
        </w:sectPr>
      </w:pPr>
    </w:p>
    <w:p w14:paraId="535FAEB4">
      <w:pPr>
        <w:pStyle w:val="4"/>
        <w:kinsoku w:val="0"/>
        <w:overflowPunct w:val="0"/>
        <w:spacing w:line="460" w:lineRule="exact"/>
        <w:jc w:val="center"/>
        <w:rPr>
          <w:rFonts w:ascii="宋体" w:hAnsi="宋体" w:eastAsia="宋体" w:cs="宋体"/>
          <w:color w:val="auto"/>
          <w:highlight w:val="none"/>
        </w:rPr>
      </w:pPr>
      <w:bookmarkStart w:id="234" w:name="第八章__评标办法"/>
      <w:bookmarkEnd w:id="234"/>
      <w:bookmarkStart w:id="235" w:name="bookmark41"/>
      <w:bookmarkEnd w:id="235"/>
      <w:bookmarkStart w:id="236" w:name="_Toc517163154"/>
      <w:r>
        <w:rPr>
          <w:rFonts w:ascii="宋体" w:hAnsi="宋体" w:eastAsia="宋体" w:cs="宋体"/>
          <w:color w:val="auto"/>
          <w:highlight w:val="none"/>
        </w:rPr>
        <w:t>第八章</w:t>
      </w:r>
      <w:r>
        <w:rPr>
          <w:rFonts w:ascii="宋体" w:hAnsi="宋体" w:eastAsia="宋体" w:cs="宋体"/>
          <w:color w:val="auto"/>
          <w:highlight w:val="none"/>
        </w:rPr>
        <w:tab/>
      </w:r>
      <w:r>
        <w:rPr>
          <w:rFonts w:hint="eastAsia" w:ascii="宋体" w:hAnsi="宋体" w:eastAsia="宋体" w:cs="宋体"/>
          <w:color w:val="auto"/>
          <w:highlight w:val="none"/>
          <w:lang w:eastAsia="zh-CN"/>
        </w:rPr>
        <w:t>评审</w:t>
      </w:r>
      <w:r>
        <w:rPr>
          <w:rFonts w:ascii="宋体" w:hAnsi="宋体" w:eastAsia="宋体" w:cs="宋体"/>
          <w:color w:val="auto"/>
          <w:highlight w:val="none"/>
        </w:rPr>
        <w:t>办法</w:t>
      </w:r>
      <w:bookmarkEnd w:id="236"/>
    </w:p>
    <w:p w14:paraId="26DEDA5E">
      <w:pPr>
        <w:pStyle w:val="13"/>
        <w:kinsoku w:val="0"/>
        <w:overflowPunct w:val="0"/>
        <w:spacing w:line="360" w:lineRule="auto"/>
        <w:ind w:left="0"/>
        <w:jc w:val="center"/>
        <w:rPr>
          <w:rFonts w:hint="eastAsia" w:ascii="宋体" w:hAnsi="宋体" w:cs="宋体"/>
          <w:b/>
          <w:color w:val="auto"/>
          <w:sz w:val="21"/>
          <w:szCs w:val="21"/>
          <w:highlight w:val="none"/>
        </w:rPr>
      </w:pPr>
    </w:p>
    <w:p w14:paraId="7A8A4C10">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一、</w:t>
      </w:r>
      <w:r>
        <w:rPr>
          <w:rFonts w:hint="eastAsia" w:ascii="宋体" w:hAnsi="宋体" w:cs="宋体"/>
          <w:color w:val="auto"/>
          <w:szCs w:val="24"/>
          <w:highlight w:val="none"/>
          <w:lang w:eastAsia="zh-CN"/>
        </w:rPr>
        <w:t>评审</w:t>
      </w:r>
      <w:r>
        <w:rPr>
          <w:rFonts w:hint="eastAsia" w:ascii="宋体" w:hAnsi="宋体" w:cs="宋体"/>
          <w:color w:val="auto"/>
          <w:szCs w:val="24"/>
          <w:highlight w:val="none"/>
        </w:rPr>
        <w:t>原则</w:t>
      </w:r>
    </w:p>
    <w:p w14:paraId="7C6384D8">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磋商小组构成：本采购项目的磋商小组分别由依法组成的评审专家、采购人代表等三人以上（含3人）的单数组成，其中专家人数不得少于成员总数的三分之二。</w:t>
      </w:r>
    </w:p>
    <w:p w14:paraId="4CA08553">
      <w:pPr>
        <w:pStyle w:val="13"/>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lang w:eastAsia="zh-CN"/>
        </w:rPr>
        <w:t>评审</w:t>
      </w:r>
      <w:r>
        <w:rPr>
          <w:rFonts w:hint="eastAsia" w:ascii="宋体" w:hAnsi="宋体" w:cs="宋体"/>
          <w:color w:val="auto"/>
          <w:szCs w:val="24"/>
          <w:highlight w:val="none"/>
        </w:rPr>
        <w:t>依据：</w:t>
      </w:r>
      <w:r>
        <w:rPr>
          <w:rFonts w:hint="eastAsia" w:ascii="宋体" w:hAnsi="宋体" w:cs="宋体"/>
          <w:color w:val="auto"/>
          <w:szCs w:val="24"/>
          <w:highlight w:val="none"/>
          <w:lang w:eastAsia="zh-CN"/>
        </w:rPr>
        <w:t>磋商文件</w:t>
      </w:r>
      <w:r>
        <w:rPr>
          <w:rFonts w:hint="eastAsia" w:ascii="宋体" w:hAnsi="宋体" w:cs="宋体"/>
          <w:color w:val="auto"/>
          <w:szCs w:val="24"/>
          <w:highlight w:val="none"/>
        </w:rPr>
        <w:t>和响应文件为评定依据。</w:t>
      </w:r>
    </w:p>
    <w:p w14:paraId="5F95B6F9">
      <w:pPr>
        <w:pStyle w:val="13"/>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lang w:eastAsia="zh-CN"/>
        </w:rPr>
        <w:t>评审</w:t>
      </w:r>
      <w:r>
        <w:rPr>
          <w:rFonts w:hint="eastAsia" w:ascii="宋体" w:hAnsi="宋体" w:cs="宋体"/>
          <w:color w:val="auto"/>
          <w:szCs w:val="24"/>
          <w:highlight w:val="none"/>
        </w:rPr>
        <w:t>办法：采用综合评分法。</w:t>
      </w:r>
    </w:p>
    <w:p w14:paraId="352EC2EA">
      <w:pPr>
        <w:pStyle w:val="13"/>
        <w:kinsoku w:val="0"/>
        <w:overflowPunct w:val="0"/>
        <w:spacing w:line="360" w:lineRule="auto"/>
        <w:ind w:left="0" w:firstLine="434"/>
        <w:rPr>
          <w:rFonts w:hint="eastAsia" w:ascii="宋体" w:hAnsi="宋体" w:cs="宋体"/>
          <w:color w:val="auto"/>
          <w:w w:val="99"/>
          <w:szCs w:val="24"/>
          <w:highlight w:val="none"/>
        </w:rPr>
      </w:pPr>
      <w:r>
        <w:rPr>
          <w:rFonts w:hint="eastAsia" w:ascii="宋体" w:hAnsi="宋体" w:cs="宋体"/>
          <w:color w:val="auto"/>
          <w:w w:val="95"/>
          <w:szCs w:val="24"/>
          <w:highlight w:val="none"/>
        </w:rPr>
        <w:t>二、</w:t>
      </w:r>
      <w:r>
        <w:rPr>
          <w:rFonts w:hint="eastAsia" w:ascii="宋体" w:hAnsi="宋体" w:cs="宋体"/>
          <w:color w:val="auto"/>
          <w:szCs w:val="24"/>
          <w:highlight w:val="none"/>
        </w:rPr>
        <w:t>评定方法</w:t>
      </w:r>
      <w:r>
        <w:rPr>
          <w:rFonts w:hint="eastAsia" w:ascii="宋体" w:hAnsi="宋体" w:cs="宋体"/>
          <w:b/>
          <w:color w:val="auto"/>
          <w:w w:val="95"/>
          <w:szCs w:val="24"/>
          <w:highlight w:val="none"/>
        </w:rPr>
        <w:t>：</w:t>
      </w:r>
      <w:r>
        <w:rPr>
          <w:rFonts w:hint="eastAsia" w:ascii="宋体" w:hAnsi="宋体" w:cs="宋体"/>
          <w:color w:val="auto"/>
          <w:szCs w:val="24"/>
          <w:highlight w:val="none"/>
        </w:rPr>
        <w:t>对资格性和符合性检查合格的响应文件，采用综合评分法进行评审。只有通过了资格审查和符合性评审的供应商，才能进入详细评审程序。</w:t>
      </w:r>
    </w:p>
    <w:p w14:paraId="0F53A4BA">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b/>
          <w:color w:val="auto"/>
          <w:szCs w:val="24"/>
          <w:highlight w:val="none"/>
        </w:rPr>
        <w:t>1、价格分………………………………………………………………………………10分</w:t>
      </w:r>
      <w:bookmarkStart w:id="237" w:name="（1）按照《政府采购促进中小企业发展暂行办法》（财库[2011]181号），竞标"/>
      <w:bookmarkEnd w:id="237"/>
    </w:p>
    <w:p w14:paraId="26FBADBC">
      <w:pPr>
        <w:pStyle w:val="28"/>
        <w:widowControl w:val="0"/>
        <w:kinsoku w:val="0"/>
        <w:overflowPunct w:val="0"/>
        <w:spacing w:before="0" w:beforeAutospacing="0" w:after="0" w:afterAutospacing="0" w:line="360" w:lineRule="auto"/>
        <w:ind w:firstLine="480" w:firstLineChars="200"/>
        <w:jc w:val="both"/>
        <w:rPr>
          <w:rFonts w:hAnsi="宋体" w:cs="宋体"/>
          <w:color w:val="auto"/>
          <w:szCs w:val="24"/>
          <w:highlight w:val="none"/>
        </w:rPr>
      </w:pPr>
      <w:bookmarkStart w:id="238" w:name="_Toc514786939"/>
      <w:r>
        <w:rPr>
          <w:rFonts w:hint="eastAsia" w:hAnsi="宋体" w:cs="宋体"/>
          <w:color w:val="auto"/>
          <w:szCs w:val="24"/>
          <w:highlight w:val="none"/>
          <w:lang w:eastAsia="zh-CN"/>
        </w:rPr>
        <w:t>评审</w:t>
      </w:r>
      <w:r>
        <w:rPr>
          <w:rFonts w:hAnsi="宋体" w:cs="宋体"/>
          <w:color w:val="auto"/>
          <w:szCs w:val="24"/>
          <w:highlight w:val="none"/>
        </w:rPr>
        <w:t>基准价计算：</w:t>
      </w:r>
    </w:p>
    <w:p w14:paraId="0DDD213D">
      <w:pPr>
        <w:pStyle w:val="28"/>
        <w:widowControl w:val="0"/>
        <w:numPr>
          <w:ilvl w:val="0"/>
          <w:numId w:val="16"/>
        </w:numPr>
        <w:kinsoku w:val="0"/>
        <w:overflowPunct w:val="0"/>
        <w:spacing w:before="0" w:beforeAutospacing="0" w:after="0" w:afterAutospacing="0" w:line="360" w:lineRule="auto"/>
        <w:rPr>
          <w:rFonts w:hAnsi="宋体" w:cs="宋体"/>
          <w:color w:val="auto"/>
          <w:szCs w:val="24"/>
          <w:highlight w:val="none"/>
        </w:rPr>
      </w:pPr>
      <w:r>
        <w:rPr>
          <w:rFonts w:hAnsi="宋体" w:cs="宋体"/>
          <w:color w:val="auto"/>
          <w:szCs w:val="24"/>
          <w:highlight w:val="none"/>
        </w:rPr>
        <w:t>有效报价范围：为竞标总价低于或等于采购预算价，通过资格评审、符合性评审合格，经</w:t>
      </w:r>
      <w:r>
        <w:rPr>
          <w:rFonts w:hint="eastAsia" w:hAnsi="宋体" w:cs="宋体"/>
          <w:color w:val="auto"/>
          <w:szCs w:val="24"/>
          <w:highlight w:val="none"/>
          <w:lang w:eastAsia="zh-CN"/>
        </w:rPr>
        <w:t>磋商小组</w:t>
      </w:r>
      <w:r>
        <w:rPr>
          <w:rFonts w:hAnsi="宋体" w:cs="宋体"/>
          <w:color w:val="auto"/>
          <w:szCs w:val="24"/>
          <w:highlight w:val="none"/>
        </w:rPr>
        <w:t>审定不存在严重不平衡、不合理、不低于其企业成本的供应商竞标总价。</w:t>
      </w:r>
    </w:p>
    <w:p w14:paraId="2859A801">
      <w:pPr>
        <w:pStyle w:val="28"/>
        <w:widowControl w:val="0"/>
        <w:numPr>
          <w:ilvl w:val="0"/>
          <w:numId w:val="16"/>
        </w:numPr>
        <w:kinsoku w:val="0"/>
        <w:overflowPunct w:val="0"/>
        <w:spacing w:before="0" w:beforeAutospacing="0" w:after="0" w:afterAutospacing="0" w:line="360" w:lineRule="auto"/>
        <w:rPr>
          <w:rFonts w:hAnsi="宋体" w:cs="宋体"/>
          <w:color w:val="auto"/>
          <w:szCs w:val="24"/>
          <w:highlight w:val="none"/>
        </w:rPr>
      </w:pPr>
      <w:r>
        <w:rPr>
          <w:rFonts w:hAnsi="宋体" w:cs="宋体"/>
          <w:color w:val="auto"/>
          <w:szCs w:val="24"/>
          <w:highlight w:val="none"/>
        </w:rPr>
        <w:t>有效报价范围内的供应商最低</w:t>
      </w:r>
      <w:r>
        <w:rPr>
          <w:rFonts w:hint="eastAsia" w:hAnsi="宋体" w:cs="宋体"/>
          <w:color w:val="auto"/>
          <w:szCs w:val="24"/>
          <w:highlight w:val="none"/>
          <w:lang w:eastAsia="zh-CN"/>
        </w:rPr>
        <w:t>评审</w:t>
      </w:r>
      <w:r>
        <w:rPr>
          <w:rFonts w:hAnsi="宋体" w:cs="宋体"/>
          <w:color w:val="auto"/>
          <w:szCs w:val="24"/>
          <w:highlight w:val="none"/>
        </w:rPr>
        <w:t>价作为</w:t>
      </w:r>
      <w:r>
        <w:rPr>
          <w:rFonts w:hint="eastAsia" w:hAnsi="宋体" w:cs="宋体"/>
          <w:color w:val="auto"/>
          <w:szCs w:val="24"/>
          <w:highlight w:val="none"/>
          <w:lang w:eastAsia="zh-CN"/>
        </w:rPr>
        <w:t>评审</w:t>
      </w:r>
      <w:r>
        <w:rPr>
          <w:rFonts w:hAnsi="宋体" w:cs="宋体"/>
          <w:color w:val="auto"/>
          <w:szCs w:val="24"/>
          <w:highlight w:val="none"/>
        </w:rPr>
        <w:t>基准价。</w:t>
      </w:r>
    </w:p>
    <w:p w14:paraId="1FEF5614">
      <w:pPr>
        <w:pStyle w:val="28"/>
        <w:widowControl w:val="0"/>
        <w:numPr>
          <w:ilvl w:val="0"/>
          <w:numId w:val="16"/>
        </w:numPr>
        <w:kinsoku w:val="0"/>
        <w:overflowPunct w:val="0"/>
        <w:spacing w:before="0" w:beforeAutospacing="0" w:after="0" w:afterAutospacing="0" w:line="360" w:lineRule="auto"/>
        <w:rPr>
          <w:rFonts w:hAnsi="宋体" w:cs="宋体"/>
          <w:b/>
          <w:color w:val="auto"/>
          <w:szCs w:val="24"/>
          <w:highlight w:val="none"/>
        </w:rPr>
      </w:pPr>
      <w:r>
        <w:rPr>
          <w:rFonts w:hAnsi="宋体" w:cs="宋体"/>
          <w:b/>
          <w:color w:val="auto"/>
          <w:szCs w:val="24"/>
          <w:highlight w:val="none"/>
        </w:rPr>
        <w:t>本项目专门面向小微企业采购，不再执行价格评审优惠的扶持政策。</w:t>
      </w:r>
    </w:p>
    <w:p w14:paraId="13389FD2">
      <w:pPr>
        <w:pStyle w:val="108"/>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某供应商价格分=（</w:t>
      </w:r>
      <w:r>
        <w:rPr>
          <w:rFonts w:hint="eastAsia" w:ascii="宋体" w:hAnsi="宋体" w:cs="宋体"/>
          <w:color w:val="auto"/>
          <w:sz w:val="24"/>
          <w:szCs w:val="24"/>
          <w:highlight w:val="none"/>
          <w:lang w:eastAsia="zh-CN"/>
        </w:rPr>
        <w:t>评审</w:t>
      </w:r>
      <w:r>
        <w:rPr>
          <w:rFonts w:hint="eastAsia" w:ascii="宋体" w:hAnsi="宋体" w:cs="宋体"/>
          <w:color w:val="auto"/>
          <w:sz w:val="24"/>
          <w:szCs w:val="24"/>
          <w:highlight w:val="none"/>
        </w:rPr>
        <w:t>基准价÷某供应商</w:t>
      </w:r>
      <w:r>
        <w:rPr>
          <w:rFonts w:hint="eastAsia" w:ascii="宋体" w:hAnsi="宋体" w:cs="宋体"/>
          <w:color w:val="auto"/>
          <w:sz w:val="24"/>
          <w:szCs w:val="24"/>
          <w:highlight w:val="none"/>
          <w:lang w:eastAsia="zh-CN"/>
        </w:rPr>
        <w:t>评审</w:t>
      </w:r>
      <w:r>
        <w:rPr>
          <w:rFonts w:hint="eastAsia" w:ascii="宋体" w:hAnsi="宋体" w:cs="宋体"/>
          <w:color w:val="auto"/>
          <w:sz w:val="24"/>
          <w:szCs w:val="24"/>
          <w:highlight w:val="none"/>
        </w:rPr>
        <w:t>报价金额）×10分。</w:t>
      </w:r>
    </w:p>
    <w:p w14:paraId="0C8ACDCB">
      <w:pPr>
        <w:pStyle w:val="108"/>
        <w:ind w:firstLine="480" w:firstLineChars="200"/>
        <w:rPr>
          <w:rFonts w:hint="eastAsia" w:ascii="宋体" w:hAnsi="宋体" w:cs="宋体"/>
          <w:color w:val="auto"/>
          <w:sz w:val="24"/>
          <w:szCs w:val="24"/>
          <w:highlight w:val="none"/>
        </w:rPr>
      </w:pPr>
    </w:p>
    <w:p w14:paraId="693E6394">
      <w:pPr>
        <w:pStyle w:val="9"/>
        <w:numPr>
          <w:ilvl w:val="0"/>
          <w:numId w:val="17"/>
        </w:numPr>
        <w:kinsoku w:val="0"/>
        <w:overflowPunct w:val="0"/>
        <w:ind w:left="0" w:firstLine="481" w:firstLineChars="210"/>
        <w:rPr>
          <w:rFonts w:hAnsi="宋体" w:cs="宋体"/>
          <w:color w:val="auto"/>
          <w:w w:val="95"/>
          <w:sz w:val="24"/>
          <w:szCs w:val="24"/>
          <w:highlight w:val="none"/>
        </w:rPr>
      </w:pPr>
      <w:r>
        <w:rPr>
          <w:rFonts w:hAnsi="宋体" w:cs="宋体"/>
          <w:color w:val="auto"/>
          <w:w w:val="95"/>
          <w:sz w:val="24"/>
          <w:szCs w:val="24"/>
          <w:highlight w:val="none"/>
        </w:rPr>
        <w:t>技术分……………………………………………………………………………………40分</w:t>
      </w:r>
      <w:bookmarkEnd w:id="238"/>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754"/>
        <w:gridCol w:w="1145"/>
        <w:gridCol w:w="1705"/>
        <w:gridCol w:w="770"/>
        <w:gridCol w:w="4288"/>
      </w:tblGrid>
      <w:tr w14:paraId="3425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F9C5A7C">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评分因素与权重分值①</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D649C29">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14:paraId="25E1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5B9A9DE">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0718061">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C0274D3">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评分因素权重分值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37B15A3">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各评分因素细分项 </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DF978B2">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分值</w:t>
            </w: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D8B56C1">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14:paraId="4A07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3D10B28">
            <w:pPr>
              <w:pStyle w:val="1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2.2.2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C7EC4E8">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施工组织设计</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07972E3">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40.00分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EF228E5">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总体施工组织布置及规划</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4CB3BAF">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E6CB891">
            <w:pPr>
              <w:pStyle w:val="113"/>
              <w:rPr>
                <w:rFonts w:hint="eastAsia" w:ascii="宋体" w:hAnsi="宋体" w:eastAsia="宋体" w:cs="宋体"/>
                <w:color w:val="auto"/>
                <w:highlight w:val="none"/>
              </w:rPr>
            </w:pPr>
            <w:r>
              <w:rPr>
                <w:rFonts w:hint="eastAsia" w:ascii="宋体" w:hAnsi="宋体" w:eastAsia="宋体" w:cs="宋体"/>
                <w:color w:val="auto"/>
                <w:highlight w:val="none"/>
              </w:rPr>
              <w:t>总体施工组织布置及规划合理的可得基本分5分；在此基础上方案周全、有针对性的可加0～2分。</w:t>
            </w:r>
          </w:p>
        </w:tc>
      </w:tr>
      <w:tr w14:paraId="04E0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54EEB5F">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4455474">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E25CE19">
            <w:pPr>
              <w:pStyle w:val="113"/>
              <w:jc w:val="center"/>
              <w:rPr>
                <w:rFonts w:hint="eastAsia" w:ascii="宋体" w:hAnsi="宋体" w:eastAsia="宋体" w:cs="宋体"/>
                <w:color w:val="auto"/>
                <w:highlight w:val="none"/>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DEB4263">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主要工程项目的施工方案、方法与技术措施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7EB8203">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726B910">
            <w:pPr>
              <w:pStyle w:val="113"/>
              <w:rPr>
                <w:rFonts w:hint="eastAsia" w:ascii="宋体" w:hAnsi="宋体" w:eastAsia="宋体" w:cs="宋体"/>
                <w:color w:val="auto"/>
                <w:highlight w:val="none"/>
              </w:rPr>
            </w:pPr>
            <w:r>
              <w:rPr>
                <w:rFonts w:hint="eastAsia" w:ascii="宋体" w:hAnsi="宋体" w:eastAsia="宋体" w:cs="宋体"/>
                <w:color w:val="auto"/>
                <w:highlight w:val="none"/>
              </w:rPr>
              <w:t>施工方案合理、操作方法可行、技术措施有保障的可得基本分7分；在此基础上方案周全可靠、方法和技术措施具体有针对性的可加0～4分。</w:t>
            </w:r>
          </w:p>
        </w:tc>
      </w:tr>
      <w:tr w14:paraId="5DD0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8912492">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1910E65">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5D80172">
            <w:pPr>
              <w:pStyle w:val="113"/>
              <w:jc w:val="center"/>
              <w:rPr>
                <w:rFonts w:hint="eastAsia" w:ascii="宋体" w:hAnsi="宋体" w:eastAsia="宋体" w:cs="宋体"/>
                <w:color w:val="auto"/>
                <w:highlight w:val="none"/>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7CA4F36">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工期保证、工程质量管理体系及保证措施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0DB0886">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EA5E997">
            <w:pPr>
              <w:pStyle w:val="113"/>
              <w:rPr>
                <w:rFonts w:hint="eastAsia" w:ascii="宋体" w:hAnsi="宋体" w:eastAsia="宋体" w:cs="宋体"/>
                <w:color w:val="auto"/>
                <w:highlight w:val="none"/>
              </w:rPr>
            </w:pPr>
            <w:r>
              <w:rPr>
                <w:rFonts w:hint="eastAsia" w:ascii="宋体" w:hAnsi="宋体" w:eastAsia="宋体" w:cs="宋体"/>
                <w:color w:val="auto"/>
                <w:highlight w:val="none"/>
              </w:rPr>
              <w:t>有工期保证体系、质量管理体系，保证措施合理、有保障的可得基本分5分；在此基础上，体系周全、保证措施有针对性的可加0～3分。</w:t>
            </w:r>
          </w:p>
        </w:tc>
      </w:tr>
      <w:tr w14:paraId="0D85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98E11D9">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344427F">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77217EE">
            <w:pPr>
              <w:pStyle w:val="113"/>
              <w:jc w:val="center"/>
              <w:rPr>
                <w:rFonts w:hint="eastAsia" w:ascii="宋体" w:hAnsi="宋体" w:eastAsia="宋体" w:cs="宋体"/>
                <w:color w:val="auto"/>
                <w:highlight w:val="none"/>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62A2CF9">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安全生产、文明施工管理体系及保证措施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80934FE">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68C7C60">
            <w:pPr>
              <w:pStyle w:val="113"/>
              <w:rPr>
                <w:rFonts w:hint="eastAsia" w:ascii="宋体" w:hAnsi="宋体" w:eastAsia="宋体" w:cs="宋体"/>
                <w:color w:val="auto"/>
                <w:highlight w:val="none"/>
              </w:rPr>
            </w:pPr>
            <w:r>
              <w:rPr>
                <w:rFonts w:hint="eastAsia" w:ascii="宋体" w:hAnsi="宋体" w:eastAsia="宋体" w:cs="宋体"/>
                <w:color w:val="auto"/>
                <w:highlight w:val="none"/>
              </w:rPr>
              <w:t>有安全生产、文明施工管理体系、保证措施可行的可得基本分5分，在此基础上，管理体系周全、保证措施有针对性的可加0～2分。</w:t>
            </w:r>
          </w:p>
        </w:tc>
      </w:tr>
      <w:tr w14:paraId="630D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9E6C0D7">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94E8479">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177726D">
            <w:pPr>
              <w:pStyle w:val="113"/>
              <w:jc w:val="center"/>
              <w:rPr>
                <w:rFonts w:hint="eastAsia" w:ascii="宋体" w:hAnsi="宋体" w:eastAsia="宋体" w:cs="宋体"/>
                <w:color w:val="auto"/>
                <w:highlight w:val="none"/>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51B09D4">
            <w:pPr>
              <w:pStyle w:val="1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项目风险预测与防范，事故应急预案</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E1F0CBC">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7.0分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CA91997">
            <w:pPr>
              <w:pStyle w:val="113"/>
              <w:rPr>
                <w:rFonts w:hint="eastAsia" w:ascii="宋体" w:hAnsi="宋体" w:eastAsia="宋体" w:cs="宋体"/>
                <w:color w:val="auto"/>
                <w:highlight w:val="none"/>
              </w:rPr>
            </w:pPr>
            <w:r>
              <w:rPr>
                <w:rFonts w:hint="eastAsia" w:ascii="宋体" w:hAnsi="宋体" w:eastAsia="宋体" w:cs="宋体"/>
                <w:color w:val="auto"/>
                <w:highlight w:val="none"/>
              </w:rPr>
              <w:t>有项目风险预测与防范，事故应急预案的可得基本分5分，在此基础上，预案周全、有针对性的可加0～2分。</w:t>
            </w:r>
          </w:p>
        </w:tc>
      </w:tr>
    </w:tbl>
    <w:p w14:paraId="0D83AB5E">
      <w:pPr>
        <w:pStyle w:val="9"/>
        <w:kinsoku w:val="0"/>
        <w:overflowPunct w:val="0"/>
        <w:ind w:left="0"/>
        <w:rPr>
          <w:rFonts w:hAnsi="宋体" w:cs="宋体"/>
          <w:color w:val="auto"/>
          <w:w w:val="95"/>
          <w:sz w:val="24"/>
          <w:szCs w:val="24"/>
          <w:highlight w:val="none"/>
        </w:rPr>
      </w:pPr>
    </w:p>
    <w:p w14:paraId="1B8F7B51">
      <w:pPr>
        <w:pStyle w:val="13"/>
        <w:numPr>
          <w:ilvl w:val="0"/>
          <w:numId w:val="17"/>
        </w:numPr>
        <w:kinsoku w:val="0"/>
        <w:overflowPunct w:val="0"/>
        <w:spacing w:line="340" w:lineRule="auto"/>
        <w:ind w:left="0"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项目管理机构及业绩分</w:t>
      </w:r>
      <w:r>
        <w:rPr>
          <w:rFonts w:hint="eastAsia" w:ascii="宋体" w:hAnsi="宋体" w:cs="宋体"/>
          <w:color w:val="auto"/>
          <w:w w:val="95"/>
          <w:szCs w:val="24"/>
          <w:highlight w:val="none"/>
        </w:rPr>
        <w:t>………………………………………………………………</w:t>
      </w:r>
      <w:r>
        <w:rPr>
          <w:rFonts w:hint="eastAsia" w:ascii="宋体" w:hAnsi="宋体" w:cs="宋体"/>
          <w:b/>
          <w:color w:val="auto"/>
          <w:szCs w:val="24"/>
          <w:highlight w:val="none"/>
        </w:rPr>
        <w:t>50分</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596"/>
        <w:gridCol w:w="1071"/>
        <w:gridCol w:w="916"/>
        <w:gridCol w:w="753"/>
        <w:gridCol w:w="5359"/>
      </w:tblGrid>
      <w:tr w14:paraId="0D70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D4F8B5B">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评分因素与权重分值①</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3BC92D8">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14:paraId="7C70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BDB42A9">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8615FA0">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24627F9">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评分因素权重分值</w:t>
            </w:r>
          </w:p>
        </w:tc>
        <w:tc>
          <w:tcPr>
            <w:tcW w:w="4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89D45A9">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各评分因素细分项 </w:t>
            </w:r>
          </w:p>
        </w:tc>
        <w:tc>
          <w:tcPr>
            <w:tcW w:w="39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63EDB58">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分值</w:t>
            </w: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5B601C8">
            <w:pPr>
              <w:pStyle w:val="113"/>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14:paraId="7B05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8DB3A02">
            <w:pPr>
              <w:pStyle w:val="1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2.2.2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A23B70B">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主要人员</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B915857">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25.00分</w:t>
            </w:r>
          </w:p>
        </w:tc>
        <w:tc>
          <w:tcPr>
            <w:tcW w:w="4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09596AE">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项目经理任职资格与业绩</w:t>
            </w:r>
          </w:p>
        </w:tc>
        <w:tc>
          <w:tcPr>
            <w:tcW w:w="39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4DE484A4">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15.0分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7E61131">
            <w:pPr>
              <w:rPr>
                <w:rFonts w:ascii="宋体" w:hAnsi="宋体"/>
                <w:color w:val="auto"/>
                <w:highlight w:val="none"/>
              </w:rPr>
            </w:pPr>
            <w:r>
              <w:rPr>
                <w:rFonts w:ascii="宋体" w:hAnsi="宋体"/>
                <w:color w:val="auto"/>
                <w:szCs w:val="24"/>
                <w:highlight w:val="none"/>
              </w:rPr>
              <w:t>拟派项目经理具有公路工程专业贰级</w:t>
            </w:r>
            <w:r>
              <w:rPr>
                <w:rFonts w:hint="eastAsia" w:ascii="宋体" w:hAnsi="宋体"/>
                <w:color w:val="auto"/>
                <w:szCs w:val="24"/>
                <w:highlight w:val="none"/>
                <w:lang w:eastAsia="zh-CN"/>
              </w:rPr>
              <w:t>及以上</w:t>
            </w:r>
            <w:r>
              <w:rPr>
                <w:rFonts w:ascii="宋体" w:hAnsi="宋体"/>
                <w:color w:val="auto"/>
                <w:szCs w:val="24"/>
                <w:highlight w:val="none"/>
              </w:rPr>
              <w:t>注册建造师执业资格，且具备中级</w:t>
            </w:r>
            <w:r>
              <w:rPr>
                <w:rFonts w:hint="eastAsia" w:ascii="宋体" w:hAnsi="宋体"/>
                <w:color w:val="auto"/>
                <w:szCs w:val="24"/>
                <w:highlight w:val="none"/>
                <w:lang w:eastAsia="zh-CN"/>
              </w:rPr>
              <w:t>及以上</w:t>
            </w:r>
            <w:r>
              <w:rPr>
                <w:rFonts w:ascii="宋体" w:hAnsi="宋体"/>
                <w:color w:val="auto"/>
                <w:szCs w:val="24"/>
                <w:highlight w:val="none"/>
              </w:rPr>
              <w:t>职称的得</w:t>
            </w:r>
            <w:r>
              <w:rPr>
                <w:rFonts w:hint="eastAsia" w:ascii="宋体" w:hAnsi="宋体"/>
                <w:color w:val="auto"/>
                <w:szCs w:val="24"/>
                <w:highlight w:val="none"/>
                <w:lang w:val="en-US" w:eastAsia="zh-CN"/>
              </w:rPr>
              <w:t>8</w:t>
            </w:r>
            <w:r>
              <w:rPr>
                <w:rFonts w:ascii="宋体" w:hAnsi="宋体"/>
                <w:color w:val="auto"/>
                <w:szCs w:val="24"/>
                <w:highlight w:val="none"/>
              </w:rPr>
              <w:t>分</w:t>
            </w:r>
            <w:r>
              <w:rPr>
                <w:rFonts w:hint="eastAsia" w:ascii="宋体" w:hAnsi="宋体"/>
                <w:color w:val="auto"/>
                <w:szCs w:val="24"/>
                <w:highlight w:val="none"/>
                <w:lang w:eastAsia="zh-CN"/>
              </w:rPr>
              <w:t>；</w:t>
            </w:r>
            <w:r>
              <w:rPr>
                <w:rFonts w:ascii="宋体" w:hAnsi="宋体"/>
                <w:color w:val="auto"/>
                <w:szCs w:val="24"/>
                <w:highlight w:val="none"/>
              </w:rPr>
              <w:t>20</w:t>
            </w:r>
            <w:r>
              <w:rPr>
                <w:rFonts w:hint="eastAsia" w:ascii="宋体" w:hAnsi="宋体"/>
                <w:color w:val="auto"/>
                <w:szCs w:val="24"/>
                <w:highlight w:val="none"/>
                <w:lang w:val="en-US" w:eastAsia="zh-CN"/>
              </w:rPr>
              <w:t>20</w:t>
            </w:r>
            <w:r>
              <w:rPr>
                <w:rFonts w:ascii="宋体" w:hAnsi="宋体"/>
                <w:color w:val="auto"/>
                <w:szCs w:val="24"/>
                <w:highlight w:val="none"/>
              </w:rPr>
              <w:t>年</w:t>
            </w:r>
            <w:r>
              <w:rPr>
                <w:rFonts w:hint="eastAsia" w:ascii="宋体" w:hAnsi="宋体"/>
                <w:color w:val="auto"/>
                <w:szCs w:val="24"/>
                <w:highlight w:val="none"/>
                <w:lang w:val="en-US" w:eastAsia="zh-CN"/>
              </w:rPr>
              <w:t>6</w:t>
            </w:r>
            <w:r>
              <w:rPr>
                <w:rFonts w:ascii="宋体" w:hAnsi="宋体"/>
                <w:color w:val="auto"/>
                <w:szCs w:val="24"/>
                <w:highlight w:val="none"/>
              </w:rPr>
              <w:t>月1日之后拟派项目经理担任过</w:t>
            </w:r>
            <w:r>
              <w:rPr>
                <w:rFonts w:ascii="宋体" w:hAnsi="宋体" w:eastAsia="宋体"/>
                <w:color w:val="auto"/>
                <w:szCs w:val="21"/>
                <w:highlight w:val="none"/>
              </w:rPr>
              <w:t>公路</w:t>
            </w:r>
            <w:r>
              <w:rPr>
                <w:rFonts w:hint="eastAsia" w:ascii="宋体" w:hAnsi="宋体" w:eastAsia="宋体"/>
                <w:color w:val="auto"/>
                <w:szCs w:val="21"/>
                <w:highlight w:val="none"/>
                <w:lang w:eastAsia="zh-CN"/>
              </w:rPr>
              <w:t>工程</w:t>
            </w:r>
            <w:r>
              <w:rPr>
                <w:rFonts w:ascii="宋体" w:hAnsi="宋体"/>
                <w:color w:val="auto"/>
                <w:szCs w:val="24"/>
                <w:highlight w:val="none"/>
              </w:rPr>
              <w:t>项目的施工业绩加</w:t>
            </w:r>
            <w:r>
              <w:rPr>
                <w:rFonts w:hint="eastAsia" w:ascii="宋体" w:hAnsi="宋体"/>
                <w:color w:val="auto"/>
                <w:szCs w:val="24"/>
                <w:highlight w:val="none"/>
                <w:lang w:val="en-US" w:eastAsia="zh-CN"/>
              </w:rPr>
              <w:t>7</w:t>
            </w:r>
            <w:r>
              <w:rPr>
                <w:rFonts w:ascii="宋体" w:hAnsi="宋体"/>
                <w:color w:val="auto"/>
                <w:szCs w:val="24"/>
                <w:highlight w:val="none"/>
              </w:rPr>
              <w:t>分，最多加</w:t>
            </w:r>
            <w:r>
              <w:rPr>
                <w:rFonts w:hint="eastAsia" w:ascii="宋体" w:hAnsi="宋体"/>
                <w:color w:val="auto"/>
                <w:szCs w:val="24"/>
                <w:highlight w:val="none"/>
                <w:lang w:val="en-US" w:eastAsia="zh-CN"/>
              </w:rPr>
              <w:t>7</w:t>
            </w:r>
            <w:r>
              <w:rPr>
                <w:rFonts w:ascii="宋体" w:hAnsi="宋体"/>
                <w:color w:val="auto"/>
                <w:szCs w:val="24"/>
                <w:highlight w:val="none"/>
              </w:rPr>
              <w:t>分，本项满分15分。</w:t>
            </w:r>
          </w:p>
          <w:p w14:paraId="16CC0474">
            <w:pPr>
              <w:rPr>
                <w:rFonts w:ascii="宋体" w:hAnsi="宋体"/>
                <w:color w:val="auto"/>
                <w:szCs w:val="21"/>
                <w:highlight w:val="none"/>
              </w:rPr>
            </w:pPr>
          </w:p>
          <w:p w14:paraId="5EC3FD21">
            <w:pPr>
              <w:pStyle w:val="113"/>
              <w:rPr>
                <w:rFonts w:hint="eastAsia" w:ascii="宋体" w:hAnsi="宋体" w:eastAsia="宋体" w:cs="宋体"/>
                <w:color w:val="auto"/>
                <w:highlight w:val="none"/>
              </w:rPr>
            </w:pPr>
            <w:r>
              <w:rPr>
                <w:rFonts w:ascii="宋体" w:hAnsi="宋体"/>
                <w:color w:val="auto"/>
                <w:szCs w:val="21"/>
                <w:highlight w:val="none"/>
              </w:rPr>
              <w:t>【注：1、</w:t>
            </w:r>
            <w:r>
              <w:rPr>
                <w:rFonts w:hint="eastAsia" w:ascii="宋体" w:hAnsi="宋体" w:eastAsia="宋体"/>
                <w:color w:val="auto"/>
                <w:szCs w:val="21"/>
                <w:highlight w:val="none"/>
                <w:lang w:eastAsia="zh-CN"/>
              </w:rPr>
              <w:t>业绩证明要求提供中标（成交）通知书或合同复印件</w:t>
            </w:r>
            <w:r>
              <w:rPr>
                <w:rFonts w:ascii="宋体" w:hAnsi="宋体"/>
                <w:color w:val="auto"/>
                <w:szCs w:val="21"/>
                <w:highlight w:val="none"/>
              </w:rPr>
              <w:t>并</w:t>
            </w:r>
            <w:r>
              <w:rPr>
                <w:rFonts w:hint="eastAsia" w:ascii="宋体" w:hAnsi="宋体" w:eastAsia="宋体"/>
                <w:color w:val="auto"/>
                <w:szCs w:val="21"/>
                <w:highlight w:val="none"/>
                <w:lang w:eastAsia="zh-CN"/>
              </w:rPr>
              <w:t>加盖单位公章（或电子签章）</w:t>
            </w:r>
            <w:r>
              <w:rPr>
                <w:rFonts w:ascii="宋体" w:hAnsi="宋体"/>
                <w:color w:val="auto"/>
                <w:szCs w:val="21"/>
                <w:highlight w:val="none"/>
              </w:rPr>
              <w:t>】</w:t>
            </w:r>
          </w:p>
        </w:tc>
      </w:tr>
      <w:tr w14:paraId="1862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9D4473A">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7D3A91E">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BFE510C">
            <w:pPr>
              <w:pStyle w:val="113"/>
              <w:jc w:val="center"/>
              <w:rPr>
                <w:rFonts w:hint="eastAsia" w:ascii="宋体" w:hAnsi="宋体" w:eastAsia="宋体" w:cs="宋体"/>
                <w:color w:val="auto"/>
                <w:highlight w:val="none"/>
              </w:rPr>
            </w:pPr>
          </w:p>
        </w:tc>
        <w:tc>
          <w:tcPr>
            <w:tcW w:w="4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E828125">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项目总工任职资格与业绩</w:t>
            </w:r>
          </w:p>
        </w:tc>
        <w:tc>
          <w:tcPr>
            <w:tcW w:w="39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7371AF5B">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10.0分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B27D821">
            <w:pPr>
              <w:rPr>
                <w:rFonts w:ascii="宋体" w:hAnsi="宋体"/>
                <w:color w:val="auto"/>
                <w:szCs w:val="24"/>
                <w:highlight w:val="none"/>
              </w:rPr>
            </w:pPr>
            <w:r>
              <w:rPr>
                <w:rFonts w:ascii="宋体" w:hAnsi="宋体"/>
                <w:color w:val="auto"/>
                <w:szCs w:val="24"/>
                <w:highlight w:val="none"/>
              </w:rPr>
              <w:t>拟派项目总工具备中级</w:t>
            </w:r>
            <w:r>
              <w:rPr>
                <w:rFonts w:hint="eastAsia" w:ascii="宋体" w:hAnsi="宋体"/>
                <w:color w:val="auto"/>
                <w:szCs w:val="24"/>
                <w:highlight w:val="none"/>
                <w:lang w:eastAsia="zh-CN"/>
              </w:rPr>
              <w:t>及以上</w:t>
            </w:r>
            <w:r>
              <w:rPr>
                <w:rFonts w:ascii="宋体" w:hAnsi="宋体"/>
                <w:color w:val="auto"/>
                <w:szCs w:val="24"/>
                <w:highlight w:val="none"/>
              </w:rPr>
              <w:t>职称（路桥类专业）的得</w:t>
            </w:r>
            <w:r>
              <w:rPr>
                <w:rFonts w:hint="eastAsia" w:ascii="宋体" w:hAnsi="宋体"/>
                <w:color w:val="auto"/>
                <w:szCs w:val="24"/>
                <w:highlight w:val="none"/>
                <w:lang w:val="en-US" w:eastAsia="zh-CN"/>
              </w:rPr>
              <w:t>6</w:t>
            </w:r>
            <w:r>
              <w:rPr>
                <w:rFonts w:ascii="宋体" w:hAnsi="宋体"/>
                <w:color w:val="auto"/>
                <w:szCs w:val="24"/>
                <w:highlight w:val="none"/>
              </w:rPr>
              <w:t>分，20</w:t>
            </w:r>
            <w:r>
              <w:rPr>
                <w:rFonts w:hint="eastAsia" w:ascii="宋体" w:hAnsi="宋体"/>
                <w:color w:val="auto"/>
                <w:szCs w:val="24"/>
                <w:highlight w:val="none"/>
                <w:lang w:val="en-US" w:eastAsia="zh-CN"/>
              </w:rPr>
              <w:t>20</w:t>
            </w:r>
            <w:r>
              <w:rPr>
                <w:rFonts w:ascii="宋体" w:hAnsi="宋体"/>
                <w:color w:val="auto"/>
                <w:szCs w:val="24"/>
                <w:highlight w:val="none"/>
              </w:rPr>
              <w:t>年</w:t>
            </w:r>
            <w:r>
              <w:rPr>
                <w:rFonts w:hint="eastAsia" w:ascii="宋体" w:hAnsi="宋体"/>
                <w:color w:val="auto"/>
                <w:szCs w:val="24"/>
                <w:highlight w:val="none"/>
                <w:lang w:val="en-US" w:eastAsia="zh-CN"/>
              </w:rPr>
              <w:t>6</w:t>
            </w:r>
            <w:r>
              <w:rPr>
                <w:rFonts w:ascii="宋体" w:hAnsi="宋体"/>
                <w:color w:val="auto"/>
                <w:szCs w:val="24"/>
                <w:highlight w:val="none"/>
              </w:rPr>
              <w:t>月1日之后拟派项目总工</w:t>
            </w:r>
            <w:r>
              <w:rPr>
                <w:rFonts w:hint="eastAsia" w:ascii="宋体" w:hAnsi="宋体"/>
                <w:color w:val="auto"/>
                <w:szCs w:val="24"/>
                <w:highlight w:val="none"/>
                <w:lang w:eastAsia="zh-CN"/>
              </w:rPr>
              <w:t>担任</w:t>
            </w:r>
            <w:r>
              <w:rPr>
                <w:rFonts w:ascii="宋体" w:hAnsi="宋体" w:eastAsia="宋体"/>
                <w:color w:val="auto"/>
                <w:szCs w:val="21"/>
                <w:highlight w:val="none"/>
              </w:rPr>
              <w:t>公路</w:t>
            </w:r>
            <w:r>
              <w:rPr>
                <w:rFonts w:hint="eastAsia" w:ascii="宋体" w:hAnsi="宋体" w:eastAsia="宋体"/>
                <w:color w:val="auto"/>
                <w:szCs w:val="21"/>
                <w:highlight w:val="none"/>
                <w:lang w:eastAsia="zh-CN"/>
              </w:rPr>
              <w:t>工程</w:t>
            </w:r>
            <w:r>
              <w:rPr>
                <w:rFonts w:ascii="宋体" w:hAnsi="宋体"/>
                <w:color w:val="auto"/>
                <w:szCs w:val="24"/>
                <w:highlight w:val="none"/>
              </w:rPr>
              <w:t>项目的施工业绩加</w:t>
            </w:r>
            <w:r>
              <w:rPr>
                <w:rFonts w:hint="eastAsia" w:ascii="宋体" w:hAnsi="宋体"/>
                <w:color w:val="auto"/>
                <w:szCs w:val="24"/>
                <w:highlight w:val="none"/>
                <w:lang w:val="en-US" w:eastAsia="zh-CN"/>
              </w:rPr>
              <w:t>4</w:t>
            </w:r>
            <w:r>
              <w:rPr>
                <w:rFonts w:ascii="宋体" w:hAnsi="宋体"/>
                <w:color w:val="auto"/>
                <w:szCs w:val="24"/>
                <w:highlight w:val="none"/>
              </w:rPr>
              <w:t>分，最多加</w:t>
            </w:r>
            <w:r>
              <w:rPr>
                <w:rFonts w:hint="eastAsia" w:ascii="宋体" w:hAnsi="宋体"/>
                <w:color w:val="auto"/>
                <w:szCs w:val="24"/>
                <w:highlight w:val="none"/>
                <w:lang w:val="en-US" w:eastAsia="zh-CN"/>
              </w:rPr>
              <w:t>4</w:t>
            </w:r>
            <w:r>
              <w:rPr>
                <w:rFonts w:ascii="宋体" w:hAnsi="宋体"/>
                <w:color w:val="auto"/>
                <w:szCs w:val="24"/>
                <w:highlight w:val="none"/>
              </w:rPr>
              <w:t>分，本项满分</w:t>
            </w:r>
            <w:r>
              <w:rPr>
                <w:rFonts w:hint="eastAsia" w:ascii="宋体" w:hAnsi="宋体"/>
                <w:color w:val="auto"/>
                <w:szCs w:val="24"/>
                <w:highlight w:val="none"/>
                <w:lang w:val="en-US" w:eastAsia="zh-CN"/>
              </w:rPr>
              <w:t>10</w:t>
            </w:r>
            <w:r>
              <w:rPr>
                <w:rFonts w:ascii="宋体" w:hAnsi="宋体"/>
                <w:color w:val="auto"/>
                <w:szCs w:val="24"/>
                <w:highlight w:val="none"/>
              </w:rPr>
              <w:t>分。</w:t>
            </w:r>
          </w:p>
          <w:p w14:paraId="38441324">
            <w:pPr>
              <w:rPr>
                <w:rFonts w:ascii="宋体" w:hAnsi="宋体"/>
                <w:color w:val="auto"/>
                <w:highlight w:val="none"/>
              </w:rPr>
            </w:pPr>
          </w:p>
          <w:p w14:paraId="0C4B6682">
            <w:pPr>
              <w:rPr>
                <w:rFonts w:ascii="宋体" w:hAnsi="宋体"/>
                <w:color w:val="auto"/>
                <w:highlight w:val="none"/>
              </w:rPr>
            </w:pPr>
            <w:r>
              <w:rPr>
                <w:rFonts w:ascii="宋体" w:hAnsi="宋体"/>
                <w:color w:val="auto"/>
                <w:szCs w:val="21"/>
                <w:highlight w:val="none"/>
              </w:rPr>
              <w:t>【注：1、</w:t>
            </w:r>
            <w:r>
              <w:rPr>
                <w:rFonts w:hint="eastAsia" w:ascii="宋体" w:hAnsi="宋体" w:eastAsia="宋体"/>
                <w:color w:val="auto"/>
                <w:szCs w:val="21"/>
                <w:highlight w:val="none"/>
                <w:lang w:eastAsia="zh-CN"/>
              </w:rPr>
              <w:t>业绩证明要求提供中标（成交）通知书或合同复印件</w:t>
            </w:r>
            <w:r>
              <w:rPr>
                <w:rFonts w:ascii="宋体" w:hAnsi="宋体"/>
                <w:color w:val="auto"/>
                <w:szCs w:val="21"/>
                <w:highlight w:val="none"/>
              </w:rPr>
              <w:t>并</w:t>
            </w:r>
            <w:r>
              <w:rPr>
                <w:rFonts w:hint="eastAsia" w:ascii="宋体" w:hAnsi="宋体" w:eastAsia="宋体"/>
                <w:color w:val="auto"/>
                <w:szCs w:val="21"/>
                <w:highlight w:val="none"/>
                <w:lang w:eastAsia="zh-CN"/>
              </w:rPr>
              <w:t>加盖单位公章（或电子签章）</w:t>
            </w:r>
            <w:r>
              <w:rPr>
                <w:rFonts w:ascii="宋体" w:hAnsi="宋体"/>
                <w:color w:val="auto"/>
                <w:szCs w:val="21"/>
                <w:highlight w:val="none"/>
              </w:rPr>
              <w:t>】</w:t>
            </w:r>
          </w:p>
          <w:p w14:paraId="740B6E83">
            <w:pPr>
              <w:pStyle w:val="113"/>
              <w:rPr>
                <w:rFonts w:hint="eastAsia" w:ascii="宋体" w:hAnsi="宋体" w:eastAsia="宋体" w:cs="宋体"/>
                <w:color w:val="auto"/>
                <w:highlight w:val="none"/>
              </w:rPr>
            </w:pPr>
          </w:p>
        </w:tc>
      </w:tr>
      <w:tr w14:paraId="0EE3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07E6249">
            <w:pPr>
              <w:pStyle w:val="113"/>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2.2.2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E78A943">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其他因素</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2E6E63A9">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25.00分</w:t>
            </w:r>
          </w:p>
        </w:tc>
        <w:tc>
          <w:tcPr>
            <w:tcW w:w="4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16E7C315">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履约信誉</w:t>
            </w:r>
          </w:p>
        </w:tc>
        <w:tc>
          <w:tcPr>
            <w:tcW w:w="39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C181318">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15.0分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C380A6F">
            <w:pPr>
              <w:pStyle w:val="113"/>
              <w:jc w:val="left"/>
              <w:rPr>
                <w:rFonts w:ascii="宋体" w:hAnsi="宋体" w:eastAsia="宋体" w:cs="宋体"/>
                <w:color w:val="auto"/>
                <w:highlight w:val="none"/>
              </w:rPr>
            </w:pPr>
            <w:r>
              <w:rPr>
                <w:rFonts w:hint="eastAsia" w:ascii="宋体" w:hAnsi="宋体" w:eastAsia="宋体" w:cs="宋体"/>
                <w:color w:val="auto"/>
                <w:highlight w:val="none"/>
              </w:rPr>
              <w:t>信用评价</w:t>
            </w:r>
            <w:r>
              <w:rPr>
                <w:rFonts w:ascii="宋体" w:hAnsi="宋体" w:eastAsia="宋体" w:cs="宋体"/>
                <w:color w:val="auto"/>
                <w:highlight w:val="none"/>
              </w:rPr>
              <w:t>：</w:t>
            </w:r>
          </w:p>
          <w:p w14:paraId="0855AE9C">
            <w:pPr>
              <w:pStyle w:val="113"/>
              <w:rPr>
                <w:rFonts w:hint="eastAsia" w:ascii="宋体" w:hAnsi="宋体" w:eastAsia="宋体" w:cs="宋体"/>
                <w:color w:val="auto"/>
                <w:highlight w:val="none"/>
              </w:rPr>
            </w:pPr>
            <w:r>
              <w:rPr>
                <w:rFonts w:hint="eastAsia" w:ascii="宋体" w:hAnsi="宋体" w:eastAsia="宋体" w:cs="宋体"/>
                <w:color w:val="auto"/>
                <w:highlight w:val="none"/>
              </w:rPr>
              <w:t>（1）无不良信用记录的得1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分，在全国公路建设市场信用信息管理系统的不良行为记录中自2021年</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月1日起（以对外公布时间为准）存在一项不良行为记录的扣1分（以评标期间核查为准），扣完</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分为止。</w:t>
            </w:r>
          </w:p>
        </w:tc>
      </w:tr>
      <w:tr w14:paraId="16FE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0E6C8F36">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3A1E950">
            <w:pPr>
              <w:pStyle w:val="113"/>
              <w:jc w:val="center"/>
              <w:rPr>
                <w:rFonts w:hint="eastAsia" w:ascii="宋体" w:hAnsi="宋体" w:eastAsia="宋体" w:cs="宋体"/>
                <w:color w:val="auto"/>
                <w:highlight w:val="none"/>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37338751">
            <w:pPr>
              <w:pStyle w:val="113"/>
              <w:jc w:val="center"/>
              <w:rPr>
                <w:rFonts w:hint="eastAsia" w:ascii="宋体" w:hAnsi="宋体" w:eastAsia="宋体" w:cs="宋体"/>
                <w:color w:val="auto"/>
                <w:highlight w:val="none"/>
              </w:rPr>
            </w:pPr>
          </w:p>
        </w:tc>
        <w:tc>
          <w:tcPr>
            <w:tcW w:w="4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80D8258">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施工业绩</w:t>
            </w:r>
          </w:p>
        </w:tc>
        <w:tc>
          <w:tcPr>
            <w:tcW w:w="391"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6D4E610C">
            <w:pPr>
              <w:pStyle w:val="113"/>
              <w:jc w:val="center"/>
              <w:rPr>
                <w:rFonts w:hint="eastAsia" w:ascii="宋体" w:hAnsi="宋体" w:eastAsia="宋体" w:cs="宋体"/>
                <w:color w:val="auto"/>
                <w:highlight w:val="none"/>
              </w:rPr>
            </w:pPr>
            <w:r>
              <w:rPr>
                <w:rFonts w:hint="eastAsia" w:ascii="宋体" w:hAnsi="宋体" w:eastAsia="宋体" w:cs="宋体"/>
                <w:color w:val="auto"/>
                <w:highlight w:val="none"/>
              </w:rPr>
              <w:t>10.0分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14:paraId="52F49F7F">
            <w:pPr>
              <w:pStyle w:val="113"/>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施工业绩：</w:t>
            </w:r>
          </w:p>
          <w:p w14:paraId="17C83B8F">
            <w:pPr>
              <w:pStyle w:val="113"/>
              <w:rPr>
                <w:rFonts w:hint="eastAsia" w:ascii="宋体" w:hAnsi="宋体" w:eastAsia="宋体" w:cs="宋体"/>
                <w:color w:val="auto"/>
                <w:highlight w:val="none"/>
              </w:rPr>
            </w:pPr>
            <w:r>
              <w:rPr>
                <w:rFonts w:hint="eastAsia" w:ascii="宋体" w:hAnsi="宋体" w:eastAsia="宋体" w:cs="宋体"/>
                <w:color w:val="auto"/>
                <w:highlight w:val="none"/>
              </w:rPr>
              <w:t>在最近5年中（</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至响应文件递交截止日</w:t>
            </w:r>
            <w:r>
              <w:rPr>
                <w:rFonts w:hint="eastAsia" w:ascii="宋体" w:hAnsi="宋体" w:eastAsia="宋体" w:cs="宋体"/>
                <w:color w:val="auto"/>
                <w:highlight w:val="none"/>
              </w:rPr>
              <w:t>）按单个合同段</w:t>
            </w:r>
            <w:r>
              <w:rPr>
                <w:rFonts w:hint="eastAsia" w:ascii="宋体" w:hAnsi="宋体" w:eastAsia="宋体" w:cs="宋体"/>
                <w:color w:val="auto"/>
                <w:highlight w:val="none"/>
                <w:lang w:eastAsia="zh-CN"/>
              </w:rPr>
              <w:t>承接</w:t>
            </w:r>
            <w:r>
              <w:rPr>
                <w:rFonts w:hint="eastAsia" w:ascii="宋体" w:hAnsi="宋体" w:eastAsia="宋体" w:cs="宋体"/>
                <w:color w:val="auto"/>
                <w:highlight w:val="none"/>
              </w:rPr>
              <w:t>过类似施工业绩的</w:t>
            </w:r>
            <w:r>
              <w:rPr>
                <w:rFonts w:hint="eastAsia" w:ascii="宋体" w:hAnsi="宋体" w:eastAsia="宋体" w:cs="宋体"/>
                <w:color w:val="auto"/>
                <w:highlight w:val="none"/>
                <w:lang w:eastAsia="zh-CN"/>
              </w:rPr>
              <w:t>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满分</w:t>
            </w:r>
            <w:r>
              <w:rPr>
                <w:rFonts w:hint="eastAsia" w:ascii="宋体" w:hAnsi="宋体" w:eastAsia="宋体" w:cs="宋体"/>
                <w:color w:val="auto"/>
                <w:highlight w:val="none"/>
                <w:lang w:val="en-US" w:eastAsia="zh-CN"/>
              </w:rPr>
              <w:t>10分</w:t>
            </w:r>
            <w:r>
              <w:rPr>
                <w:rFonts w:hint="eastAsia" w:ascii="宋体" w:hAnsi="宋体" w:eastAsia="宋体" w:cs="宋体"/>
                <w:color w:val="auto"/>
                <w:highlight w:val="none"/>
              </w:rPr>
              <w:t>。</w:t>
            </w:r>
          </w:p>
          <w:p w14:paraId="2672D3AB">
            <w:pPr>
              <w:pStyle w:val="113"/>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类似施工业绩指：隧道养护、隧道</w:t>
            </w:r>
            <w:r>
              <w:rPr>
                <w:rFonts w:hint="eastAsia" w:ascii="宋体" w:hAnsi="宋体" w:cs="宋体"/>
                <w:color w:val="auto"/>
                <w:highlight w:val="none"/>
                <w:lang w:eastAsia="zh-CN"/>
              </w:rPr>
              <w:t>（加固改造、维修、新建、改建、扩建等）</w:t>
            </w:r>
            <w:r>
              <w:rPr>
                <w:rFonts w:hint="eastAsia" w:ascii="宋体" w:hAnsi="宋体" w:eastAsia="宋体" w:cs="宋体"/>
                <w:color w:val="auto"/>
                <w:highlight w:val="none"/>
                <w:lang w:eastAsia="zh-CN"/>
              </w:rPr>
              <w:t>施工；</w:t>
            </w:r>
            <w:r>
              <w:rPr>
                <w:rFonts w:hint="eastAsia" w:ascii="宋体" w:hAnsi="宋体" w:eastAsia="宋体" w:cs="宋体"/>
                <w:color w:val="auto"/>
                <w:highlight w:val="none"/>
              </w:rPr>
              <w:t>在建项目须提供中标通知书和施工合同的原件扫描件，已完工项目须同时提供中标通知书和施工合同及竣工验收报告的原件扫描件。）</w:t>
            </w:r>
          </w:p>
        </w:tc>
      </w:tr>
    </w:tbl>
    <w:p w14:paraId="7DEB137F">
      <w:pPr>
        <w:pStyle w:val="13"/>
        <w:kinsoku w:val="0"/>
        <w:overflowPunct w:val="0"/>
        <w:spacing w:line="340" w:lineRule="auto"/>
        <w:ind w:left="0"/>
        <w:rPr>
          <w:rFonts w:hint="eastAsia" w:ascii="宋体" w:hAnsi="宋体" w:cs="宋体"/>
          <w:b/>
          <w:color w:val="auto"/>
          <w:szCs w:val="24"/>
          <w:highlight w:val="none"/>
        </w:rPr>
      </w:pPr>
    </w:p>
    <w:p w14:paraId="65B56176">
      <w:pPr>
        <w:pStyle w:val="13"/>
        <w:kinsoku w:val="0"/>
        <w:overflowPunct w:val="0"/>
        <w:spacing w:line="340" w:lineRule="auto"/>
        <w:ind w:left="0" w:firstLine="482" w:firstLineChars="200"/>
        <w:rPr>
          <w:rFonts w:hint="eastAsia" w:ascii="宋体" w:hAnsi="宋体" w:cs="宋体"/>
          <w:color w:val="auto"/>
          <w:szCs w:val="24"/>
          <w:highlight w:val="none"/>
        </w:rPr>
      </w:pPr>
      <w:r>
        <w:rPr>
          <w:rFonts w:hint="eastAsia" w:ascii="宋体" w:hAnsi="宋体" w:cs="宋体"/>
          <w:b/>
          <w:color w:val="auto"/>
          <w:szCs w:val="24"/>
          <w:highlight w:val="none"/>
        </w:rPr>
        <w:t>三、总分（100分）</w:t>
      </w:r>
    </w:p>
    <w:p w14:paraId="3B391B94">
      <w:pPr>
        <w:pStyle w:val="13"/>
        <w:kinsoku w:val="0"/>
        <w:overflowPunct w:val="0"/>
        <w:spacing w:line="367" w:lineRule="auto"/>
        <w:ind w:left="0" w:firstLine="480" w:firstLineChars="200"/>
        <w:rPr>
          <w:rFonts w:hint="eastAsia" w:ascii="宋体" w:hAnsi="宋体" w:cs="宋体"/>
          <w:color w:val="auto"/>
          <w:w w:val="99"/>
          <w:szCs w:val="24"/>
          <w:highlight w:val="none"/>
        </w:rPr>
      </w:pPr>
      <w:r>
        <w:rPr>
          <w:rFonts w:hint="eastAsia" w:ascii="宋体" w:hAnsi="宋体" w:cs="宋体"/>
          <w:color w:val="auto"/>
          <w:szCs w:val="24"/>
          <w:highlight w:val="none"/>
        </w:rPr>
        <w:t>计算公式：总分＝价格分+技术分+项目管理机构及业绩分</w:t>
      </w:r>
    </w:p>
    <w:p w14:paraId="14319E2F">
      <w:pPr>
        <w:pStyle w:val="13"/>
        <w:kinsoku w:val="0"/>
        <w:overflowPunct w:val="0"/>
        <w:spacing w:line="340" w:lineRule="auto"/>
        <w:ind w:left="0" w:firstLine="420"/>
        <w:rPr>
          <w:rFonts w:hint="eastAsia" w:ascii="宋体" w:hAnsi="宋体" w:cs="宋体"/>
          <w:color w:val="auto"/>
          <w:szCs w:val="24"/>
          <w:highlight w:val="none"/>
        </w:rPr>
      </w:pPr>
      <w:r>
        <w:rPr>
          <w:rFonts w:hint="eastAsia" w:ascii="宋体" w:hAnsi="宋体" w:cs="宋体"/>
          <w:b/>
          <w:color w:val="auto"/>
          <w:szCs w:val="24"/>
          <w:highlight w:val="none"/>
        </w:rPr>
        <w:t>四、成交候选人推荐原则</w:t>
      </w:r>
    </w:p>
    <w:p w14:paraId="7F12B2FC">
      <w:pPr>
        <w:pStyle w:val="13"/>
        <w:kinsoku w:val="0"/>
        <w:overflowPunct w:val="0"/>
        <w:spacing w:line="408" w:lineRule="auto"/>
        <w:ind w:left="0"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磋商小组按综合得分由高到低的顺序推荐成交候选人（综合得分相等时，以竞标报价低的优先；竞标报价也相等时，按技术指标优劣顺序排列）。排名第一的为第一成交候选人，如排名第一的成交候选人放弃成交、因不可抗力提出不能履行合同，采购单位可以确定排名第二的成交候选人为成交人。排名第二的成交候选人因前款规定的同样原因不能签订合同的，提出不能履行合同，或者磋商</w:t>
      </w:r>
      <w:r>
        <w:rPr>
          <w:rFonts w:hint="eastAsia" w:ascii="宋体" w:hAnsi="宋体" w:cs="宋体"/>
          <w:color w:val="auto"/>
          <w:szCs w:val="24"/>
          <w:highlight w:val="none"/>
          <w:lang w:eastAsia="zh-CN"/>
        </w:rPr>
        <w:t>磋商文件</w:t>
      </w:r>
      <w:r>
        <w:rPr>
          <w:rFonts w:hint="eastAsia" w:ascii="宋体" w:hAnsi="宋体" w:cs="宋体"/>
          <w:color w:val="auto"/>
          <w:szCs w:val="24"/>
          <w:highlight w:val="none"/>
        </w:rPr>
        <w:t>规定应当提交履约保证金而在规定的时间内未能提交的，采购单位可以确定排名第三的成交候选人为成交人。</w:t>
      </w:r>
    </w:p>
    <w:p w14:paraId="62EEC669">
      <w:pPr>
        <w:pStyle w:val="13"/>
        <w:kinsoku w:val="0"/>
        <w:overflowPunct w:val="0"/>
        <w:spacing w:line="408" w:lineRule="auto"/>
        <w:ind w:left="0" w:firstLine="434"/>
        <w:jc w:val="both"/>
        <w:rPr>
          <w:rFonts w:hint="eastAsia" w:ascii="宋体" w:hAnsi="宋体" w:cs="宋体"/>
          <w:color w:val="auto"/>
          <w:szCs w:val="24"/>
          <w:highlight w:val="none"/>
        </w:rPr>
      </w:pPr>
      <w:r>
        <w:rPr>
          <w:rFonts w:hint="eastAsia" w:ascii="宋体" w:hAnsi="宋体" w:cs="宋体"/>
          <w:color w:val="auto"/>
          <w:szCs w:val="24"/>
          <w:highlight w:val="none"/>
        </w:rPr>
        <w:t>磋商小组认为，某供应商的有效竞标报价或者某些分项报价明显不合理或者低于成本，有可能影响工程质量和不能诚信履约的，应要求其在规定的期限内提供书面文件予以解释说明，并提交相关证明材料，否则，磋商小组可以取消该供应商的成交候选资格，按顺序由排在后面的成交候选人递补，以此类推。</w:t>
      </w:r>
    </w:p>
    <w:p w14:paraId="79F56651">
      <w:pPr>
        <w:pStyle w:val="13"/>
        <w:kinsoku w:val="0"/>
        <w:overflowPunct w:val="0"/>
        <w:spacing w:line="408" w:lineRule="auto"/>
        <w:ind w:left="0" w:firstLine="434"/>
        <w:jc w:val="both"/>
        <w:rPr>
          <w:rFonts w:hint="eastAsia" w:ascii="宋体" w:hAnsi="宋体" w:cs="宋体"/>
          <w:color w:val="auto"/>
          <w:szCs w:val="24"/>
          <w:highlight w:val="none"/>
        </w:rPr>
        <w:sectPr>
          <w:headerReference r:id="rId12" w:type="default"/>
          <w:pgSz w:w="11910" w:h="16840"/>
          <w:pgMar w:top="1100" w:right="1202" w:bottom="919" w:left="1298" w:header="919" w:footer="720" w:gutter="0"/>
          <w:cols w:space="720" w:num="1"/>
        </w:sectPr>
      </w:pPr>
    </w:p>
    <w:p w14:paraId="04389E6C">
      <w:pPr>
        <w:pStyle w:val="13"/>
        <w:kinsoku w:val="0"/>
        <w:overflowPunct w:val="0"/>
        <w:ind w:left="0"/>
        <w:rPr>
          <w:rFonts w:hint="eastAsia" w:ascii="宋体" w:hAnsi="宋体" w:cs="宋体"/>
          <w:color w:val="auto"/>
          <w:sz w:val="20"/>
          <w:highlight w:val="none"/>
        </w:rPr>
      </w:pPr>
    </w:p>
    <w:p w14:paraId="2DD6A636">
      <w:pPr>
        <w:pStyle w:val="13"/>
        <w:kinsoku w:val="0"/>
        <w:overflowPunct w:val="0"/>
        <w:ind w:left="0"/>
        <w:rPr>
          <w:rFonts w:hint="eastAsia" w:ascii="宋体" w:hAnsi="宋体" w:cs="宋体"/>
          <w:color w:val="auto"/>
          <w:sz w:val="27"/>
          <w:highlight w:val="none"/>
        </w:rPr>
      </w:pPr>
    </w:p>
    <w:p w14:paraId="7575AC65">
      <w:pPr>
        <w:pStyle w:val="13"/>
        <w:kinsoku w:val="0"/>
        <w:overflowPunct w:val="0"/>
        <w:ind w:left="0"/>
        <w:rPr>
          <w:rFonts w:hint="eastAsia" w:ascii="宋体" w:hAnsi="宋体" w:cs="宋体"/>
          <w:color w:val="auto"/>
          <w:sz w:val="27"/>
          <w:highlight w:val="none"/>
        </w:rPr>
        <w:sectPr>
          <w:pgSz w:w="11910" w:h="16840"/>
          <w:pgMar w:top="1100" w:right="1202" w:bottom="919" w:left="1298" w:header="918" w:footer="721" w:gutter="0"/>
          <w:cols w:space="720" w:num="1"/>
        </w:sectPr>
      </w:pPr>
    </w:p>
    <w:p w14:paraId="41E3A266">
      <w:pPr>
        <w:pStyle w:val="5"/>
        <w:rPr>
          <w:rFonts w:hAnsi="宋体" w:cs="宋体"/>
          <w:color w:val="auto"/>
          <w:highlight w:val="none"/>
        </w:rPr>
      </w:pPr>
      <w:bookmarkStart w:id="239" w:name="附：质疑书及投诉书格式"/>
      <w:bookmarkEnd w:id="239"/>
      <w:r>
        <w:rPr>
          <w:rFonts w:hAnsi="宋体" w:cs="宋体"/>
          <w:color w:val="auto"/>
          <w:highlight w:val="none"/>
        </w:rPr>
        <w:t>附：质疑书及投诉书格式</w:t>
      </w:r>
    </w:p>
    <w:p w14:paraId="19CADC10">
      <w:pPr>
        <w:pStyle w:val="13"/>
        <w:kinsoku w:val="0"/>
        <w:overflowPunct w:val="0"/>
        <w:ind w:left="0"/>
        <w:rPr>
          <w:rFonts w:hint="eastAsia" w:ascii="宋体" w:hAnsi="宋体" w:cs="宋体"/>
          <w:color w:val="auto"/>
          <w:sz w:val="37"/>
          <w:highlight w:val="none"/>
        </w:rPr>
      </w:pPr>
    </w:p>
    <w:p w14:paraId="0F10D6E5">
      <w:pPr>
        <w:pStyle w:val="13"/>
        <w:tabs>
          <w:tab w:val="left" w:pos="801"/>
          <w:tab w:val="left" w:pos="1442"/>
        </w:tabs>
        <w:kinsoku w:val="0"/>
        <w:overflowPunct w:val="0"/>
        <w:ind w:left="0"/>
        <w:jc w:val="center"/>
        <w:rPr>
          <w:rFonts w:hint="eastAsia" w:ascii="宋体" w:hAnsi="宋体" w:cs="宋体"/>
          <w:b/>
          <w:color w:val="auto"/>
          <w:w w:val="95"/>
          <w:sz w:val="32"/>
          <w:highlight w:val="none"/>
        </w:rPr>
      </w:pPr>
    </w:p>
    <w:p w14:paraId="31D49ECA">
      <w:pPr>
        <w:pStyle w:val="13"/>
        <w:tabs>
          <w:tab w:val="left" w:pos="801"/>
          <w:tab w:val="left" w:pos="1442"/>
        </w:tabs>
        <w:kinsoku w:val="0"/>
        <w:overflowPunct w:val="0"/>
        <w:ind w:left="0"/>
        <w:jc w:val="center"/>
        <w:rPr>
          <w:rFonts w:hint="eastAsia" w:ascii="宋体" w:hAnsi="宋体" w:cs="宋体"/>
          <w:color w:val="auto"/>
          <w:sz w:val="32"/>
          <w:highlight w:val="none"/>
        </w:rPr>
      </w:pPr>
      <w:r>
        <w:rPr>
          <w:rFonts w:hint="eastAsia" w:ascii="宋体" w:hAnsi="宋体" w:cs="宋体"/>
          <w:b/>
          <w:color w:val="auto"/>
          <w:w w:val="95"/>
          <w:sz w:val="32"/>
          <w:highlight w:val="none"/>
        </w:rPr>
        <w:t>质</w:t>
      </w:r>
      <w:r>
        <w:rPr>
          <w:rFonts w:hint="eastAsia" w:ascii="宋体" w:hAnsi="宋体" w:cs="宋体"/>
          <w:b/>
          <w:color w:val="auto"/>
          <w:w w:val="95"/>
          <w:sz w:val="32"/>
          <w:highlight w:val="none"/>
        </w:rPr>
        <w:tab/>
      </w:r>
      <w:r>
        <w:rPr>
          <w:rFonts w:hint="eastAsia" w:ascii="宋体" w:hAnsi="宋体" w:cs="宋体"/>
          <w:b/>
          <w:color w:val="auto"/>
          <w:w w:val="95"/>
          <w:sz w:val="32"/>
          <w:highlight w:val="none"/>
        </w:rPr>
        <w:t>疑</w:t>
      </w:r>
      <w:r>
        <w:rPr>
          <w:rFonts w:hint="eastAsia" w:ascii="宋体" w:hAnsi="宋体" w:cs="宋体"/>
          <w:b/>
          <w:color w:val="auto"/>
          <w:w w:val="95"/>
          <w:sz w:val="32"/>
          <w:highlight w:val="none"/>
        </w:rPr>
        <w:tab/>
      </w:r>
      <w:r>
        <w:rPr>
          <w:rFonts w:hint="eastAsia" w:ascii="宋体" w:hAnsi="宋体" w:cs="宋体"/>
          <w:b/>
          <w:color w:val="auto"/>
          <w:sz w:val="32"/>
          <w:highlight w:val="none"/>
        </w:rPr>
        <w:t>书</w:t>
      </w:r>
    </w:p>
    <w:p w14:paraId="6BC7D226">
      <w:pPr>
        <w:pStyle w:val="13"/>
        <w:kinsoku w:val="0"/>
        <w:overflowPunct w:val="0"/>
        <w:ind w:left="0"/>
        <w:jc w:val="center"/>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参照范本）</w:t>
      </w:r>
    </w:p>
    <w:p w14:paraId="372A5968">
      <w:pPr>
        <w:pStyle w:val="13"/>
        <w:kinsoku w:val="0"/>
        <w:overflowPunct w:val="0"/>
        <w:ind w:left="0"/>
        <w:jc w:val="center"/>
        <w:rPr>
          <w:rFonts w:hint="eastAsia" w:ascii="宋体" w:hAnsi="宋体" w:cs="宋体"/>
          <w:color w:val="auto"/>
          <w:highlight w:val="none"/>
        </w:rPr>
        <w:sectPr>
          <w:type w:val="continuous"/>
          <w:pgSz w:w="11910" w:h="16840"/>
          <w:pgMar w:top="1100" w:right="1202" w:bottom="919" w:left="1298" w:header="720" w:footer="720" w:gutter="0"/>
          <w:cols w:space="720" w:num="1"/>
        </w:sectPr>
      </w:pPr>
    </w:p>
    <w:p w14:paraId="5CE8B9E0">
      <w:pPr>
        <w:pStyle w:val="13"/>
        <w:kinsoku w:val="0"/>
        <w:overflowPunct w:val="0"/>
        <w:ind w:left="0"/>
        <w:rPr>
          <w:rFonts w:hint="eastAsia" w:ascii="宋体" w:hAnsi="宋体" w:cs="宋体"/>
          <w:color w:val="auto"/>
          <w:sz w:val="28"/>
          <w:highlight w:val="none"/>
        </w:rPr>
      </w:pPr>
    </w:p>
    <w:p w14:paraId="428C2BF3">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质疑人</w:t>
      </w:r>
      <w:r>
        <w:rPr>
          <w:rFonts w:hint="eastAsia" w:ascii="宋体" w:hAnsi="宋体" w:cs="宋体"/>
          <w:color w:val="auto"/>
          <w:szCs w:val="24"/>
          <w:highlight w:val="none"/>
          <w:lang w:eastAsia="zh-CN"/>
        </w:rPr>
        <w:t>（</w:t>
      </w:r>
      <w:r>
        <w:rPr>
          <w:rFonts w:hint="eastAsia" w:ascii="宋体" w:hAnsi="宋体" w:cs="宋体"/>
          <w:color w:val="auto"/>
          <w:szCs w:val="24"/>
          <w:highlight w:val="none"/>
        </w:rPr>
        <w:t>单位</w:t>
      </w:r>
      <w:r>
        <w:rPr>
          <w:rFonts w:hint="eastAsia" w:ascii="宋体" w:hAnsi="宋体" w:cs="宋体"/>
          <w:color w:val="auto"/>
          <w:szCs w:val="24"/>
          <w:highlight w:val="none"/>
          <w:lang w:eastAsia="zh-CN"/>
        </w:rPr>
        <w:t>）</w:t>
      </w:r>
      <w:r>
        <w:rPr>
          <w:rFonts w:hint="eastAsia" w:ascii="宋体" w:hAnsi="宋体" w:cs="宋体"/>
          <w:color w:val="auto"/>
          <w:szCs w:val="24"/>
          <w:highlight w:val="none"/>
        </w:rPr>
        <w:t>:地址:</w:t>
      </w:r>
    </w:p>
    <w:p w14:paraId="51A08C5C">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法定代表人:</w:t>
      </w:r>
    </w:p>
    <w:p w14:paraId="43A0888C">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委托代理人:</w:t>
      </w:r>
      <w:r>
        <w:rPr>
          <w:rFonts w:hint="eastAsia" w:ascii="宋体" w:hAnsi="宋体" w:cs="宋体"/>
          <w:color w:val="auto"/>
          <w:szCs w:val="24"/>
          <w:highlight w:val="none"/>
        </w:rPr>
        <w:tab/>
      </w:r>
      <w:r>
        <w:rPr>
          <w:rFonts w:hint="eastAsia" w:ascii="宋体" w:hAnsi="宋体" w:cs="宋体"/>
          <w:color w:val="auto"/>
          <w:szCs w:val="24"/>
          <w:highlight w:val="none"/>
        </w:rPr>
        <w:t>身份证号:</w:t>
      </w:r>
    </w:p>
    <w:p w14:paraId="2B6415BF">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电话:</w:t>
      </w:r>
      <w:r>
        <w:rPr>
          <w:rFonts w:hint="eastAsia" w:ascii="宋体" w:hAnsi="宋体" w:cs="宋体"/>
          <w:color w:val="auto"/>
          <w:szCs w:val="24"/>
          <w:highlight w:val="none"/>
        </w:rPr>
        <w:tab/>
      </w:r>
      <w:r>
        <w:rPr>
          <w:rFonts w:hint="eastAsia" w:ascii="宋体" w:hAnsi="宋体" w:cs="宋体"/>
          <w:color w:val="auto"/>
          <w:szCs w:val="24"/>
          <w:highlight w:val="none"/>
        </w:rPr>
        <w:t>传真:</w:t>
      </w:r>
    </w:p>
    <w:p w14:paraId="267B5249">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邮政编码:</w:t>
      </w:r>
    </w:p>
    <w:p w14:paraId="5A594459">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被质疑人</w:t>
      </w:r>
      <w:r>
        <w:rPr>
          <w:rFonts w:hint="eastAsia" w:ascii="宋体" w:hAnsi="宋体" w:cs="宋体"/>
          <w:color w:val="auto"/>
          <w:szCs w:val="24"/>
          <w:highlight w:val="none"/>
          <w:lang w:eastAsia="zh-CN"/>
        </w:rPr>
        <w:t>（</w:t>
      </w:r>
      <w:r>
        <w:rPr>
          <w:rFonts w:hint="eastAsia" w:ascii="宋体" w:hAnsi="宋体" w:cs="宋体"/>
          <w:color w:val="auto"/>
          <w:szCs w:val="24"/>
          <w:highlight w:val="none"/>
        </w:rPr>
        <w:t>采购人或采购代理机构名称</w:t>
      </w:r>
      <w:r>
        <w:rPr>
          <w:rFonts w:hint="eastAsia" w:ascii="宋体" w:hAnsi="宋体" w:cs="宋体"/>
          <w:color w:val="auto"/>
          <w:szCs w:val="24"/>
          <w:highlight w:val="none"/>
          <w:lang w:eastAsia="zh-CN"/>
        </w:rPr>
        <w:t>）</w:t>
      </w:r>
      <w:r>
        <w:rPr>
          <w:rFonts w:hint="eastAsia" w:ascii="宋体" w:hAnsi="宋体" w:cs="宋体"/>
          <w:color w:val="auto"/>
          <w:szCs w:val="24"/>
          <w:highlight w:val="none"/>
        </w:rPr>
        <w:t>:</w:t>
      </w:r>
    </w:p>
    <w:p w14:paraId="67EC2E56">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质疑项目的名称及编号:</w:t>
      </w:r>
    </w:p>
    <w:p w14:paraId="3EA5904E">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质疑事项：（请写明是对</w:t>
      </w:r>
      <w:r>
        <w:rPr>
          <w:rFonts w:hint="eastAsia" w:ascii="宋体" w:hAnsi="宋体" w:cs="宋体"/>
          <w:color w:val="auto"/>
          <w:szCs w:val="24"/>
          <w:highlight w:val="none"/>
          <w:lang w:eastAsia="zh-CN"/>
        </w:rPr>
        <w:t>磋商文件</w:t>
      </w:r>
      <w:r>
        <w:rPr>
          <w:rFonts w:hint="eastAsia" w:ascii="宋体" w:hAnsi="宋体" w:cs="宋体"/>
          <w:color w:val="auto"/>
          <w:szCs w:val="24"/>
          <w:highlight w:val="none"/>
        </w:rPr>
        <w:t>、采购过程或是中标（成交）结果提出的质疑）</w:t>
      </w:r>
    </w:p>
    <w:p w14:paraId="6E2C1733">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质疑请求：</w:t>
      </w:r>
    </w:p>
    <w:p w14:paraId="7524044F">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权益受到损害的事实及理由：</w:t>
      </w:r>
    </w:p>
    <w:p w14:paraId="3F34983F">
      <w:pPr>
        <w:pStyle w:val="13"/>
        <w:kinsoku w:val="0"/>
        <w:overflowPunct w:val="0"/>
        <w:spacing w:line="360" w:lineRule="auto"/>
        <w:ind w:left="0" w:firstLine="434"/>
        <w:rPr>
          <w:rFonts w:hint="eastAsia" w:ascii="宋体" w:hAnsi="宋体" w:cs="宋体"/>
          <w:color w:val="auto"/>
          <w:szCs w:val="24"/>
          <w:highlight w:val="none"/>
        </w:rPr>
      </w:pPr>
    </w:p>
    <w:p w14:paraId="027B0115">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******（请写明对质疑事项、请求的相关事实依据及理由）</w:t>
      </w:r>
    </w:p>
    <w:p w14:paraId="64D75D9B">
      <w:pPr>
        <w:pStyle w:val="13"/>
        <w:kinsoku w:val="0"/>
        <w:overflowPunct w:val="0"/>
        <w:spacing w:line="360" w:lineRule="auto"/>
        <w:ind w:left="0" w:firstLine="434"/>
        <w:rPr>
          <w:rFonts w:hint="eastAsia" w:ascii="宋体" w:hAnsi="宋体" w:cs="宋体"/>
          <w:color w:val="auto"/>
          <w:sz w:val="21"/>
          <w:szCs w:val="21"/>
          <w:highlight w:val="none"/>
        </w:rPr>
      </w:pPr>
    </w:p>
    <w:p w14:paraId="2A359E20">
      <w:pPr>
        <w:pStyle w:val="13"/>
        <w:kinsoku w:val="0"/>
        <w:overflowPunct w:val="0"/>
        <w:spacing w:line="360" w:lineRule="auto"/>
        <w:ind w:left="0"/>
        <w:rPr>
          <w:rFonts w:hint="eastAsia" w:ascii="宋体" w:hAnsi="宋体" w:cs="宋体"/>
          <w:color w:val="auto"/>
          <w:sz w:val="21"/>
          <w:szCs w:val="21"/>
          <w:highlight w:val="none"/>
        </w:rPr>
      </w:pPr>
    </w:p>
    <w:p w14:paraId="3EB1706C">
      <w:pPr>
        <w:pStyle w:val="13"/>
        <w:kinsoku w:val="0"/>
        <w:overflowPunct w:val="0"/>
        <w:spacing w:line="360" w:lineRule="auto"/>
        <w:ind w:left="0" w:firstLine="434"/>
        <w:rPr>
          <w:rFonts w:hint="eastAsia" w:ascii="宋体" w:hAnsi="宋体" w:cs="宋体"/>
          <w:color w:val="auto"/>
          <w:sz w:val="21"/>
          <w:szCs w:val="21"/>
          <w:highlight w:val="none"/>
        </w:rPr>
      </w:pPr>
    </w:p>
    <w:p w14:paraId="5B3E9B15">
      <w:pPr>
        <w:pStyle w:val="13"/>
        <w:kinsoku w:val="0"/>
        <w:overflowPunct w:val="0"/>
        <w:spacing w:line="360" w:lineRule="auto"/>
        <w:ind w:left="0" w:firstLine="434"/>
        <w:rPr>
          <w:rFonts w:hint="eastAsia" w:ascii="宋体" w:hAnsi="宋体" w:cs="宋体"/>
          <w:color w:val="auto"/>
          <w:sz w:val="21"/>
          <w:szCs w:val="21"/>
          <w:highlight w:val="none"/>
        </w:rPr>
      </w:pPr>
    </w:p>
    <w:p w14:paraId="775472CA">
      <w:pPr>
        <w:pStyle w:val="13"/>
        <w:kinsoku w:val="0"/>
        <w:overflowPunct w:val="0"/>
        <w:spacing w:line="360" w:lineRule="auto"/>
        <w:ind w:left="0" w:firstLine="434"/>
        <w:rPr>
          <w:rFonts w:hint="eastAsia" w:ascii="宋体" w:hAnsi="宋体" w:cs="宋体"/>
          <w:color w:val="auto"/>
          <w:szCs w:val="24"/>
          <w:highlight w:val="none"/>
        </w:rPr>
      </w:pPr>
    </w:p>
    <w:p w14:paraId="73EB401D">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质疑人：（公章）法定代表人：（签字）</w:t>
      </w:r>
    </w:p>
    <w:p w14:paraId="2C76B0A3">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年</w:t>
      </w:r>
      <w:r>
        <w:rPr>
          <w:rFonts w:hint="eastAsia" w:ascii="宋体" w:hAnsi="宋体" w:cs="宋体"/>
          <w:color w:val="auto"/>
          <w:szCs w:val="24"/>
          <w:highlight w:val="none"/>
        </w:rPr>
        <w:tab/>
      </w:r>
      <w:r>
        <w:rPr>
          <w:rFonts w:hint="eastAsia" w:ascii="宋体" w:hAnsi="宋体" w:cs="宋体"/>
          <w:color w:val="auto"/>
          <w:szCs w:val="24"/>
          <w:highlight w:val="none"/>
        </w:rPr>
        <w:t>月</w:t>
      </w:r>
      <w:r>
        <w:rPr>
          <w:rFonts w:hint="eastAsia" w:ascii="宋体" w:hAnsi="宋体" w:cs="宋体"/>
          <w:color w:val="auto"/>
          <w:szCs w:val="24"/>
          <w:highlight w:val="none"/>
        </w:rPr>
        <w:tab/>
      </w:r>
      <w:r>
        <w:rPr>
          <w:rFonts w:hint="eastAsia" w:ascii="宋体" w:hAnsi="宋体" w:cs="宋体"/>
          <w:color w:val="auto"/>
          <w:szCs w:val="24"/>
          <w:highlight w:val="none"/>
        </w:rPr>
        <w:t>日</w:t>
      </w:r>
    </w:p>
    <w:p w14:paraId="390FB047">
      <w:pPr>
        <w:pStyle w:val="13"/>
        <w:kinsoku w:val="0"/>
        <w:overflowPunct w:val="0"/>
        <w:spacing w:line="360" w:lineRule="auto"/>
        <w:ind w:left="0" w:firstLine="434"/>
        <w:rPr>
          <w:rFonts w:hint="eastAsia" w:ascii="宋体" w:hAnsi="宋体" w:cs="宋体"/>
          <w:color w:val="auto"/>
          <w:szCs w:val="24"/>
          <w:highlight w:val="none"/>
        </w:rPr>
      </w:pPr>
    </w:p>
    <w:p w14:paraId="778E8E8F">
      <w:pPr>
        <w:pStyle w:val="13"/>
        <w:kinsoku w:val="0"/>
        <w:overflowPunct w:val="0"/>
        <w:spacing w:line="360" w:lineRule="auto"/>
        <w:ind w:left="0" w:firstLine="434"/>
        <w:rPr>
          <w:rFonts w:hint="eastAsia" w:ascii="宋体" w:hAnsi="宋体" w:cs="宋体"/>
          <w:color w:val="auto"/>
          <w:szCs w:val="24"/>
          <w:highlight w:val="none"/>
        </w:rPr>
      </w:pPr>
    </w:p>
    <w:p w14:paraId="2EF15222">
      <w:pPr>
        <w:pStyle w:val="13"/>
        <w:kinsoku w:val="0"/>
        <w:overflowPunct w:val="0"/>
        <w:spacing w:line="360" w:lineRule="auto"/>
        <w:ind w:left="0" w:firstLine="434"/>
        <w:rPr>
          <w:rFonts w:hint="eastAsia" w:ascii="宋体" w:hAnsi="宋体" w:cs="宋体"/>
          <w:color w:val="auto"/>
          <w:szCs w:val="24"/>
          <w:highlight w:val="none"/>
        </w:rPr>
      </w:pPr>
    </w:p>
    <w:p w14:paraId="66DD3358">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附件：</w:t>
      </w:r>
    </w:p>
    <w:p w14:paraId="3B50F882">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1．***相关证明材料（加盖公章）</w:t>
      </w:r>
    </w:p>
    <w:p w14:paraId="1C01537D">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2．质疑人营业执照复印件或注册登记证书复印件（加盖公章）</w:t>
      </w:r>
    </w:p>
    <w:p w14:paraId="60D2D89A">
      <w:pPr>
        <w:pStyle w:val="13"/>
        <w:kinsoku w:val="0"/>
        <w:overflowPunct w:val="0"/>
        <w:spacing w:line="360" w:lineRule="auto"/>
        <w:ind w:left="0" w:firstLine="434"/>
        <w:rPr>
          <w:rFonts w:hint="eastAsia" w:ascii="宋体" w:hAnsi="宋体" w:cs="宋体"/>
          <w:color w:val="auto"/>
          <w:szCs w:val="24"/>
          <w:highlight w:val="none"/>
        </w:rPr>
      </w:pPr>
      <w:r>
        <w:rPr>
          <w:rFonts w:hint="eastAsia" w:ascii="宋体" w:hAnsi="宋体" w:cs="宋体"/>
          <w:color w:val="auto"/>
          <w:szCs w:val="24"/>
          <w:highlight w:val="none"/>
        </w:rPr>
        <w:t>3．委托代理人身份证复印件（正反两面）及授权委托书（加盖公章）</w:t>
      </w:r>
    </w:p>
    <w:p w14:paraId="0BF4B53A">
      <w:pPr>
        <w:pStyle w:val="13"/>
        <w:kinsoku w:val="0"/>
        <w:overflowPunct w:val="0"/>
        <w:ind w:left="0"/>
        <w:rPr>
          <w:rFonts w:hint="eastAsia" w:ascii="宋体" w:hAnsi="宋体" w:cs="宋体"/>
          <w:color w:val="auto"/>
          <w:szCs w:val="24"/>
          <w:highlight w:val="none"/>
        </w:rPr>
        <w:sectPr>
          <w:type w:val="continuous"/>
          <w:pgSz w:w="11910" w:h="16840"/>
          <w:pgMar w:top="1100" w:right="1202" w:bottom="919" w:left="1298" w:header="720" w:footer="720" w:gutter="0"/>
          <w:cols w:space="720" w:num="1"/>
        </w:sectPr>
      </w:pPr>
    </w:p>
    <w:p w14:paraId="58FA2E3C">
      <w:pPr>
        <w:pStyle w:val="13"/>
        <w:kinsoku w:val="0"/>
        <w:overflowPunct w:val="0"/>
        <w:ind w:left="0"/>
        <w:rPr>
          <w:rFonts w:hint="eastAsia" w:ascii="宋体" w:hAnsi="宋体" w:cs="宋体"/>
          <w:color w:val="auto"/>
          <w:sz w:val="20"/>
          <w:highlight w:val="none"/>
        </w:rPr>
      </w:pPr>
    </w:p>
    <w:p w14:paraId="2C42F622">
      <w:pPr>
        <w:pStyle w:val="5"/>
        <w:kinsoku w:val="0"/>
        <w:overflowPunct w:val="0"/>
        <w:jc w:val="center"/>
        <w:rPr>
          <w:rFonts w:hAnsi="宋体" w:cs="宋体"/>
          <w:b w:val="0"/>
          <w:color w:val="auto"/>
          <w:highlight w:val="none"/>
        </w:rPr>
      </w:pPr>
      <w:bookmarkStart w:id="240" w:name="_Toc514759069"/>
      <w:bookmarkStart w:id="241" w:name="_Toc514786944"/>
      <w:r>
        <w:rPr>
          <w:rFonts w:hAnsi="宋体" w:cs="宋体"/>
          <w:color w:val="auto"/>
          <w:highlight w:val="none"/>
        </w:rPr>
        <w:t>投诉书</w:t>
      </w:r>
      <w:bookmarkEnd w:id="240"/>
      <w:bookmarkEnd w:id="241"/>
    </w:p>
    <w:p w14:paraId="1ED28A35">
      <w:pPr>
        <w:pStyle w:val="13"/>
        <w:kinsoku w:val="0"/>
        <w:overflowPunct w:val="0"/>
        <w:ind w:left="0"/>
        <w:rPr>
          <w:rFonts w:hint="eastAsia" w:ascii="宋体" w:hAnsi="宋体" w:cs="宋体"/>
          <w:b/>
          <w:color w:val="auto"/>
          <w:sz w:val="20"/>
          <w:highlight w:val="none"/>
        </w:rPr>
      </w:pPr>
    </w:p>
    <w:p w14:paraId="6170DE56">
      <w:pPr>
        <w:pStyle w:val="13"/>
        <w:kinsoku w:val="0"/>
        <w:overflowPunct w:val="0"/>
        <w:ind w:left="0"/>
        <w:rPr>
          <w:rFonts w:hint="eastAsia" w:ascii="宋体" w:hAnsi="宋体" w:cs="宋体"/>
          <w:b/>
          <w:color w:val="auto"/>
          <w:szCs w:val="24"/>
          <w:highlight w:val="none"/>
        </w:rPr>
      </w:pPr>
    </w:p>
    <w:p w14:paraId="7DA28A85">
      <w:pPr>
        <w:pStyle w:val="13"/>
        <w:numPr>
          <w:ilvl w:val="0"/>
          <w:numId w:val="18"/>
        </w:numPr>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一、投诉相关主体投诉人：</w:t>
      </w:r>
    </w:p>
    <w:p w14:paraId="2E2854AC">
      <w:pPr>
        <w:pStyle w:val="13"/>
        <w:tabs>
          <w:tab w:val="left" w:pos="527"/>
        </w:tabs>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地</w:t>
      </w:r>
      <w:r>
        <w:rPr>
          <w:rFonts w:hint="eastAsia" w:ascii="宋体" w:hAnsi="宋体" w:cs="宋体"/>
          <w:color w:val="auto"/>
          <w:w w:val="95"/>
          <w:szCs w:val="24"/>
          <w:highlight w:val="none"/>
        </w:rPr>
        <w:tab/>
      </w:r>
      <w:r>
        <w:rPr>
          <w:rFonts w:hint="eastAsia" w:ascii="宋体" w:hAnsi="宋体" w:cs="宋体"/>
          <w:color w:val="auto"/>
          <w:szCs w:val="24"/>
          <w:highlight w:val="none"/>
        </w:rPr>
        <w:t>址：</w:t>
      </w:r>
    </w:p>
    <w:p w14:paraId="5144E256">
      <w:pPr>
        <w:pStyle w:val="13"/>
        <w:tabs>
          <w:tab w:val="left" w:pos="527"/>
        </w:tabs>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法定代表人：</w:t>
      </w:r>
    </w:p>
    <w:p w14:paraId="5BAEB11F">
      <w:pPr>
        <w:pStyle w:val="13"/>
        <w:tabs>
          <w:tab w:val="left" w:pos="3467"/>
        </w:tabs>
        <w:kinsoku w:val="0"/>
        <w:overflowPunct w:val="0"/>
        <w:spacing w:line="408" w:lineRule="auto"/>
        <w:ind w:left="0"/>
        <w:jc w:val="both"/>
        <w:rPr>
          <w:rFonts w:hint="eastAsia" w:ascii="宋体" w:hAnsi="宋体" w:cs="宋体"/>
          <w:color w:val="auto"/>
          <w:w w:val="95"/>
          <w:szCs w:val="24"/>
          <w:highlight w:val="none"/>
          <w:u w:val="single"/>
        </w:rPr>
      </w:pPr>
      <w:r>
        <w:rPr>
          <w:rFonts w:hint="eastAsia" w:ascii="宋体" w:hAnsi="宋体" w:cs="宋体"/>
          <w:color w:val="auto"/>
          <w:szCs w:val="24"/>
          <w:highlight w:val="none"/>
        </w:rPr>
        <w:t>办公电话：</w:t>
      </w:r>
      <w:r>
        <w:rPr>
          <w:rFonts w:hint="eastAsia" w:ascii="宋体" w:hAnsi="宋体" w:cs="宋体"/>
          <w:color w:val="auto"/>
          <w:w w:val="95"/>
          <w:szCs w:val="24"/>
          <w:highlight w:val="none"/>
          <w:u w:val="single"/>
        </w:rPr>
        <w:tab/>
      </w:r>
    </w:p>
    <w:p w14:paraId="479F550F">
      <w:pPr>
        <w:pStyle w:val="13"/>
        <w:tabs>
          <w:tab w:val="left" w:pos="3467"/>
        </w:tabs>
        <w:kinsoku w:val="0"/>
        <w:overflowPunct w:val="0"/>
        <w:spacing w:line="408" w:lineRule="auto"/>
        <w:ind w:left="0"/>
        <w:jc w:val="both"/>
        <w:rPr>
          <w:rFonts w:hint="eastAsia" w:ascii="宋体" w:hAnsi="宋体" w:cs="宋体"/>
          <w:color w:val="auto"/>
          <w:szCs w:val="24"/>
          <w:highlight w:val="none"/>
        </w:rPr>
      </w:pPr>
      <w:r>
        <w:rPr>
          <w:rFonts w:hint="eastAsia" w:ascii="宋体" w:hAnsi="宋体" w:cs="宋体"/>
          <w:color w:val="auto"/>
          <w:szCs w:val="24"/>
          <w:highlight w:val="none"/>
        </w:rPr>
        <w:t>传真：</w:t>
      </w:r>
    </w:p>
    <w:p w14:paraId="6A877E16">
      <w:pPr>
        <w:pStyle w:val="13"/>
        <w:tabs>
          <w:tab w:val="left" w:pos="3467"/>
        </w:tabs>
        <w:kinsoku w:val="0"/>
        <w:overflowPunct w:val="0"/>
        <w:spacing w:line="408" w:lineRule="auto"/>
        <w:ind w:left="0"/>
        <w:jc w:val="both"/>
        <w:rPr>
          <w:rFonts w:hint="eastAsia" w:ascii="宋体" w:hAnsi="宋体" w:cs="宋体"/>
          <w:color w:val="auto"/>
          <w:w w:val="95"/>
          <w:szCs w:val="24"/>
          <w:highlight w:val="none"/>
          <w:u w:val="single"/>
        </w:rPr>
      </w:pPr>
      <w:r>
        <w:rPr>
          <w:rFonts w:hint="eastAsia" w:ascii="宋体" w:hAnsi="宋体" w:cs="宋体"/>
          <w:color w:val="auto"/>
          <w:szCs w:val="24"/>
          <w:highlight w:val="none"/>
        </w:rPr>
        <w:t>代理人：</w:t>
      </w:r>
      <w:r>
        <w:rPr>
          <w:rFonts w:hint="eastAsia" w:ascii="宋体" w:hAnsi="宋体" w:cs="宋体"/>
          <w:color w:val="auto"/>
          <w:w w:val="95"/>
          <w:szCs w:val="24"/>
          <w:highlight w:val="none"/>
          <w:u w:val="single"/>
        </w:rPr>
        <w:tab/>
      </w:r>
    </w:p>
    <w:p w14:paraId="276DBB46">
      <w:pPr>
        <w:pStyle w:val="13"/>
        <w:tabs>
          <w:tab w:val="left" w:pos="3467"/>
        </w:tabs>
        <w:kinsoku w:val="0"/>
        <w:overflowPunct w:val="0"/>
        <w:spacing w:line="408" w:lineRule="auto"/>
        <w:ind w:left="0"/>
        <w:jc w:val="both"/>
        <w:rPr>
          <w:rFonts w:hint="eastAsia" w:ascii="宋体" w:hAnsi="宋体" w:cs="宋体"/>
          <w:color w:val="auto"/>
          <w:szCs w:val="24"/>
          <w:highlight w:val="none"/>
        </w:rPr>
      </w:pPr>
      <w:r>
        <w:rPr>
          <w:rFonts w:hint="eastAsia" w:ascii="宋体" w:hAnsi="宋体" w:cs="宋体"/>
          <w:color w:val="auto"/>
          <w:szCs w:val="24"/>
          <w:highlight w:val="none"/>
        </w:rPr>
        <w:t>手机：</w:t>
      </w:r>
    </w:p>
    <w:p w14:paraId="70BD4681">
      <w:pPr>
        <w:pStyle w:val="13"/>
        <w:tabs>
          <w:tab w:val="left" w:pos="3467"/>
        </w:tabs>
        <w:kinsoku w:val="0"/>
        <w:overflowPunct w:val="0"/>
        <w:spacing w:line="408" w:lineRule="auto"/>
        <w:ind w:left="0"/>
        <w:jc w:val="both"/>
        <w:rPr>
          <w:rFonts w:hint="eastAsia" w:ascii="宋体" w:hAnsi="宋体" w:cs="宋体"/>
          <w:color w:val="auto"/>
          <w:szCs w:val="24"/>
          <w:highlight w:val="none"/>
        </w:rPr>
      </w:pPr>
      <w:r>
        <w:rPr>
          <w:rFonts w:hint="eastAsia" w:ascii="宋体" w:hAnsi="宋体" w:cs="宋体"/>
          <w:color w:val="auto"/>
          <w:szCs w:val="24"/>
          <w:highlight w:val="none"/>
        </w:rPr>
        <w:t>被投诉人1：</w:t>
      </w:r>
    </w:p>
    <w:p w14:paraId="5D4F1F21">
      <w:pPr>
        <w:pStyle w:val="13"/>
        <w:kinsoku w:val="0"/>
        <w:overflowPunct w:val="0"/>
        <w:spacing w:line="262" w:lineRule="exact"/>
        <w:ind w:left="0"/>
        <w:rPr>
          <w:rFonts w:hint="eastAsia" w:ascii="宋体" w:hAnsi="宋体" w:cs="宋体"/>
          <w:color w:val="auto"/>
          <w:szCs w:val="24"/>
          <w:highlight w:val="none"/>
        </w:rPr>
      </w:pPr>
      <w:r>
        <w:rPr>
          <w:rFonts w:hint="eastAsia" w:ascii="宋体" w:hAnsi="宋体" w:cs="宋体"/>
          <w:color w:val="auto"/>
          <w:szCs w:val="24"/>
          <w:highlight w:val="none"/>
        </w:rPr>
        <w:t>地址：</w:t>
      </w:r>
    </w:p>
    <w:p w14:paraId="0D87F68A">
      <w:pPr>
        <w:pStyle w:val="13"/>
        <w:kinsoku w:val="0"/>
        <w:overflowPunct w:val="0"/>
        <w:ind w:left="0"/>
        <w:rPr>
          <w:rFonts w:hint="eastAsia" w:ascii="宋体" w:hAnsi="宋体" w:cs="宋体"/>
          <w:color w:val="auto"/>
          <w:szCs w:val="24"/>
          <w:highlight w:val="none"/>
        </w:rPr>
      </w:pPr>
    </w:p>
    <w:p w14:paraId="7A5666CB">
      <w:pPr>
        <w:pStyle w:val="13"/>
        <w:tabs>
          <w:tab w:val="left" w:pos="2942"/>
        </w:tabs>
        <w:kinsoku w:val="0"/>
        <w:overflowPunct w:val="0"/>
        <w:spacing w:line="408" w:lineRule="auto"/>
        <w:ind w:left="0"/>
        <w:rPr>
          <w:rFonts w:hint="eastAsia" w:ascii="宋体" w:hAnsi="宋体" w:cs="宋体"/>
          <w:color w:val="auto"/>
          <w:w w:val="95"/>
          <w:szCs w:val="24"/>
          <w:highlight w:val="none"/>
          <w:u w:val="single"/>
        </w:rPr>
      </w:pPr>
      <w:r>
        <w:rPr>
          <w:rFonts w:hint="eastAsia" w:ascii="宋体" w:hAnsi="宋体" w:cs="宋体"/>
          <w:color w:val="auto"/>
          <w:szCs w:val="24"/>
          <w:highlight w:val="none"/>
        </w:rPr>
        <w:t>联系人：</w:t>
      </w:r>
      <w:r>
        <w:rPr>
          <w:rFonts w:hint="eastAsia" w:ascii="宋体" w:hAnsi="宋体" w:cs="宋体"/>
          <w:color w:val="auto"/>
          <w:w w:val="95"/>
          <w:szCs w:val="24"/>
          <w:highlight w:val="none"/>
          <w:u w:val="single"/>
        </w:rPr>
        <w:tab/>
      </w:r>
    </w:p>
    <w:p w14:paraId="5EF09D44">
      <w:pPr>
        <w:pStyle w:val="13"/>
        <w:tabs>
          <w:tab w:val="left" w:pos="2942"/>
        </w:tabs>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联系方式：</w:t>
      </w:r>
    </w:p>
    <w:p w14:paraId="307C174A">
      <w:pPr>
        <w:pStyle w:val="13"/>
        <w:tabs>
          <w:tab w:val="left" w:pos="2942"/>
        </w:tabs>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被投诉人2：</w:t>
      </w:r>
    </w:p>
    <w:p w14:paraId="44F6AA56">
      <w:pPr>
        <w:pStyle w:val="13"/>
        <w:kinsoku w:val="0"/>
        <w:overflowPunct w:val="0"/>
        <w:spacing w:line="262" w:lineRule="exact"/>
        <w:ind w:left="0"/>
        <w:rPr>
          <w:rFonts w:hint="eastAsia" w:ascii="宋体" w:hAnsi="宋体" w:cs="宋体"/>
          <w:color w:val="auto"/>
          <w:szCs w:val="24"/>
          <w:highlight w:val="none"/>
        </w:rPr>
      </w:pPr>
      <w:r>
        <w:rPr>
          <w:rFonts w:hint="eastAsia" w:ascii="宋体" w:hAnsi="宋体" w:cs="宋体"/>
          <w:color w:val="auto"/>
          <w:szCs w:val="24"/>
          <w:highlight w:val="none"/>
        </w:rPr>
        <w:t>地址：</w:t>
      </w:r>
    </w:p>
    <w:p w14:paraId="550AF0C9">
      <w:pPr>
        <w:pStyle w:val="13"/>
        <w:kinsoku w:val="0"/>
        <w:overflowPunct w:val="0"/>
        <w:ind w:left="0"/>
        <w:rPr>
          <w:rFonts w:hint="eastAsia" w:ascii="宋体" w:hAnsi="宋体" w:cs="宋体"/>
          <w:color w:val="auto"/>
          <w:szCs w:val="24"/>
          <w:highlight w:val="none"/>
        </w:rPr>
      </w:pPr>
    </w:p>
    <w:p w14:paraId="050DA430">
      <w:pPr>
        <w:pStyle w:val="13"/>
        <w:tabs>
          <w:tab w:val="left" w:pos="2942"/>
        </w:tabs>
        <w:kinsoku w:val="0"/>
        <w:overflowPunct w:val="0"/>
        <w:spacing w:line="408" w:lineRule="auto"/>
        <w:ind w:left="0"/>
        <w:rPr>
          <w:rFonts w:hint="eastAsia" w:ascii="宋体" w:hAnsi="宋体" w:cs="宋体"/>
          <w:color w:val="auto"/>
          <w:w w:val="95"/>
          <w:szCs w:val="24"/>
          <w:highlight w:val="none"/>
          <w:u w:val="single"/>
        </w:rPr>
      </w:pPr>
      <w:r>
        <w:rPr>
          <w:rFonts w:hint="eastAsia" w:ascii="宋体" w:hAnsi="宋体" w:cs="宋体"/>
          <w:color w:val="auto"/>
          <w:szCs w:val="24"/>
          <w:highlight w:val="none"/>
        </w:rPr>
        <w:t>联系人：</w:t>
      </w:r>
      <w:r>
        <w:rPr>
          <w:rFonts w:hint="eastAsia" w:ascii="宋体" w:hAnsi="宋体" w:cs="宋体"/>
          <w:color w:val="auto"/>
          <w:w w:val="95"/>
          <w:szCs w:val="24"/>
          <w:highlight w:val="none"/>
          <w:u w:val="single"/>
        </w:rPr>
        <w:tab/>
      </w:r>
    </w:p>
    <w:p w14:paraId="7066BFF5">
      <w:pPr>
        <w:pStyle w:val="13"/>
        <w:tabs>
          <w:tab w:val="left" w:pos="2942"/>
        </w:tabs>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联系方式：</w:t>
      </w:r>
    </w:p>
    <w:p w14:paraId="7BD9AE4B">
      <w:pPr>
        <w:pStyle w:val="13"/>
        <w:tabs>
          <w:tab w:val="left" w:pos="2942"/>
        </w:tabs>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相关供应商名称：</w:t>
      </w:r>
    </w:p>
    <w:p w14:paraId="018F200B">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地址：</w:t>
      </w:r>
    </w:p>
    <w:p w14:paraId="09126241">
      <w:pPr>
        <w:pStyle w:val="13"/>
        <w:kinsoku w:val="0"/>
        <w:overflowPunct w:val="0"/>
        <w:ind w:left="0"/>
        <w:rPr>
          <w:rFonts w:hint="eastAsia" w:ascii="宋体" w:hAnsi="宋体" w:cs="宋体"/>
          <w:color w:val="auto"/>
          <w:szCs w:val="24"/>
          <w:highlight w:val="none"/>
        </w:rPr>
      </w:pPr>
    </w:p>
    <w:p w14:paraId="0147349F">
      <w:pPr>
        <w:pStyle w:val="13"/>
        <w:tabs>
          <w:tab w:val="left" w:pos="2733"/>
        </w:tabs>
        <w:kinsoku w:val="0"/>
        <w:overflowPunct w:val="0"/>
        <w:spacing w:line="408" w:lineRule="auto"/>
        <w:ind w:left="0"/>
        <w:rPr>
          <w:rFonts w:hint="eastAsia" w:ascii="宋体" w:hAnsi="宋体" w:cs="宋体"/>
          <w:color w:val="auto"/>
          <w:w w:val="95"/>
          <w:szCs w:val="24"/>
          <w:highlight w:val="none"/>
          <w:u w:val="single"/>
        </w:rPr>
      </w:pPr>
      <w:r>
        <w:rPr>
          <w:rFonts w:hint="eastAsia" w:ascii="宋体" w:hAnsi="宋体" w:cs="宋体"/>
          <w:color w:val="auto"/>
          <w:szCs w:val="24"/>
          <w:highlight w:val="none"/>
        </w:rPr>
        <w:t>联系人</w:t>
      </w:r>
      <w:r>
        <w:rPr>
          <w:rFonts w:hint="eastAsia" w:ascii="宋体" w:hAnsi="宋体" w:cs="宋体"/>
          <w:color w:val="auto"/>
          <w:w w:val="95"/>
          <w:szCs w:val="24"/>
          <w:highlight w:val="none"/>
        </w:rPr>
        <w:t>：</w:t>
      </w:r>
      <w:r>
        <w:rPr>
          <w:rFonts w:hint="eastAsia" w:ascii="宋体" w:hAnsi="宋体" w:cs="宋体"/>
          <w:color w:val="auto"/>
          <w:w w:val="95"/>
          <w:szCs w:val="24"/>
          <w:highlight w:val="none"/>
          <w:u w:val="single"/>
        </w:rPr>
        <w:tab/>
      </w:r>
    </w:p>
    <w:p w14:paraId="6B94512F">
      <w:pPr>
        <w:pStyle w:val="13"/>
        <w:tabs>
          <w:tab w:val="left" w:pos="2733"/>
        </w:tabs>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联系方式：</w:t>
      </w:r>
    </w:p>
    <w:p w14:paraId="0566575B">
      <w:pPr>
        <w:pStyle w:val="13"/>
        <w:tabs>
          <w:tab w:val="left" w:pos="2733"/>
        </w:tabs>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二、项目基本情况</w:t>
      </w:r>
    </w:p>
    <w:p w14:paraId="281CC3BC">
      <w:pPr>
        <w:pStyle w:val="13"/>
        <w:tabs>
          <w:tab w:val="left" w:pos="2733"/>
        </w:tabs>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采购项目名称：</w:t>
      </w:r>
    </w:p>
    <w:p w14:paraId="72B2198C">
      <w:pPr>
        <w:pStyle w:val="13"/>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采购人名称：</w:t>
      </w:r>
    </w:p>
    <w:p w14:paraId="6EEC5B64">
      <w:pPr>
        <w:pStyle w:val="13"/>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代理机构名称：</w:t>
      </w:r>
    </w:p>
    <w:p w14:paraId="16E34D82">
      <w:pPr>
        <w:pStyle w:val="13"/>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发布采购信息日期：</w:t>
      </w:r>
    </w:p>
    <w:p w14:paraId="63F53B9D">
      <w:pPr>
        <w:pStyle w:val="13"/>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发布采购信息媒体：</w:t>
      </w:r>
    </w:p>
    <w:p w14:paraId="0C4FBBC4">
      <w:pPr>
        <w:pStyle w:val="13"/>
        <w:kinsoku w:val="0"/>
        <w:overflowPunct w:val="0"/>
        <w:spacing w:line="408" w:lineRule="auto"/>
        <w:ind w:left="0"/>
        <w:rPr>
          <w:rFonts w:hint="eastAsia" w:ascii="宋体" w:hAnsi="宋体" w:cs="宋体"/>
          <w:color w:val="auto"/>
          <w:szCs w:val="24"/>
          <w:highlight w:val="none"/>
        </w:rPr>
      </w:pPr>
      <w:r>
        <w:rPr>
          <w:rFonts w:hint="eastAsia" w:ascii="宋体" w:hAnsi="宋体" w:cs="宋体"/>
          <w:color w:val="auto"/>
          <w:szCs w:val="24"/>
          <w:highlight w:val="none"/>
        </w:rPr>
        <w:t>开标日期：</w:t>
      </w:r>
    </w:p>
    <w:p w14:paraId="582A71BB">
      <w:pPr>
        <w:pStyle w:val="13"/>
        <w:tabs>
          <w:tab w:val="left" w:pos="2498"/>
        </w:tabs>
        <w:kinsoku w:val="0"/>
        <w:overflowPunct w:val="0"/>
        <w:spacing w:line="372" w:lineRule="auto"/>
        <w:ind w:left="0"/>
        <w:rPr>
          <w:rFonts w:hint="eastAsia" w:ascii="宋体" w:hAnsi="宋体" w:cs="宋体"/>
          <w:color w:val="auto"/>
          <w:w w:val="95"/>
          <w:szCs w:val="24"/>
          <w:highlight w:val="none"/>
          <w:u w:val="single"/>
        </w:rPr>
      </w:pPr>
      <w:r>
        <w:rPr>
          <w:rFonts w:hint="eastAsia" w:ascii="宋体" w:hAnsi="宋体" w:cs="宋体"/>
          <w:color w:val="auto"/>
          <w:szCs w:val="24"/>
          <w:highlight w:val="none"/>
          <w:lang w:eastAsia="zh-CN"/>
        </w:rPr>
        <w:t>成交</w:t>
      </w:r>
      <w:r>
        <w:rPr>
          <w:rFonts w:hint="eastAsia" w:ascii="宋体" w:hAnsi="宋体" w:cs="宋体"/>
          <w:color w:val="auto"/>
          <w:szCs w:val="24"/>
          <w:highlight w:val="none"/>
        </w:rPr>
        <w:t>结果发布：是/否</w:t>
      </w:r>
      <w:r>
        <w:rPr>
          <w:rFonts w:hint="eastAsia" w:ascii="宋体" w:hAnsi="宋体" w:cs="宋体"/>
          <w:color w:val="auto"/>
          <w:szCs w:val="24"/>
          <w:highlight w:val="none"/>
        </w:rPr>
        <w:tab/>
      </w:r>
    </w:p>
    <w:p w14:paraId="7684FE5F">
      <w:pPr>
        <w:pStyle w:val="13"/>
        <w:tabs>
          <w:tab w:val="left" w:pos="2498"/>
        </w:tabs>
        <w:kinsoku w:val="0"/>
        <w:overflowPunct w:val="0"/>
        <w:spacing w:line="372" w:lineRule="auto"/>
        <w:ind w:left="0"/>
        <w:rPr>
          <w:rFonts w:hint="eastAsia" w:ascii="宋体" w:hAnsi="宋体" w:cs="宋体"/>
          <w:color w:val="auto"/>
          <w:szCs w:val="24"/>
          <w:highlight w:val="none"/>
        </w:rPr>
      </w:pPr>
      <w:r>
        <w:rPr>
          <w:rFonts w:hint="eastAsia" w:ascii="宋体" w:hAnsi="宋体" w:cs="宋体"/>
          <w:color w:val="auto"/>
          <w:szCs w:val="24"/>
          <w:highlight w:val="none"/>
        </w:rPr>
        <w:t>发布日期：</w:t>
      </w:r>
    </w:p>
    <w:p w14:paraId="76A4E5B7">
      <w:pPr>
        <w:pStyle w:val="13"/>
        <w:tabs>
          <w:tab w:val="left" w:pos="2498"/>
        </w:tabs>
        <w:kinsoku w:val="0"/>
        <w:overflowPunct w:val="0"/>
        <w:spacing w:line="372" w:lineRule="auto"/>
        <w:ind w:left="0"/>
        <w:rPr>
          <w:rFonts w:hint="eastAsia" w:ascii="宋体" w:hAnsi="宋体" w:cs="宋体"/>
          <w:color w:val="auto"/>
          <w:szCs w:val="24"/>
          <w:highlight w:val="none"/>
        </w:rPr>
      </w:pPr>
      <w:r>
        <w:rPr>
          <w:rFonts w:hint="eastAsia" w:ascii="宋体" w:hAnsi="宋体" w:cs="宋体"/>
          <w:color w:val="auto"/>
          <w:szCs w:val="24"/>
          <w:highlight w:val="none"/>
        </w:rPr>
        <w:t>三、质疑基本情况</w:t>
      </w:r>
    </w:p>
    <w:p w14:paraId="657D968C">
      <w:pPr>
        <w:pStyle w:val="13"/>
        <w:tabs>
          <w:tab w:val="left" w:pos="1576"/>
          <w:tab w:val="left" w:pos="2207"/>
          <w:tab w:val="left" w:pos="2942"/>
          <w:tab w:val="left" w:pos="5253"/>
        </w:tabs>
        <w:kinsoku w:val="0"/>
        <w:overflowPunct w:val="0"/>
        <w:spacing w:line="372" w:lineRule="auto"/>
        <w:ind w:left="0"/>
        <w:rPr>
          <w:rFonts w:hint="eastAsia" w:ascii="宋体" w:hAnsi="宋体" w:cs="宋体"/>
          <w:color w:val="auto"/>
          <w:szCs w:val="24"/>
          <w:highlight w:val="none"/>
        </w:rPr>
      </w:pPr>
      <w:r>
        <w:rPr>
          <w:rFonts w:hint="eastAsia" w:ascii="宋体" w:hAnsi="宋体" w:cs="宋体"/>
          <w:color w:val="auto"/>
          <w:szCs w:val="24"/>
          <w:highlight w:val="none"/>
        </w:rPr>
        <w:t>投诉人于</w:t>
      </w:r>
      <w:r>
        <w:rPr>
          <w:rFonts w:hint="eastAsia" w:ascii="宋体" w:hAnsi="宋体" w:cs="宋体"/>
          <w:color w:val="auto"/>
          <w:szCs w:val="24"/>
          <w:highlight w:val="none"/>
        </w:rPr>
        <w:tab/>
      </w:r>
      <w:r>
        <w:rPr>
          <w:rFonts w:hint="eastAsia" w:ascii="宋体" w:hAnsi="宋体" w:cs="宋体"/>
          <w:color w:val="auto"/>
          <w:szCs w:val="24"/>
          <w:highlight w:val="none"/>
        </w:rPr>
        <w:t>年</w:t>
      </w:r>
      <w:r>
        <w:rPr>
          <w:rFonts w:hint="eastAsia" w:ascii="宋体" w:hAnsi="宋体" w:cs="宋体"/>
          <w:color w:val="auto"/>
          <w:szCs w:val="24"/>
          <w:highlight w:val="none"/>
        </w:rPr>
        <w:tab/>
      </w:r>
      <w:r>
        <w:rPr>
          <w:rFonts w:hint="eastAsia" w:ascii="宋体" w:hAnsi="宋体" w:cs="宋体"/>
          <w:color w:val="auto"/>
          <w:szCs w:val="24"/>
          <w:highlight w:val="none"/>
        </w:rPr>
        <w:t>月</w:t>
      </w:r>
      <w:r>
        <w:rPr>
          <w:rFonts w:hint="eastAsia" w:ascii="宋体" w:hAnsi="宋体" w:cs="宋体"/>
          <w:color w:val="auto"/>
          <w:szCs w:val="24"/>
          <w:highlight w:val="none"/>
        </w:rPr>
        <w:tab/>
      </w:r>
      <w:r>
        <w:rPr>
          <w:rFonts w:hint="eastAsia" w:ascii="宋体" w:hAnsi="宋体" w:cs="宋体"/>
          <w:color w:val="auto"/>
          <w:szCs w:val="24"/>
          <w:highlight w:val="none"/>
        </w:rPr>
        <w:t>日，向</w:t>
      </w:r>
      <w:r>
        <w:rPr>
          <w:rFonts w:hint="eastAsia" w:ascii="宋体" w:hAnsi="宋体" w:cs="宋体"/>
          <w:color w:val="auto"/>
          <w:w w:val="95"/>
          <w:szCs w:val="24"/>
          <w:highlight w:val="none"/>
          <w:u w:val="single"/>
        </w:rPr>
        <w:tab/>
      </w:r>
      <w:r>
        <w:rPr>
          <w:rFonts w:hint="eastAsia" w:ascii="宋体" w:hAnsi="宋体" w:cs="宋体"/>
          <w:color w:val="auto"/>
          <w:szCs w:val="24"/>
          <w:highlight w:val="none"/>
        </w:rPr>
        <w:t>提出质疑（附件1），认为1、</w:t>
      </w:r>
    </w:p>
    <w:p w14:paraId="08986411">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2、</w:t>
      </w:r>
    </w:p>
    <w:p w14:paraId="5B65373F">
      <w:pPr>
        <w:pStyle w:val="13"/>
        <w:tabs>
          <w:tab w:val="left" w:pos="1780"/>
          <w:tab w:val="left" w:pos="2620"/>
          <w:tab w:val="left" w:pos="3354"/>
        </w:tabs>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被质疑人于</w:t>
      </w:r>
      <w:r>
        <w:rPr>
          <w:rFonts w:hint="eastAsia" w:ascii="宋体" w:hAnsi="宋体" w:cs="宋体"/>
          <w:color w:val="auto"/>
          <w:szCs w:val="24"/>
          <w:highlight w:val="none"/>
        </w:rPr>
        <w:tab/>
      </w:r>
      <w:r>
        <w:rPr>
          <w:rFonts w:hint="eastAsia" w:ascii="宋体" w:hAnsi="宋体" w:cs="宋体"/>
          <w:color w:val="auto"/>
          <w:szCs w:val="24"/>
          <w:highlight w:val="none"/>
        </w:rPr>
        <w:t>年</w:t>
      </w:r>
      <w:r>
        <w:rPr>
          <w:rFonts w:hint="eastAsia" w:ascii="宋体" w:hAnsi="宋体" w:cs="宋体"/>
          <w:color w:val="auto"/>
          <w:szCs w:val="24"/>
          <w:highlight w:val="none"/>
        </w:rPr>
        <w:tab/>
      </w:r>
      <w:r>
        <w:rPr>
          <w:rFonts w:hint="eastAsia" w:ascii="宋体" w:hAnsi="宋体" w:cs="宋体"/>
          <w:color w:val="auto"/>
          <w:szCs w:val="24"/>
          <w:highlight w:val="none"/>
        </w:rPr>
        <w:t>月</w:t>
      </w:r>
      <w:r>
        <w:rPr>
          <w:rFonts w:hint="eastAsia" w:ascii="宋体" w:hAnsi="宋体" w:cs="宋体"/>
          <w:color w:val="auto"/>
          <w:szCs w:val="24"/>
          <w:highlight w:val="none"/>
        </w:rPr>
        <w:tab/>
      </w:r>
      <w:r>
        <w:rPr>
          <w:rFonts w:hint="eastAsia" w:ascii="宋体" w:hAnsi="宋体" w:cs="宋体"/>
          <w:color w:val="auto"/>
          <w:szCs w:val="24"/>
          <w:highlight w:val="none"/>
        </w:rPr>
        <w:t>日，就质疑事项</w:t>
      </w:r>
      <w:r>
        <w:rPr>
          <w:rFonts w:hint="eastAsia" w:ascii="宋体" w:hAnsi="宋体" w:cs="宋体"/>
          <w:color w:val="auto"/>
          <w:szCs w:val="24"/>
          <w:highlight w:val="none"/>
          <w:u w:val="single"/>
        </w:rPr>
        <w:t>是/否</w:t>
      </w:r>
      <w:r>
        <w:rPr>
          <w:rFonts w:hint="eastAsia" w:ascii="宋体" w:hAnsi="宋体" w:cs="宋体"/>
          <w:color w:val="auto"/>
          <w:szCs w:val="24"/>
          <w:highlight w:val="none"/>
        </w:rPr>
        <w:t>在法定期限内作出了答复（附件2）。</w:t>
      </w:r>
    </w:p>
    <w:p w14:paraId="7D09E80E">
      <w:pPr>
        <w:pStyle w:val="13"/>
        <w:kinsoku w:val="0"/>
        <w:overflowPunct w:val="0"/>
        <w:ind w:left="0"/>
        <w:rPr>
          <w:rFonts w:hint="eastAsia" w:ascii="宋体" w:hAnsi="宋体" w:cs="宋体"/>
          <w:color w:val="auto"/>
          <w:szCs w:val="24"/>
          <w:highlight w:val="none"/>
        </w:rPr>
      </w:pPr>
    </w:p>
    <w:tbl>
      <w:tblPr>
        <w:tblStyle w:val="30"/>
        <w:tblW w:w="0" w:type="auto"/>
        <w:tblInd w:w="221" w:type="dxa"/>
        <w:tblLayout w:type="fixed"/>
        <w:tblCellMar>
          <w:top w:w="0" w:type="dxa"/>
          <w:left w:w="108" w:type="dxa"/>
          <w:bottom w:w="0" w:type="dxa"/>
          <w:right w:w="108" w:type="dxa"/>
        </w:tblCellMar>
      </w:tblPr>
      <w:tblGrid>
        <w:gridCol w:w="3205"/>
        <w:gridCol w:w="3464"/>
        <w:gridCol w:w="685"/>
      </w:tblGrid>
      <w:tr w14:paraId="6953FA65">
        <w:tblPrEx>
          <w:tblCellMar>
            <w:top w:w="0" w:type="dxa"/>
            <w:left w:w="108" w:type="dxa"/>
            <w:bottom w:w="0" w:type="dxa"/>
            <w:right w:w="108" w:type="dxa"/>
          </w:tblCellMar>
        </w:tblPrEx>
        <w:trPr>
          <w:trHeight w:val="918" w:hRule="exact"/>
        </w:trPr>
        <w:tc>
          <w:tcPr>
            <w:tcW w:w="3205" w:type="dxa"/>
            <w:tcBorders>
              <w:top w:val="nil"/>
              <w:left w:val="nil"/>
              <w:bottom w:val="nil"/>
              <w:right w:val="nil"/>
            </w:tcBorders>
            <w:noWrap w:val="0"/>
            <w:vAlign w:val="top"/>
          </w:tcPr>
          <w:p w14:paraId="0B0CD4E9">
            <w:pPr>
              <w:pStyle w:val="106"/>
              <w:kinsoku w:val="0"/>
              <w:overflowPunct w:val="0"/>
              <w:rPr>
                <w:rFonts w:ascii="宋体" w:hAnsi="宋体" w:cs="宋体"/>
                <w:color w:val="auto"/>
                <w:szCs w:val="24"/>
                <w:highlight w:val="none"/>
              </w:rPr>
            </w:pPr>
            <w:r>
              <w:rPr>
                <w:rFonts w:ascii="宋体" w:hAnsi="宋体" w:cs="宋体"/>
                <w:color w:val="auto"/>
                <w:szCs w:val="24"/>
                <w:highlight w:val="none"/>
              </w:rPr>
              <w:t>四、投诉事项</w:t>
            </w:r>
          </w:p>
          <w:p w14:paraId="1D6B6F62">
            <w:pPr>
              <w:pStyle w:val="106"/>
              <w:kinsoku w:val="0"/>
              <w:overflowPunct w:val="0"/>
              <w:rPr>
                <w:rFonts w:ascii="宋体" w:hAnsi="宋体" w:cs="宋体"/>
                <w:color w:val="auto"/>
                <w:szCs w:val="24"/>
                <w:highlight w:val="none"/>
              </w:rPr>
            </w:pPr>
          </w:p>
          <w:p w14:paraId="5B2EE3B8">
            <w:pPr>
              <w:pStyle w:val="106"/>
              <w:kinsoku w:val="0"/>
              <w:overflowPunct w:val="0"/>
              <w:rPr>
                <w:rFonts w:ascii="宋体" w:hAnsi="宋体" w:cs="宋体"/>
                <w:color w:val="auto"/>
                <w:szCs w:val="24"/>
                <w:highlight w:val="none"/>
              </w:rPr>
            </w:pPr>
            <w:r>
              <w:rPr>
                <w:rFonts w:ascii="宋体" w:hAnsi="宋体" w:cs="宋体"/>
                <w:color w:val="auto"/>
                <w:szCs w:val="24"/>
                <w:highlight w:val="none"/>
              </w:rPr>
              <w:t>投诉事项1：</w:t>
            </w:r>
          </w:p>
        </w:tc>
        <w:tc>
          <w:tcPr>
            <w:tcW w:w="4149" w:type="dxa"/>
            <w:gridSpan w:val="2"/>
            <w:tcBorders>
              <w:top w:val="nil"/>
              <w:left w:val="nil"/>
              <w:bottom w:val="nil"/>
              <w:right w:val="nil"/>
            </w:tcBorders>
            <w:noWrap w:val="0"/>
            <w:vAlign w:val="top"/>
          </w:tcPr>
          <w:p w14:paraId="3DC08CDA">
            <w:pPr>
              <w:rPr>
                <w:rFonts w:ascii="宋体" w:hAnsi="宋体" w:cs="宋体"/>
                <w:color w:val="auto"/>
                <w:szCs w:val="24"/>
                <w:highlight w:val="none"/>
              </w:rPr>
            </w:pPr>
          </w:p>
        </w:tc>
      </w:tr>
      <w:tr w14:paraId="1380B448">
        <w:tblPrEx>
          <w:tblCellMar>
            <w:top w:w="0" w:type="dxa"/>
            <w:left w:w="108" w:type="dxa"/>
            <w:bottom w:w="0" w:type="dxa"/>
            <w:right w:w="108" w:type="dxa"/>
          </w:tblCellMar>
        </w:tblPrEx>
        <w:trPr>
          <w:trHeight w:val="327" w:hRule="exact"/>
        </w:trPr>
        <w:tc>
          <w:tcPr>
            <w:tcW w:w="3205" w:type="dxa"/>
            <w:tcBorders>
              <w:top w:val="nil"/>
              <w:left w:val="nil"/>
              <w:bottom w:val="nil"/>
              <w:right w:val="nil"/>
            </w:tcBorders>
            <w:noWrap w:val="0"/>
            <w:vAlign w:val="top"/>
          </w:tcPr>
          <w:p w14:paraId="321A0ACA">
            <w:pPr>
              <w:pStyle w:val="106"/>
              <w:kinsoku w:val="0"/>
              <w:overflowPunct w:val="0"/>
              <w:rPr>
                <w:rFonts w:ascii="宋体" w:hAnsi="宋体" w:cs="宋体"/>
                <w:color w:val="auto"/>
                <w:szCs w:val="24"/>
                <w:highlight w:val="none"/>
              </w:rPr>
            </w:pPr>
            <w:r>
              <w:rPr>
                <w:rFonts w:ascii="宋体" w:hAnsi="宋体" w:cs="宋体"/>
                <w:color w:val="auto"/>
                <w:szCs w:val="24"/>
                <w:highlight w:val="none"/>
              </w:rPr>
              <w:t>事实依据：</w:t>
            </w:r>
          </w:p>
        </w:tc>
        <w:tc>
          <w:tcPr>
            <w:tcW w:w="3464" w:type="dxa"/>
            <w:tcBorders>
              <w:top w:val="nil"/>
              <w:left w:val="nil"/>
              <w:bottom w:val="single" w:color="000000" w:sz="4" w:space="0"/>
              <w:right w:val="nil"/>
            </w:tcBorders>
            <w:noWrap w:val="0"/>
            <w:vAlign w:val="top"/>
          </w:tcPr>
          <w:p w14:paraId="468547EE">
            <w:pPr>
              <w:pStyle w:val="106"/>
              <w:kinsoku w:val="0"/>
              <w:overflowPunct w:val="0"/>
              <w:spacing w:line="268" w:lineRule="exact"/>
              <w:rPr>
                <w:rFonts w:ascii="宋体" w:hAnsi="宋体" w:cs="宋体"/>
                <w:color w:val="auto"/>
                <w:szCs w:val="24"/>
                <w:highlight w:val="none"/>
              </w:rPr>
            </w:pPr>
            <w:r>
              <w:rPr>
                <w:rFonts w:ascii="宋体" w:hAnsi="宋体" w:cs="宋体"/>
                <w:color w:val="auto"/>
                <w:szCs w:val="24"/>
                <w:highlight w:val="none"/>
              </w:rPr>
              <w:t>（证据见附件第</w:t>
            </w:r>
          </w:p>
        </w:tc>
        <w:tc>
          <w:tcPr>
            <w:tcW w:w="685" w:type="dxa"/>
            <w:tcBorders>
              <w:top w:val="nil"/>
              <w:left w:val="nil"/>
              <w:bottom w:val="single" w:color="000000" w:sz="4" w:space="0"/>
              <w:right w:val="nil"/>
            </w:tcBorders>
            <w:noWrap w:val="0"/>
            <w:vAlign w:val="top"/>
          </w:tcPr>
          <w:p w14:paraId="175651FB">
            <w:pPr>
              <w:pStyle w:val="106"/>
              <w:kinsoku w:val="0"/>
              <w:overflowPunct w:val="0"/>
              <w:spacing w:line="268" w:lineRule="exact"/>
              <w:rPr>
                <w:rFonts w:ascii="宋体" w:hAnsi="宋体" w:cs="宋体"/>
                <w:color w:val="auto"/>
                <w:szCs w:val="24"/>
                <w:highlight w:val="none"/>
              </w:rPr>
            </w:pPr>
            <w:r>
              <w:rPr>
                <w:rFonts w:ascii="宋体" w:hAnsi="宋体" w:cs="宋体"/>
                <w:color w:val="auto"/>
                <w:szCs w:val="24"/>
                <w:highlight w:val="none"/>
              </w:rPr>
              <w:t>页）。</w:t>
            </w:r>
          </w:p>
        </w:tc>
      </w:tr>
      <w:tr w14:paraId="17740B3D">
        <w:tblPrEx>
          <w:tblCellMar>
            <w:top w:w="0" w:type="dxa"/>
            <w:left w:w="108" w:type="dxa"/>
            <w:bottom w:w="0" w:type="dxa"/>
            <w:right w:w="108" w:type="dxa"/>
          </w:tblCellMar>
        </w:tblPrEx>
        <w:trPr>
          <w:trHeight w:val="597" w:hRule="exact"/>
        </w:trPr>
        <w:tc>
          <w:tcPr>
            <w:tcW w:w="3205" w:type="dxa"/>
            <w:tcBorders>
              <w:top w:val="nil"/>
              <w:left w:val="nil"/>
              <w:bottom w:val="nil"/>
              <w:right w:val="nil"/>
            </w:tcBorders>
            <w:noWrap w:val="0"/>
            <w:vAlign w:val="top"/>
          </w:tcPr>
          <w:p w14:paraId="53C163BE">
            <w:pPr>
              <w:pStyle w:val="106"/>
              <w:kinsoku w:val="0"/>
              <w:overflowPunct w:val="0"/>
              <w:rPr>
                <w:rFonts w:ascii="宋体" w:hAnsi="宋体" w:cs="宋体"/>
                <w:color w:val="auto"/>
                <w:szCs w:val="24"/>
                <w:highlight w:val="none"/>
              </w:rPr>
            </w:pPr>
          </w:p>
          <w:p w14:paraId="4BDE512D">
            <w:pPr>
              <w:pStyle w:val="106"/>
              <w:kinsoku w:val="0"/>
              <w:overflowPunct w:val="0"/>
              <w:rPr>
                <w:rFonts w:ascii="宋体" w:hAnsi="宋体" w:cs="宋体"/>
                <w:color w:val="auto"/>
                <w:szCs w:val="24"/>
                <w:highlight w:val="none"/>
              </w:rPr>
            </w:pPr>
            <w:r>
              <w:rPr>
                <w:rFonts w:ascii="宋体" w:hAnsi="宋体" w:cs="宋体"/>
                <w:color w:val="auto"/>
                <w:szCs w:val="24"/>
                <w:highlight w:val="none"/>
              </w:rPr>
              <w:t>法律依据：</w:t>
            </w:r>
          </w:p>
        </w:tc>
        <w:tc>
          <w:tcPr>
            <w:tcW w:w="3464" w:type="dxa"/>
            <w:tcBorders>
              <w:top w:val="single" w:color="000000" w:sz="4" w:space="0"/>
              <w:left w:val="nil"/>
              <w:bottom w:val="nil"/>
              <w:right w:val="nil"/>
            </w:tcBorders>
            <w:noWrap w:val="0"/>
            <w:vAlign w:val="top"/>
          </w:tcPr>
          <w:p w14:paraId="44B08E40">
            <w:pPr>
              <w:rPr>
                <w:rFonts w:ascii="宋体" w:hAnsi="宋体" w:cs="宋体"/>
                <w:color w:val="auto"/>
                <w:szCs w:val="24"/>
                <w:highlight w:val="none"/>
              </w:rPr>
            </w:pPr>
          </w:p>
        </w:tc>
        <w:tc>
          <w:tcPr>
            <w:tcW w:w="685" w:type="dxa"/>
            <w:tcBorders>
              <w:top w:val="single" w:color="000000" w:sz="4" w:space="0"/>
              <w:left w:val="nil"/>
              <w:bottom w:val="nil"/>
              <w:right w:val="nil"/>
            </w:tcBorders>
            <w:noWrap w:val="0"/>
            <w:vAlign w:val="top"/>
          </w:tcPr>
          <w:p w14:paraId="1BBDAD4C">
            <w:pPr>
              <w:rPr>
                <w:rFonts w:ascii="宋体" w:hAnsi="宋体" w:cs="宋体"/>
                <w:color w:val="auto"/>
                <w:szCs w:val="24"/>
                <w:highlight w:val="none"/>
              </w:rPr>
            </w:pPr>
          </w:p>
        </w:tc>
      </w:tr>
      <w:tr w14:paraId="3E226BBE">
        <w:tblPrEx>
          <w:tblCellMar>
            <w:top w:w="0" w:type="dxa"/>
            <w:left w:w="108" w:type="dxa"/>
            <w:bottom w:w="0" w:type="dxa"/>
            <w:right w:w="108" w:type="dxa"/>
          </w:tblCellMar>
        </w:tblPrEx>
        <w:trPr>
          <w:trHeight w:val="1317" w:hRule="exact"/>
        </w:trPr>
        <w:tc>
          <w:tcPr>
            <w:tcW w:w="3205" w:type="dxa"/>
            <w:tcBorders>
              <w:top w:val="nil"/>
              <w:left w:val="nil"/>
              <w:bottom w:val="nil"/>
              <w:right w:val="nil"/>
            </w:tcBorders>
            <w:noWrap w:val="0"/>
            <w:vAlign w:val="top"/>
          </w:tcPr>
          <w:p w14:paraId="744C5781">
            <w:pPr>
              <w:pStyle w:val="106"/>
              <w:kinsoku w:val="0"/>
              <w:overflowPunct w:val="0"/>
              <w:rPr>
                <w:rFonts w:ascii="宋体" w:hAnsi="宋体" w:cs="宋体"/>
                <w:color w:val="auto"/>
                <w:szCs w:val="24"/>
                <w:highlight w:val="none"/>
              </w:rPr>
            </w:pPr>
            <w:r>
              <w:rPr>
                <w:rFonts w:ascii="宋体" w:hAnsi="宋体" w:cs="宋体"/>
                <w:color w:val="auto"/>
                <w:szCs w:val="24"/>
                <w:highlight w:val="none"/>
              </w:rPr>
              <w:t>投诉事项2：</w:t>
            </w:r>
          </w:p>
          <w:p w14:paraId="01E6A90D">
            <w:pPr>
              <w:pStyle w:val="106"/>
              <w:kinsoku w:val="0"/>
              <w:overflowPunct w:val="0"/>
              <w:rPr>
                <w:rFonts w:ascii="宋体" w:hAnsi="宋体" w:cs="宋体"/>
                <w:color w:val="auto"/>
                <w:szCs w:val="24"/>
                <w:highlight w:val="none"/>
              </w:rPr>
            </w:pPr>
            <w:r>
              <w:rPr>
                <w:rFonts w:ascii="宋体" w:hAnsi="宋体" w:cs="宋体"/>
                <w:color w:val="auto"/>
                <w:szCs w:val="24"/>
                <w:highlight w:val="none"/>
              </w:rPr>
              <w:t>事实依据：</w:t>
            </w:r>
          </w:p>
        </w:tc>
        <w:tc>
          <w:tcPr>
            <w:tcW w:w="3464" w:type="dxa"/>
            <w:tcBorders>
              <w:top w:val="nil"/>
              <w:left w:val="nil"/>
              <w:bottom w:val="single" w:color="000000" w:sz="4" w:space="0"/>
              <w:right w:val="nil"/>
            </w:tcBorders>
            <w:noWrap w:val="0"/>
            <w:vAlign w:val="top"/>
          </w:tcPr>
          <w:p w14:paraId="17ABA76B">
            <w:pPr>
              <w:pStyle w:val="106"/>
              <w:kinsoku w:val="0"/>
              <w:overflowPunct w:val="0"/>
              <w:rPr>
                <w:rFonts w:ascii="宋体" w:hAnsi="宋体" w:cs="宋体"/>
                <w:color w:val="auto"/>
                <w:szCs w:val="24"/>
                <w:highlight w:val="none"/>
              </w:rPr>
            </w:pPr>
          </w:p>
          <w:p w14:paraId="489241D1">
            <w:pPr>
              <w:pStyle w:val="106"/>
              <w:kinsoku w:val="0"/>
              <w:overflowPunct w:val="0"/>
              <w:rPr>
                <w:rFonts w:ascii="宋体" w:hAnsi="宋体" w:cs="宋体"/>
                <w:color w:val="auto"/>
                <w:szCs w:val="24"/>
                <w:highlight w:val="none"/>
              </w:rPr>
            </w:pPr>
          </w:p>
          <w:p w14:paraId="70C5367D">
            <w:pPr>
              <w:pStyle w:val="106"/>
              <w:kinsoku w:val="0"/>
              <w:overflowPunct w:val="0"/>
              <w:spacing w:line="268" w:lineRule="exact"/>
              <w:rPr>
                <w:rFonts w:ascii="宋体" w:hAnsi="宋体" w:cs="宋体"/>
                <w:color w:val="auto"/>
                <w:szCs w:val="24"/>
                <w:highlight w:val="none"/>
              </w:rPr>
            </w:pPr>
            <w:r>
              <w:rPr>
                <w:rFonts w:ascii="宋体" w:hAnsi="宋体" w:cs="宋体"/>
                <w:color w:val="auto"/>
                <w:szCs w:val="24"/>
                <w:highlight w:val="none"/>
              </w:rPr>
              <w:t>（证据见附件第</w:t>
            </w:r>
          </w:p>
        </w:tc>
        <w:tc>
          <w:tcPr>
            <w:tcW w:w="685" w:type="dxa"/>
            <w:tcBorders>
              <w:top w:val="nil"/>
              <w:left w:val="nil"/>
              <w:bottom w:val="single" w:color="000000" w:sz="4" w:space="0"/>
              <w:right w:val="nil"/>
            </w:tcBorders>
            <w:noWrap w:val="0"/>
            <w:vAlign w:val="top"/>
          </w:tcPr>
          <w:p w14:paraId="20BB59A2">
            <w:pPr>
              <w:pStyle w:val="106"/>
              <w:kinsoku w:val="0"/>
              <w:overflowPunct w:val="0"/>
              <w:rPr>
                <w:rFonts w:ascii="宋体" w:hAnsi="宋体" w:cs="宋体"/>
                <w:color w:val="auto"/>
                <w:szCs w:val="24"/>
                <w:highlight w:val="none"/>
              </w:rPr>
            </w:pPr>
          </w:p>
          <w:p w14:paraId="17B3168B">
            <w:pPr>
              <w:pStyle w:val="106"/>
              <w:kinsoku w:val="0"/>
              <w:overflowPunct w:val="0"/>
              <w:rPr>
                <w:rFonts w:ascii="宋体" w:hAnsi="宋体" w:cs="宋体"/>
                <w:color w:val="auto"/>
                <w:szCs w:val="24"/>
                <w:highlight w:val="none"/>
              </w:rPr>
            </w:pPr>
          </w:p>
          <w:p w14:paraId="2E7AC334">
            <w:pPr>
              <w:pStyle w:val="106"/>
              <w:kinsoku w:val="0"/>
              <w:overflowPunct w:val="0"/>
              <w:spacing w:line="268" w:lineRule="exact"/>
              <w:rPr>
                <w:rFonts w:ascii="宋体" w:hAnsi="宋体" w:cs="宋体"/>
                <w:color w:val="auto"/>
                <w:szCs w:val="24"/>
                <w:highlight w:val="none"/>
              </w:rPr>
            </w:pPr>
            <w:r>
              <w:rPr>
                <w:rFonts w:ascii="宋体" w:hAnsi="宋体" w:cs="宋体"/>
                <w:color w:val="auto"/>
                <w:szCs w:val="24"/>
                <w:highlight w:val="none"/>
              </w:rPr>
              <w:t>页）。</w:t>
            </w:r>
          </w:p>
        </w:tc>
      </w:tr>
      <w:tr w14:paraId="5A18DA99">
        <w:tblPrEx>
          <w:tblCellMar>
            <w:top w:w="0" w:type="dxa"/>
            <w:left w:w="108" w:type="dxa"/>
            <w:bottom w:w="0" w:type="dxa"/>
            <w:right w:w="108" w:type="dxa"/>
          </w:tblCellMar>
        </w:tblPrEx>
        <w:trPr>
          <w:trHeight w:val="597" w:hRule="exact"/>
        </w:trPr>
        <w:tc>
          <w:tcPr>
            <w:tcW w:w="3205" w:type="dxa"/>
            <w:tcBorders>
              <w:top w:val="nil"/>
              <w:left w:val="nil"/>
              <w:bottom w:val="nil"/>
              <w:right w:val="nil"/>
            </w:tcBorders>
            <w:noWrap w:val="0"/>
            <w:vAlign w:val="top"/>
          </w:tcPr>
          <w:p w14:paraId="3DE233D3">
            <w:pPr>
              <w:pStyle w:val="106"/>
              <w:kinsoku w:val="0"/>
              <w:overflowPunct w:val="0"/>
              <w:rPr>
                <w:rFonts w:ascii="宋体" w:hAnsi="宋体" w:cs="宋体"/>
                <w:color w:val="auto"/>
                <w:szCs w:val="24"/>
                <w:highlight w:val="none"/>
              </w:rPr>
            </w:pPr>
          </w:p>
          <w:p w14:paraId="3241436A">
            <w:pPr>
              <w:pStyle w:val="106"/>
              <w:kinsoku w:val="0"/>
              <w:overflowPunct w:val="0"/>
              <w:rPr>
                <w:rFonts w:ascii="宋体" w:hAnsi="宋体" w:cs="宋体"/>
                <w:color w:val="auto"/>
                <w:szCs w:val="24"/>
                <w:highlight w:val="none"/>
              </w:rPr>
            </w:pPr>
            <w:r>
              <w:rPr>
                <w:rFonts w:ascii="宋体" w:hAnsi="宋体" w:cs="宋体"/>
                <w:color w:val="auto"/>
                <w:szCs w:val="24"/>
                <w:highlight w:val="none"/>
              </w:rPr>
              <w:t>法律依据：</w:t>
            </w:r>
          </w:p>
        </w:tc>
        <w:tc>
          <w:tcPr>
            <w:tcW w:w="4149" w:type="dxa"/>
            <w:gridSpan w:val="2"/>
            <w:vMerge w:val="restart"/>
            <w:tcBorders>
              <w:top w:val="single" w:color="000000" w:sz="4" w:space="0"/>
              <w:left w:val="nil"/>
              <w:bottom w:val="nil"/>
              <w:right w:val="nil"/>
            </w:tcBorders>
            <w:noWrap w:val="0"/>
            <w:vAlign w:val="top"/>
          </w:tcPr>
          <w:p w14:paraId="6665C906">
            <w:pPr>
              <w:rPr>
                <w:rFonts w:ascii="宋体" w:hAnsi="宋体" w:cs="宋体"/>
                <w:color w:val="auto"/>
                <w:szCs w:val="24"/>
                <w:highlight w:val="none"/>
              </w:rPr>
            </w:pPr>
          </w:p>
        </w:tc>
      </w:tr>
      <w:tr w14:paraId="2C2C4E64">
        <w:tblPrEx>
          <w:tblCellMar>
            <w:top w:w="0" w:type="dxa"/>
            <w:left w:w="108" w:type="dxa"/>
            <w:bottom w:w="0" w:type="dxa"/>
            <w:right w:w="108" w:type="dxa"/>
          </w:tblCellMar>
        </w:tblPrEx>
        <w:trPr>
          <w:trHeight w:val="468" w:hRule="exact"/>
        </w:trPr>
        <w:tc>
          <w:tcPr>
            <w:tcW w:w="3205" w:type="dxa"/>
            <w:tcBorders>
              <w:top w:val="nil"/>
              <w:left w:val="nil"/>
              <w:bottom w:val="nil"/>
              <w:right w:val="nil"/>
            </w:tcBorders>
            <w:noWrap w:val="0"/>
            <w:vAlign w:val="top"/>
          </w:tcPr>
          <w:p w14:paraId="15FF7862">
            <w:pPr>
              <w:pStyle w:val="106"/>
              <w:kinsoku w:val="0"/>
              <w:overflowPunct w:val="0"/>
              <w:rPr>
                <w:rFonts w:ascii="宋体" w:hAnsi="宋体" w:cs="宋体"/>
                <w:color w:val="auto"/>
                <w:szCs w:val="24"/>
                <w:highlight w:val="none"/>
              </w:rPr>
            </w:pPr>
            <w:r>
              <w:rPr>
                <w:rFonts w:ascii="宋体" w:hAnsi="宋体" w:cs="宋体"/>
                <w:color w:val="auto"/>
                <w:szCs w:val="24"/>
                <w:highlight w:val="none"/>
              </w:rPr>
              <w:t>五、投诉请求</w:t>
            </w:r>
          </w:p>
        </w:tc>
        <w:tc>
          <w:tcPr>
            <w:tcW w:w="4149" w:type="dxa"/>
            <w:gridSpan w:val="2"/>
            <w:vMerge w:val="continue"/>
            <w:tcBorders>
              <w:top w:val="single" w:color="000000" w:sz="4" w:space="0"/>
              <w:left w:val="nil"/>
              <w:bottom w:val="nil"/>
              <w:right w:val="nil"/>
            </w:tcBorders>
            <w:noWrap w:val="0"/>
            <w:vAlign w:val="top"/>
          </w:tcPr>
          <w:p w14:paraId="476AB7F3">
            <w:pPr>
              <w:pStyle w:val="106"/>
              <w:kinsoku w:val="0"/>
              <w:overflowPunct w:val="0"/>
              <w:rPr>
                <w:rFonts w:ascii="宋体" w:hAnsi="宋体" w:cs="宋体"/>
                <w:color w:val="auto"/>
                <w:szCs w:val="24"/>
                <w:highlight w:val="none"/>
              </w:rPr>
            </w:pPr>
          </w:p>
        </w:tc>
      </w:tr>
      <w:tr w14:paraId="583D0B3C">
        <w:tblPrEx>
          <w:tblCellMar>
            <w:top w:w="0" w:type="dxa"/>
            <w:left w:w="108" w:type="dxa"/>
            <w:bottom w:w="0" w:type="dxa"/>
            <w:right w:w="108" w:type="dxa"/>
          </w:tblCellMar>
        </w:tblPrEx>
        <w:trPr>
          <w:trHeight w:val="439" w:hRule="exact"/>
        </w:trPr>
        <w:tc>
          <w:tcPr>
            <w:tcW w:w="3205" w:type="dxa"/>
            <w:tcBorders>
              <w:top w:val="nil"/>
              <w:left w:val="nil"/>
              <w:bottom w:val="nil"/>
              <w:right w:val="nil"/>
            </w:tcBorders>
            <w:noWrap w:val="0"/>
            <w:vAlign w:val="top"/>
          </w:tcPr>
          <w:p w14:paraId="57452D9A">
            <w:pPr>
              <w:pStyle w:val="106"/>
              <w:kinsoku w:val="0"/>
              <w:overflowPunct w:val="0"/>
              <w:rPr>
                <w:rFonts w:ascii="宋体" w:hAnsi="宋体" w:cs="宋体"/>
                <w:color w:val="auto"/>
                <w:szCs w:val="24"/>
                <w:highlight w:val="none"/>
              </w:rPr>
            </w:pPr>
            <w:r>
              <w:rPr>
                <w:rFonts w:ascii="宋体" w:hAnsi="宋体" w:cs="宋体"/>
                <w:color w:val="auto"/>
                <w:szCs w:val="24"/>
                <w:highlight w:val="none"/>
              </w:rPr>
              <w:t>请求：</w:t>
            </w:r>
          </w:p>
        </w:tc>
        <w:tc>
          <w:tcPr>
            <w:tcW w:w="4149" w:type="dxa"/>
            <w:gridSpan w:val="2"/>
            <w:vMerge w:val="continue"/>
            <w:tcBorders>
              <w:top w:val="single" w:color="000000" w:sz="4" w:space="0"/>
              <w:left w:val="nil"/>
              <w:bottom w:val="nil"/>
              <w:right w:val="nil"/>
            </w:tcBorders>
            <w:noWrap w:val="0"/>
            <w:vAlign w:val="top"/>
          </w:tcPr>
          <w:p w14:paraId="3B589155">
            <w:pPr>
              <w:pStyle w:val="106"/>
              <w:kinsoku w:val="0"/>
              <w:overflowPunct w:val="0"/>
              <w:rPr>
                <w:rFonts w:ascii="宋体" w:hAnsi="宋体" w:cs="宋体"/>
                <w:color w:val="auto"/>
                <w:szCs w:val="24"/>
                <w:highlight w:val="none"/>
              </w:rPr>
            </w:pPr>
          </w:p>
        </w:tc>
      </w:tr>
    </w:tbl>
    <w:p w14:paraId="3362C32D">
      <w:pPr>
        <w:pStyle w:val="13"/>
        <w:kinsoku w:val="0"/>
        <w:overflowPunct w:val="0"/>
        <w:ind w:left="0"/>
        <w:rPr>
          <w:rFonts w:hint="eastAsia" w:ascii="宋体" w:hAnsi="宋体" w:cs="宋体"/>
          <w:color w:val="auto"/>
          <w:szCs w:val="24"/>
          <w:highlight w:val="none"/>
        </w:rPr>
      </w:pPr>
    </w:p>
    <w:p w14:paraId="30BC1B62">
      <w:pPr>
        <w:pStyle w:val="13"/>
        <w:kinsoku w:val="0"/>
        <w:overflowPunct w:val="0"/>
        <w:ind w:left="0"/>
        <w:rPr>
          <w:rFonts w:hint="eastAsia" w:ascii="宋体" w:hAnsi="宋体" w:cs="宋体"/>
          <w:color w:val="auto"/>
          <w:szCs w:val="24"/>
          <w:highlight w:val="none"/>
        </w:rPr>
      </w:pPr>
    </w:p>
    <w:p w14:paraId="16C70D19">
      <w:pPr>
        <w:pStyle w:val="13"/>
        <w:kinsoku w:val="0"/>
        <w:overflowPunct w:val="0"/>
        <w:ind w:left="0"/>
        <w:rPr>
          <w:rFonts w:hint="eastAsia" w:ascii="宋体" w:hAnsi="宋体" w:cs="宋体"/>
          <w:color w:val="auto"/>
          <w:szCs w:val="24"/>
          <w:highlight w:val="none"/>
        </w:rPr>
      </w:pPr>
    </w:p>
    <w:p w14:paraId="3214289C">
      <w:pPr>
        <w:pStyle w:val="13"/>
        <w:kinsoku w:val="0"/>
        <w:overflowPunct w:val="0"/>
        <w:ind w:left="0"/>
        <w:rPr>
          <w:rFonts w:hint="eastAsia" w:ascii="宋体" w:hAnsi="宋体" w:cs="宋体"/>
          <w:color w:val="auto"/>
          <w:szCs w:val="24"/>
          <w:highlight w:val="none"/>
        </w:rPr>
      </w:pPr>
    </w:p>
    <w:p w14:paraId="2D154578">
      <w:pPr>
        <w:pStyle w:val="13"/>
        <w:kinsoku w:val="0"/>
        <w:overflowPunct w:val="0"/>
        <w:ind w:left="0"/>
        <w:rPr>
          <w:rFonts w:hint="eastAsia" w:ascii="宋体" w:hAnsi="宋体" w:cs="宋体"/>
          <w:color w:val="auto"/>
          <w:szCs w:val="24"/>
          <w:highlight w:val="none"/>
        </w:rPr>
      </w:pPr>
    </w:p>
    <w:p w14:paraId="444E1677">
      <w:pPr>
        <w:pStyle w:val="13"/>
        <w:kinsoku w:val="0"/>
        <w:overflowPunct w:val="0"/>
        <w:ind w:left="0"/>
        <w:rPr>
          <w:rFonts w:hint="eastAsia" w:ascii="宋体" w:hAnsi="宋体" w:cs="宋体"/>
          <w:color w:val="auto"/>
          <w:szCs w:val="24"/>
          <w:highlight w:val="none"/>
        </w:rPr>
      </w:pPr>
    </w:p>
    <w:p w14:paraId="191A63C4">
      <w:pPr>
        <w:pStyle w:val="13"/>
        <w:kinsoku w:val="0"/>
        <w:overflowPunct w:val="0"/>
        <w:ind w:left="0"/>
        <w:rPr>
          <w:rFonts w:hint="eastAsia" w:ascii="宋体" w:hAnsi="宋体" w:cs="宋体"/>
          <w:color w:val="auto"/>
          <w:szCs w:val="24"/>
          <w:highlight w:val="none"/>
        </w:rPr>
      </w:pPr>
    </w:p>
    <w:p w14:paraId="02444096">
      <w:pPr>
        <w:pStyle w:val="13"/>
        <w:kinsoku w:val="0"/>
        <w:overflowPunct w:val="0"/>
        <w:ind w:left="0"/>
        <w:rPr>
          <w:rFonts w:hint="eastAsia" w:ascii="宋体" w:hAnsi="宋体" w:cs="宋体"/>
          <w:color w:val="auto"/>
          <w:szCs w:val="24"/>
          <w:highlight w:val="none"/>
        </w:rPr>
      </w:pPr>
    </w:p>
    <w:p w14:paraId="1B31C5CA">
      <w:pPr>
        <w:pStyle w:val="13"/>
        <w:kinsoku w:val="0"/>
        <w:overflowPunct w:val="0"/>
        <w:ind w:left="0"/>
        <w:rPr>
          <w:rFonts w:hint="eastAsia" w:ascii="宋体" w:hAnsi="宋体" w:cs="宋体"/>
          <w:color w:val="auto"/>
          <w:szCs w:val="24"/>
          <w:highlight w:val="none"/>
        </w:rPr>
      </w:pPr>
    </w:p>
    <w:p w14:paraId="4BD735E4">
      <w:pPr>
        <w:pStyle w:val="13"/>
        <w:kinsoku w:val="0"/>
        <w:overflowPunct w:val="0"/>
        <w:spacing w:line="408" w:lineRule="auto"/>
        <w:ind w:left="-420"/>
        <w:rPr>
          <w:rFonts w:hint="eastAsia" w:ascii="宋体" w:hAnsi="宋体" w:cs="宋体"/>
          <w:color w:val="auto"/>
          <w:szCs w:val="24"/>
          <w:highlight w:val="none"/>
        </w:rPr>
      </w:pPr>
      <w:r>
        <w:rPr>
          <w:rFonts w:hint="eastAsia" w:ascii="宋体" w:hAnsi="宋体" w:cs="宋体"/>
          <w:color w:val="auto"/>
          <w:w w:val="95"/>
          <w:szCs w:val="24"/>
          <w:highlight w:val="none"/>
        </w:rPr>
        <w:t>法</w:t>
      </w:r>
      <w:r>
        <w:rPr>
          <w:rFonts w:hint="eastAsia" w:ascii="宋体" w:hAnsi="宋体" w:cs="宋体"/>
          <w:color w:val="auto"/>
          <w:szCs w:val="24"/>
          <w:highlight w:val="none"/>
        </w:rPr>
        <w:t>定代表人签字：</w:t>
      </w:r>
      <w:r>
        <w:rPr>
          <w:rFonts w:hint="eastAsia" w:ascii="宋体" w:hAnsi="宋体" w:cs="宋体"/>
          <w:color w:val="auto"/>
          <w:szCs w:val="24"/>
          <w:highlight w:val="none"/>
        </w:rPr>
        <w:tab/>
      </w:r>
      <w:r>
        <w:rPr>
          <w:rFonts w:hint="eastAsia" w:ascii="宋体" w:hAnsi="宋体" w:cs="宋体"/>
          <w:color w:val="auto"/>
          <w:szCs w:val="24"/>
          <w:highlight w:val="none"/>
        </w:rPr>
        <w:t>公司公章：</w:t>
      </w:r>
    </w:p>
    <w:p w14:paraId="7D10CC2D">
      <w:pPr>
        <w:pStyle w:val="13"/>
        <w:kinsoku w:val="0"/>
        <w:overflowPunct w:val="0"/>
        <w:spacing w:line="408" w:lineRule="auto"/>
        <w:ind w:left="0"/>
        <w:rPr>
          <w:rFonts w:hint="eastAsia" w:ascii="宋体" w:hAnsi="宋体" w:cs="宋体"/>
          <w:color w:val="auto"/>
          <w:szCs w:val="24"/>
          <w:highlight w:val="none"/>
        </w:rPr>
      </w:pPr>
    </w:p>
    <w:p w14:paraId="4722A16E">
      <w:pPr>
        <w:pStyle w:val="13"/>
        <w:kinsoku w:val="0"/>
        <w:overflowPunct w:val="0"/>
        <w:spacing w:line="408" w:lineRule="auto"/>
        <w:ind w:left="-420"/>
        <w:rPr>
          <w:rFonts w:hint="eastAsia" w:ascii="宋体" w:hAnsi="宋体" w:cs="宋体"/>
          <w:color w:val="auto"/>
          <w:szCs w:val="24"/>
          <w:highlight w:val="none"/>
        </w:rPr>
      </w:pPr>
    </w:p>
    <w:p w14:paraId="1404BD25">
      <w:pPr>
        <w:pStyle w:val="13"/>
        <w:kinsoku w:val="0"/>
        <w:overflowPunct w:val="0"/>
        <w:spacing w:line="408" w:lineRule="auto"/>
        <w:ind w:left="-420"/>
        <w:rPr>
          <w:rFonts w:hint="eastAsia" w:ascii="宋体" w:hAnsi="宋体" w:cs="宋体"/>
          <w:color w:val="auto"/>
          <w:szCs w:val="24"/>
          <w:highlight w:val="none"/>
        </w:rPr>
      </w:pPr>
      <w:r>
        <w:rPr>
          <w:rFonts w:hint="eastAsia" w:ascii="宋体" w:hAnsi="宋体" w:cs="宋体"/>
          <w:color w:val="auto"/>
          <w:szCs w:val="24"/>
          <w:highlight w:val="none"/>
        </w:rPr>
        <w:t>法定代表人签章：</w:t>
      </w:r>
      <w:r>
        <w:rPr>
          <w:rFonts w:hint="eastAsia" w:ascii="宋体" w:hAnsi="宋体" w:cs="宋体"/>
          <w:color w:val="auto"/>
          <w:szCs w:val="24"/>
          <w:highlight w:val="none"/>
        </w:rPr>
        <w:tab/>
      </w:r>
      <w:r>
        <w:rPr>
          <w:rFonts w:hint="eastAsia" w:ascii="宋体" w:hAnsi="宋体" w:cs="宋体"/>
          <w:color w:val="auto"/>
          <w:szCs w:val="24"/>
          <w:highlight w:val="none"/>
        </w:rPr>
        <w:t>投诉日期：</w:t>
      </w:r>
    </w:p>
    <w:p w14:paraId="5A0DD890">
      <w:pPr>
        <w:pStyle w:val="13"/>
        <w:tabs>
          <w:tab w:val="left" w:pos="5207"/>
        </w:tabs>
        <w:kinsoku w:val="0"/>
        <w:overflowPunct w:val="0"/>
        <w:ind w:left="0"/>
        <w:rPr>
          <w:rFonts w:hint="eastAsia" w:ascii="宋体" w:hAnsi="宋体" w:cs="宋体"/>
          <w:color w:val="auto"/>
          <w:szCs w:val="24"/>
          <w:highlight w:val="none"/>
        </w:rPr>
        <w:sectPr>
          <w:pgSz w:w="11910" w:h="16840"/>
          <w:pgMar w:top="1100" w:right="1202" w:bottom="919" w:left="1298" w:header="918" w:footer="721" w:gutter="0"/>
          <w:cols w:space="720" w:num="1"/>
        </w:sectPr>
      </w:pPr>
    </w:p>
    <w:p w14:paraId="0C6B2DCB">
      <w:pPr>
        <w:pStyle w:val="5"/>
        <w:kinsoku w:val="0"/>
        <w:overflowPunct w:val="0"/>
        <w:rPr>
          <w:rFonts w:hAnsi="宋体" w:cs="宋体"/>
          <w:b w:val="0"/>
          <w:color w:val="auto"/>
          <w:highlight w:val="none"/>
        </w:rPr>
      </w:pPr>
      <w:bookmarkStart w:id="242" w:name="_Toc514759070"/>
      <w:bookmarkStart w:id="243" w:name="_Toc514786945"/>
      <w:r>
        <w:rPr>
          <w:rFonts w:hAnsi="宋体" w:cs="宋体"/>
          <w:color w:val="auto"/>
          <w:highlight w:val="none"/>
        </w:rPr>
        <w:t>供应商投诉书文本格式</w:t>
      </w:r>
      <w:bookmarkEnd w:id="242"/>
      <w:bookmarkEnd w:id="243"/>
    </w:p>
    <w:p w14:paraId="64452E9B">
      <w:pPr>
        <w:pStyle w:val="13"/>
        <w:kinsoku w:val="0"/>
        <w:overflowPunct w:val="0"/>
        <w:ind w:left="0"/>
        <w:rPr>
          <w:rFonts w:hint="eastAsia" w:ascii="宋体" w:hAnsi="宋体" w:cs="宋体"/>
          <w:b/>
          <w:color w:val="auto"/>
          <w:sz w:val="20"/>
          <w:highlight w:val="none"/>
        </w:rPr>
      </w:pPr>
    </w:p>
    <w:p w14:paraId="133D9295">
      <w:pPr>
        <w:pStyle w:val="13"/>
        <w:kinsoku w:val="0"/>
        <w:overflowPunct w:val="0"/>
        <w:ind w:left="0"/>
        <w:rPr>
          <w:rFonts w:hint="eastAsia" w:ascii="宋体" w:hAnsi="宋体" w:cs="宋体"/>
          <w:b/>
          <w:color w:val="auto"/>
          <w:sz w:val="20"/>
          <w:highlight w:val="none"/>
        </w:rPr>
      </w:pPr>
    </w:p>
    <w:p w14:paraId="579EF2E7">
      <w:pPr>
        <w:pStyle w:val="13"/>
        <w:kinsoku w:val="0"/>
        <w:overflowPunct w:val="0"/>
        <w:ind w:left="0"/>
        <w:rPr>
          <w:rFonts w:hint="eastAsia" w:ascii="宋体" w:hAnsi="宋体" w:cs="宋体"/>
          <w:color w:val="auto"/>
          <w:highlight w:val="none"/>
        </w:rPr>
      </w:pPr>
    </w:p>
    <w:p w14:paraId="5A6767F0">
      <w:pPr>
        <w:pStyle w:val="13"/>
        <w:kinsoku w:val="0"/>
        <w:overflowPunct w:val="0"/>
        <w:ind w:left="0"/>
        <w:rPr>
          <w:rFonts w:hint="eastAsia" w:ascii="宋体" w:hAnsi="宋体" w:cs="宋体"/>
          <w:color w:val="auto"/>
          <w:szCs w:val="24"/>
          <w:highlight w:val="none"/>
        </w:rPr>
      </w:pPr>
      <w:r>
        <w:rPr>
          <w:rFonts w:hint="eastAsia" w:ascii="宋体" w:hAnsi="宋体" w:cs="宋体"/>
          <w:color w:val="auto"/>
          <w:szCs w:val="24"/>
          <w:highlight w:val="none"/>
        </w:rPr>
        <w:t>制作投诉书说明：</w:t>
      </w:r>
    </w:p>
    <w:p w14:paraId="394A76DF">
      <w:pPr>
        <w:pStyle w:val="13"/>
        <w:kinsoku w:val="0"/>
        <w:overflowPunct w:val="0"/>
        <w:ind w:left="0"/>
        <w:rPr>
          <w:rFonts w:hint="eastAsia" w:ascii="宋体" w:hAnsi="宋体" w:cs="宋体"/>
          <w:color w:val="auto"/>
          <w:szCs w:val="24"/>
          <w:highlight w:val="none"/>
        </w:rPr>
      </w:pPr>
    </w:p>
    <w:p w14:paraId="1F448272">
      <w:pPr>
        <w:pStyle w:val="13"/>
        <w:kinsoku w:val="0"/>
        <w:overflowPunct w:val="0"/>
        <w:spacing w:line="360" w:lineRule="auto"/>
        <w:ind w:left="0" w:firstLine="420"/>
        <w:rPr>
          <w:rFonts w:hint="eastAsia" w:ascii="宋体" w:hAnsi="宋体" w:cs="宋体"/>
          <w:color w:val="auto"/>
          <w:szCs w:val="24"/>
          <w:highlight w:val="none"/>
        </w:rPr>
      </w:pPr>
      <w:r>
        <w:rPr>
          <w:rFonts w:hint="eastAsia" w:ascii="宋体" w:hAnsi="宋体" w:cs="宋体"/>
          <w:color w:val="auto"/>
          <w:szCs w:val="24"/>
          <w:highlight w:val="none"/>
        </w:rPr>
        <w:t xml:space="preserve"> 1、投诉书正本与副本应采用打印形式。投诉人应当按照被投诉人数量和与投诉事项相关的供应商数量提供投诉书副本。</w:t>
      </w:r>
    </w:p>
    <w:p w14:paraId="76E0164B">
      <w:pPr>
        <w:pStyle w:val="13"/>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2、提交投诉书时间不得超过质疑答复期满后 15 个工作日，逾期将不予受理。</w:t>
      </w:r>
    </w:p>
    <w:p w14:paraId="1A5F9D65">
      <w:pPr>
        <w:pStyle w:val="13"/>
        <w:kinsoku w:val="0"/>
        <w:overflowPunct w:val="0"/>
        <w:spacing w:line="360" w:lineRule="auto"/>
        <w:ind w:left="0" w:firstLine="420"/>
        <w:rPr>
          <w:rFonts w:hint="eastAsia" w:ascii="宋体" w:hAnsi="宋体" w:cs="宋体"/>
          <w:color w:val="auto"/>
          <w:szCs w:val="24"/>
          <w:highlight w:val="none"/>
        </w:rPr>
      </w:pPr>
      <w:r>
        <w:rPr>
          <w:rFonts w:hint="eastAsia" w:ascii="宋体" w:hAnsi="宋体" w:cs="宋体"/>
          <w:color w:val="auto"/>
          <w:szCs w:val="24"/>
          <w:highlight w:val="none"/>
        </w:rPr>
        <w:t xml:space="preserve"> 3、不符合相关法律法规对投诉书内容规定的，不能提供合法证据来源的，或者没有法定代表人签字的投诉书视为无效投诉，本机关不予受理。</w:t>
      </w:r>
    </w:p>
    <w:p w14:paraId="68442F41">
      <w:pPr>
        <w:pStyle w:val="13"/>
        <w:kinsoku w:val="0"/>
        <w:overflowPunct w:val="0"/>
        <w:spacing w:line="360" w:lineRule="auto"/>
        <w:ind w:left="0"/>
        <w:rPr>
          <w:rFonts w:hint="eastAsia" w:ascii="宋体" w:hAnsi="宋体" w:cs="宋体"/>
          <w:color w:val="auto"/>
          <w:szCs w:val="24"/>
          <w:highlight w:val="none"/>
        </w:rPr>
      </w:pPr>
      <w:r>
        <w:rPr>
          <w:rFonts w:hint="eastAsia" w:ascii="宋体" w:hAnsi="宋体" w:cs="宋体"/>
          <w:color w:val="auto"/>
          <w:szCs w:val="24"/>
          <w:highlight w:val="none"/>
        </w:rPr>
        <w:t xml:space="preserve">     4、投诉事项超出质疑事项范围，投诉事项和投诉请求不具体、不明确的，视为无效投诉事项。</w:t>
      </w:r>
    </w:p>
    <w:p w14:paraId="4314343B">
      <w:pPr>
        <w:pStyle w:val="13"/>
        <w:kinsoku w:val="0"/>
        <w:overflowPunct w:val="0"/>
        <w:spacing w:line="360" w:lineRule="auto"/>
        <w:ind w:left="0" w:firstLine="420"/>
        <w:rPr>
          <w:rFonts w:hint="eastAsia" w:ascii="宋体" w:hAnsi="宋体" w:cs="宋体"/>
          <w:color w:val="auto"/>
          <w:szCs w:val="24"/>
          <w:highlight w:val="none"/>
        </w:rPr>
      </w:pPr>
      <w:r>
        <w:rPr>
          <w:rFonts w:hint="eastAsia" w:ascii="宋体" w:hAnsi="宋体" w:cs="宋体"/>
          <w:color w:val="auto"/>
          <w:szCs w:val="24"/>
          <w:highlight w:val="none"/>
        </w:rPr>
        <w:t>5、每个投诉事项应有与之相对应的证据予以支持。投诉事项属于涉密的，应提供信息来源或有效证据。不能依法履行举证责任的或提供与投诉事项不相关联证据的，本机关不予采信。</w:t>
      </w:r>
    </w:p>
    <w:p w14:paraId="1FF0924B">
      <w:pPr>
        <w:pStyle w:val="13"/>
        <w:kinsoku w:val="0"/>
        <w:overflowPunct w:val="0"/>
        <w:spacing w:line="360" w:lineRule="auto"/>
        <w:ind w:left="0" w:firstLine="420"/>
        <w:rPr>
          <w:rFonts w:hint="eastAsia" w:ascii="宋体" w:hAnsi="宋体" w:cs="宋体"/>
          <w:color w:val="auto"/>
          <w:szCs w:val="24"/>
          <w:highlight w:val="none"/>
        </w:rPr>
      </w:pPr>
      <w:r>
        <w:rPr>
          <w:rFonts w:hint="eastAsia" w:ascii="宋体" w:hAnsi="宋体" w:cs="宋体"/>
          <w:color w:val="auto"/>
          <w:szCs w:val="24"/>
          <w:highlight w:val="none"/>
        </w:rPr>
        <w:t>6、本机关不予采信与投诉事项无关的陈述和说明。投诉人应对投诉书中虚假、不实的内容以及诋毁性内容承担法律责任。</w:t>
      </w:r>
    </w:p>
    <w:p w14:paraId="507B2AE6">
      <w:pPr>
        <w:pStyle w:val="13"/>
        <w:kinsoku w:val="0"/>
        <w:overflowPunct w:val="0"/>
        <w:spacing w:line="360" w:lineRule="auto"/>
        <w:ind w:left="0" w:firstLine="420"/>
        <w:rPr>
          <w:rFonts w:hint="eastAsia" w:ascii="宋体" w:hAnsi="宋体" w:cs="宋体"/>
          <w:color w:val="auto"/>
          <w:szCs w:val="24"/>
          <w:highlight w:val="none"/>
        </w:rPr>
      </w:pPr>
      <w:r>
        <w:rPr>
          <w:rFonts w:hint="eastAsia" w:ascii="宋体" w:hAnsi="宋体" w:cs="宋体"/>
          <w:color w:val="auto"/>
          <w:szCs w:val="24"/>
          <w:highlight w:val="none"/>
        </w:rPr>
        <w:t>7、代理人办理投诉时，需提交法人授权委托书。在投诉书中伪造法定代表人签字或其他证明材料的，将依法追究机构和个人的相关责任。</w:t>
      </w:r>
    </w:p>
    <w:p w14:paraId="282B5BF5">
      <w:pPr>
        <w:pStyle w:val="13"/>
        <w:kinsoku w:val="0"/>
        <w:overflowPunct w:val="0"/>
        <w:spacing w:line="360" w:lineRule="auto"/>
        <w:ind w:left="0" w:firstLine="480" w:firstLineChars="200"/>
        <w:rPr>
          <w:rFonts w:hint="eastAsia" w:ascii="宋体" w:hAnsi="宋体" w:cs="宋体"/>
          <w:color w:val="auto"/>
          <w:szCs w:val="24"/>
          <w:highlight w:val="none"/>
        </w:rPr>
      </w:pPr>
      <w:r>
        <w:rPr>
          <w:rFonts w:hint="eastAsia" w:ascii="宋体" w:hAnsi="宋体" w:cs="宋体"/>
          <w:color w:val="auto"/>
          <w:szCs w:val="24"/>
          <w:highlight w:val="none"/>
        </w:rPr>
        <w:t>8、对处理投诉事项可能发生的有关费用，由投诉人按照财政部《政府采购供应商投诉处理办法》（财政部令第20 号）第二十九条规定承担。</w:t>
      </w:r>
    </w:p>
    <w:sectPr>
      <w:footerReference r:id="rId13" w:type="default"/>
      <w:pgSz w:w="11910" w:h="16840"/>
      <w:pgMar w:top="1100" w:right="1202" w:bottom="919" w:left="1298" w:header="918"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1EB3F">
    <w:pPr>
      <w:pStyle w:val="13"/>
      <w:kinsoku w:val="0"/>
      <w:overflowPunct w:val="0"/>
      <w:spacing w:line="14" w:lineRule="auto"/>
      <w:ind w:left="0"/>
      <w:rPr>
        <w:sz w:val="20"/>
      </w:rPr>
    </w:pPr>
    <w:r>
      <mc:AlternateContent>
        <mc:Choice Requires="wps">
          <w:drawing>
            <wp:anchor distT="0" distB="0" distL="114300" distR="114300" simplePos="0" relativeHeight="251659264" behindDoc="1" locked="0" layoutInCell="0" allowOverlap="1">
              <wp:simplePos x="0" y="0"/>
              <wp:positionH relativeFrom="page">
                <wp:posOffset>3766185</wp:posOffset>
              </wp:positionH>
              <wp:positionV relativeFrom="page">
                <wp:posOffset>10022840</wp:posOffset>
              </wp:positionV>
              <wp:extent cx="109220" cy="139700"/>
              <wp:effectExtent l="0" t="0" r="0" b="0"/>
              <wp:wrapNone/>
              <wp:docPr id="20" name="文本框 4"/>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w="9525">
                        <a:noFill/>
                      </a:ln>
                      <a:effectLst/>
                    </wps:spPr>
                    <wps:txbx>
                      <w:txbxContent>
                        <w:p w14:paraId="3917E185">
                          <w:pPr>
                            <w:pStyle w:val="13"/>
                            <w:kinsoku w:val="0"/>
                            <w:overflowPunct w:val="0"/>
                            <w:spacing w:line="203" w:lineRule="exact"/>
                            <w:ind w:left="40"/>
                            <w:rPr>
                              <w:rFonts w:hint="eastAsia" w:ascii="宋体" w:hAnsi="宋体" w:cs="宋体"/>
                              <w:szCs w:val="24"/>
                            </w:rPr>
                          </w:pPr>
                          <w:r>
                            <w:rPr>
                              <w:rFonts w:hint="eastAsia" w:ascii="宋体" w:hAnsi="宋体" w:cs="宋体"/>
                              <w:w w:val="99"/>
                              <w:szCs w:val="24"/>
                            </w:rPr>
                            <w:fldChar w:fldCharType="begin"/>
                          </w:r>
                          <w:r>
                            <w:rPr>
                              <w:rFonts w:hint="eastAsia" w:ascii="宋体" w:hAnsi="宋体" w:cs="宋体"/>
                              <w:w w:val="99"/>
                              <w:szCs w:val="24"/>
                            </w:rPr>
                            <w:instrText xml:space="preserve"> PAGE </w:instrText>
                          </w:r>
                          <w:r>
                            <w:rPr>
                              <w:rFonts w:hint="eastAsia" w:ascii="宋体" w:hAnsi="宋体" w:cs="宋体"/>
                              <w:w w:val="99"/>
                              <w:szCs w:val="24"/>
                            </w:rPr>
                            <w:fldChar w:fldCharType="separate"/>
                          </w:r>
                          <w:r>
                            <w:rPr>
                              <w:rFonts w:ascii="宋体" w:hAnsi="宋体" w:cs="宋体"/>
                              <w:w w:val="99"/>
                              <w:szCs w:val="24"/>
                            </w:rPr>
                            <w:t>1</w:t>
                          </w:r>
                          <w:r>
                            <w:rPr>
                              <w:rFonts w:hint="eastAsia" w:ascii="宋体" w:hAnsi="宋体" w:cs="宋体"/>
                              <w:w w:val="99"/>
                              <w:szCs w:val="24"/>
                            </w:rPr>
                            <w:fldChar w:fldCharType="end"/>
                          </w:r>
                        </w:p>
                      </w:txbxContent>
                    </wps:txbx>
                    <wps:bodyPr wrap="square" lIns="0" tIns="0" rIns="0" bIns="0" upright="1"/>
                  </wps:wsp>
                </a:graphicData>
              </a:graphic>
            </wp:anchor>
          </w:drawing>
        </mc:Choice>
        <mc:Fallback>
          <w:pict>
            <v:shape id="文本框 4" o:spid="_x0000_s1026" o:spt="202" type="#_x0000_t202" style="position:absolute;left:0pt;margin-left:296.55pt;margin-top:789.2pt;height:11pt;width:8.6pt;mso-position-horizontal-relative:page;mso-position-vertical-relative:page;z-index:-251657216;mso-width-relative:page;mso-height-relative:page;" filled="f" stroked="f" coordsize="21600,21600" o:allowincell="f" o:gfxdata="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9ChfdsAAAANAQAADwAAAAAAAAABACAA&#10;AAAiAAAAZHJzL2Rvd25yZXYueG1sUEsBAhQAFAAAAAgAh07iQDl9Bl7RAQAAlwMAAA4AAAAAAAAA&#10;AQAgAAAAKgEAAGRycy9lMm9Eb2MueG1sUEsFBgAAAAAGAAYAWQEAAG0FAAAAAA==&#10;">
              <v:fill on="f" focussize="0,0"/>
              <v:stroke on="f"/>
              <v:imagedata o:title=""/>
              <o:lock v:ext="edit" aspectratio="f"/>
              <v:textbox inset="0mm,0mm,0mm,0mm">
                <w:txbxContent>
                  <w:p w14:paraId="3917E185">
                    <w:pPr>
                      <w:pStyle w:val="13"/>
                      <w:kinsoku w:val="0"/>
                      <w:overflowPunct w:val="0"/>
                      <w:spacing w:line="203" w:lineRule="exact"/>
                      <w:ind w:left="40"/>
                      <w:rPr>
                        <w:rFonts w:hint="eastAsia" w:ascii="宋体" w:hAnsi="宋体" w:cs="宋体"/>
                        <w:szCs w:val="24"/>
                      </w:rPr>
                    </w:pPr>
                    <w:r>
                      <w:rPr>
                        <w:rFonts w:hint="eastAsia" w:ascii="宋体" w:hAnsi="宋体" w:cs="宋体"/>
                        <w:w w:val="99"/>
                        <w:szCs w:val="24"/>
                      </w:rPr>
                      <w:fldChar w:fldCharType="begin"/>
                    </w:r>
                    <w:r>
                      <w:rPr>
                        <w:rFonts w:hint="eastAsia" w:ascii="宋体" w:hAnsi="宋体" w:cs="宋体"/>
                        <w:w w:val="99"/>
                        <w:szCs w:val="24"/>
                      </w:rPr>
                      <w:instrText xml:space="preserve"> PAGE </w:instrText>
                    </w:r>
                    <w:r>
                      <w:rPr>
                        <w:rFonts w:hint="eastAsia" w:ascii="宋体" w:hAnsi="宋体" w:cs="宋体"/>
                        <w:w w:val="99"/>
                        <w:szCs w:val="24"/>
                      </w:rPr>
                      <w:fldChar w:fldCharType="separate"/>
                    </w:r>
                    <w:r>
                      <w:rPr>
                        <w:rFonts w:ascii="宋体" w:hAnsi="宋体" w:cs="宋体"/>
                        <w:w w:val="99"/>
                        <w:szCs w:val="24"/>
                      </w:rPr>
                      <w:t>1</w:t>
                    </w:r>
                    <w:r>
                      <w:rPr>
                        <w:rFonts w:hint="eastAsia" w:ascii="宋体" w:hAnsi="宋体" w:cs="宋体"/>
                        <w:w w:val="99"/>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B66F1">
    <w:pPr>
      <w:pStyle w:val="13"/>
      <w:kinsoku w:val="0"/>
      <w:overflowPunct w:val="0"/>
      <w:spacing w:line="14" w:lineRule="auto"/>
      <w:ind w:left="0"/>
      <w:rPr>
        <w:sz w:val="20"/>
      </w:rPr>
    </w:pPr>
    <w:r>
      <mc:AlternateContent>
        <mc:Choice Requires="wps">
          <w:drawing>
            <wp:anchor distT="0" distB="0" distL="114300" distR="114300" simplePos="0" relativeHeight="251660288" behindDoc="1" locked="0" layoutInCell="0" allowOverlap="1">
              <wp:simplePos x="0" y="0"/>
              <wp:positionH relativeFrom="page">
                <wp:posOffset>3673475</wp:posOffset>
              </wp:positionH>
              <wp:positionV relativeFrom="page">
                <wp:posOffset>10162540</wp:posOffset>
              </wp:positionV>
              <wp:extent cx="167005" cy="139700"/>
              <wp:effectExtent l="0" t="0" r="0" b="0"/>
              <wp:wrapNone/>
              <wp:docPr id="22" name="文本框 6"/>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a:effectLst/>
                    </wps:spPr>
                    <wps:txbx>
                      <w:txbxContent>
                        <w:p w14:paraId="654C23D2">
                          <w:pPr>
                            <w:pStyle w:val="13"/>
                            <w:kinsoku w:val="0"/>
                            <w:overflowPunct w:val="0"/>
                            <w:spacing w:line="203" w:lineRule="exact"/>
                            <w:ind w:left="40"/>
                            <w:rPr>
                              <w:sz w:val="18"/>
                            </w:rPr>
                          </w:pPr>
                          <w:r>
                            <w:rPr>
                              <w:w w:val="99"/>
                              <w:sz w:val="18"/>
                            </w:rPr>
                            <w:fldChar w:fldCharType="begin"/>
                          </w:r>
                          <w:r>
                            <w:rPr>
                              <w:w w:val="99"/>
                              <w:sz w:val="18"/>
                            </w:rPr>
                            <w:instrText xml:space="preserve"> PAGE </w:instrText>
                          </w:r>
                          <w:r>
                            <w:rPr>
                              <w:w w:val="99"/>
                              <w:sz w:val="18"/>
                            </w:rPr>
                            <w:fldChar w:fldCharType="separate"/>
                          </w:r>
                          <w:r>
                            <w:rPr>
                              <w:w w:val="99"/>
                              <w:sz w:val="18"/>
                            </w:rPr>
                            <w:t>56</w:t>
                          </w:r>
                          <w:r>
                            <w:rPr>
                              <w:w w:val="99"/>
                              <w:sz w:val="18"/>
                            </w:rPr>
                            <w:fldChar w:fldCharType="end"/>
                          </w:r>
                        </w:p>
                      </w:txbxContent>
                    </wps:txbx>
                    <wps:bodyPr wrap="square" lIns="0" tIns="0" rIns="0" bIns="0" upright="1"/>
                  </wps:wsp>
                </a:graphicData>
              </a:graphic>
            </wp:anchor>
          </w:drawing>
        </mc:Choice>
        <mc:Fallback>
          <w:pict>
            <v:shape id="文本框 6" o:spid="_x0000_s1026" o:spt="202" type="#_x0000_t202" style="position:absolute;left:0pt;margin-left:289.25pt;margin-top:800.2pt;height:11pt;width:13.15pt;mso-position-horizontal-relative:page;mso-position-vertical-relative:page;z-index:-251656192;mso-width-relative:page;mso-height-relative:page;" filled="f" stroked="f" coordsize="21600,21600" o:allowincell="f" o:gfxdata="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1Xn7toAAAANAQAADwAAAAAAAAABACAAAAAi&#10;AAAAZHJzL2Rvd25yZXYueG1sUEsBAhQAFAAAAAgAh07iQNGnScbPAQAAlwMAAA4AAAAAAAAAAQAg&#10;AAAAKQEAAGRycy9lMm9Eb2MueG1sUEsFBgAAAAAGAAYAWQEAAGoFAAAAAA==&#10;">
              <v:fill on="f" focussize="0,0"/>
              <v:stroke on="f"/>
              <v:imagedata o:title=""/>
              <o:lock v:ext="edit" aspectratio="f"/>
              <v:textbox inset="0mm,0mm,0mm,0mm">
                <w:txbxContent>
                  <w:p w14:paraId="654C23D2">
                    <w:pPr>
                      <w:pStyle w:val="13"/>
                      <w:kinsoku w:val="0"/>
                      <w:overflowPunct w:val="0"/>
                      <w:spacing w:line="203" w:lineRule="exact"/>
                      <w:ind w:left="40"/>
                      <w:rPr>
                        <w:sz w:val="18"/>
                      </w:rPr>
                    </w:pPr>
                    <w:r>
                      <w:rPr>
                        <w:w w:val="99"/>
                        <w:sz w:val="18"/>
                      </w:rPr>
                      <w:fldChar w:fldCharType="begin"/>
                    </w:r>
                    <w:r>
                      <w:rPr>
                        <w:w w:val="99"/>
                        <w:sz w:val="18"/>
                      </w:rPr>
                      <w:instrText xml:space="preserve"> PAGE </w:instrText>
                    </w:r>
                    <w:r>
                      <w:rPr>
                        <w:w w:val="99"/>
                        <w:sz w:val="18"/>
                      </w:rPr>
                      <w:fldChar w:fldCharType="separate"/>
                    </w:r>
                    <w:r>
                      <w:rPr>
                        <w:w w:val="99"/>
                        <w:sz w:val="18"/>
                      </w:rPr>
                      <w:t>56</w:t>
                    </w:r>
                    <w:r>
                      <w:rPr>
                        <w:w w:val="99"/>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20AE">
    <w:pPr>
      <w:pStyle w:val="13"/>
      <w:kinsoku w:val="0"/>
      <w:overflowPunct w:val="0"/>
      <w:spacing w:line="14" w:lineRule="auto"/>
      <w:ind w:left="0"/>
      <w:rPr>
        <w:sz w:val="20"/>
      </w:rPr>
    </w:pPr>
    <w:r>
      <mc:AlternateContent>
        <mc:Choice Requires="wps">
          <w:drawing>
            <wp:anchor distT="0" distB="0" distL="114300" distR="114300" simplePos="0" relativeHeight="251661312" behindDoc="1" locked="0" layoutInCell="0" allowOverlap="1">
              <wp:simplePos x="0" y="0"/>
              <wp:positionH relativeFrom="page">
                <wp:posOffset>3696335</wp:posOffset>
              </wp:positionH>
              <wp:positionV relativeFrom="page">
                <wp:posOffset>10133330</wp:posOffset>
              </wp:positionV>
              <wp:extent cx="167005" cy="139700"/>
              <wp:effectExtent l="0" t="0" r="0" b="0"/>
              <wp:wrapNone/>
              <wp:docPr id="39" name="文本框 2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a:effectLst/>
                    </wps:spPr>
                    <wps:txbx>
                      <w:txbxContent>
                        <w:p w14:paraId="48850E9A">
                          <w:pPr>
                            <w:pStyle w:val="13"/>
                            <w:kinsoku w:val="0"/>
                            <w:overflowPunct w:val="0"/>
                            <w:spacing w:line="203" w:lineRule="exact"/>
                            <w:ind w:left="0"/>
                            <w:rPr>
                              <w:sz w:val="18"/>
                            </w:rPr>
                          </w:pPr>
                          <w:r>
                            <w:rPr>
                              <w:w w:val="99"/>
                              <w:sz w:val="18"/>
                            </w:rPr>
                            <w:fldChar w:fldCharType="begin"/>
                          </w:r>
                          <w:r>
                            <w:rPr>
                              <w:w w:val="99"/>
                              <w:sz w:val="18"/>
                            </w:rPr>
                            <w:instrText xml:space="preserve"> PAGE </w:instrText>
                          </w:r>
                          <w:r>
                            <w:rPr>
                              <w:w w:val="99"/>
                              <w:sz w:val="18"/>
                            </w:rPr>
                            <w:fldChar w:fldCharType="separate"/>
                          </w:r>
                          <w:r>
                            <w:rPr>
                              <w:w w:val="99"/>
                              <w:sz w:val="18"/>
                            </w:rPr>
                            <w:t>67</w:t>
                          </w:r>
                          <w:r>
                            <w:rPr>
                              <w:w w:val="99"/>
                              <w:sz w:val="18"/>
                            </w:rPr>
                            <w:fldChar w:fldCharType="end"/>
                          </w:r>
                        </w:p>
                      </w:txbxContent>
                    </wps:txbx>
                    <wps:bodyPr wrap="square" lIns="0" tIns="0" rIns="0" bIns="0" upright="1"/>
                  </wps:wsp>
                </a:graphicData>
              </a:graphic>
            </wp:anchor>
          </w:drawing>
        </mc:Choice>
        <mc:Fallback>
          <w:pict>
            <v:shape id="文本框 23" o:spid="_x0000_s1026" o:spt="202" type="#_x0000_t202" style="position:absolute;left:0pt;margin-left:291.05pt;margin-top:797.9pt;height:11pt;width:13.15pt;mso-position-horizontal-relative:page;mso-position-vertical-relative:page;z-index:-251655168;mso-width-relative:page;mso-height-relative:page;" filled="f" stroked="f" coordsize="21600,21600" o:allowincell="f" o:gfxdata="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7+0WdsAAAANAQAADwAAAAAAAAABACAA&#10;AAAiAAAAZHJzL2Rvd25yZXYueG1sUEsBAhQAFAAAAAgAh07iQMINYg7RAQAAmAMAAA4AAAAAAAAA&#10;AQAgAAAAKgEAAGRycy9lMm9Eb2MueG1sUEsFBgAAAAAGAAYAWQEAAG0FAAAAAA==&#10;">
              <v:fill on="f" focussize="0,0"/>
              <v:stroke on="f"/>
              <v:imagedata o:title=""/>
              <o:lock v:ext="edit" aspectratio="f"/>
              <v:textbox inset="0mm,0mm,0mm,0mm">
                <w:txbxContent>
                  <w:p w14:paraId="48850E9A">
                    <w:pPr>
                      <w:pStyle w:val="13"/>
                      <w:kinsoku w:val="0"/>
                      <w:overflowPunct w:val="0"/>
                      <w:spacing w:line="203" w:lineRule="exact"/>
                      <w:ind w:left="0"/>
                      <w:rPr>
                        <w:sz w:val="18"/>
                      </w:rPr>
                    </w:pPr>
                    <w:r>
                      <w:rPr>
                        <w:w w:val="99"/>
                        <w:sz w:val="18"/>
                      </w:rPr>
                      <w:fldChar w:fldCharType="begin"/>
                    </w:r>
                    <w:r>
                      <w:rPr>
                        <w:w w:val="99"/>
                        <w:sz w:val="18"/>
                      </w:rPr>
                      <w:instrText xml:space="preserve"> PAGE </w:instrText>
                    </w:r>
                    <w:r>
                      <w:rPr>
                        <w:w w:val="99"/>
                        <w:sz w:val="18"/>
                      </w:rPr>
                      <w:fldChar w:fldCharType="separate"/>
                    </w:r>
                    <w:r>
                      <w:rPr>
                        <w:w w:val="99"/>
                        <w:sz w:val="18"/>
                      </w:rPr>
                      <w:t>67</w:t>
                    </w:r>
                    <w:r>
                      <w:rPr>
                        <w:w w:val="99"/>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E79A4">
    <w:pPr>
      <w:pStyle w:val="21"/>
      <w:jc w:val="center"/>
    </w:pPr>
  </w:p>
  <w:p w14:paraId="7B814D6B">
    <w:pPr>
      <w:pStyle w:val="13"/>
      <w:kinsoku w:val="0"/>
      <w:overflowPunct w:val="0"/>
      <w:spacing w:line="14" w:lineRule="auto"/>
      <w:ind w:left="0"/>
      <w:rPr>
        <w:sz w:val="20"/>
      </w:rPr>
    </w:pPr>
    <w:r>
      <mc:AlternateContent>
        <mc:Choice Requires="wps">
          <w:drawing>
            <wp:anchor distT="0" distB="0" distL="114300" distR="114300" simplePos="0" relativeHeight="251664384" behindDoc="0" locked="0" layoutInCell="1" allowOverlap="1">
              <wp:simplePos x="0" y="0"/>
              <wp:positionH relativeFrom="page">
                <wp:posOffset>3766185</wp:posOffset>
              </wp:positionH>
              <wp:positionV relativeFrom="page">
                <wp:posOffset>10229850</wp:posOffset>
              </wp:positionV>
              <wp:extent cx="114935" cy="131445"/>
              <wp:effectExtent l="0" t="0" r="0" b="0"/>
              <wp:wrapNone/>
              <wp:docPr id="1" name="文本框 3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847567C">
                          <w:pPr>
                            <w:pStyle w:val="21"/>
                            <w:jc w:val="center"/>
                          </w:pPr>
                          <w:r>
                            <w:fldChar w:fldCharType="begin"/>
                          </w:r>
                          <w:r>
                            <w:instrText xml:space="preserve"> PAGE   \* MERGEFORMAT </w:instrText>
                          </w:r>
                          <w:r>
                            <w:fldChar w:fldCharType="separate"/>
                          </w:r>
                          <w:r>
                            <w:rPr>
                              <w:lang w:val="zh-CN"/>
                            </w:rPr>
                            <w:t>76</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left:296.55pt;margin-top:805.5pt;height:10.35pt;width:9.05pt;mso-position-horizontal-relative:page;mso-position-vertical-relative:page;mso-wrap-style:none;z-index:251664384;mso-width-relative:page;mso-height-relative:page;" filled="f" stroked="f" coordsize="21600,21600" o:gfxdata="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epry9cAAAANAQAADwAAAAAAAAABACAAAAAiAAAA&#10;ZHJzL2Rvd25yZXYueG1sUEsBAhQAFAAAAAgAh07iQHIgpxfPAQAAmAMAAA4AAAAAAAAAAQAgAAAA&#10;JgEAAGRycy9lMm9Eb2MueG1sUEsFBgAAAAAGAAYAWQEAAGcFAAAAAA==&#10;">
              <v:fill on="f" focussize="0,0"/>
              <v:stroke on="f"/>
              <v:imagedata o:title=""/>
              <o:lock v:ext="edit" aspectratio="f"/>
              <v:textbox inset="0mm,0mm,0mm,0mm" style="mso-fit-shape-to-text:t;">
                <w:txbxContent>
                  <w:p w14:paraId="5847567C">
                    <w:pPr>
                      <w:pStyle w:val="21"/>
                      <w:jc w:val="center"/>
                    </w:pPr>
                    <w:r>
                      <w:fldChar w:fldCharType="begin"/>
                    </w:r>
                    <w:r>
                      <w:instrText xml:space="preserve"> PAGE   \* MERGEFORMAT </w:instrText>
                    </w:r>
                    <w:r>
                      <w:fldChar w:fldCharType="separate"/>
                    </w:r>
                    <w:r>
                      <w:rPr>
                        <w:lang w:val="zh-CN"/>
                      </w:rP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104E4">
    <w:pPr>
      <w:pStyle w:val="13"/>
      <w:kinsoku w:val="0"/>
      <w:overflowPunct w:val="0"/>
      <w:spacing w:line="14" w:lineRule="auto"/>
      <w:ind w:left="0"/>
      <w:rPr>
        <w:sz w:val="20"/>
      </w:rPr>
    </w:pPr>
    <w:r>
      <mc:AlternateContent>
        <mc:Choice Requires="wps">
          <w:drawing>
            <wp:anchor distT="0" distB="0" distL="114300" distR="114300" simplePos="0" relativeHeight="251662336" behindDoc="1" locked="0" layoutInCell="0" allowOverlap="1">
              <wp:simplePos x="0" y="0"/>
              <wp:positionH relativeFrom="page">
                <wp:posOffset>3731260</wp:posOffset>
              </wp:positionH>
              <wp:positionV relativeFrom="page">
                <wp:posOffset>10094595</wp:posOffset>
              </wp:positionV>
              <wp:extent cx="167005" cy="139700"/>
              <wp:effectExtent l="0" t="0" r="0" b="0"/>
              <wp:wrapNone/>
              <wp:docPr id="44" name="文本框 2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a:effectLst/>
                    </wps:spPr>
                    <wps:txbx>
                      <w:txbxContent>
                        <w:p w14:paraId="0E2E31A3">
                          <w:pPr>
                            <w:pStyle w:val="13"/>
                            <w:kinsoku w:val="0"/>
                            <w:overflowPunct w:val="0"/>
                            <w:spacing w:line="203" w:lineRule="exact"/>
                            <w:ind w:left="40"/>
                            <w:rPr>
                              <w:sz w:val="18"/>
                            </w:rPr>
                          </w:pPr>
                          <w:r>
                            <w:rPr>
                              <w:w w:val="99"/>
                              <w:sz w:val="18"/>
                            </w:rPr>
                            <w:fldChar w:fldCharType="begin"/>
                          </w:r>
                          <w:r>
                            <w:rPr>
                              <w:w w:val="99"/>
                              <w:sz w:val="18"/>
                            </w:rPr>
                            <w:instrText xml:space="preserve"> PAGE </w:instrText>
                          </w:r>
                          <w:r>
                            <w:rPr>
                              <w:w w:val="99"/>
                              <w:sz w:val="18"/>
                            </w:rPr>
                            <w:fldChar w:fldCharType="separate"/>
                          </w:r>
                          <w:r>
                            <w:rPr>
                              <w:w w:val="99"/>
                              <w:sz w:val="18"/>
                            </w:rPr>
                            <w:t>85</w:t>
                          </w:r>
                          <w:r>
                            <w:rPr>
                              <w:w w:val="99"/>
                              <w:sz w:val="18"/>
                            </w:rPr>
                            <w:fldChar w:fldCharType="end"/>
                          </w:r>
                        </w:p>
                      </w:txbxContent>
                    </wps:txbx>
                    <wps:bodyPr wrap="square" lIns="0" tIns="0" rIns="0" bIns="0" upright="1"/>
                  </wps:wsp>
                </a:graphicData>
              </a:graphic>
            </wp:anchor>
          </w:drawing>
        </mc:Choice>
        <mc:Fallback>
          <w:pict>
            <v:shape id="文本框 28" o:spid="_x0000_s1026" o:spt="202" type="#_x0000_t202" style="position:absolute;left:0pt;margin-left:293.8pt;margin-top:794.85pt;height:11pt;width:13.15pt;mso-position-horizontal-relative:page;mso-position-vertical-relative:page;z-index:-251654144;mso-width-relative:page;mso-height-relative:page;" filled="f" stroked="f" coordsize="21600,21600" o:allowincell="f" o:gfxdata="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jswO/bAAAADQEAAA8AAAAAAAAAAQAg&#10;AAAAIgAAAGRycy9kb3ducmV2LnhtbFBLAQIUABQAAAAIAIdO4kCNpjw/0gEAAJgDAAAOAAAAAAAA&#10;AAEAIAAAACoBAABkcnMvZTJvRG9jLnhtbFBLBQYAAAAABgAGAFkBAABuBQAAAAA=&#10;">
              <v:fill on="f" focussize="0,0"/>
              <v:stroke on="f"/>
              <v:imagedata o:title=""/>
              <o:lock v:ext="edit" aspectratio="f"/>
              <v:textbox inset="0mm,0mm,0mm,0mm">
                <w:txbxContent>
                  <w:p w14:paraId="0E2E31A3">
                    <w:pPr>
                      <w:pStyle w:val="13"/>
                      <w:kinsoku w:val="0"/>
                      <w:overflowPunct w:val="0"/>
                      <w:spacing w:line="203" w:lineRule="exact"/>
                      <w:ind w:left="40"/>
                      <w:rPr>
                        <w:sz w:val="18"/>
                      </w:rPr>
                    </w:pPr>
                    <w:r>
                      <w:rPr>
                        <w:w w:val="99"/>
                        <w:sz w:val="18"/>
                      </w:rPr>
                      <w:fldChar w:fldCharType="begin"/>
                    </w:r>
                    <w:r>
                      <w:rPr>
                        <w:w w:val="99"/>
                        <w:sz w:val="18"/>
                      </w:rPr>
                      <w:instrText xml:space="preserve"> PAGE </w:instrText>
                    </w:r>
                    <w:r>
                      <w:rPr>
                        <w:w w:val="99"/>
                        <w:sz w:val="18"/>
                      </w:rPr>
                      <w:fldChar w:fldCharType="separate"/>
                    </w:r>
                    <w:r>
                      <w:rPr>
                        <w:w w:val="99"/>
                        <w:sz w:val="18"/>
                      </w:rPr>
                      <w:t>85</w:t>
                    </w:r>
                    <w:r>
                      <w:rPr>
                        <w:w w:val="99"/>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88E9">
    <w:pPr>
      <w:pStyle w:val="13"/>
      <w:kinsoku w:val="0"/>
      <w:overflowPunct w:val="0"/>
      <w:spacing w:line="14" w:lineRule="auto"/>
      <w:ind w:left="0"/>
      <w:rPr>
        <w:sz w:val="20"/>
      </w:rPr>
    </w:pPr>
    <w:r>
      <mc:AlternateContent>
        <mc:Choice Requires="wps">
          <w:drawing>
            <wp:anchor distT="0" distB="0" distL="114300" distR="114300" simplePos="0" relativeHeight="251663360" behindDoc="1" locked="0" layoutInCell="0" allowOverlap="1">
              <wp:simplePos x="0" y="0"/>
              <wp:positionH relativeFrom="page">
                <wp:posOffset>3731260</wp:posOffset>
              </wp:positionH>
              <wp:positionV relativeFrom="page">
                <wp:posOffset>10094595</wp:posOffset>
              </wp:positionV>
              <wp:extent cx="167005" cy="139700"/>
              <wp:effectExtent l="0" t="0" r="0" b="0"/>
              <wp:wrapNone/>
              <wp:docPr id="48" name="文本框 3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a:effectLst/>
                    </wps:spPr>
                    <wps:txbx>
                      <w:txbxContent>
                        <w:p w14:paraId="3346E3A1">
                          <w:pPr>
                            <w:pStyle w:val="13"/>
                            <w:kinsoku w:val="0"/>
                            <w:overflowPunct w:val="0"/>
                            <w:spacing w:line="203" w:lineRule="exact"/>
                            <w:ind w:left="40"/>
                            <w:rPr>
                              <w:sz w:val="18"/>
                            </w:rPr>
                          </w:pPr>
                          <w:r>
                            <w:rPr>
                              <w:w w:val="99"/>
                              <w:sz w:val="18"/>
                            </w:rPr>
                            <w:fldChar w:fldCharType="begin"/>
                          </w:r>
                          <w:r>
                            <w:rPr>
                              <w:w w:val="99"/>
                              <w:sz w:val="18"/>
                            </w:rPr>
                            <w:instrText xml:space="preserve"> PAGE </w:instrText>
                          </w:r>
                          <w:r>
                            <w:rPr>
                              <w:w w:val="99"/>
                              <w:sz w:val="18"/>
                            </w:rPr>
                            <w:fldChar w:fldCharType="separate"/>
                          </w:r>
                          <w:r>
                            <w:rPr>
                              <w:w w:val="99"/>
                              <w:sz w:val="18"/>
                            </w:rPr>
                            <w:t>86</w:t>
                          </w:r>
                          <w:r>
                            <w:rPr>
                              <w:w w:val="99"/>
                              <w:sz w:val="18"/>
                            </w:rPr>
                            <w:fldChar w:fldCharType="end"/>
                          </w:r>
                        </w:p>
                      </w:txbxContent>
                    </wps:txbx>
                    <wps:bodyPr wrap="square" lIns="0" tIns="0" rIns="0" bIns="0" upright="1"/>
                  </wps:wsp>
                </a:graphicData>
              </a:graphic>
            </wp:anchor>
          </w:drawing>
        </mc:Choice>
        <mc:Fallback>
          <w:pict>
            <v:shape id="文本框 32" o:spid="_x0000_s1026" o:spt="202" type="#_x0000_t202" style="position:absolute;left:0pt;margin-left:293.8pt;margin-top:794.85pt;height:11pt;width:13.15pt;mso-position-horizontal-relative:page;mso-position-vertical-relative:page;z-index:-251653120;mso-width-relative:page;mso-height-relative:page;" filled="f" stroked="f" coordsize="21600,21600" o:allowincell="f" o:gfxdata="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OzA79sAAAANAQAADwAAAAAAAAABACAA&#10;AAAiAAAAZHJzL2Rvd25yZXYueG1sUEsBAhQAFAAAAAgAh07iQPY3HsPRAQAAmAMAAA4AAAAAAAAA&#10;AQAgAAAAKgEAAGRycy9lMm9Eb2MueG1sUEsFBgAAAAAGAAYAWQEAAG0FAAAAAA==&#10;">
              <v:fill on="f" focussize="0,0"/>
              <v:stroke on="f"/>
              <v:imagedata o:title=""/>
              <o:lock v:ext="edit" aspectratio="f"/>
              <v:textbox inset="0mm,0mm,0mm,0mm">
                <w:txbxContent>
                  <w:p w14:paraId="3346E3A1">
                    <w:pPr>
                      <w:pStyle w:val="13"/>
                      <w:kinsoku w:val="0"/>
                      <w:overflowPunct w:val="0"/>
                      <w:spacing w:line="203" w:lineRule="exact"/>
                      <w:ind w:left="40"/>
                      <w:rPr>
                        <w:sz w:val="18"/>
                      </w:rPr>
                    </w:pPr>
                    <w:r>
                      <w:rPr>
                        <w:w w:val="99"/>
                        <w:sz w:val="18"/>
                      </w:rPr>
                      <w:fldChar w:fldCharType="begin"/>
                    </w:r>
                    <w:r>
                      <w:rPr>
                        <w:w w:val="99"/>
                        <w:sz w:val="18"/>
                      </w:rPr>
                      <w:instrText xml:space="preserve"> PAGE </w:instrText>
                    </w:r>
                    <w:r>
                      <w:rPr>
                        <w:w w:val="99"/>
                        <w:sz w:val="18"/>
                      </w:rPr>
                      <w:fldChar w:fldCharType="separate"/>
                    </w:r>
                    <w:r>
                      <w:rPr>
                        <w:w w:val="99"/>
                        <w:sz w:val="18"/>
                      </w:rPr>
                      <w:t>86</w:t>
                    </w:r>
                    <w:r>
                      <w:rPr>
                        <w:w w:val="99"/>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DB41">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D221">
    <w:pPr>
      <w:rPr>
        <w:rFonts w:hint="default"/>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365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FC98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A7C0D">
    <w:pPr>
      <w:pStyle w:val="13"/>
      <w:kinsoku w:val="0"/>
      <w:overflowPunct w:val="0"/>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E1D79"/>
    <w:multiLevelType w:val="singleLevel"/>
    <w:tmpl w:val="834E1D79"/>
    <w:lvl w:ilvl="0" w:tentative="0">
      <w:start w:val="2"/>
      <w:numFmt w:val="decimal"/>
      <w:suff w:val="nothing"/>
      <w:lvlText w:val="%1、"/>
      <w:lvlJc w:val="left"/>
    </w:lvl>
  </w:abstractNum>
  <w:abstractNum w:abstractNumId="1">
    <w:nsid w:val="9239341B"/>
    <w:multiLevelType w:val="multilevel"/>
    <w:tmpl w:val="9239341B"/>
    <w:lvl w:ilvl="0" w:tentative="0">
      <w:start w:val="4"/>
      <w:numFmt w:val="decimal"/>
      <w:lvlText w:val="%1."/>
      <w:lvlJc w:val="left"/>
      <w:pPr>
        <w:ind w:left="110" w:hanging="213"/>
      </w:pPr>
      <w:rPr>
        <w:rFonts w:hint="default" w:ascii="宋体" w:hAnsi="宋体" w:eastAsia="宋体" w:cs="宋体"/>
        <w:spacing w:val="-55"/>
        <w:w w:val="100"/>
        <w:sz w:val="19"/>
        <w:szCs w:val="19"/>
        <w:lang w:val="zh-CN" w:eastAsia="zh-CN" w:bidi="zh-CN"/>
      </w:rPr>
    </w:lvl>
    <w:lvl w:ilvl="1" w:tentative="0">
      <w:start w:val="1"/>
      <w:numFmt w:val="decimal"/>
      <w:lvlText w:val="%2."/>
      <w:lvlJc w:val="left"/>
      <w:pPr>
        <w:ind w:left="110" w:hanging="213"/>
      </w:pPr>
      <w:rPr>
        <w:rFonts w:hint="default" w:ascii="宋体" w:hAnsi="宋体" w:eastAsia="宋体" w:cs="宋体"/>
        <w:b/>
        <w:bCs/>
        <w:w w:val="99"/>
        <w:sz w:val="19"/>
        <w:szCs w:val="19"/>
        <w:lang w:val="zh-CN" w:eastAsia="zh-CN" w:bidi="zh-CN"/>
      </w:rPr>
    </w:lvl>
    <w:lvl w:ilvl="2" w:tentative="0">
      <w:start w:val="0"/>
      <w:numFmt w:val="bullet"/>
      <w:lvlText w:val="•"/>
      <w:lvlJc w:val="left"/>
      <w:pPr>
        <w:ind w:left="1719" w:hanging="213"/>
      </w:pPr>
      <w:rPr>
        <w:rFonts w:hint="default"/>
        <w:lang w:val="zh-CN" w:eastAsia="zh-CN" w:bidi="zh-CN"/>
      </w:rPr>
    </w:lvl>
    <w:lvl w:ilvl="3" w:tentative="0">
      <w:start w:val="0"/>
      <w:numFmt w:val="bullet"/>
      <w:lvlText w:val="•"/>
      <w:lvlJc w:val="left"/>
      <w:pPr>
        <w:ind w:left="2518" w:hanging="213"/>
      </w:pPr>
      <w:rPr>
        <w:rFonts w:hint="default"/>
        <w:lang w:val="zh-CN" w:eastAsia="zh-CN" w:bidi="zh-CN"/>
      </w:rPr>
    </w:lvl>
    <w:lvl w:ilvl="4" w:tentative="0">
      <w:start w:val="0"/>
      <w:numFmt w:val="bullet"/>
      <w:lvlText w:val="•"/>
      <w:lvlJc w:val="left"/>
      <w:pPr>
        <w:ind w:left="3318" w:hanging="213"/>
      </w:pPr>
      <w:rPr>
        <w:rFonts w:hint="default"/>
        <w:lang w:val="zh-CN" w:eastAsia="zh-CN" w:bidi="zh-CN"/>
      </w:rPr>
    </w:lvl>
    <w:lvl w:ilvl="5" w:tentative="0">
      <w:start w:val="0"/>
      <w:numFmt w:val="bullet"/>
      <w:lvlText w:val="•"/>
      <w:lvlJc w:val="left"/>
      <w:pPr>
        <w:ind w:left="4117" w:hanging="213"/>
      </w:pPr>
      <w:rPr>
        <w:rFonts w:hint="default"/>
        <w:lang w:val="zh-CN" w:eastAsia="zh-CN" w:bidi="zh-CN"/>
      </w:rPr>
    </w:lvl>
    <w:lvl w:ilvl="6" w:tentative="0">
      <w:start w:val="0"/>
      <w:numFmt w:val="bullet"/>
      <w:lvlText w:val="•"/>
      <w:lvlJc w:val="left"/>
      <w:pPr>
        <w:ind w:left="4917" w:hanging="213"/>
      </w:pPr>
      <w:rPr>
        <w:rFonts w:hint="default"/>
        <w:lang w:val="zh-CN" w:eastAsia="zh-CN" w:bidi="zh-CN"/>
      </w:rPr>
    </w:lvl>
    <w:lvl w:ilvl="7" w:tentative="0">
      <w:start w:val="0"/>
      <w:numFmt w:val="bullet"/>
      <w:lvlText w:val="•"/>
      <w:lvlJc w:val="left"/>
      <w:pPr>
        <w:ind w:left="5716" w:hanging="213"/>
      </w:pPr>
      <w:rPr>
        <w:rFonts w:hint="default"/>
        <w:lang w:val="zh-CN" w:eastAsia="zh-CN" w:bidi="zh-CN"/>
      </w:rPr>
    </w:lvl>
    <w:lvl w:ilvl="8" w:tentative="0">
      <w:start w:val="0"/>
      <w:numFmt w:val="bullet"/>
      <w:lvlText w:val="•"/>
      <w:lvlJc w:val="left"/>
      <w:pPr>
        <w:ind w:left="6516" w:hanging="213"/>
      </w:pPr>
      <w:rPr>
        <w:rFonts w:hint="default"/>
        <w:lang w:val="zh-CN" w:eastAsia="zh-CN" w:bidi="zh-CN"/>
      </w:rPr>
    </w:lvl>
  </w:abstractNum>
  <w:abstractNum w:abstractNumId="2">
    <w:nsid w:val="929EB66A"/>
    <w:multiLevelType w:val="singleLevel"/>
    <w:tmpl w:val="929EB66A"/>
    <w:lvl w:ilvl="0" w:tentative="0">
      <w:start w:val="1"/>
      <w:numFmt w:val="decimal"/>
      <w:suff w:val="space"/>
      <w:lvlText w:val="%1."/>
      <w:lvlJc w:val="left"/>
    </w:lvl>
  </w:abstractNum>
  <w:abstractNum w:abstractNumId="3">
    <w:nsid w:val="0C2F1F3A"/>
    <w:multiLevelType w:val="multilevel"/>
    <w:tmpl w:val="0C2F1F3A"/>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172B7E7A"/>
    <w:multiLevelType w:val="multilevel"/>
    <w:tmpl w:val="172B7E7A"/>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192B4570"/>
    <w:multiLevelType w:val="multilevel"/>
    <w:tmpl w:val="192B4570"/>
    <w:lvl w:ilvl="0" w:tentative="0">
      <w:start w:val="1"/>
      <w:numFmt w:val="bullet"/>
      <w:lvlText w:val=""/>
      <w:lvlJc w:val="left"/>
      <w:pPr>
        <w:ind w:left="527" w:hanging="420"/>
      </w:pPr>
      <w:rPr>
        <w:rFonts w:hint="default" w:ascii="Wingdings" w:hAnsi="Wingdings"/>
      </w:rPr>
    </w:lvl>
    <w:lvl w:ilvl="1" w:tentative="0">
      <w:start w:val="1"/>
      <w:numFmt w:val="bullet"/>
      <w:lvlText w:val=""/>
      <w:lvlJc w:val="left"/>
      <w:pPr>
        <w:ind w:left="947" w:hanging="420"/>
      </w:pPr>
      <w:rPr>
        <w:rFonts w:hint="default" w:ascii="Wingdings" w:hAnsi="Wingdings"/>
      </w:rPr>
    </w:lvl>
    <w:lvl w:ilvl="2" w:tentative="0">
      <w:start w:val="1"/>
      <w:numFmt w:val="bullet"/>
      <w:lvlText w:val=""/>
      <w:lvlJc w:val="left"/>
      <w:pPr>
        <w:ind w:left="1367" w:hanging="420"/>
      </w:pPr>
      <w:rPr>
        <w:rFonts w:hint="default" w:ascii="Wingdings" w:hAnsi="Wingdings"/>
      </w:rPr>
    </w:lvl>
    <w:lvl w:ilvl="3" w:tentative="0">
      <w:start w:val="1"/>
      <w:numFmt w:val="bullet"/>
      <w:lvlText w:val=""/>
      <w:lvlJc w:val="left"/>
      <w:pPr>
        <w:ind w:left="1787" w:hanging="420"/>
      </w:pPr>
      <w:rPr>
        <w:rFonts w:hint="default" w:ascii="Wingdings" w:hAnsi="Wingdings"/>
      </w:rPr>
    </w:lvl>
    <w:lvl w:ilvl="4" w:tentative="0">
      <w:start w:val="1"/>
      <w:numFmt w:val="bullet"/>
      <w:lvlText w:val=""/>
      <w:lvlJc w:val="left"/>
      <w:pPr>
        <w:ind w:left="2207" w:hanging="420"/>
      </w:pPr>
      <w:rPr>
        <w:rFonts w:hint="default" w:ascii="Wingdings" w:hAnsi="Wingdings"/>
      </w:rPr>
    </w:lvl>
    <w:lvl w:ilvl="5" w:tentative="0">
      <w:start w:val="1"/>
      <w:numFmt w:val="bullet"/>
      <w:lvlText w:val=""/>
      <w:lvlJc w:val="left"/>
      <w:pPr>
        <w:ind w:left="2627" w:hanging="420"/>
      </w:pPr>
      <w:rPr>
        <w:rFonts w:hint="default" w:ascii="Wingdings" w:hAnsi="Wingdings"/>
      </w:rPr>
    </w:lvl>
    <w:lvl w:ilvl="6" w:tentative="0">
      <w:start w:val="1"/>
      <w:numFmt w:val="bullet"/>
      <w:lvlText w:val=""/>
      <w:lvlJc w:val="left"/>
      <w:pPr>
        <w:ind w:left="3047" w:hanging="420"/>
      </w:pPr>
      <w:rPr>
        <w:rFonts w:hint="default" w:ascii="Wingdings" w:hAnsi="Wingdings"/>
      </w:rPr>
    </w:lvl>
    <w:lvl w:ilvl="7" w:tentative="0">
      <w:start w:val="1"/>
      <w:numFmt w:val="bullet"/>
      <w:lvlText w:val=""/>
      <w:lvlJc w:val="left"/>
      <w:pPr>
        <w:ind w:left="3467" w:hanging="420"/>
      </w:pPr>
      <w:rPr>
        <w:rFonts w:hint="default" w:ascii="Wingdings" w:hAnsi="Wingdings"/>
      </w:rPr>
    </w:lvl>
    <w:lvl w:ilvl="8" w:tentative="0">
      <w:start w:val="1"/>
      <w:numFmt w:val="bullet"/>
      <w:lvlText w:val=""/>
      <w:lvlJc w:val="left"/>
      <w:pPr>
        <w:ind w:left="3887" w:hanging="420"/>
      </w:pPr>
      <w:rPr>
        <w:rFonts w:hint="default" w:ascii="Wingdings" w:hAnsi="Wingdings"/>
      </w:rPr>
    </w:lvl>
  </w:abstractNum>
  <w:abstractNum w:abstractNumId="6">
    <w:nsid w:val="1B471B98"/>
    <w:multiLevelType w:val="multilevel"/>
    <w:tmpl w:val="1B471B98"/>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E5300B5"/>
    <w:multiLevelType w:val="multilevel"/>
    <w:tmpl w:val="1E5300B5"/>
    <w:lvl w:ilvl="0" w:tentative="0">
      <w:start w:val="4"/>
      <w:numFmt w:val="decimal"/>
      <w:lvlText w:val="%1."/>
      <w:lvlJc w:val="left"/>
      <w:pPr>
        <w:ind w:left="110" w:hanging="213"/>
      </w:pPr>
      <w:rPr>
        <w:rFonts w:hint="default" w:ascii="宋体" w:hAnsi="宋体" w:eastAsia="宋体" w:cs="宋体"/>
        <w:spacing w:val="-55"/>
        <w:w w:val="100"/>
        <w:sz w:val="19"/>
        <w:szCs w:val="19"/>
        <w:lang w:val="zh-CN" w:eastAsia="zh-CN" w:bidi="zh-CN"/>
      </w:rPr>
    </w:lvl>
    <w:lvl w:ilvl="1" w:tentative="0">
      <w:start w:val="1"/>
      <w:numFmt w:val="decimal"/>
      <w:lvlText w:val="%2."/>
      <w:lvlJc w:val="left"/>
      <w:pPr>
        <w:ind w:left="110" w:hanging="213"/>
      </w:pPr>
      <w:rPr>
        <w:rFonts w:hint="default" w:ascii="宋体" w:hAnsi="宋体" w:eastAsia="宋体" w:cs="宋体"/>
        <w:b/>
        <w:bCs/>
        <w:w w:val="99"/>
        <w:sz w:val="19"/>
        <w:szCs w:val="19"/>
        <w:lang w:val="zh-CN" w:eastAsia="zh-CN" w:bidi="zh-CN"/>
      </w:rPr>
    </w:lvl>
    <w:lvl w:ilvl="2" w:tentative="0">
      <w:start w:val="0"/>
      <w:numFmt w:val="bullet"/>
      <w:lvlText w:val="•"/>
      <w:lvlJc w:val="left"/>
      <w:pPr>
        <w:ind w:left="1719" w:hanging="213"/>
      </w:pPr>
      <w:rPr>
        <w:rFonts w:hint="default"/>
        <w:lang w:val="zh-CN" w:eastAsia="zh-CN" w:bidi="zh-CN"/>
      </w:rPr>
    </w:lvl>
    <w:lvl w:ilvl="3" w:tentative="0">
      <w:start w:val="0"/>
      <w:numFmt w:val="bullet"/>
      <w:lvlText w:val="•"/>
      <w:lvlJc w:val="left"/>
      <w:pPr>
        <w:ind w:left="2518" w:hanging="213"/>
      </w:pPr>
      <w:rPr>
        <w:rFonts w:hint="default"/>
        <w:lang w:val="zh-CN" w:eastAsia="zh-CN" w:bidi="zh-CN"/>
      </w:rPr>
    </w:lvl>
    <w:lvl w:ilvl="4" w:tentative="0">
      <w:start w:val="0"/>
      <w:numFmt w:val="bullet"/>
      <w:lvlText w:val="•"/>
      <w:lvlJc w:val="left"/>
      <w:pPr>
        <w:ind w:left="3318" w:hanging="213"/>
      </w:pPr>
      <w:rPr>
        <w:rFonts w:hint="default"/>
        <w:lang w:val="zh-CN" w:eastAsia="zh-CN" w:bidi="zh-CN"/>
      </w:rPr>
    </w:lvl>
    <w:lvl w:ilvl="5" w:tentative="0">
      <w:start w:val="0"/>
      <w:numFmt w:val="bullet"/>
      <w:lvlText w:val="•"/>
      <w:lvlJc w:val="left"/>
      <w:pPr>
        <w:ind w:left="4117" w:hanging="213"/>
      </w:pPr>
      <w:rPr>
        <w:rFonts w:hint="default"/>
        <w:lang w:val="zh-CN" w:eastAsia="zh-CN" w:bidi="zh-CN"/>
      </w:rPr>
    </w:lvl>
    <w:lvl w:ilvl="6" w:tentative="0">
      <w:start w:val="0"/>
      <w:numFmt w:val="bullet"/>
      <w:lvlText w:val="•"/>
      <w:lvlJc w:val="left"/>
      <w:pPr>
        <w:ind w:left="4917" w:hanging="213"/>
      </w:pPr>
      <w:rPr>
        <w:rFonts w:hint="default"/>
        <w:lang w:val="zh-CN" w:eastAsia="zh-CN" w:bidi="zh-CN"/>
      </w:rPr>
    </w:lvl>
    <w:lvl w:ilvl="7" w:tentative="0">
      <w:start w:val="0"/>
      <w:numFmt w:val="bullet"/>
      <w:lvlText w:val="•"/>
      <w:lvlJc w:val="left"/>
      <w:pPr>
        <w:ind w:left="5716" w:hanging="213"/>
      </w:pPr>
      <w:rPr>
        <w:rFonts w:hint="default"/>
        <w:lang w:val="zh-CN" w:eastAsia="zh-CN" w:bidi="zh-CN"/>
      </w:rPr>
    </w:lvl>
    <w:lvl w:ilvl="8" w:tentative="0">
      <w:start w:val="0"/>
      <w:numFmt w:val="bullet"/>
      <w:lvlText w:val="•"/>
      <w:lvlJc w:val="left"/>
      <w:pPr>
        <w:ind w:left="6516" w:hanging="213"/>
      </w:pPr>
      <w:rPr>
        <w:rFonts w:hint="default"/>
        <w:lang w:val="zh-CN" w:eastAsia="zh-CN" w:bidi="zh-CN"/>
      </w:rPr>
    </w:lvl>
  </w:abstractNum>
  <w:abstractNum w:abstractNumId="8">
    <w:nsid w:val="41947B1B"/>
    <w:multiLevelType w:val="multilevel"/>
    <w:tmpl w:val="41947B1B"/>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41F46330"/>
    <w:multiLevelType w:val="multilevel"/>
    <w:tmpl w:val="41F46330"/>
    <w:lvl w:ilvl="0" w:tentative="0">
      <w:start w:val="4"/>
      <w:numFmt w:val="decimal"/>
      <w:lvlText w:val="%1."/>
      <w:lvlJc w:val="left"/>
      <w:pPr>
        <w:ind w:left="110" w:hanging="213"/>
      </w:pPr>
      <w:rPr>
        <w:rFonts w:hint="default" w:ascii="宋体" w:hAnsi="宋体" w:eastAsia="宋体" w:cs="宋体"/>
        <w:spacing w:val="-55"/>
        <w:w w:val="100"/>
        <w:sz w:val="19"/>
        <w:szCs w:val="19"/>
        <w:lang w:val="zh-CN" w:eastAsia="zh-CN" w:bidi="zh-CN"/>
      </w:rPr>
    </w:lvl>
    <w:lvl w:ilvl="1" w:tentative="0">
      <w:start w:val="1"/>
      <w:numFmt w:val="decimal"/>
      <w:lvlText w:val="%2."/>
      <w:lvlJc w:val="left"/>
      <w:pPr>
        <w:ind w:left="110" w:hanging="213"/>
      </w:pPr>
      <w:rPr>
        <w:rFonts w:hint="default" w:ascii="宋体" w:hAnsi="宋体" w:eastAsia="宋体" w:cs="宋体"/>
        <w:b/>
        <w:bCs/>
        <w:w w:val="99"/>
        <w:sz w:val="19"/>
        <w:szCs w:val="19"/>
        <w:lang w:val="zh-CN" w:eastAsia="zh-CN" w:bidi="zh-CN"/>
      </w:rPr>
    </w:lvl>
    <w:lvl w:ilvl="2" w:tentative="0">
      <w:start w:val="0"/>
      <w:numFmt w:val="bullet"/>
      <w:lvlText w:val="•"/>
      <w:lvlJc w:val="left"/>
      <w:pPr>
        <w:ind w:left="1719" w:hanging="213"/>
      </w:pPr>
      <w:rPr>
        <w:rFonts w:hint="default"/>
        <w:lang w:val="zh-CN" w:eastAsia="zh-CN" w:bidi="zh-CN"/>
      </w:rPr>
    </w:lvl>
    <w:lvl w:ilvl="3" w:tentative="0">
      <w:start w:val="0"/>
      <w:numFmt w:val="bullet"/>
      <w:lvlText w:val="•"/>
      <w:lvlJc w:val="left"/>
      <w:pPr>
        <w:ind w:left="2518" w:hanging="213"/>
      </w:pPr>
      <w:rPr>
        <w:rFonts w:hint="default"/>
        <w:lang w:val="zh-CN" w:eastAsia="zh-CN" w:bidi="zh-CN"/>
      </w:rPr>
    </w:lvl>
    <w:lvl w:ilvl="4" w:tentative="0">
      <w:start w:val="0"/>
      <w:numFmt w:val="bullet"/>
      <w:lvlText w:val="•"/>
      <w:lvlJc w:val="left"/>
      <w:pPr>
        <w:ind w:left="3318" w:hanging="213"/>
      </w:pPr>
      <w:rPr>
        <w:rFonts w:hint="default"/>
        <w:lang w:val="zh-CN" w:eastAsia="zh-CN" w:bidi="zh-CN"/>
      </w:rPr>
    </w:lvl>
    <w:lvl w:ilvl="5" w:tentative="0">
      <w:start w:val="0"/>
      <w:numFmt w:val="bullet"/>
      <w:lvlText w:val="•"/>
      <w:lvlJc w:val="left"/>
      <w:pPr>
        <w:ind w:left="4117" w:hanging="213"/>
      </w:pPr>
      <w:rPr>
        <w:rFonts w:hint="default"/>
        <w:lang w:val="zh-CN" w:eastAsia="zh-CN" w:bidi="zh-CN"/>
      </w:rPr>
    </w:lvl>
    <w:lvl w:ilvl="6" w:tentative="0">
      <w:start w:val="0"/>
      <w:numFmt w:val="bullet"/>
      <w:lvlText w:val="•"/>
      <w:lvlJc w:val="left"/>
      <w:pPr>
        <w:ind w:left="4917" w:hanging="213"/>
      </w:pPr>
      <w:rPr>
        <w:rFonts w:hint="default"/>
        <w:lang w:val="zh-CN" w:eastAsia="zh-CN" w:bidi="zh-CN"/>
      </w:rPr>
    </w:lvl>
    <w:lvl w:ilvl="7" w:tentative="0">
      <w:start w:val="0"/>
      <w:numFmt w:val="bullet"/>
      <w:lvlText w:val="•"/>
      <w:lvlJc w:val="left"/>
      <w:pPr>
        <w:ind w:left="5716" w:hanging="213"/>
      </w:pPr>
      <w:rPr>
        <w:rFonts w:hint="default"/>
        <w:lang w:val="zh-CN" w:eastAsia="zh-CN" w:bidi="zh-CN"/>
      </w:rPr>
    </w:lvl>
    <w:lvl w:ilvl="8" w:tentative="0">
      <w:start w:val="0"/>
      <w:numFmt w:val="bullet"/>
      <w:lvlText w:val="•"/>
      <w:lvlJc w:val="left"/>
      <w:pPr>
        <w:ind w:left="6516" w:hanging="213"/>
      </w:pPr>
      <w:rPr>
        <w:rFonts w:hint="default"/>
        <w:lang w:val="zh-CN" w:eastAsia="zh-CN" w:bidi="zh-CN"/>
      </w:rPr>
    </w:lvl>
  </w:abstractNum>
  <w:abstractNum w:abstractNumId="10">
    <w:nsid w:val="43AC699A"/>
    <w:multiLevelType w:val="multilevel"/>
    <w:tmpl w:val="43AC699A"/>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4AF26BFC"/>
    <w:multiLevelType w:val="multilevel"/>
    <w:tmpl w:val="4AF26BFC"/>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4F76227B"/>
    <w:multiLevelType w:val="multilevel"/>
    <w:tmpl w:val="4F76227B"/>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B0A4DE2"/>
    <w:multiLevelType w:val="multilevel"/>
    <w:tmpl w:val="5B0A4DE2"/>
    <w:lvl w:ilvl="0" w:tentative="0">
      <w:start w:val="1"/>
      <w:numFmt w:val="decimal"/>
      <w:lvlText w:val="（%1）"/>
      <w:lvlJc w:val="left"/>
      <w:pPr>
        <w:tabs>
          <w:tab w:val="left" w:pos="1560"/>
        </w:tabs>
        <w:ind w:left="1560" w:hanging="720"/>
      </w:pPr>
      <w:rPr>
        <w:rFonts w:hint="default"/>
      </w:rPr>
    </w:lvl>
    <w:lvl w:ilvl="1" w:tentative="0">
      <w:start w:val="1"/>
      <w:numFmt w:val="decimal"/>
      <w:lvlText w:val="%2．"/>
      <w:lvlJc w:val="left"/>
      <w:pPr>
        <w:tabs>
          <w:tab w:val="left" w:pos="580"/>
        </w:tabs>
        <w:ind w:left="580" w:hanging="360"/>
      </w:pPr>
      <w:rPr>
        <w:rFonts w:hint="default"/>
      </w:rPr>
    </w:lvl>
    <w:lvl w:ilvl="2" w:tentative="0">
      <w:start w:val="1"/>
      <w:numFmt w:val="lowerRoman"/>
      <w:lvlText w:val="%3."/>
      <w:lvlJc w:val="right"/>
      <w:pPr>
        <w:tabs>
          <w:tab w:val="left" w:pos="1060"/>
        </w:tabs>
        <w:ind w:left="1060" w:hanging="420"/>
      </w:pPr>
    </w:lvl>
    <w:lvl w:ilvl="3" w:tentative="0">
      <w:start w:val="1"/>
      <w:numFmt w:val="decimal"/>
      <w:lvlText w:val="%4."/>
      <w:lvlJc w:val="left"/>
      <w:pPr>
        <w:tabs>
          <w:tab w:val="left" w:pos="1480"/>
        </w:tabs>
        <w:ind w:left="1480" w:hanging="420"/>
      </w:pPr>
    </w:lvl>
    <w:lvl w:ilvl="4" w:tentative="0">
      <w:start w:val="1"/>
      <w:numFmt w:val="lowerLetter"/>
      <w:lvlText w:val="%5)"/>
      <w:lvlJc w:val="left"/>
      <w:pPr>
        <w:tabs>
          <w:tab w:val="left" w:pos="1900"/>
        </w:tabs>
        <w:ind w:left="1900" w:hanging="420"/>
      </w:pPr>
    </w:lvl>
    <w:lvl w:ilvl="5" w:tentative="0">
      <w:start w:val="1"/>
      <w:numFmt w:val="lowerRoman"/>
      <w:lvlText w:val="%6."/>
      <w:lvlJc w:val="right"/>
      <w:pPr>
        <w:tabs>
          <w:tab w:val="left" w:pos="2320"/>
        </w:tabs>
        <w:ind w:left="2320" w:hanging="420"/>
      </w:pPr>
    </w:lvl>
    <w:lvl w:ilvl="6" w:tentative="0">
      <w:start w:val="1"/>
      <w:numFmt w:val="decimal"/>
      <w:lvlText w:val="%7."/>
      <w:lvlJc w:val="left"/>
      <w:pPr>
        <w:tabs>
          <w:tab w:val="left" w:pos="2740"/>
        </w:tabs>
        <w:ind w:left="2740" w:hanging="420"/>
      </w:pPr>
    </w:lvl>
    <w:lvl w:ilvl="7" w:tentative="0">
      <w:start w:val="1"/>
      <w:numFmt w:val="lowerLetter"/>
      <w:lvlText w:val="%8)"/>
      <w:lvlJc w:val="left"/>
      <w:pPr>
        <w:tabs>
          <w:tab w:val="left" w:pos="3160"/>
        </w:tabs>
        <w:ind w:left="3160" w:hanging="420"/>
      </w:pPr>
    </w:lvl>
    <w:lvl w:ilvl="8" w:tentative="0">
      <w:start w:val="1"/>
      <w:numFmt w:val="lowerRoman"/>
      <w:lvlText w:val="%9."/>
      <w:lvlJc w:val="right"/>
      <w:pPr>
        <w:tabs>
          <w:tab w:val="left" w:pos="3580"/>
        </w:tabs>
        <w:ind w:left="3580" w:hanging="420"/>
      </w:pPr>
    </w:lvl>
  </w:abstractNum>
  <w:abstractNum w:abstractNumId="14">
    <w:nsid w:val="6A5C149F"/>
    <w:multiLevelType w:val="multilevel"/>
    <w:tmpl w:val="6A5C149F"/>
    <w:lvl w:ilvl="0" w:tentative="0">
      <w:start w:val="1"/>
      <w:numFmt w:val="decimal"/>
      <w:lvlText w:val="（%1）"/>
      <w:lvlJc w:val="left"/>
      <w:pPr>
        <w:tabs>
          <w:tab w:val="left" w:pos="1080"/>
        </w:tabs>
        <w:ind w:left="78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44126FC"/>
    <w:multiLevelType w:val="multilevel"/>
    <w:tmpl w:val="744126F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6CC4E8B"/>
    <w:multiLevelType w:val="multilevel"/>
    <w:tmpl w:val="76CC4E8B"/>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7F512C93"/>
    <w:multiLevelType w:val="multilevel"/>
    <w:tmpl w:val="7F512C93"/>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7"/>
  </w:num>
  <w:num w:numId="3">
    <w:abstractNumId w:val="9"/>
  </w:num>
  <w:num w:numId="4">
    <w:abstractNumId w:val="16"/>
  </w:num>
  <w:num w:numId="5">
    <w:abstractNumId w:val="12"/>
  </w:num>
  <w:num w:numId="6">
    <w:abstractNumId w:val="10"/>
  </w:num>
  <w:num w:numId="7">
    <w:abstractNumId w:val="4"/>
  </w:num>
  <w:num w:numId="8">
    <w:abstractNumId w:val="6"/>
  </w:num>
  <w:num w:numId="9">
    <w:abstractNumId w:val="3"/>
  </w:num>
  <w:num w:numId="10">
    <w:abstractNumId w:val="17"/>
  </w:num>
  <w:num w:numId="11">
    <w:abstractNumId w:val="11"/>
  </w:num>
  <w:num w:numId="12">
    <w:abstractNumId w:val="8"/>
  </w:num>
  <w:num w:numId="13">
    <w:abstractNumId w:val="2"/>
  </w:num>
  <w:num w:numId="14">
    <w:abstractNumId w:val="14"/>
  </w:num>
  <w:num w:numId="15">
    <w:abstractNumId w:val="13"/>
  </w:num>
  <w:num w:numId="16">
    <w:abstractNumId w:val="15"/>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TEzNWZjN2U1NDkwOWY1OWMyMjVjMzAwMzM0YjAifQ=="/>
  </w:docVars>
  <w:rsids>
    <w:rsidRoot w:val="00172A27"/>
    <w:rsid w:val="00002664"/>
    <w:rsid w:val="000058ED"/>
    <w:rsid w:val="000060DE"/>
    <w:rsid w:val="0000659B"/>
    <w:rsid w:val="000067DB"/>
    <w:rsid w:val="000068F4"/>
    <w:rsid w:val="000071CF"/>
    <w:rsid w:val="00010099"/>
    <w:rsid w:val="00011667"/>
    <w:rsid w:val="00016E82"/>
    <w:rsid w:val="00023786"/>
    <w:rsid w:val="00023956"/>
    <w:rsid w:val="00024FCF"/>
    <w:rsid w:val="00026E78"/>
    <w:rsid w:val="00027E0B"/>
    <w:rsid w:val="000326FF"/>
    <w:rsid w:val="00040B82"/>
    <w:rsid w:val="00040F21"/>
    <w:rsid w:val="00041544"/>
    <w:rsid w:val="000469B0"/>
    <w:rsid w:val="0005111F"/>
    <w:rsid w:val="00052E12"/>
    <w:rsid w:val="00054BE1"/>
    <w:rsid w:val="00056C38"/>
    <w:rsid w:val="00057276"/>
    <w:rsid w:val="00062B7F"/>
    <w:rsid w:val="00063DC1"/>
    <w:rsid w:val="00063E50"/>
    <w:rsid w:val="00066D09"/>
    <w:rsid w:val="000670F9"/>
    <w:rsid w:val="000774F2"/>
    <w:rsid w:val="00077E73"/>
    <w:rsid w:val="0008269A"/>
    <w:rsid w:val="0008325E"/>
    <w:rsid w:val="000934F8"/>
    <w:rsid w:val="00093755"/>
    <w:rsid w:val="000A0713"/>
    <w:rsid w:val="000A2330"/>
    <w:rsid w:val="000A24A3"/>
    <w:rsid w:val="000A5EA8"/>
    <w:rsid w:val="000B0FB0"/>
    <w:rsid w:val="000B1B49"/>
    <w:rsid w:val="000B1FAD"/>
    <w:rsid w:val="000B4520"/>
    <w:rsid w:val="000B54A9"/>
    <w:rsid w:val="000B6646"/>
    <w:rsid w:val="000C0C25"/>
    <w:rsid w:val="000C2228"/>
    <w:rsid w:val="000C296C"/>
    <w:rsid w:val="000D0428"/>
    <w:rsid w:val="000D1073"/>
    <w:rsid w:val="000D1EA6"/>
    <w:rsid w:val="000D5724"/>
    <w:rsid w:val="000D5D33"/>
    <w:rsid w:val="000D651D"/>
    <w:rsid w:val="000D6A86"/>
    <w:rsid w:val="000D7A68"/>
    <w:rsid w:val="000E3843"/>
    <w:rsid w:val="000E7D50"/>
    <w:rsid w:val="000E7F77"/>
    <w:rsid w:val="000E7FBF"/>
    <w:rsid w:val="000F0C01"/>
    <w:rsid w:val="000F2F70"/>
    <w:rsid w:val="000F37DF"/>
    <w:rsid w:val="000F6869"/>
    <w:rsid w:val="00101262"/>
    <w:rsid w:val="001033CB"/>
    <w:rsid w:val="00104DB8"/>
    <w:rsid w:val="001074D3"/>
    <w:rsid w:val="001173F6"/>
    <w:rsid w:val="00117853"/>
    <w:rsid w:val="00121554"/>
    <w:rsid w:val="001235A6"/>
    <w:rsid w:val="00125048"/>
    <w:rsid w:val="0012682B"/>
    <w:rsid w:val="00126B2A"/>
    <w:rsid w:val="00130F97"/>
    <w:rsid w:val="00134225"/>
    <w:rsid w:val="00156D58"/>
    <w:rsid w:val="0016472C"/>
    <w:rsid w:val="00165E70"/>
    <w:rsid w:val="0016718C"/>
    <w:rsid w:val="0017010B"/>
    <w:rsid w:val="001709B6"/>
    <w:rsid w:val="001723AA"/>
    <w:rsid w:val="00172A27"/>
    <w:rsid w:val="001749E4"/>
    <w:rsid w:val="00181855"/>
    <w:rsid w:val="00184C66"/>
    <w:rsid w:val="00190B59"/>
    <w:rsid w:val="0019449C"/>
    <w:rsid w:val="00195A94"/>
    <w:rsid w:val="001965F0"/>
    <w:rsid w:val="001A0863"/>
    <w:rsid w:val="001A1704"/>
    <w:rsid w:val="001A2D4A"/>
    <w:rsid w:val="001A63BB"/>
    <w:rsid w:val="001B28AE"/>
    <w:rsid w:val="001B627E"/>
    <w:rsid w:val="001B79A3"/>
    <w:rsid w:val="001C07B4"/>
    <w:rsid w:val="001C19B6"/>
    <w:rsid w:val="001C4D5C"/>
    <w:rsid w:val="001C716B"/>
    <w:rsid w:val="001C72CA"/>
    <w:rsid w:val="001C7F52"/>
    <w:rsid w:val="001D04ED"/>
    <w:rsid w:val="001D2C1C"/>
    <w:rsid w:val="001D655F"/>
    <w:rsid w:val="001D66B7"/>
    <w:rsid w:val="001E1312"/>
    <w:rsid w:val="001E33CB"/>
    <w:rsid w:val="001E4680"/>
    <w:rsid w:val="001E4FD0"/>
    <w:rsid w:val="001E5F35"/>
    <w:rsid w:val="001E6168"/>
    <w:rsid w:val="001E6B1C"/>
    <w:rsid w:val="001E7527"/>
    <w:rsid w:val="001E76FA"/>
    <w:rsid w:val="001F6635"/>
    <w:rsid w:val="001F77B8"/>
    <w:rsid w:val="00203106"/>
    <w:rsid w:val="002032F6"/>
    <w:rsid w:val="00206785"/>
    <w:rsid w:val="00207656"/>
    <w:rsid w:val="002138D6"/>
    <w:rsid w:val="00213915"/>
    <w:rsid w:val="00215C00"/>
    <w:rsid w:val="0021632A"/>
    <w:rsid w:val="00217D9F"/>
    <w:rsid w:val="002225A8"/>
    <w:rsid w:val="00222AA1"/>
    <w:rsid w:val="00225648"/>
    <w:rsid w:val="002273AB"/>
    <w:rsid w:val="00232487"/>
    <w:rsid w:val="00232586"/>
    <w:rsid w:val="002327E9"/>
    <w:rsid w:val="002401C6"/>
    <w:rsid w:val="0024045C"/>
    <w:rsid w:val="00254EE3"/>
    <w:rsid w:val="00255AD4"/>
    <w:rsid w:val="00255F69"/>
    <w:rsid w:val="002608A5"/>
    <w:rsid w:val="00261B56"/>
    <w:rsid w:val="002630BB"/>
    <w:rsid w:val="00273846"/>
    <w:rsid w:val="00282355"/>
    <w:rsid w:val="002911A8"/>
    <w:rsid w:val="0029333F"/>
    <w:rsid w:val="002937E8"/>
    <w:rsid w:val="002961DB"/>
    <w:rsid w:val="002A1CDE"/>
    <w:rsid w:val="002A3554"/>
    <w:rsid w:val="002A3DA0"/>
    <w:rsid w:val="002B0133"/>
    <w:rsid w:val="002B1169"/>
    <w:rsid w:val="002B1E52"/>
    <w:rsid w:val="002B4E1A"/>
    <w:rsid w:val="002B5824"/>
    <w:rsid w:val="002B6B11"/>
    <w:rsid w:val="002B749A"/>
    <w:rsid w:val="002C0592"/>
    <w:rsid w:val="002C1BB5"/>
    <w:rsid w:val="002C6AAA"/>
    <w:rsid w:val="002C7680"/>
    <w:rsid w:val="002C7B32"/>
    <w:rsid w:val="002D1523"/>
    <w:rsid w:val="002D2252"/>
    <w:rsid w:val="002D4F29"/>
    <w:rsid w:val="002D5253"/>
    <w:rsid w:val="002D74FA"/>
    <w:rsid w:val="002E48B8"/>
    <w:rsid w:val="002E5516"/>
    <w:rsid w:val="002F5F31"/>
    <w:rsid w:val="00300539"/>
    <w:rsid w:val="00301FCD"/>
    <w:rsid w:val="00302B39"/>
    <w:rsid w:val="00303B35"/>
    <w:rsid w:val="00305EE6"/>
    <w:rsid w:val="003110FA"/>
    <w:rsid w:val="00311679"/>
    <w:rsid w:val="00312377"/>
    <w:rsid w:val="00312D50"/>
    <w:rsid w:val="003131EF"/>
    <w:rsid w:val="003148D6"/>
    <w:rsid w:val="003157BA"/>
    <w:rsid w:val="0032637B"/>
    <w:rsid w:val="003305BE"/>
    <w:rsid w:val="00337CCD"/>
    <w:rsid w:val="003403A3"/>
    <w:rsid w:val="003412FB"/>
    <w:rsid w:val="0034190B"/>
    <w:rsid w:val="00342204"/>
    <w:rsid w:val="00342900"/>
    <w:rsid w:val="0034429D"/>
    <w:rsid w:val="003446A0"/>
    <w:rsid w:val="00347790"/>
    <w:rsid w:val="00347ECB"/>
    <w:rsid w:val="0035458E"/>
    <w:rsid w:val="00355B19"/>
    <w:rsid w:val="00355BC8"/>
    <w:rsid w:val="00356653"/>
    <w:rsid w:val="0036283B"/>
    <w:rsid w:val="00363C5A"/>
    <w:rsid w:val="0036673F"/>
    <w:rsid w:val="00367A76"/>
    <w:rsid w:val="00367CD7"/>
    <w:rsid w:val="0037123A"/>
    <w:rsid w:val="00371C97"/>
    <w:rsid w:val="00372A8F"/>
    <w:rsid w:val="00373DBC"/>
    <w:rsid w:val="00375E13"/>
    <w:rsid w:val="003770DA"/>
    <w:rsid w:val="00386C42"/>
    <w:rsid w:val="003913D1"/>
    <w:rsid w:val="003964F1"/>
    <w:rsid w:val="003A16C8"/>
    <w:rsid w:val="003A4546"/>
    <w:rsid w:val="003A5DA6"/>
    <w:rsid w:val="003B069D"/>
    <w:rsid w:val="003B22D1"/>
    <w:rsid w:val="003B42B7"/>
    <w:rsid w:val="003B45C2"/>
    <w:rsid w:val="003B6FE3"/>
    <w:rsid w:val="003C145C"/>
    <w:rsid w:val="003C1F5E"/>
    <w:rsid w:val="003C43C0"/>
    <w:rsid w:val="003C61A9"/>
    <w:rsid w:val="003C6C54"/>
    <w:rsid w:val="003C7DF5"/>
    <w:rsid w:val="003D035D"/>
    <w:rsid w:val="003D35E3"/>
    <w:rsid w:val="003D44D4"/>
    <w:rsid w:val="003D635C"/>
    <w:rsid w:val="003E3156"/>
    <w:rsid w:val="003E5403"/>
    <w:rsid w:val="003F2EEE"/>
    <w:rsid w:val="003F5AD2"/>
    <w:rsid w:val="003F79F0"/>
    <w:rsid w:val="003F7EE2"/>
    <w:rsid w:val="00401946"/>
    <w:rsid w:val="00402A8C"/>
    <w:rsid w:val="00403DD1"/>
    <w:rsid w:val="00404279"/>
    <w:rsid w:val="00404C74"/>
    <w:rsid w:val="00404F76"/>
    <w:rsid w:val="004061C9"/>
    <w:rsid w:val="00407647"/>
    <w:rsid w:val="00410360"/>
    <w:rsid w:val="00412E39"/>
    <w:rsid w:val="00417D69"/>
    <w:rsid w:val="004208C7"/>
    <w:rsid w:val="00421003"/>
    <w:rsid w:val="00421C43"/>
    <w:rsid w:val="00427895"/>
    <w:rsid w:val="00432C59"/>
    <w:rsid w:val="0043681E"/>
    <w:rsid w:val="00437239"/>
    <w:rsid w:val="00441A14"/>
    <w:rsid w:val="00442225"/>
    <w:rsid w:val="004534D8"/>
    <w:rsid w:val="004569D8"/>
    <w:rsid w:val="0046047C"/>
    <w:rsid w:val="0046511E"/>
    <w:rsid w:val="00467D16"/>
    <w:rsid w:val="00471014"/>
    <w:rsid w:val="00472849"/>
    <w:rsid w:val="004735D0"/>
    <w:rsid w:val="004747FE"/>
    <w:rsid w:val="00477E69"/>
    <w:rsid w:val="0048086A"/>
    <w:rsid w:val="00484FA5"/>
    <w:rsid w:val="004925DB"/>
    <w:rsid w:val="00492AD4"/>
    <w:rsid w:val="004933F7"/>
    <w:rsid w:val="0049635D"/>
    <w:rsid w:val="004A04D8"/>
    <w:rsid w:val="004A0607"/>
    <w:rsid w:val="004A090F"/>
    <w:rsid w:val="004A1DE0"/>
    <w:rsid w:val="004B1F67"/>
    <w:rsid w:val="004B7405"/>
    <w:rsid w:val="004C155E"/>
    <w:rsid w:val="004C2138"/>
    <w:rsid w:val="004C35A4"/>
    <w:rsid w:val="004C4EE4"/>
    <w:rsid w:val="004C69B1"/>
    <w:rsid w:val="004D448D"/>
    <w:rsid w:val="004D4BB0"/>
    <w:rsid w:val="004D6A91"/>
    <w:rsid w:val="004D7C6A"/>
    <w:rsid w:val="004E204C"/>
    <w:rsid w:val="004E25B7"/>
    <w:rsid w:val="004E67C0"/>
    <w:rsid w:val="004E7974"/>
    <w:rsid w:val="004F27ED"/>
    <w:rsid w:val="004F39A4"/>
    <w:rsid w:val="004F42A8"/>
    <w:rsid w:val="00500D59"/>
    <w:rsid w:val="0050122C"/>
    <w:rsid w:val="005015D3"/>
    <w:rsid w:val="0050244C"/>
    <w:rsid w:val="00502A5D"/>
    <w:rsid w:val="00503878"/>
    <w:rsid w:val="005045AC"/>
    <w:rsid w:val="00505CC7"/>
    <w:rsid w:val="00511CC2"/>
    <w:rsid w:val="005135D1"/>
    <w:rsid w:val="00515AF1"/>
    <w:rsid w:val="00516389"/>
    <w:rsid w:val="00523232"/>
    <w:rsid w:val="005254B7"/>
    <w:rsid w:val="00525ACD"/>
    <w:rsid w:val="00526103"/>
    <w:rsid w:val="005273FD"/>
    <w:rsid w:val="005347EA"/>
    <w:rsid w:val="00535D5D"/>
    <w:rsid w:val="00543589"/>
    <w:rsid w:val="00543E63"/>
    <w:rsid w:val="00546F44"/>
    <w:rsid w:val="005632E6"/>
    <w:rsid w:val="00571122"/>
    <w:rsid w:val="005712E9"/>
    <w:rsid w:val="00574408"/>
    <w:rsid w:val="00575499"/>
    <w:rsid w:val="00576051"/>
    <w:rsid w:val="005768FD"/>
    <w:rsid w:val="00580530"/>
    <w:rsid w:val="00581C76"/>
    <w:rsid w:val="00587FEB"/>
    <w:rsid w:val="00590266"/>
    <w:rsid w:val="005968F9"/>
    <w:rsid w:val="005975FD"/>
    <w:rsid w:val="005A0138"/>
    <w:rsid w:val="005A1C88"/>
    <w:rsid w:val="005A3F7D"/>
    <w:rsid w:val="005A469D"/>
    <w:rsid w:val="005B0623"/>
    <w:rsid w:val="005B0D40"/>
    <w:rsid w:val="005B1BEA"/>
    <w:rsid w:val="005B2F6C"/>
    <w:rsid w:val="005B5BA7"/>
    <w:rsid w:val="005C065F"/>
    <w:rsid w:val="005C3E3D"/>
    <w:rsid w:val="005C4113"/>
    <w:rsid w:val="005C5BA3"/>
    <w:rsid w:val="005C6663"/>
    <w:rsid w:val="005D1A89"/>
    <w:rsid w:val="005D1F8E"/>
    <w:rsid w:val="005D2B27"/>
    <w:rsid w:val="005D3AEF"/>
    <w:rsid w:val="005D5374"/>
    <w:rsid w:val="005D681D"/>
    <w:rsid w:val="005E0E54"/>
    <w:rsid w:val="005E3BEC"/>
    <w:rsid w:val="005E50A8"/>
    <w:rsid w:val="005E76D1"/>
    <w:rsid w:val="005F2939"/>
    <w:rsid w:val="005F2BCF"/>
    <w:rsid w:val="005F3939"/>
    <w:rsid w:val="005F5D11"/>
    <w:rsid w:val="005F742E"/>
    <w:rsid w:val="005F7EC6"/>
    <w:rsid w:val="00600084"/>
    <w:rsid w:val="00600F87"/>
    <w:rsid w:val="006021CA"/>
    <w:rsid w:val="00605EC5"/>
    <w:rsid w:val="006068CD"/>
    <w:rsid w:val="006068DE"/>
    <w:rsid w:val="00606AD3"/>
    <w:rsid w:val="00606C71"/>
    <w:rsid w:val="00612045"/>
    <w:rsid w:val="00615059"/>
    <w:rsid w:val="006174BB"/>
    <w:rsid w:val="00622AB9"/>
    <w:rsid w:val="00624A3C"/>
    <w:rsid w:val="00624C09"/>
    <w:rsid w:val="00627074"/>
    <w:rsid w:val="006271A0"/>
    <w:rsid w:val="00630410"/>
    <w:rsid w:val="006315AC"/>
    <w:rsid w:val="0063208D"/>
    <w:rsid w:val="00634502"/>
    <w:rsid w:val="00640EBA"/>
    <w:rsid w:val="00641283"/>
    <w:rsid w:val="006449DB"/>
    <w:rsid w:val="006550B0"/>
    <w:rsid w:val="00657601"/>
    <w:rsid w:val="0065778F"/>
    <w:rsid w:val="0066054E"/>
    <w:rsid w:val="00664EF0"/>
    <w:rsid w:val="0067395C"/>
    <w:rsid w:val="00674539"/>
    <w:rsid w:val="00677228"/>
    <w:rsid w:val="0068483D"/>
    <w:rsid w:val="006871E1"/>
    <w:rsid w:val="00687FA8"/>
    <w:rsid w:val="006902AE"/>
    <w:rsid w:val="006906FD"/>
    <w:rsid w:val="00690D9F"/>
    <w:rsid w:val="00694756"/>
    <w:rsid w:val="00694801"/>
    <w:rsid w:val="006A10B1"/>
    <w:rsid w:val="006A1796"/>
    <w:rsid w:val="006A3165"/>
    <w:rsid w:val="006A408F"/>
    <w:rsid w:val="006A5B60"/>
    <w:rsid w:val="006B430D"/>
    <w:rsid w:val="006B4C93"/>
    <w:rsid w:val="006B5F27"/>
    <w:rsid w:val="006B6F97"/>
    <w:rsid w:val="006C1536"/>
    <w:rsid w:val="006C54E6"/>
    <w:rsid w:val="006C6D67"/>
    <w:rsid w:val="006C79FD"/>
    <w:rsid w:val="006D03B0"/>
    <w:rsid w:val="006D3939"/>
    <w:rsid w:val="006D4FD3"/>
    <w:rsid w:val="006E0A9F"/>
    <w:rsid w:val="006E11FD"/>
    <w:rsid w:val="006E17CA"/>
    <w:rsid w:val="006E2FC3"/>
    <w:rsid w:val="006F235C"/>
    <w:rsid w:val="006F4520"/>
    <w:rsid w:val="006F5689"/>
    <w:rsid w:val="006F6E68"/>
    <w:rsid w:val="007037B6"/>
    <w:rsid w:val="007041AD"/>
    <w:rsid w:val="00704D99"/>
    <w:rsid w:val="007075A6"/>
    <w:rsid w:val="007076D7"/>
    <w:rsid w:val="00707C4D"/>
    <w:rsid w:val="00712B02"/>
    <w:rsid w:val="007149AC"/>
    <w:rsid w:val="00715BE0"/>
    <w:rsid w:val="00726298"/>
    <w:rsid w:val="00730048"/>
    <w:rsid w:val="00736EF6"/>
    <w:rsid w:val="0073732B"/>
    <w:rsid w:val="00744DD4"/>
    <w:rsid w:val="00745F08"/>
    <w:rsid w:val="0075201B"/>
    <w:rsid w:val="00756EC9"/>
    <w:rsid w:val="00760BF8"/>
    <w:rsid w:val="00760C0D"/>
    <w:rsid w:val="007640D5"/>
    <w:rsid w:val="00770680"/>
    <w:rsid w:val="007728B1"/>
    <w:rsid w:val="00777A9F"/>
    <w:rsid w:val="00781900"/>
    <w:rsid w:val="0078590A"/>
    <w:rsid w:val="00790E6C"/>
    <w:rsid w:val="007911DB"/>
    <w:rsid w:val="00792AFC"/>
    <w:rsid w:val="007945B0"/>
    <w:rsid w:val="0079547B"/>
    <w:rsid w:val="00795EAA"/>
    <w:rsid w:val="007A00C0"/>
    <w:rsid w:val="007A3107"/>
    <w:rsid w:val="007A56EE"/>
    <w:rsid w:val="007A57A0"/>
    <w:rsid w:val="007B06DB"/>
    <w:rsid w:val="007B0EDF"/>
    <w:rsid w:val="007B3014"/>
    <w:rsid w:val="007B5864"/>
    <w:rsid w:val="007B63FC"/>
    <w:rsid w:val="007C3064"/>
    <w:rsid w:val="007D0577"/>
    <w:rsid w:val="007D25BF"/>
    <w:rsid w:val="007D3443"/>
    <w:rsid w:val="007D3C45"/>
    <w:rsid w:val="007D5EDD"/>
    <w:rsid w:val="007D6C92"/>
    <w:rsid w:val="007D7889"/>
    <w:rsid w:val="007D7973"/>
    <w:rsid w:val="007E3CD8"/>
    <w:rsid w:val="007E4129"/>
    <w:rsid w:val="007E7658"/>
    <w:rsid w:val="007F18D2"/>
    <w:rsid w:val="007F2C7C"/>
    <w:rsid w:val="007F36C4"/>
    <w:rsid w:val="007F5DF4"/>
    <w:rsid w:val="007F6943"/>
    <w:rsid w:val="007F7C0F"/>
    <w:rsid w:val="00802E79"/>
    <w:rsid w:val="0080683A"/>
    <w:rsid w:val="00807405"/>
    <w:rsid w:val="00812695"/>
    <w:rsid w:val="008201F4"/>
    <w:rsid w:val="00822BA9"/>
    <w:rsid w:val="0082337B"/>
    <w:rsid w:val="008237F2"/>
    <w:rsid w:val="00824B65"/>
    <w:rsid w:val="00824FCC"/>
    <w:rsid w:val="0082695E"/>
    <w:rsid w:val="00827418"/>
    <w:rsid w:val="00827750"/>
    <w:rsid w:val="00831ACE"/>
    <w:rsid w:val="0083630C"/>
    <w:rsid w:val="00840199"/>
    <w:rsid w:val="00840596"/>
    <w:rsid w:val="0084757A"/>
    <w:rsid w:val="00847DBC"/>
    <w:rsid w:val="0085117D"/>
    <w:rsid w:val="00851970"/>
    <w:rsid w:val="00853571"/>
    <w:rsid w:val="00853FA7"/>
    <w:rsid w:val="008548C2"/>
    <w:rsid w:val="00860F8C"/>
    <w:rsid w:val="00861E32"/>
    <w:rsid w:val="00865697"/>
    <w:rsid w:val="008730A1"/>
    <w:rsid w:val="00873FFA"/>
    <w:rsid w:val="0087454F"/>
    <w:rsid w:val="00874B4B"/>
    <w:rsid w:val="008865D5"/>
    <w:rsid w:val="008901E1"/>
    <w:rsid w:val="008901EF"/>
    <w:rsid w:val="00890618"/>
    <w:rsid w:val="00893010"/>
    <w:rsid w:val="008A09B8"/>
    <w:rsid w:val="008A10A1"/>
    <w:rsid w:val="008A1549"/>
    <w:rsid w:val="008B13F8"/>
    <w:rsid w:val="008B2A92"/>
    <w:rsid w:val="008B36A7"/>
    <w:rsid w:val="008B6972"/>
    <w:rsid w:val="008B6ACD"/>
    <w:rsid w:val="008C1264"/>
    <w:rsid w:val="008C162E"/>
    <w:rsid w:val="008C2026"/>
    <w:rsid w:val="008C28F4"/>
    <w:rsid w:val="008C40E7"/>
    <w:rsid w:val="008C5123"/>
    <w:rsid w:val="008D22D5"/>
    <w:rsid w:val="008D37CB"/>
    <w:rsid w:val="008D468E"/>
    <w:rsid w:val="008D4E1B"/>
    <w:rsid w:val="008D5226"/>
    <w:rsid w:val="008D74DB"/>
    <w:rsid w:val="008D7BB6"/>
    <w:rsid w:val="008D7F90"/>
    <w:rsid w:val="008E0C60"/>
    <w:rsid w:val="008E1D86"/>
    <w:rsid w:val="008E209F"/>
    <w:rsid w:val="008E73F5"/>
    <w:rsid w:val="008E7D0B"/>
    <w:rsid w:val="008E7E11"/>
    <w:rsid w:val="008F10E7"/>
    <w:rsid w:val="008F25C0"/>
    <w:rsid w:val="008F56AB"/>
    <w:rsid w:val="008F5FE0"/>
    <w:rsid w:val="008F65EA"/>
    <w:rsid w:val="008F7BBC"/>
    <w:rsid w:val="009016AA"/>
    <w:rsid w:val="0090489C"/>
    <w:rsid w:val="00905405"/>
    <w:rsid w:val="00906610"/>
    <w:rsid w:val="00912455"/>
    <w:rsid w:val="00912AB3"/>
    <w:rsid w:val="00913943"/>
    <w:rsid w:val="00914F8D"/>
    <w:rsid w:val="0091616B"/>
    <w:rsid w:val="009176EF"/>
    <w:rsid w:val="009219BB"/>
    <w:rsid w:val="00923CE1"/>
    <w:rsid w:val="00926E47"/>
    <w:rsid w:val="0093350E"/>
    <w:rsid w:val="009359F0"/>
    <w:rsid w:val="00935AC6"/>
    <w:rsid w:val="00935ED6"/>
    <w:rsid w:val="00937922"/>
    <w:rsid w:val="0094054F"/>
    <w:rsid w:val="00941E84"/>
    <w:rsid w:val="00943650"/>
    <w:rsid w:val="009464FB"/>
    <w:rsid w:val="00946510"/>
    <w:rsid w:val="009465C4"/>
    <w:rsid w:val="009474CB"/>
    <w:rsid w:val="00947634"/>
    <w:rsid w:val="009549A8"/>
    <w:rsid w:val="0096191F"/>
    <w:rsid w:val="009624E3"/>
    <w:rsid w:val="0096311A"/>
    <w:rsid w:val="0096483D"/>
    <w:rsid w:val="009660C2"/>
    <w:rsid w:val="00967D5C"/>
    <w:rsid w:val="00970ED8"/>
    <w:rsid w:val="0097109C"/>
    <w:rsid w:val="00971476"/>
    <w:rsid w:val="00971803"/>
    <w:rsid w:val="009735C6"/>
    <w:rsid w:val="00974684"/>
    <w:rsid w:val="00980EE2"/>
    <w:rsid w:val="00981313"/>
    <w:rsid w:val="009831CA"/>
    <w:rsid w:val="00983738"/>
    <w:rsid w:val="00984532"/>
    <w:rsid w:val="00985BF5"/>
    <w:rsid w:val="00986DDB"/>
    <w:rsid w:val="00987E24"/>
    <w:rsid w:val="009901D8"/>
    <w:rsid w:val="0099050B"/>
    <w:rsid w:val="009939E9"/>
    <w:rsid w:val="009A0570"/>
    <w:rsid w:val="009A05AE"/>
    <w:rsid w:val="009A1351"/>
    <w:rsid w:val="009A248B"/>
    <w:rsid w:val="009A4A5A"/>
    <w:rsid w:val="009B3043"/>
    <w:rsid w:val="009B3B82"/>
    <w:rsid w:val="009B5232"/>
    <w:rsid w:val="009B64D1"/>
    <w:rsid w:val="009B6E28"/>
    <w:rsid w:val="009C02D7"/>
    <w:rsid w:val="009C0BA5"/>
    <w:rsid w:val="009C216D"/>
    <w:rsid w:val="009C49C0"/>
    <w:rsid w:val="009D06AC"/>
    <w:rsid w:val="009D0CDC"/>
    <w:rsid w:val="009D0F3A"/>
    <w:rsid w:val="009D42F0"/>
    <w:rsid w:val="009D49D9"/>
    <w:rsid w:val="009D661A"/>
    <w:rsid w:val="009E3FE9"/>
    <w:rsid w:val="009E4DAC"/>
    <w:rsid w:val="009E5CFD"/>
    <w:rsid w:val="009E7FFA"/>
    <w:rsid w:val="009F260A"/>
    <w:rsid w:val="009F5A21"/>
    <w:rsid w:val="00A02054"/>
    <w:rsid w:val="00A028AA"/>
    <w:rsid w:val="00A03B3F"/>
    <w:rsid w:val="00A070DF"/>
    <w:rsid w:val="00A12343"/>
    <w:rsid w:val="00A137B7"/>
    <w:rsid w:val="00A17256"/>
    <w:rsid w:val="00A229E9"/>
    <w:rsid w:val="00A26FF4"/>
    <w:rsid w:val="00A27011"/>
    <w:rsid w:val="00A2733E"/>
    <w:rsid w:val="00A30DD6"/>
    <w:rsid w:val="00A341D1"/>
    <w:rsid w:val="00A36385"/>
    <w:rsid w:val="00A400C2"/>
    <w:rsid w:val="00A404EC"/>
    <w:rsid w:val="00A40FEE"/>
    <w:rsid w:val="00A4229A"/>
    <w:rsid w:val="00A46D51"/>
    <w:rsid w:val="00A4779E"/>
    <w:rsid w:val="00A50047"/>
    <w:rsid w:val="00A50797"/>
    <w:rsid w:val="00A50A01"/>
    <w:rsid w:val="00A515E2"/>
    <w:rsid w:val="00A52573"/>
    <w:rsid w:val="00A52B87"/>
    <w:rsid w:val="00A55DEF"/>
    <w:rsid w:val="00A56BEE"/>
    <w:rsid w:val="00A572E7"/>
    <w:rsid w:val="00A604F8"/>
    <w:rsid w:val="00A61142"/>
    <w:rsid w:val="00A62A25"/>
    <w:rsid w:val="00A63C9C"/>
    <w:rsid w:val="00A65070"/>
    <w:rsid w:val="00A67666"/>
    <w:rsid w:val="00A67AEE"/>
    <w:rsid w:val="00A67EE5"/>
    <w:rsid w:val="00A70D85"/>
    <w:rsid w:val="00A74576"/>
    <w:rsid w:val="00A7467A"/>
    <w:rsid w:val="00A7610C"/>
    <w:rsid w:val="00A81EDB"/>
    <w:rsid w:val="00A82BFA"/>
    <w:rsid w:val="00A83231"/>
    <w:rsid w:val="00A83D7E"/>
    <w:rsid w:val="00A85508"/>
    <w:rsid w:val="00A87A26"/>
    <w:rsid w:val="00A93DAF"/>
    <w:rsid w:val="00A9422C"/>
    <w:rsid w:val="00A949BB"/>
    <w:rsid w:val="00A95807"/>
    <w:rsid w:val="00A9758B"/>
    <w:rsid w:val="00A97884"/>
    <w:rsid w:val="00AA13DD"/>
    <w:rsid w:val="00AA3BF3"/>
    <w:rsid w:val="00AA7559"/>
    <w:rsid w:val="00AB0640"/>
    <w:rsid w:val="00AB138C"/>
    <w:rsid w:val="00AB47AC"/>
    <w:rsid w:val="00AB5451"/>
    <w:rsid w:val="00AB596F"/>
    <w:rsid w:val="00AB7CE6"/>
    <w:rsid w:val="00AC112D"/>
    <w:rsid w:val="00AC1166"/>
    <w:rsid w:val="00AD2873"/>
    <w:rsid w:val="00AD4CD2"/>
    <w:rsid w:val="00AE014B"/>
    <w:rsid w:val="00AE6ADD"/>
    <w:rsid w:val="00AE72ED"/>
    <w:rsid w:val="00AE769F"/>
    <w:rsid w:val="00AF475C"/>
    <w:rsid w:val="00AF5B8F"/>
    <w:rsid w:val="00AF7D29"/>
    <w:rsid w:val="00B10A7E"/>
    <w:rsid w:val="00B130B6"/>
    <w:rsid w:val="00B1394B"/>
    <w:rsid w:val="00B20132"/>
    <w:rsid w:val="00B2417A"/>
    <w:rsid w:val="00B246F7"/>
    <w:rsid w:val="00B25ABF"/>
    <w:rsid w:val="00B312EA"/>
    <w:rsid w:val="00B31E69"/>
    <w:rsid w:val="00B32343"/>
    <w:rsid w:val="00B329AA"/>
    <w:rsid w:val="00B33254"/>
    <w:rsid w:val="00B33969"/>
    <w:rsid w:val="00B3399B"/>
    <w:rsid w:val="00B33B0C"/>
    <w:rsid w:val="00B35185"/>
    <w:rsid w:val="00B353F6"/>
    <w:rsid w:val="00B415EF"/>
    <w:rsid w:val="00B430A1"/>
    <w:rsid w:val="00B4495C"/>
    <w:rsid w:val="00B44ED4"/>
    <w:rsid w:val="00B46A1E"/>
    <w:rsid w:val="00B52738"/>
    <w:rsid w:val="00B533EB"/>
    <w:rsid w:val="00B542AF"/>
    <w:rsid w:val="00B559CC"/>
    <w:rsid w:val="00B57733"/>
    <w:rsid w:val="00B646D8"/>
    <w:rsid w:val="00B66426"/>
    <w:rsid w:val="00B67112"/>
    <w:rsid w:val="00B67AEC"/>
    <w:rsid w:val="00B70CAA"/>
    <w:rsid w:val="00B717A9"/>
    <w:rsid w:val="00B71C38"/>
    <w:rsid w:val="00B761A8"/>
    <w:rsid w:val="00B806C9"/>
    <w:rsid w:val="00B82CD9"/>
    <w:rsid w:val="00B85EBC"/>
    <w:rsid w:val="00B86FA6"/>
    <w:rsid w:val="00B8713E"/>
    <w:rsid w:val="00B94456"/>
    <w:rsid w:val="00B94B67"/>
    <w:rsid w:val="00B97828"/>
    <w:rsid w:val="00BA1A40"/>
    <w:rsid w:val="00BA52B1"/>
    <w:rsid w:val="00BA77BA"/>
    <w:rsid w:val="00BB11BF"/>
    <w:rsid w:val="00BB2D7E"/>
    <w:rsid w:val="00BB4703"/>
    <w:rsid w:val="00BB5E9B"/>
    <w:rsid w:val="00BC18F9"/>
    <w:rsid w:val="00BC5D15"/>
    <w:rsid w:val="00BC5ED0"/>
    <w:rsid w:val="00BC69E8"/>
    <w:rsid w:val="00BD2360"/>
    <w:rsid w:val="00BD350D"/>
    <w:rsid w:val="00BD6144"/>
    <w:rsid w:val="00BE028D"/>
    <w:rsid w:val="00BE1648"/>
    <w:rsid w:val="00BE1A45"/>
    <w:rsid w:val="00BE24EF"/>
    <w:rsid w:val="00BE69F0"/>
    <w:rsid w:val="00BF4597"/>
    <w:rsid w:val="00BF4D57"/>
    <w:rsid w:val="00BF540F"/>
    <w:rsid w:val="00C01586"/>
    <w:rsid w:val="00C0237D"/>
    <w:rsid w:val="00C028DE"/>
    <w:rsid w:val="00C04215"/>
    <w:rsid w:val="00C07776"/>
    <w:rsid w:val="00C119B8"/>
    <w:rsid w:val="00C11E36"/>
    <w:rsid w:val="00C124DE"/>
    <w:rsid w:val="00C130CD"/>
    <w:rsid w:val="00C13882"/>
    <w:rsid w:val="00C30790"/>
    <w:rsid w:val="00C32F83"/>
    <w:rsid w:val="00C336E3"/>
    <w:rsid w:val="00C374E9"/>
    <w:rsid w:val="00C44545"/>
    <w:rsid w:val="00C50134"/>
    <w:rsid w:val="00C51909"/>
    <w:rsid w:val="00C51AE4"/>
    <w:rsid w:val="00C52392"/>
    <w:rsid w:val="00C57511"/>
    <w:rsid w:val="00C5774F"/>
    <w:rsid w:val="00C62817"/>
    <w:rsid w:val="00C634C8"/>
    <w:rsid w:val="00C643EA"/>
    <w:rsid w:val="00C644EA"/>
    <w:rsid w:val="00C64842"/>
    <w:rsid w:val="00C709BF"/>
    <w:rsid w:val="00C7781B"/>
    <w:rsid w:val="00C77BE2"/>
    <w:rsid w:val="00C81249"/>
    <w:rsid w:val="00C813C8"/>
    <w:rsid w:val="00C82287"/>
    <w:rsid w:val="00C87719"/>
    <w:rsid w:val="00C90DE8"/>
    <w:rsid w:val="00C91E07"/>
    <w:rsid w:val="00C95523"/>
    <w:rsid w:val="00C95AD3"/>
    <w:rsid w:val="00C96916"/>
    <w:rsid w:val="00C96C7E"/>
    <w:rsid w:val="00CA01D7"/>
    <w:rsid w:val="00CA2299"/>
    <w:rsid w:val="00CA2BEF"/>
    <w:rsid w:val="00CA4B70"/>
    <w:rsid w:val="00CB6122"/>
    <w:rsid w:val="00CB76EA"/>
    <w:rsid w:val="00CC5EAE"/>
    <w:rsid w:val="00CC650D"/>
    <w:rsid w:val="00CC7945"/>
    <w:rsid w:val="00CD000E"/>
    <w:rsid w:val="00CD71A8"/>
    <w:rsid w:val="00CE15F1"/>
    <w:rsid w:val="00CF1EAF"/>
    <w:rsid w:val="00CF280A"/>
    <w:rsid w:val="00CF3C00"/>
    <w:rsid w:val="00D01E3E"/>
    <w:rsid w:val="00D038DC"/>
    <w:rsid w:val="00D04045"/>
    <w:rsid w:val="00D073B5"/>
    <w:rsid w:val="00D07402"/>
    <w:rsid w:val="00D12231"/>
    <w:rsid w:val="00D12C1A"/>
    <w:rsid w:val="00D17DF4"/>
    <w:rsid w:val="00D234A8"/>
    <w:rsid w:val="00D309C9"/>
    <w:rsid w:val="00D3398F"/>
    <w:rsid w:val="00D354B0"/>
    <w:rsid w:val="00D40AAF"/>
    <w:rsid w:val="00D46838"/>
    <w:rsid w:val="00D46BD3"/>
    <w:rsid w:val="00D50BA7"/>
    <w:rsid w:val="00D51FAD"/>
    <w:rsid w:val="00D53BB7"/>
    <w:rsid w:val="00D64864"/>
    <w:rsid w:val="00D654BE"/>
    <w:rsid w:val="00D67736"/>
    <w:rsid w:val="00D717F6"/>
    <w:rsid w:val="00D73B31"/>
    <w:rsid w:val="00D752AB"/>
    <w:rsid w:val="00D83506"/>
    <w:rsid w:val="00D846B4"/>
    <w:rsid w:val="00D84751"/>
    <w:rsid w:val="00D91A0B"/>
    <w:rsid w:val="00D91CE6"/>
    <w:rsid w:val="00D94B44"/>
    <w:rsid w:val="00D94FA6"/>
    <w:rsid w:val="00DA155A"/>
    <w:rsid w:val="00DA3497"/>
    <w:rsid w:val="00DA3640"/>
    <w:rsid w:val="00DA479B"/>
    <w:rsid w:val="00DB3860"/>
    <w:rsid w:val="00DB64CE"/>
    <w:rsid w:val="00DB7387"/>
    <w:rsid w:val="00DB74FC"/>
    <w:rsid w:val="00DC03B1"/>
    <w:rsid w:val="00DC0923"/>
    <w:rsid w:val="00DC1776"/>
    <w:rsid w:val="00DC1EB4"/>
    <w:rsid w:val="00DC21DA"/>
    <w:rsid w:val="00DC4068"/>
    <w:rsid w:val="00DC4C27"/>
    <w:rsid w:val="00DD0799"/>
    <w:rsid w:val="00DD2739"/>
    <w:rsid w:val="00DD5339"/>
    <w:rsid w:val="00DD682E"/>
    <w:rsid w:val="00DD7692"/>
    <w:rsid w:val="00DD7D42"/>
    <w:rsid w:val="00DE3AC2"/>
    <w:rsid w:val="00DE6DB0"/>
    <w:rsid w:val="00DF048B"/>
    <w:rsid w:val="00DF12A7"/>
    <w:rsid w:val="00DF4C56"/>
    <w:rsid w:val="00DF51F0"/>
    <w:rsid w:val="00DF708A"/>
    <w:rsid w:val="00E014AA"/>
    <w:rsid w:val="00E02599"/>
    <w:rsid w:val="00E03277"/>
    <w:rsid w:val="00E05198"/>
    <w:rsid w:val="00E0564F"/>
    <w:rsid w:val="00E12169"/>
    <w:rsid w:val="00E15028"/>
    <w:rsid w:val="00E15B19"/>
    <w:rsid w:val="00E15CCF"/>
    <w:rsid w:val="00E17752"/>
    <w:rsid w:val="00E26A00"/>
    <w:rsid w:val="00E26EB6"/>
    <w:rsid w:val="00E27ED3"/>
    <w:rsid w:val="00E31042"/>
    <w:rsid w:val="00E3121C"/>
    <w:rsid w:val="00E33013"/>
    <w:rsid w:val="00E33466"/>
    <w:rsid w:val="00E3631E"/>
    <w:rsid w:val="00E36570"/>
    <w:rsid w:val="00E37CAD"/>
    <w:rsid w:val="00E40ADE"/>
    <w:rsid w:val="00E41366"/>
    <w:rsid w:val="00E41714"/>
    <w:rsid w:val="00E42055"/>
    <w:rsid w:val="00E51430"/>
    <w:rsid w:val="00E52F5C"/>
    <w:rsid w:val="00E53604"/>
    <w:rsid w:val="00E54383"/>
    <w:rsid w:val="00E566B9"/>
    <w:rsid w:val="00E56891"/>
    <w:rsid w:val="00E56EBB"/>
    <w:rsid w:val="00E6008C"/>
    <w:rsid w:val="00E63977"/>
    <w:rsid w:val="00E675E2"/>
    <w:rsid w:val="00E677A5"/>
    <w:rsid w:val="00E70E40"/>
    <w:rsid w:val="00E75770"/>
    <w:rsid w:val="00E807E6"/>
    <w:rsid w:val="00E84C54"/>
    <w:rsid w:val="00E8521F"/>
    <w:rsid w:val="00E85625"/>
    <w:rsid w:val="00E86CE0"/>
    <w:rsid w:val="00E91284"/>
    <w:rsid w:val="00E91805"/>
    <w:rsid w:val="00E92A01"/>
    <w:rsid w:val="00E92A76"/>
    <w:rsid w:val="00E94423"/>
    <w:rsid w:val="00E96972"/>
    <w:rsid w:val="00EA14C6"/>
    <w:rsid w:val="00EA3687"/>
    <w:rsid w:val="00EA4A93"/>
    <w:rsid w:val="00EB53C6"/>
    <w:rsid w:val="00EB6B98"/>
    <w:rsid w:val="00EB78EE"/>
    <w:rsid w:val="00EC218E"/>
    <w:rsid w:val="00EC24A0"/>
    <w:rsid w:val="00EC3113"/>
    <w:rsid w:val="00EC3C7B"/>
    <w:rsid w:val="00EC4015"/>
    <w:rsid w:val="00EC4D09"/>
    <w:rsid w:val="00EC586A"/>
    <w:rsid w:val="00ED4FCA"/>
    <w:rsid w:val="00EE17EC"/>
    <w:rsid w:val="00EE4FF8"/>
    <w:rsid w:val="00EF0747"/>
    <w:rsid w:val="00EF2CCA"/>
    <w:rsid w:val="00EF2E75"/>
    <w:rsid w:val="00EF361E"/>
    <w:rsid w:val="00EF56D6"/>
    <w:rsid w:val="00EF759C"/>
    <w:rsid w:val="00F01155"/>
    <w:rsid w:val="00F03185"/>
    <w:rsid w:val="00F038CC"/>
    <w:rsid w:val="00F051D4"/>
    <w:rsid w:val="00F05B08"/>
    <w:rsid w:val="00F070A7"/>
    <w:rsid w:val="00F0778E"/>
    <w:rsid w:val="00F112C4"/>
    <w:rsid w:val="00F11FA8"/>
    <w:rsid w:val="00F14849"/>
    <w:rsid w:val="00F176FC"/>
    <w:rsid w:val="00F17D44"/>
    <w:rsid w:val="00F22343"/>
    <w:rsid w:val="00F22E47"/>
    <w:rsid w:val="00F27E03"/>
    <w:rsid w:val="00F27FE3"/>
    <w:rsid w:val="00F32912"/>
    <w:rsid w:val="00F346F3"/>
    <w:rsid w:val="00F348E8"/>
    <w:rsid w:val="00F3509B"/>
    <w:rsid w:val="00F355E0"/>
    <w:rsid w:val="00F35DA4"/>
    <w:rsid w:val="00F36DB8"/>
    <w:rsid w:val="00F408CB"/>
    <w:rsid w:val="00F41A90"/>
    <w:rsid w:val="00F43058"/>
    <w:rsid w:val="00F43611"/>
    <w:rsid w:val="00F43C53"/>
    <w:rsid w:val="00F46169"/>
    <w:rsid w:val="00F50CA4"/>
    <w:rsid w:val="00F54195"/>
    <w:rsid w:val="00F60333"/>
    <w:rsid w:val="00F60E70"/>
    <w:rsid w:val="00F61F36"/>
    <w:rsid w:val="00F6321D"/>
    <w:rsid w:val="00F640F6"/>
    <w:rsid w:val="00F660D7"/>
    <w:rsid w:val="00F702FF"/>
    <w:rsid w:val="00F70B4D"/>
    <w:rsid w:val="00F742B7"/>
    <w:rsid w:val="00F758BF"/>
    <w:rsid w:val="00F75F4B"/>
    <w:rsid w:val="00F76E9F"/>
    <w:rsid w:val="00F777CD"/>
    <w:rsid w:val="00F85022"/>
    <w:rsid w:val="00F85CE4"/>
    <w:rsid w:val="00F8711D"/>
    <w:rsid w:val="00F90E50"/>
    <w:rsid w:val="00F91D2C"/>
    <w:rsid w:val="00F91F50"/>
    <w:rsid w:val="00F93844"/>
    <w:rsid w:val="00F93FF4"/>
    <w:rsid w:val="00F97C22"/>
    <w:rsid w:val="00FA0193"/>
    <w:rsid w:val="00FA3CE2"/>
    <w:rsid w:val="00FA3D45"/>
    <w:rsid w:val="00FA4F6E"/>
    <w:rsid w:val="00FA5621"/>
    <w:rsid w:val="00FA6328"/>
    <w:rsid w:val="00FB0FC7"/>
    <w:rsid w:val="00FB1E71"/>
    <w:rsid w:val="00FB3FF5"/>
    <w:rsid w:val="00FB646C"/>
    <w:rsid w:val="00FC1102"/>
    <w:rsid w:val="00FC21B5"/>
    <w:rsid w:val="00FC2BB0"/>
    <w:rsid w:val="00FC3F57"/>
    <w:rsid w:val="00FC5E94"/>
    <w:rsid w:val="00FD0436"/>
    <w:rsid w:val="00FD2721"/>
    <w:rsid w:val="00FE0E6C"/>
    <w:rsid w:val="00FF0715"/>
    <w:rsid w:val="00FF1442"/>
    <w:rsid w:val="00FF292A"/>
    <w:rsid w:val="00FF2F76"/>
    <w:rsid w:val="00FF7895"/>
    <w:rsid w:val="01206225"/>
    <w:rsid w:val="018A213F"/>
    <w:rsid w:val="01CA310B"/>
    <w:rsid w:val="01E70841"/>
    <w:rsid w:val="01F6315E"/>
    <w:rsid w:val="02203B3A"/>
    <w:rsid w:val="03174F3D"/>
    <w:rsid w:val="0331632B"/>
    <w:rsid w:val="0384391D"/>
    <w:rsid w:val="03FB4920"/>
    <w:rsid w:val="04142BC5"/>
    <w:rsid w:val="04361064"/>
    <w:rsid w:val="04402A7D"/>
    <w:rsid w:val="048E7A23"/>
    <w:rsid w:val="04AF53B8"/>
    <w:rsid w:val="05946D18"/>
    <w:rsid w:val="05CC7C7C"/>
    <w:rsid w:val="05E51782"/>
    <w:rsid w:val="05EF410D"/>
    <w:rsid w:val="05F96A5A"/>
    <w:rsid w:val="063F4AF0"/>
    <w:rsid w:val="074E19EF"/>
    <w:rsid w:val="07BB0335"/>
    <w:rsid w:val="07EF0236"/>
    <w:rsid w:val="086F77D5"/>
    <w:rsid w:val="08BD0334"/>
    <w:rsid w:val="08C95A3B"/>
    <w:rsid w:val="08CE196E"/>
    <w:rsid w:val="08D0635B"/>
    <w:rsid w:val="08E03F48"/>
    <w:rsid w:val="08E727A3"/>
    <w:rsid w:val="09185B54"/>
    <w:rsid w:val="092E2100"/>
    <w:rsid w:val="093B0A5D"/>
    <w:rsid w:val="0A2D14EA"/>
    <w:rsid w:val="0A3E35FE"/>
    <w:rsid w:val="0A413537"/>
    <w:rsid w:val="0A70299C"/>
    <w:rsid w:val="0A7F55A7"/>
    <w:rsid w:val="0B712ED8"/>
    <w:rsid w:val="0B8C3FEE"/>
    <w:rsid w:val="0BB27E51"/>
    <w:rsid w:val="0BD974EF"/>
    <w:rsid w:val="0BF4406D"/>
    <w:rsid w:val="0C322C2A"/>
    <w:rsid w:val="0CAA0BDC"/>
    <w:rsid w:val="0D2052A8"/>
    <w:rsid w:val="0D500855"/>
    <w:rsid w:val="0DA84C76"/>
    <w:rsid w:val="0DC06448"/>
    <w:rsid w:val="0E217302"/>
    <w:rsid w:val="0E243F28"/>
    <w:rsid w:val="0E26072A"/>
    <w:rsid w:val="0E4253DD"/>
    <w:rsid w:val="0E5D2823"/>
    <w:rsid w:val="0E9F7757"/>
    <w:rsid w:val="0EA53D44"/>
    <w:rsid w:val="0EAF4BC3"/>
    <w:rsid w:val="0ECC5976"/>
    <w:rsid w:val="0F144C80"/>
    <w:rsid w:val="0F2410E0"/>
    <w:rsid w:val="0F2D68DB"/>
    <w:rsid w:val="0F320670"/>
    <w:rsid w:val="0F461F97"/>
    <w:rsid w:val="0FA7589A"/>
    <w:rsid w:val="0FE634D9"/>
    <w:rsid w:val="100D2800"/>
    <w:rsid w:val="1038246E"/>
    <w:rsid w:val="109F2D89"/>
    <w:rsid w:val="117B1AF1"/>
    <w:rsid w:val="117F1A5D"/>
    <w:rsid w:val="117F6755"/>
    <w:rsid w:val="11DA4C41"/>
    <w:rsid w:val="11DD0CA2"/>
    <w:rsid w:val="11EF51B8"/>
    <w:rsid w:val="12784C46"/>
    <w:rsid w:val="128656A0"/>
    <w:rsid w:val="129A33E8"/>
    <w:rsid w:val="12C614FA"/>
    <w:rsid w:val="12CE1692"/>
    <w:rsid w:val="1433428A"/>
    <w:rsid w:val="143845CC"/>
    <w:rsid w:val="14690B02"/>
    <w:rsid w:val="148D32B1"/>
    <w:rsid w:val="14B70353"/>
    <w:rsid w:val="14C667C2"/>
    <w:rsid w:val="156D5EA8"/>
    <w:rsid w:val="15D3591D"/>
    <w:rsid w:val="15DF0590"/>
    <w:rsid w:val="15E07E12"/>
    <w:rsid w:val="16126471"/>
    <w:rsid w:val="166C3C86"/>
    <w:rsid w:val="16970417"/>
    <w:rsid w:val="16A707EB"/>
    <w:rsid w:val="16AD7A00"/>
    <w:rsid w:val="16D25802"/>
    <w:rsid w:val="173F3748"/>
    <w:rsid w:val="17530D90"/>
    <w:rsid w:val="176178BE"/>
    <w:rsid w:val="17621808"/>
    <w:rsid w:val="178C3E5D"/>
    <w:rsid w:val="180C08CF"/>
    <w:rsid w:val="18637686"/>
    <w:rsid w:val="18BD3425"/>
    <w:rsid w:val="1A177985"/>
    <w:rsid w:val="1A2172A3"/>
    <w:rsid w:val="1A62400C"/>
    <w:rsid w:val="1A6E5659"/>
    <w:rsid w:val="1A9175A5"/>
    <w:rsid w:val="1B4A4AD7"/>
    <w:rsid w:val="1BB15EA1"/>
    <w:rsid w:val="1BB54D91"/>
    <w:rsid w:val="1BD02C35"/>
    <w:rsid w:val="1BDB2BE0"/>
    <w:rsid w:val="1C0D3B4C"/>
    <w:rsid w:val="1C214F61"/>
    <w:rsid w:val="1C8D4D99"/>
    <w:rsid w:val="1CE32EDE"/>
    <w:rsid w:val="1D0442AD"/>
    <w:rsid w:val="1D0B55C8"/>
    <w:rsid w:val="1D0C5A51"/>
    <w:rsid w:val="1D1234CF"/>
    <w:rsid w:val="1D3425E4"/>
    <w:rsid w:val="1D434E54"/>
    <w:rsid w:val="1DAA5B44"/>
    <w:rsid w:val="1DE47322"/>
    <w:rsid w:val="1DEB0C83"/>
    <w:rsid w:val="1E075E82"/>
    <w:rsid w:val="1E6605A0"/>
    <w:rsid w:val="1EDE0D77"/>
    <w:rsid w:val="2000071F"/>
    <w:rsid w:val="20144F4A"/>
    <w:rsid w:val="20671A8F"/>
    <w:rsid w:val="20776935"/>
    <w:rsid w:val="20B816B5"/>
    <w:rsid w:val="20CA13E8"/>
    <w:rsid w:val="20EF132C"/>
    <w:rsid w:val="210466A8"/>
    <w:rsid w:val="21120EF7"/>
    <w:rsid w:val="21346834"/>
    <w:rsid w:val="21CF08A6"/>
    <w:rsid w:val="21DD21F7"/>
    <w:rsid w:val="21DE3204"/>
    <w:rsid w:val="21E31BF3"/>
    <w:rsid w:val="21E43B89"/>
    <w:rsid w:val="221571A5"/>
    <w:rsid w:val="223C532A"/>
    <w:rsid w:val="2251510A"/>
    <w:rsid w:val="22BD5BC5"/>
    <w:rsid w:val="22D852E1"/>
    <w:rsid w:val="235C138F"/>
    <w:rsid w:val="235E1FCC"/>
    <w:rsid w:val="236A6460"/>
    <w:rsid w:val="237311CF"/>
    <w:rsid w:val="23D83075"/>
    <w:rsid w:val="240118A6"/>
    <w:rsid w:val="242B7B64"/>
    <w:rsid w:val="24392B0D"/>
    <w:rsid w:val="24EE1B49"/>
    <w:rsid w:val="25021151"/>
    <w:rsid w:val="250C70AB"/>
    <w:rsid w:val="251315B0"/>
    <w:rsid w:val="25171B2E"/>
    <w:rsid w:val="25197BEC"/>
    <w:rsid w:val="25250A0F"/>
    <w:rsid w:val="254C2D14"/>
    <w:rsid w:val="255C34BD"/>
    <w:rsid w:val="2562758B"/>
    <w:rsid w:val="2563200F"/>
    <w:rsid w:val="25E06747"/>
    <w:rsid w:val="26A72E83"/>
    <w:rsid w:val="273809E2"/>
    <w:rsid w:val="27627456"/>
    <w:rsid w:val="278D5E04"/>
    <w:rsid w:val="279324FC"/>
    <w:rsid w:val="27967722"/>
    <w:rsid w:val="27F5325D"/>
    <w:rsid w:val="27FE6595"/>
    <w:rsid w:val="281A00C3"/>
    <w:rsid w:val="28447E8C"/>
    <w:rsid w:val="28C835E5"/>
    <w:rsid w:val="28E65FDB"/>
    <w:rsid w:val="28E70ABB"/>
    <w:rsid w:val="293B27F4"/>
    <w:rsid w:val="29911949"/>
    <w:rsid w:val="29CB12AB"/>
    <w:rsid w:val="2A0C74EA"/>
    <w:rsid w:val="2A6F0DC0"/>
    <w:rsid w:val="2A824E30"/>
    <w:rsid w:val="2A8D5961"/>
    <w:rsid w:val="2A9A007E"/>
    <w:rsid w:val="2ABA258E"/>
    <w:rsid w:val="2AD208A6"/>
    <w:rsid w:val="2AFA6059"/>
    <w:rsid w:val="2B0B3933"/>
    <w:rsid w:val="2B0C5DE6"/>
    <w:rsid w:val="2BCF1FA9"/>
    <w:rsid w:val="2C1A5A00"/>
    <w:rsid w:val="2C2220D9"/>
    <w:rsid w:val="2C703B77"/>
    <w:rsid w:val="2C8C3497"/>
    <w:rsid w:val="2CBA04CF"/>
    <w:rsid w:val="2CCA5A8C"/>
    <w:rsid w:val="2D6964F2"/>
    <w:rsid w:val="2D8D3ECA"/>
    <w:rsid w:val="2E0C057F"/>
    <w:rsid w:val="2E401D3A"/>
    <w:rsid w:val="2E661321"/>
    <w:rsid w:val="2E9149F0"/>
    <w:rsid w:val="2E99612A"/>
    <w:rsid w:val="2EDF5099"/>
    <w:rsid w:val="2F024E91"/>
    <w:rsid w:val="2F09478D"/>
    <w:rsid w:val="2F145E97"/>
    <w:rsid w:val="2F5A1DCF"/>
    <w:rsid w:val="2F7C41F6"/>
    <w:rsid w:val="2FB37B99"/>
    <w:rsid w:val="2FF671B5"/>
    <w:rsid w:val="30190248"/>
    <w:rsid w:val="3049057C"/>
    <w:rsid w:val="305111DE"/>
    <w:rsid w:val="30AA08EF"/>
    <w:rsid w:val="30B77B59"/>
    <w:rsid w:val="30CD2F7B"/>
    <w:rsid w:val="31300ADC"/>
    <w:rsid w:val="31407597"/>
    <w:rsid w:val="3145271F"/>
    <w:rsid w:val="31707963"/>
    <w:rsid w:val="318C27AB"/>
    <w:rsid w:val="318F3D9C"/>
    <w:rsid w:val="321F5D5F"/>
    <w:rsid w:val="327E09BC"/>
    <w:rsid w:val="32886A6E"/>
    <w:rsid w:val="32905132"/>
    <w:rsid w:val="32970A2A"/>
    <w:rsid w:val="32A03F1A"/>
    <w:rsid w:val="32D078E4"/>
    <w:rsid w:val="330A2FC4"/>
    <w:rsid w:val="332421B3"/>
    <w:rsid w:val="33BE3FDF"/>
    <w:rsid w:val="33D939C5"/>
    <w:rsid w:val="343C3F54"/>
    <w:rsid w:val="34AC51A6"/>
    <w:rsid w:val="359C7FAD"/>
    <w:rsid w:val="359E12E6"/>
    <w:rsid w:val="35CD744A"/>
    <w:rsid w:val="369F5F1D"/>
    <w:rsid w:val="36EB68C5"/>
    <w:rsid w:val="37144D14"/>
    <w:rsid w:val="37413277"/>
    <w:rsid w:val="378A49BC"/>
    <w:rsid w:val="37C16C4A"/>
    <w:rsid w:val="37DB1E0D"/>
    <w:rsid w:val="37F05347"/>
    <w:rsid w:val="380848AD"/>
    <w:rsid w:val="387D567D"/>
    <w:rsid w:val="387E68E3"/>
    <w:rsid w:val="389205E6"/>
    <w:rsid w:val="392062FE"/>
    <w:rsid w:val="395835DE"/>
    <w:rsid w:val="3998618F"/>
    <w:rsid w:val="399E0AD9"/>
    <w:rsid w:val="39C363BC"/>
    <w:rsid w:val="39C37EFB"/>
    <w:rsid w:val="3A13542B"/>
    <w:rsid w:val="3A550208"/>
    <w:rsid w:val="3A8C1ED8"/>
    <w:rsid w:val="3A9B0AA0"/>
    <w:rsid w:val="3ADA1785"/>
    <w:rsid w:val="3AED269B"/>
    <w:rsid w:val="3B0E46F3"/>
    <w:rsid w:val="3B3E2C3D"/>
    <w:rsid w:val="3B4958D4"/>
    <w:rsid w:val="3BCF1ABD"/>
    <w:rsid w:val="3C031909"/>
    <w:rsid w:val="3C1829C6"/>
    <w:rsid w:val="3C3F7FEC"/>
    <w:rsid w:val="3C48551B"/>
    <w:rsid w:val="3C88242C"/>
    <w:rsid w:val="3CD43BC4"/>
    <w:rsid w:val="3CF33D49"/>
    <w:rsid w:val="3D127F47"/>
    <w:rsid w:val="3D8A131A"/>
    <w:rsid w:val="3D9E4E14"/>
    <w:rsid w:val="3DD1395F"/>
    <w:rsid w:val="3DFA6FAB"/>
    <w:rsid w:val="3E1506E8"/>
    <w:rsid w:val="3E8B53B9"/>
    <w:rsid w:val="3E952BDE"/>
    <w:rsid w:val="3EB97B3E"/>
    <w:rsid w:val="3EEE6E76"/>
    <w:rsid w:val="3EFE4D71"/>
    <w:rsid w:val="3F47404C"/>
    <w:rsid w:val="3F746C97"/>
    <w:rsid w:val="3FC4377B"/>
    <w:rsid w:val="3FF91BAC"/>
    <w:rsid w:val="401A783F"/>
    <w:rsid w:val="404256D4"/>
    <w:rsid w:val="405B2B93"/>
    <w:rsid w:val="40697096"/>
    <w:rsid w:val="40D45223"/>
    <w:rsid w:val="40EC25C0"/>
    <w:rsid w:val="40F054B2"/>
    <w:rsid w:val="41540B2E"/>
    <w:rsid w:val="41547687"/>
    <w:rsid w:val="417974B3"/>
    <w:rsid w:val="419F7C06"/>
    <w:rsid w:val="4220111A"/>
    <w:rsid w:val="42F4251F"/>
    <w:rsid w:val="4339622E"/>
    <w:rsid w:val="43CC0262"/>
    <w:rsid w:val="43D93B69"/>
    <w:rsid w:val="440700DA"/>
    <w:rsid w:val="44150A10"/>
    <w:rsid w:val="4453712E"/>
    <w:rsid w:val="44EC74A2"/>
    <w:rsid w:val="458E2D82"/>
    <w:rsid w:val="45C061DD"/>
    <w:rsid w:val="46361595"/>
    <w:rsid w:val="46564E04"/>
    <w:rsid w:val="46923AAD"/>
    <w:rsid w:val="46AA6669"/>
    <w:rsid w:val="470B7FFC"/>
    <w:rsid w:val="477B5067"/>
    <w:rsid w:val="47852CF6"/>
    <w:rsid w:val="47946129"/>
    <w:rsid w:val="47A02BFB"/>
    <w:rsid w:val="47B01491"/>
    <w:rsid w:val="47B501E3"/>
    <w:rsid w:val="47B95B8F"/>
    <w:rsid w:val="47E55FC5"/>
    <w:rsid w:val="47EE676B"/>
    <w:rsid w:val="47FF2387"/>
    <w:rsid w:val="480A0199"/>
    <w:rsid w:val="4838538A"/>
    <w:rsid w:val="484D486F"/>
    <w:rsid w:val="490B6CB9"/>
    <w:rsid w:val="4940377F"/>
    <w:rsid w:val="4A7B1870"/>
    <w:rsid w:val="4AF16A45"/>
    <w:rsid w:val="4B0B39E2"/>
    <w:rsid w:val="4B9D5208"/>
    <w:rsid w:val="4BC03720"/>
    <w:rsid w:val="4BE86376"/>
    <w:rsid w:val="4C066BB1"/>
    <w:rsid w:val="4C252474"/>
    <w:rsid w:val="4C5A4280"/>
    <w:rsid w:val="4CC823D1"/>
    <w:rsid w:val="4D0B7B1F"/>
    <w:rsid w:val="4D135614"/>
    <w:rsid w:val="4D1F46E6"/>
    <w:rsid w:val="4D84537C"/>
    <w:rsid w:val="4DCF3244"/>
    <w:rsid w:val="4E2222FD"/>
    <w:rsid w:val="4E367620"/>
    <w:rsid w:val="4E5519EB"/>
    <w:rsid w:val="4E5E1D88"/>
    <w:rsid w:val="4E7D7CEB"/>
    <w:rsid w:val="4E8B1DCF"/>
    <w:rsid w:val="4E8C17B1"/>
    <w:rsid w:val="4EAC3D58"/>
    <w:rsid w:val="4EB47CFA"/>
    <w:rsid w:val="4ED73E48"/>
    <w:rsid w:val="504D58C5"/>
    <w:rsid w:val="50637EE4"/>
    <w:rsid w:val="506F0440"/>
    <w:rsid w:val="50707C21"/>
    <w:rsid w:val="50B77834"/>
    <w:rsid w:val="51172743"/>
    <w:rsid w:val="511A1595"/>
    <w:rsid w:val="512F75E6"/>
    <w:rsid w:val="513D1645"/>
    <w:rsid w:val="52991067"/>
    <w:rsid w:val="533D292E"/>
    <w:rsid w:val="53690469"/>
    <w:rsid w:val="54106F8C"/>
    <w:rsid w:val="541A7EA4"/>
    <w:rsid w:val="541B6A7D"/>
    <w:rsid w:val="548F1A4A"/>
    <w:rsid w:val="54997541"/>
    <w:rsid w:val="54A601ED"/>
    <w:rsid w:val="54B752F8"/>
    <w:rsid w:val="54BB0937"/>
    <w:rsid w:val="54CF3D62"/>
    <w:rsid w:val="54DA61EF"/>
    <w:rsid w:val="54DD31AD"/>
    <w:rsid w:val="54F413E0"/>
    <w:rsid w:val="550F1801"/>
    <w:rsid w:val="55282F5D"/>
    <w:rsid w:val="55510D2B"/>
    <w:rsid w:val="55AD4AB0"/>
    <w:rsid w:val="56027BB5"/>
    <w:rsid w:val="560A2655"/>
    <w:rsid w:val="560B1CAC"/>
    <w:rsid w:val="5615339A"/>
    <w:rsid w:val="56307F1D"/>
    <w:rsid w:val="56336A87"/>
    <w:rsid w:val="56847156"/>
    <w:rsid w:val="57062473"/>
    <w:rsid w:val="570A6337"/>
    <w:rsid w:val="5722139A"/>
    <w:rsid w:val="572D760D"/>
    <w:rsid w:val="575D18C1"/>
    <w:rsid w:val="57641558"/>
    <w:rsid w:val="57904350"/>
    <w:rsid w:val="57912D31"/>
    <w:rsid w:val="57AC4DC9"/>
    <w:rsid w:val="57C027AC"/>
    <w:rsid w:val="57C3651F"/>
    <w:rsid w:val="57DC2711"/>
    <w:rsid w:val="58044C05"/>
    <w:rsid w:val="586C50CA"/>
    <w:rsid w:val="589557F6"/>
    <w:rsid w:val="58982153"/>
    <w:rsid w:val="59B61581"/>
    <w:rsid w:val="59DA0063"/>
    <w:rsid w:val="5A2D6502"/>
    <w:rsid w:val="5A304988"/>
    <w:rsid w:val="5A982B79"/>
    <w:rsid w:val="5AE96B75"/>
    <w:rsid w:val="5B255C3D"/>
    <w:rsid w:val="5BDE4CD1"/>
    <w:rsid w:val="5BF925A6"/>
    <w:rsid w:val="5C950B10"/>
    <w:rsid w:val="5CA20682"/>
    <w:rsid w:val="5CA428D4"/>
    <w:rsid w:val="5CB34B3C"/>
    <w:rsid w:val="5D283D21"/>
    <w:rsid w:val="5D2E6280"/>
    <w:rsid w:val="5D3E581D"/>
    <w:rsid w:val="5D504448"/>
    <w:rsid w:val="5D745395"/>
    <w:rsid w:val="5D8668E6"/>
    <w:rsid w:val="5DEE32C7"/>
    <w:rsid w:val="5E0C65C1"/>
    <w:rsid w:val="5E0D1B7E"/>
    <w:rsid w:val="5E131516"/>
    <w:rsid w:val="5E340C77"/>
    <w:rsid w:val="5E3E48D2"/>
    <w:rsid w:val="5E560453"/>
    <w:rsid w:val="5EA97D3F"/>
    <w:rsid w:val="5EEB7EF5"/>
    <w:rsid w:val="5F0E4F18"/>
    <w:rsid w:val="5F282FEC"/>
    <w:rsid w:val="5F360F60"/>
    <w:rsid w:val="5F6D3A62"/>
    <w:rsid w:val="5F6D6A80"/>
    <w:rsid w:val="5FC65F60"/>
    <w:rsid w:val="600532C8"/>
    <w:rsid w:val="604D37A0"/>
    <w:rsid w:val="605E1AB5"/>
    <w:rsid w:val="60606360"/>
    <w:rsid w:val="60994034"/>
    <w:rsid w:val="60C7316A"/>
    <w:rsid w:val="60CC6F82"/>
    <w:rsid w:val="60D14CFF"/>
    <w:rsid w:val="60FA17E8"/>
    <w:rsid w:val="61230B74"/>
    <w:rsid w:val="616E30EF"/>
    <w:rsid w:val="616F1BD9"/>
    <w:rsid w:val="6171498D"/>
    <w:rsid w:val="61CB60F3"/>
    <w:rsid w:val="61CE4CF9"/>
    <w:rsid w:val="6230613E"/>
    <w:rsid w:val="62C05CC9"/>
    <w:rsid w:val="62C24C94"/>
    <w:rsid w:val="62DE0779"/>
    <w:rsid w:val="631C5D5C"/>
    <w:rsid w:val="63956809"/>
    <w:rsid w:val="64BE132F"/>
    <w:rsid w:val="64D36553"/>
    <w:rsid w:val="64F967FE"/>
    <w:rsid w:val="65680C2C"/>
    <w:rsid w:val="65BC4419"/>
    <w:rsid w:val="662841B4"/>
    <w:rsid w:val="662F4331"/>
    <w:rsid w:val="66636F9A"/>
    <w:rsid w:val="66D47766"/>
    <w:rsid w:val="66D6776C"/>
    <w:rsid w:val="67584625"/>
    <w:rsid w:val="67833F83"/>
    <w:rsid w:val="67AF6EDF"/>
    <w:rsid w:val="67E64CED"/>
    <w:rsid w:val="68306BE8"/>
    <w:rsid w:val="684150B9"/>
    <w:rsid w:val="686D31BE"/>
    <w:rsid w:val="68CA3301"/>
    <w:rsid w:val="68CF44F7"/>
    <w:rsid w:val="69365ECE"/>
    <w:rsid w:val="69446FAE"/>
    <w:rsid w:val="694C598D"/>
    <w:rsid w:val="694D7A8E"/>
    <w:rsid w:val="69516B08"/>
    <w:rsid w:val="697B0A2F"/>
    <w:rsid w:val="69B37189"/>
    <w:rsid w:val="6A42336B"/>
    <w:rsid w:val="6ABA497E"/>
    <w:rsid w:val="6ABF33A3"/>
    <w:rsid w:val="6B3F63CE"/>
    <w:rsid w:val="6B4A5783"/>
    <w:rsid w:val="6B641C53"/>
    <w:rsid w:val="6BB86635"/>
    <w:rsid w:val="6BC77CA4"/>
    <w:rsid w:val="6C494E84"/>
    <w:rsid w:val="6C9C3206"/>
    <w:rsid w:val="6CB619AB"/>
    <w:rsid w:val="6D0A63C2"/>
    <w:rsid w:val="6D47473E"/>
    <w:rsid w:val="6D494D5B"/>
    <w:rsid w:val="6D723F67"/>
    <w:rsid w:val="6D8D0DA1"/>
    <w:rsid w:val="6DE44309"/>
    <w:rsid w:val="6E364F94"/>
    <w:rsid w:val="6E756EEB"/>
    <w:rsid w:val="6E95615F"/>
    <w:rsid w:val="6EA13A4A"/>
    <w:rsid w:val="6F214712"/>
    <w:rsid w:val="6F6A42F8"/>
    <w:rsid w:val="6FA52C0E"/>
    <w:rsid w:val="6FC552BF"/>
    <w:rsid w:val="70063284"/>
    <w:rsid w:val="708E6309"/>
    <w:rsid w:val="70E0090F"/>
    <w:rsid w:val="70EF406F"/>
    <w:rsid w:val="70F96C79"/>
    <w:rsid w:val="710444C8"/>
    <w:rsid w:val="71315854"/>
    <w:rsid w:val="71481AD4"/>
    <w:rsid w:val="72010C38"/>
    <w:rsid w:val="721D3BB5"/>
    <w:rsid w:val="722717C4"/>
    <w:rsid w:val="728A7937"/>
    <w:rsid w:val="73046184"/>
    <w:rsid w:val="73841D2D"/>
    <w:rsid w:val="743760FA"/>
    <w:rsid w:val="747D1888"/>
    <w:rsid w:val="749F4D6A"/>
    <w:rsid w:val="74AE4798"/>
    <w:rsid w:val="74D177C5"/>
    <w:rsid w:val="74EC2AB9"/>
    <w:rsid w:val="75096206"/>
    <w:rsid w:val="75535100"/>
    <w:rsid w:val="757E0F25"/>
    <w:rsid w:val="75901717"/>
    <w:rsid w:val="761B5DB9"/>
    <w:rsid w:val="76355F45"/>
    <w:rsid w:val="764737CE"/>
    <w:rsid w:val="76797310"/>
    <w:rsid w:val="76B32580"/>
    <w:rsid w:val="776D502D"/>
    <w:rsid w:val="77A2369A"/>
    <w:rsid w:val="77A64F39"/>
    <w:rsid w:val="77C81353"/>
    <w:rsid w:val="78527389"/>
    <w:rsid w:val="788D60F9"/>
    <w:rsid w:val="78B15948"/>
    <w:rsid w:val="790B4265"/>
    <w:rsid w:val="7919798C"/>
    <w:rsid w:val="79613933"/>
    <w:rsid w:val="79B17BC5"/>
    <w:rsid w:val="79D62C2D"/>
    <w:rsid w:val="79F9778F"/>
    <w:rsid w:val="7A293BFF"/>
    <w:rsid w:val="7A351F92"/>
    <w:rsid w:val="7A4A4D52"/>
    <w:rsid w:val="7A4F6F35"/>
    <w:rsid w:val="7A5722F1"/>
    <w:rsid w:val="7A9E4AEB"/>
    <w:rsid w:val="7B3D6BA2"/>
    <w:rsid w:val="7B472E05"/>
    <w:rsid w:val="7B4A68CB"/>
    <w:rsid w:val="7B4D2CB3"/>
    <w:rsid w:val="7B510A52"/>
    <w:rsid w:val="7B6E2211"/>
    <w:rsid w:val="7B843AF0"/>
    <w:rsid w:val="7BD76009"/>
    <w:rsid w:val="7BE61449"/>
    <w:rsid w:val="7C6E45E9"/>
    <w:rsid w:val="7C702224"/>
    <w:rsid w:val="7CB66D0D"/>
    <w:rsid w:val="7CF81176"/>
    <w:rsid w:val="7D0B74B4"/>
    <w:rsid w:val="7D68457D"/>
    <w:rsid w:val="7DED1951"/>
    <w:rsid w:val="7DFA5B73"/>
    <w:rsid w:val="7E2A1CB1"/>
    <w:rsid w:val="7E401E98"/>
    <w:rsid w:val="7E613920"/>
    <w:rsid w:val="7E7806C1"/>
    <w:rsid w:val="7EBE700C"/>
    <w:rsid w:val="7EC74CC5"/>
    <w:rsid w:val="7ED6157A"/>
    <w:rsid w:val="7EDE756B"/>
    <w:rsid w:val="7F0813B5"/>
    <w:rsid w:val="7F545136"/>
    <w:rsid w:val="7F626A71"/>
    <w:rsid w:val="7F9A1827"/>
    <w:rsid w:val="7FB01A9F"/>
    <w:rsid w:val="7FB36445"/>
    <w:rsid w:val="7FC54F63"/>
    <w:rsid w:val="7FD126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hint="eastAsia" w:ascii="Times New Roman" w:hAnsi="Times New Roman" w:eastAsia="宋体" w:cs="Times New Roman"/>
      <w:sz w:val="24"/>
      <w:lang w:val="en-US" w:eastAsia="zh-CN" w:bidi="ar-SA"/>
    </w:rPr>
  </w:style>
  <w:style w:type="paragraph" w:styleId="2">
    <w:name w:val="heading 1"/>
    <w:basedOn w:val="1"/>
    <w:qFormat/>
    <w:uiPriority w:val="1"/>
    <w:pPr>
      <w:spacing w:beforeLines="0" w:afterLines="0"/>
      <w:ind w:left="3887"/>
      <w:outlineLvl w:val="0"/>
    </w:pPr>
    <w:rPr>
      <w:rFonts w:hint="eastAsia" w:ascii="黑体" w:eastAsia="黑体"/>
      <w:sz w:val="72"/>
    </w:rPr>
  </w:style>
  <w:style w:type="paragraph" w:styleId="3">
    <w:name w:val="heading 2"/>
    <w:basedOn w:val="1"/>
    <w:next w:val="1"/>
    <w:qFormat/>
    <w:uiPriority w:val="1"/>
    <w:pPr>
      <w:spacing w:beforeLines="0" w:afterLines="0"/>
      <w:ind w:left="4227"/>
      <w:outlineLvl w:val="1"/>
    </w:pPr>
    <w:rPr>
      <w:rFonts w:hint="eastAsia" w:ascii="黑体" w:eastAsia="黑体"/>
      <w:sz w:val="44"/>
    </w:rPr>
  </w:style>
  <w:style w:type="paragraph" w:styleId="4">
    <w:name w:val="heading 3"/>
    <w:basedOn w:val="1"/>
    <w:qFormat/>
    <w:uiPriority w:val="1"/>
    <w:pPr>
      <w:spacing w:beforeLines="0" w:afterLines="0"/>
      <w:outlineLvl w:val="2"/>
    </w:pPr>
    <w:rPr>
      <w:rFonts w:hint="eastAsia" w:ascii="黑体" w:eastAsia="黑体"/>
      <w:sz w:val="36"/>
    </w:rPr>
  </w:style>
  <w:style w:type="paragraph" w:styleId="5">
    <w:name w:val="heading 4"/>
    <w:basedOn w:val="1"/>
    <w:next w:val="1"/>
    <w:qFormat/>
    <w:uiPriority w:val="1"/>
    <w:pPr>
      <w:spacing w:beforeLines="0" w:afterLines="0"/>
      <w:outlineLvl w:val="3"/>
    </w:pPr>
    <w:rPr>
      <w:rFonts w:hint="eastAsia" w:ascii="宋体"/>
      <w:b/>
      <w:sz w:val="32"/>
    </w:rPr>
  </w:style>
  <w:style w:type="paragraph" w:styleId="6">
    <w:name w:val="heading 5"/>
    <w:basedOn w:val="1"/>
    <w:next w:val="1"/>
    <w:qFormat/>
    <w:uiPriority w:val="1"/>
    <w:pPr>
      <w:spacing w:beforeLines="0" w:afterLines="0"/>
      <w:ind w:left="107"/>
      <w:outlineLvl w:val="4"/>
    </w:pPr>
    <w:rPr>
      <w:rFonts w:hint="eastAsia" w:ascii="黑体" w:eastAsia="黑体"/>
      <w:sz w:val="30"/>
    </w:rPr>
  </w:style>
  <w:style w:type="paragraph" w:styleId="7">
    <w:name w:val="heading 6"/>
    <w:basedOn w:val="1"/>
    <w:qFormat/>
    <w:uiPriority w:val="1"/>
    <w:pPr>
      <w:spacing w:beforeLines="0" w:afterLines="0"/>
      <w:ind w:left="1875"/>
      <w:outlineLvl w:val="5"/>
    </w:pPr>
    <w:rPr>
      <w:rFonts w:hint="eastAsia" w:ascii="宋体"/>
      <w:b/>
      <w:sz w:val="28"/>
    </w:rPr>
  </w:style>
  <w:style w:type="paragraph" w:styleId="8">
    <w:name w:val="heading 7"/>
    <w:basedOn w:val="1"/>
    <w:qFormat/>
    <w:uiPriority w:val="1"/>
    <w:pPr>
      <w:spacing w:beforeLines="0" w:afterLines="0"/>
      <w:ind w:left="117"/>
      <w:outlineLvl w:val="6"/>
    </w:pPr>
    <w:rPr>
      <w:rFonts w:hint="eastAsia" w:ascii="宋体"/>
      <w:sz w:val="24"/>
    </w:rPr>
  </w:style>
  <w:style w:type="paragraph" w:styleId="9">
    <w:name w:val="heading 8"/>
    <w:basedOn w:val="1"/>
    <w:qFormat/>
    <w:uiPriority w:val="1"/>
    <w:pPr>
      <w:spacing w:beforeLines="0" w:afterLines="0"/>
      <w:ind w:left="117"/>
      <w:outlineLvl w:val="7"/>
    </w:pPr>
    <w:rPr>
      <w:rFonts w:hint="eastAsia" w:ascii="宋体"/>
      <w:b/>
      <w:sz w:val="21"/>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440"/>
    </w:pPr>
    <w:rPr>
      <w:rFonts w:ascii="Calibri" w:hAnsi="Calibri" w:cs="Calibri"/>
      <w:sz w:val="18"/>
      <w:szCs w:val="18"/>
    </w:rPr>
  </w:style>
  <w:style w:type="paragraph" w:styleId="11">
    <w:name w:val="Normal Indent"/>
    <w:basedOn w:val="1"/>
    <w:link w:val="44"/>
    <w:qFormat/>
    <w:uiPriority w:val="0"/>
    <w:pPr>
      <w:widowControl/>
      <w:autoSpaceDE/>
      <w:autoSpaceDN/>
      <w:adjustRightInd/>
      <w:ind w:firstLine="420"/>
    </w:pPr>
    <w:rPr>
      <w:rFonts w:hint="default" w:ascii="宋体" w:hAnsi="Courier New"/>
      <w:sz w:val="20"/>
    </w:rPr>
  </w:style>
  <w:style w:type="paragraph" w:styleId="12">
    <w:name w:val="annotation text"/>
    <w:basedOn w:val="1"/>
    <w:link w:val="45"/>
    <w:unhideWhenUsed/>
    <w:qFormat/>
    <w:uiPriority w:val="99"/>
    <w:rPr>
      <w:rFonts w:hint="default"/>
    </w:rPr>
  </w:style>
  <w:style w:type="paragraph" w:styleId="13">
    <w:name w:val="Body Text"/>
    <w:basedOn w:val="1"/>
    <w:link w:val="46"/>
    <w:unhideWhenUsed/>
    <w:qFormat/>
    <w:uiPriority w:val="99"/>
    <w:pPr>
      <w:spacing w:beforeLines="0" w:afterLines="0"/>
      <w:ind w:left="537"/>
    </w:pPr>
    <w:rPr>
      <w:rFonts w:hint="default"/>
    </w:rPr>
  </w:style>
  <w:style w:type="paragraph" w:styleId="14">
    <w:name w:val="Body Text Indent"/>
    <w:basedOn w:val="1"/>
    <w:link w:val="47"/>
    <w:qFormat/>
    <w:uiPriority w:val="0"/>
    <w:pPr>
      <w:autoSpaceDE/>
      <w:autoSpaceDN/>
      <w:adjustRightInd/>
      <w:spacing w:after="120" w:line="360" w:lineRule="exact"/>
      <w:ind w:left="420" w:leftChars="200" w:firstLine="200" w:firstLineChars="200"/>
      <w:jc w:val="both"/>
    </w:pPr>
    <w:rPr>
      <w:rFonts w:hint="default"/>
      <w:kern w:val="2"/>
      <w:sz w:val="21"/>
      <w:szCs w:val="24"/>
    </w:rPr>
  </w:style>
  <w:style w:type="paragraph" w:styleId="15">
    <w:name w:val="toc 5"/>
    <w:basedOn w:val="1"/>
    <w:next w:val="1"/>
    <w:qFormat/>
    <w:uiPriority w:val="39"/>
    <w:pPr>
      <w:ind w:left="960"/>
    </w:pPr>
    <w:rPr>
      <w:rFonts w:ascii="Calibri" w:hAnsi="Calibri" w:cs="Calibri"/>
      <w:sz w:val="18"/>
      <w:szCs w:val="18"/>
    </w:rPr>
  </w:style>
  <w:style w:type="paragraph" w:styleId="16">
    <w:name w:val="toc 3"/>
    <w:basedOn w:val="1"/>
    <w:next w:val="1"/>
    <w:qFormat/>
    <w:uiPriority w:val="39"/>
    <w:pPr>
      <w:tabs>
        <w:tab w:val="left" w:pos="720"/>
        <w:tab w:val="right" w:leader="dot" w:pos="9498"/>
      </w:tabs>
    </w:pPr>
    <w:rPr>
      <w:rFonts w:ascii="Calibri" w:hAnsi="Calibri" w:cs="Calibri"/>
      <w:i/>
      <w:iCs/>
      <w:sz w:val="20"/>
    </w:rPr>
  </w:style>
  <w:style w:type="paragraph" w:styleId="17">
    <w:name w:val="Plain Text"/>
    <w:basedOn w:val="1"/>
    <w:next w:val="1"/>
    <w:link w:val="48"/>
    <w:qFormat/>
    <w:uiPriority w:val="0"/>
    <w:pPr>
      <w:autoSpaceDE/>
      <w:autoSpaceDN/>
      <w:adjustRightInd/>
      <w:jc w:val="both"/>
    </w:pPr>
    <w:rPr>
      <w:rFonts w:ascii="宋体" w:hAnsi="Courier New"/>
    </w:rPr>
  </w:style>
  <w:style w:type="paragraph" w:styleId="18">
    <w:name w:val="toc 8"/>
    <w:basedOn w:val="1"/>
    <w:next w:val="1"/>
    <w:qFormat/>
    <w:uiPriority w:val="39"/>
    <w:pPr>
      <w:ind w:left="1680"/>
    </w:pPr>
    <w:rPr>
      <w:rFonts w:ascii="Calibri" w:hAnsi="Calibri" w:cs="Calibri"/>
      <w:sz w:val="18"/>
      <w:szCs w:val="18"/>
    </w:rPr>
  </w:style>
  <w:style w:type="paragraph" w:styleId="19">
    <w:name w:val="Body Text Indent 2"/>
    <w:basedOn w:val="1"/>
    <w:link w:val="49"/>
    <w:unhideWhenUsed/>
    <w:qFormat/>
    <w:uiPriority w:val="99"/>
    <w:pPr>
      <w:spacing w:after="120" w:line="480" w:lineRule="auto"/>
      <w:ind w:left="420" w:leftChars="200"/>
    </w:pPr>
    <w:rPr>
      <w:rFonts w:hint="default"/>
    </w:rPr>
  </w:style>
  <w:style w:type="paragraph" w:styleId="20">
    <w:name w:val="Balloon Text"/>
    <w:basedOn w:val="1"/>
    <w:link w:val="50"/>
    <w:unhideWhenUsed/>
    <w:qFormat/>
    <w:uiPriority w:val="99"/>
    <w:rPr>
      <w:rFonts w:hint="default"/>
      <w:sz w:val="18"/>
      <w:szCs w:val="18"/>
    </w:rPr>
  </w:style>
  <w:style w:type="paragraph" w:styleId="21">
    <w:name w:val="footer"/>
    <w:basedOn w:val="1"/>
    <w:link w:val="51"/>
    <w:unhideWhenUsed/>
    <w:qFormat/>
    <w:uiPriority w:val="99"/>
    <w:pPr>
      <w:tabs>
        <w:tab w:val="center" w:pos="4153"/>
        <w:tab w:val="right" w:pos="8306"/>
      </w:tabs>
      <w:snapToGrid w:val="0"/>
      <w:spacing w:beforeLines="0" w:afterLines="0"/>
    </w:pPr>
    <w:rPr>
      <w:rFonts w:hint="default"/>
      <w:sz w:val="18"/>
    </w:rPr>
  </w:style>
  <w:style w:type="paragraph" w:styleId="22">
    <w:name w:val="header"/>
    <w:basedOn w:val="1"/>
    <w:link w:val="52"/>
    <w:unhideWhenUsed/>
    <w:qFormat/>
    <w:uiPriority w:val="99"/>
    <w:pPr>
      <w:pBdr>
        <w:bottom w:val="single" w:color="auto" w:sz="6" w:space="1"/>
      </w:pBdr>
      <w:tabs>
        <w:tab w:val="center" w:pos="4153"/>
        <w:tab w:val="right" w:pos="8306"/>
      </w:tabs>
      <w:snapToGrid w:val="0"/>
      <w:spacing w:beforeLines="0" w:afterLines="0"/>
      <w:jc w:val="center"/>
    </w:pPr>
    <w:rPr>
      <w:rFonts w:hint="default"/>
      <w:sz w:val="18"/>
    </w:rPr>
  </w:style>
  <w:style w:type="paragraph" w:styleId="23">
    <w:name w:val="toc 1"/>
    <w:basedOn w:val="1"/>
    <w:next w:val="1"/>
    <w:qFormat/>
    <w:uiPriority w:val="39"/>
    <w:pPr>
      <w:spacing w:before="120" w:after="120"/>
    </w:pPr>
    <w:rPr>
      <w:rFonts w:ascii="Calibri" w:hAnsi="Calibri" w:cs="Calibri"/>
      <w:b/>
      <w:bCs/>
      <w:caps/>
      <w:sz w:val="20"/>
    </w:rPr>
  </w:style>
  <w:style w:type="paragraph" w:styleId="24">
    <w:name w:val="toc 4"/>
    <w:basedOn w:val="1"/>
    <w:next w:val="1"/>
    <w:qFormat/>
    <w:uiPriority w:val="39"/>
    <w:pPr>
      <w:tabs>
        <w:tab w:val="right" w:leader="dot" w:pos="9498"/>
      </w:tabs>
    </w:pPr>
    <w:rPr>
      <w:rFonts w:ascii="Calibri" w:hAnsi="Calibri" w:cs="Calibri"/>
      <w:sz w:val="18"/>
      <w:szCs w:val="18"/>
    </w:rPr>
  </w:style>
  <w:style w:type="paragraph" w:styleId="25">
    <w:name w:val="toc 6"/>
    <w:basedOn w:val="1"/>
    <w:next w:val="1"/>
    <w:qFormat/>
    <w:uiPriority w:val="39"/>
    <w:pPr>
      <w:ind w:left="1200"/>
    </w:pPr>
    <w:rPr>
      <w:rFonts w:ascii="Calibri" w:hAnsi="Calibri" w:cs="Calibri"/>
      <w:sz w:val="18"/>
      <w:szCs w:val="18"/>
    </w:rPr>
  </w:style>
  <w:style w:type="paragraph" w:styleId="26">
    <w:name w:val="toc 2"/>
    <w:basedOn w:val="1"/>
    <w:next w:val="1"/>
    <w:unhideWhenUsed/>
    <w:qFormat/>
    <w:uiPriority w:val="39"/>
    <w:pPr>
      <w:ind w:left="240"/>
    </w:pPr>
    <w:rPr>
      <w:rFonts w:ascii="Calibri" w:hAnsi="Calibri" w:cs="Calibri"/>
      <w:smallCaps/>
      <w:sz w:val="20"/>
    </w:rPr>
  </w:style>
  <w:style w:type="paragraph" w:styleId="27">
    <w:name w:val="toc 9"/>
    <w:basedOn w:val="1"/>
    <w:next w:val="1"/>
    <w:qFormat/>
    <w:uiPriority w:val="39"/>
    <w:pPr>
      <w:ind w:left="1920"/>
    </w:pPr>
    <w:rPr>
      <w:rFonts w:ascii="Calibri" w:hAnsi="Calibri" w:cs="Calibri"/>
      <w:sz w:val="18"/>
      <w:szCs w:val="18"/>
    </w:rPr>
  </w:style>
  <w:style w:type="paragraph" w:styleId="28">
    <w:name w:val="Normal (Web)"/>
    <w:basedOn w:val="1"/>
    <w:qFormat/>
    <w:uiPriority w:val="99"/>
    <w:pPr>
      <w:widowControl/>
      <w:spacing w:before="100" w:beforeAutospacing="1" w:after="100" w:afterAutospacing="1"/>
      <w:jc w:val="left"/>
    </w:pPr>
    <w:rPr>
      <w:rFonts w:ascii="宋体"/>
      <w:kern w:val="0"/>
      <w:sz w:val="24"/>
    </w:rPr>
  </w:style>
  <w:style w:type="paragraph" w:styleId="29">
    <w:name w:val="annotation subject"/>
    <w:basedOn w:val="12"/>
    <w:next w:val="12"/>
    <w:link w:val="53"/>
    <w:unhideWhenUsed/>
    <w:qFormat/>
    <w:uiPriority w:val="99"/>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unhideWhenUsed/>
    <w:qFormat/>
    <w:uiPriority w:val="99"/>
    <w:rPr>
      <w:color w:val="000000"/>
      <w:u w:val="none"/>
    </w:rPr>
  </w:style>
  <w:style w:type="character" w:styleId="34">
    <w:name w:val="HTML Definition"/>
    <w:basedOn w:val="32"/>
    <w:unhideWhenUsed/>
    <w:qFormat/>
    <w:uiPriority w:val="99"/>
  </w:style>
  <w:style w:type="character" w:styleId="35">
    <w:name w:val="HTML Typewriter"/>
    <w:basedOn w:val="32"/>
    <w:unhideWhenUsed/>
    <w:qFormat/>
    <w:uiPriority w:val="99"/>
    <w:rPr>
      <w:rFonts w:ascii="monospace" w:hAnsi="monospace" w:eastAsia="monospace" w:cs="monospace"/>
      <w:sz w:val="20"/>
    </w:rPr>
  </w:style>
  <w:style w:type="character" w:styleId="36">
    <w:name w:val="HTML Acronym"/>
    <w:basedOn w:val="32"/>
    <w:unhideWhenUsed/>
    <w:qFormat/>
    <w:uiPriority w:val="99"/>
  </w:style>
  <w:style w:type="character" w:styleId="37">
    <w:name w:val="HTML Variable"/>
    <w:basedOn w:val="32"/>
    <w:unhideWhenUsed/>
    <w:qFormat/>
    <w:uiPriority w:val="99"/>
  </w:style>
  <w:style w:type="character" w:styleId="38">
    <w:name w:val="Hyperlink"/>
    <w:unhideWhenUsed/>
    <w:qFormat/>
    <w:uiPriority w:val="99"/>
    <w:rPr>
      <w:color w:val="000000"/>
      <w:u w:val="none"/>
    </w:rPr>
  </w:style>
  <w:style w:type="character" w:styleId="39">
    <w:name w:val="HTML Code"/>
    <w:basedOn w:val="32"/>
    <w:unhideWhenUsed/>
    <w:qFormat/>
    <w:uiPriority w:val="99"/>
    <w:rPr>
      <w:rFonts w:hint="default" w:ascii="monospace" w:hAnsi="monospace" w:eastAsia="monospace" w:cs="monospace"/>
      <w:sz w:val="20"/>
    </w:rPr>
  </w:style>
  <w:style w:type="character" w:styleId="40">
    <w:name w:val="annotation reference"/>
    <w:unhideWhenUsed/>
    <w:qFormat/>
    <w:uiPriority w:val="99"/>
    <w:rPr>
      <w:sz w:val="21"/>
      <w:szCs w:val="21"/>
    </w:rPr>
  </w:style>
  <w:style w:type="character" w:styleId="41">
    <w:name w:val="HTML Cite"/>
    <w:basedOn w:val="32"/>
    <w:unhideWhenUsed/>
    <w:qFormat/>
    <w:uiPriority w:val="99"/>
  </w:style>
  <w:style w:type="character" w:styleId="42">
    <w:name w:val="HTML Keyboard"/>
    <w:basedOn w:val="32"/>
    <w:unhideWhenUsed/>
    <w:qFormat/>
    <w:uiPriority w:val="99"/>
    <w:rPr>
      <w:rFonts w:hint="default" w:ascii="monospace" w:hAnsi="monospace" w:eastAsia="monospace" w:cs="monospace"/>
      <w:sz w:val="20"/>
    </w:rPr>
  </w:style>
  <w:style w:type="character" w:styleId="43">
    <w:name w:val="HTML Sample"/>
    <w:basedOn w:val="32"/>
    <w:unhideWhenUsed/>
    <w:qFormat/>
    <w:uiPriority w:val="99"/>
    <w:rPr>
      <w:rFonts w:hint="default" w:ascii="monospace" w:hAnsi="monospace" w:eastAsia="monospace" w:cs="monospace"/>
    </w:rPr>
  </w:style>
  <w:style w:type="character" w:customStyle="1" w:styleId="44">
    <w:name w:val="正文缩进 Char"/>
    <w:link w:val="11"/>
    <w:qFormat/>
    <w:uiPriority w:val="0"/>
    <w:rPr>
      <w:rFonts w:ascii="宋体" w:hAnsi="Courier New"/>
    </w:rPr>
  </w:style>
  <w:style w:type="character" w:customStyle="1" w:styleId="45">
    <w:name w:val="批注文字 Char"/>
    <w:link w:val="12"/>
    <w:qFormat/>
    <w:uiPriority w:val="99"/>
    <w:rPr>
      <w:sz w:val="24"/>
    </w:rPr>
  </w:style>
  <w:style w:type="character" w:customStyle="1" w:styleId="46">
    <w:name w:val="正文文本 Char"/>
    <w:link w:val="13"/>
    <w:unhideWhenUsed/>
    <w:qFormat/>
    <w:locked/>
    <w:uiPriority w:val="99"/>
    <w:rPr>
      <w:rFonts w:hint="default" w:ascii="Times New Roman"/>
      <w:sz w:val="24"/>
    </w:rPr>
  </w:style>
  <w:style w:type="character" w:customStyle="1" w:styleId="47">
    <w:name w:val="正文文本缩进 Char"/>
    <w:link w:val="14"/>
    <w:qFormat/>
    <w:uiPriority w:val="0"/>
    <w:rPr>
      <w:kern w:val="2"/>
      <w:sz w:val="21"/>
      <w:szCs w:val="24"/>
    </w:rPr>
  </w:style>
  <w:style w:type="character" w:customStyle="1" w:styleId="48">
    <w:name w:val="纯文本 Char"/>
    <w:link w:val="17"/>
    <w:unhideWhenUsed/>
    <w:qFormat/>
    <w:locked/>
    <w:uiPriority w:val="0"/>
    <w:rPr>
      <w:rFonts w:hint="eastAsia" w:ascii="宋体" w:hAnsi="Courier New" w:eastAsia="宋体"/>
      <w:sz w:val="24"/>
    </w:rPr>
  </w:style>
  <w:style w:type="character" w:customStyle="1" w:styleId="49">
    <w:name w:val="正文文本缩进 2 Char"/>
    <w:link w:val="19"/>
    <w:semiHidden/>
    <w:qFormat/>
    <w:uiPriority w:val="99"/>
    <w:rPr>
      <w:sz w:val="24"/>
    </w:rPr>
  </w:style>
  <w:style w:type="character" w:customStyle="1" w:styleId="50">
    <w:name w:val="批注框文本 Char"/>
    <w:link w:val="20"/>
    <w:semiHidden/>
    <w:qFormat/>
    <w:uiPriority w:val="99"/>
    <w:rPr>
      <w:sz w:val="18"/>
      <w:szCs w:val="18"/>
    </w:rPr>
  </w:style>
  <w:style w:type="character" w:customStyle="1" w:styleId="51">
    <w:name w:val="页脚 Char"/>
    <w:link w:val="21"/>
    <w:unhideWhenUsed/>
    <w:qFormat/>
    <w:locked/>
    <w:uiPriority w:val="99"/>
    <w:rPr>
      <w:rFonts w:hint="default" w:ascii="Times New Roman"/>
      <w:sz w:val="18"/>
    </w:rPr>
  </w:style>
  <w:style w:type="character" w:customStyle="1" w:styleId="52">
    <w:name w:val="页眉 Char"/>
    <w:link w:val="22"/>
    <w:unhideWhenUsed/>
    <w:qFormat/>
    <w:locked/>
    <w:uiPriority w:val="99"/>
    <w:rPr>
      <w:rFonts w:hint="default" w:ascii="Times New Roman"/>
      <w:sz w:val="18"/>
    </w:rPr>
  </w:style>
  <w:style w:type="character" w:customStyle="1" w:styleId="53">
    <w:name w:val="批注主题 Char"/>
    <w:link w:val="29"/>
    <w:semiHidden/>
    <w:qFormat/>
    <w:uiPriority w:val="99"/>
    <w:rPr>
      <w:b/>
      <w:bCs/>
      <w:sz w:val="24"/>
    </w:rPr>
  </w:style>
  <w:style w:type="paragraph" w:customStyle="1" w:styleId="54">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55">
    <w:name w:val="bds_nopic2"/>
    <w:qFormat/>
    <w:uiPriority w:val="0"/>
  </w:style>
  <w:style w:type="character" w:customStyle="1" w:styleId="56">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57">
    <w:name w:val="bds_more1"/>
    <w:qFormat/>
    <w:uiPriority w:val="0"/>
  </w:style>
  <w:style w:type="character" w:customStyle="1" w:styleId="58">
    <w:name w:val="标题 #7_"/>
    <w:link w:val="59"/>
    <w:qFormat/>
    <w:locked/>
    <w:uiPriority w:val="0"/>
    <w:rPr>
      <w:rFonts w:ascii="MingLiU" w:hAnsi="MingLiU" w:eastAsia="MingLiU"/>
      <w:spacing w:val="30"/>
      <w:sz w:val="26"/>
      <w:szCs w:val="26"/>
      <w:shd w:val="clear" w:color="auto" w:fill="FFFFFF"/>
    </w:rPr>
  </w:style>
  <w:style w:type="paragraph" w:customStyle="1" w:styleId="59">
    <w:name w:val="标题 #7"/>
    <w:basedOn w:val="1"/>
    <w:link w:val="58"/>
    <w:qFormat/>
    <w:uiPriority w:val="0"/>
    <w:pPr>
      <w:shd w:val="clear" w:color="auto" w:fill="FFFFFF"/>
      <w:autoSpaceDE/>
      <w:autoSpaceDN/>
      <w:adjustRightInd/>
      <w:spacing w:before="540" w:after="540" w:line="240" w:lineRule="atLeast"/>
      <w:jc w:val="center"/>
      <w:outlineLvl w:val="6"/>
    </w:pPr>
    <w:rPr>
      <w:rFonts w:hint="default" w:ascii="MingLiU" w:hAnsi="MingLiU" w:eastAsia="MingLiU"/>
      <w:spacing w:val="30"/>
      <w:sz w:val="26"/>
      <w:szCs w:val="26"/>
      <w:shd w:val="clear" w:color="auto" w:fill="FFFFFF"/>
    </w:rPr>
  </w:style>
  <w:style w:type="character" w:customStyle="1" w:styleId="60">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61">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62">
    <w:name w:val="Char Char"/>
    <w:qFormat/>
    <w:locked/>
    <w:uiPriority w:val="0"/>
    <w:rPr>
      <w:rFonts w:ascii="宋体" w:hAnsi="Courier New" w:eastAsia="宋体"/>
      <w:lang w:bidi="ar-SA"/>
    </w:rPr>
  </w:style>
  <w:style w:type="character" w:customStyle="1" w:styleId="63">
    <w:name w:val="bds_more"/>
    <w:qFormat/>
    <w:uiPriority w:val="0"/>
    <w:rPr>
      <w:rFonts w:hint="eastAsia" w:ascii="宋体" w:hAnsi="宋体" w:eastAsia="宋体" w:cs="宋体"/>
    </w:rPr>
  </w:style>
  <w:style w:type="character" w:customStyle="1" w:styleId="64">
    <w:name w:val="正文文本 (42)_"/>
    <w:link w:val="65"/>
    <w:qFormat/>
    <w:locked/>
    <w:uiPriority w:val="0"/>
    <w:rPr>
      <w:rFonts w:ascii="MingLiU" w:hAnsi="MingLiU" w:eastAsia="MingLiU"/>
      <w:b/>
      <w:bCs/>
      <w:shd w:val="clear" w:color="auto" w:fill="FFFFFF"/>
    </w:rPr>
  </w:style>
  <w:style w:type="paragraph" w:customStyle="1" w:styleId="65">
    <w:name w:val="正文文本 (42)1"/>
    <w:basedOn w:val="1"/>
    <w:link w:val="64"/>
    <w:qFormat/>
    <w:uiPriority w:val="0"/>
    <w:pPr>
      <w:shd w:val="clear" w:color="auto" w:fill="FFFFFF"/>
      <w:autoSpaceDE/>
      <w:autoSpaceDN/>
      <w:adjustRightInd/>
      <w:spacing w:line="398" w:lineRule="exact"/>
      <w:jc w:val="distribute"/>
    </w:pPr>
    <w:rPr>
      <w:rFonts w:hint="default" w:ascii="MingLiU" w:hAnsi="MingLiU" w:eastAsia="MingLiU"/>
      <w:b/>
      <w:bCs/>
      <w:sz w:val="20"/>
    </w:rPr>
  </w:style>
  <w:style w:type="character" w:customStyle="1" w:styleId="66">
    <w:name w:val="正文文本 (2) + 间距 7 pt"/>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67">
    <w:name w:val="正文文本 (14)_"/>
    <w:link w:val="68"/>
    <w:qFormat/>
    <w:uiPriority w:val="0"/>
    <w:rPr>
      <w:rFonts w:ascii="MingLiU" w:hAnsi="MingLiU" w:eastAsia="MingLiU"/>
      <w:sz w:val="18"/>
      <w:szCs w:val="18"/>
      <w:shd w:val="clear" w:color="auto" w:fill="FFFFFF"/>
    </w:rPr>
  </w:style>
  <w:style w:type="paragraph" w:customStyle="1" w:styleId="68">
    <w:name w:val="正文文本 (14)"/>
    <w:basedOn w:val="1"/>
    <w:link w:val="67"/>
    <w:qFormat/>
    <w:uiPriority w:val="0"/>
    <w:pPr>
      <w:shd w:val="clear" w:color="auto" w:fill="FFFFFF"/>
      <w:autoSpaceDE/>
      <w:autoSpaceDN/>
      <w:adjustRightInd/>
      <w:spacing w:before="300" w:line="300" w:lineRule="exact"/>
      <w:jc w:val="distribute"/>
    </w:pPr>
    <w:rPr>
      <w:rFonts w:hint="default" w:ascii="MingLiU" w:hAnsi="MingLiU" w:eastAsia="MingLiU"/>
      <w:sz w:val="18"/>
      <w:szCs w:val="18"/>
      <w:shd w:val="clear" w:color="auto" w:fill="FFFFFF"/>
    </w:rPr>
  </w:style>
  <w:style w:type="character" w:customStyle="1" w:styleId="69">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70">
    <w:name w:val="标题 #8_"/>
    <w:link w:val="71"/>
    <w:qFormat/>
    <w:uiPriority w:val="0"/>
    <w:rPr>
      <w:rFonts w:ascii="MingLiU" w:hAnsi="MingLiU" w:eastAsia="MingLiU"/>
      <w:b/>
      <w:bCs/>
      <w:spacing w:val="10"/>
      <w:sz w:val="22"/>
      <w:szCs w:val="22"/>
      <w:shd w:val="clear" w:color="auto" w:fill="FFFFFF"/>
    </w:rPr>
  </w:style>
  <w:style w:type="paragraph" w:customStyle="1" w:styleId="71">
    <w:name w:val="标题 #8"/>
    <w:basedOn w:val="1"/>
    <w:link w:val="70"/>
    <w:qFormat/>
    <w:uiPriority w:val="0"/>
    <w:pPr>
      <w:shd w:val="clear" w:color="auto" w:fill="FFFFFF"/>
      <w:autoSpaceDE/>
      <w:autoSpaceDN/>
      <w:adjustRightInd/>
      <w:spacing w:before="120" w:after="420" w:line="0" w:lineRule="atLeast"/>
      <w:outlineLvl w:val="7"/>
    </w:pPr>
    <w:rPr>
      <w:rFonts w:hint="default" w:ascii="MingLiU" w:hAnsi="MingLiU" w:eastAsia="MingLiU"/>
      <w:b/>
      <w:bCs/>
      <w:spacing w:val="10"/>
      <w:sz w:val="22"/>
      <w:szCs w:val="22"/>
      <w:shd w:val="clear" w:color="auto" w:fill="FFFFFF"/>
    </w:rPr>
  </w:style>
  <w:style w:type="character" w:customStyle="1" w:styleId="72">
    <w:name w:val="正文文本 (19)_"/>
    <w:link w:val="73"/>
    <w:qFormat/>
    <w:uiPriority w:val="0"/>
    <w:rPr>
      <w:rFonts w:ascii="MingLiU" w:hAnsi="MingLiU" w:eastAsia="MingLiU"/>
      <w:b/>
      <w:bCs/>
      <w:spacing w:val="10"/>
      <w:sz w:val="22"/>
      <w:szCs w:val="22"/>
      <w:shd w:val="clear" w:color="auto" w:fill="FFFFFF"/>
    </w:rPr>
  </w:style>
  <w:style w:type="paragraph" w:customStyle="1" w:styleId="73">
    <w:name w:val="正文文本 (19)"/>
    <w:basedOn w:val="1"/>
    <w:link w:val="72"/>
    <w:qFormat/>
    <w:uiPriority w:val="0"/>
    <w:pPr>
      <w:shd w:val="clear" w:color="auto" w:fill="FFFFFF"/>
      <w:autoSpaceDE/>
      <w:autoSpaceDN/>
      <w:adjustRightInd/>
      <w:spacing w:line="559" w:lineRule="exact"/>
    </w:pPr>
    <w:rPr>
      <w:rFonts w:hint="default" w:ascii="MingLiU" w:hAnsi="MingLiU" w:eastAsia="MingLiU"/>
      <w:b/>
      <w:bCs/>
      <w:spacing w:val="10"/>
      <w:sz w:val="22"/>
      <w:szCs w:val="22"/>
      <w:shd w:val="clear" w:color="auto" w:fill="FFFFFF"/>
    </w:rPr>
  </w:style>
  <w:style w:type="character" w:customStyle="1" w:styleId="74">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75">
    <w:name w:val="目录 (2) + 间距 0 pt"/>
    <w:qFormat/>
    <w:uiPriority w:val="0"/>
    <w:rPr>
      <w:rFonts w:ascii="MingLiU" w:hAnsi="MingLiU" w:eastAsia="MingLiU" w:cs="MingLiU"/>
      <w:color w:val="000000"/>
      <w:spacing w:val="0"/>
      <w:w w:val="100"/>
      <w:position w:val="0"/>
      <w:sz w:val="22"/>
      <w:szCs w:val="22"/>
      <w:u w:val="none"/>
      <w:lang w:val="zh-CN" w:eastAsia="zh-CN"/>
    </w:rPr>
  </w:style>
  <w:style w:type="character" w:customStyle="1" w:styleId="76">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77">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78">
    <w:name w:val="bds_nopic"/>
    <w:qFormat/>
    <w:uiPriority w:val="0"/>
  </w:style>
  <w:style w:type="character" w:customStyle="1" w:styleId="79">
    <w:name w:val="标题 #7 (4) + 间距 7 pt"/>
    <w:qFormat/>
    <w:uiPriority w:val="0"/>
    <w:rPr>
      <w:rFonts w:ascii="MingLiU" w:hAnsi="MingLiU" w:eastAsia="MingLiU"/>
      <w:color w:val="000000"/>
      <w:spacing w:val="140"/>
      <w:w w:val="100"/>
      <w:position w:val="0"/>
      <w:sz w:val="26"/>
      <w:szCs w:val="26"/>
      <w:lang w:val="zh-CN" w:eastAsia="zh-CN" w:bidi="ar-SA"/>
    </w:rPr>
  </w:style>
  <w:style w:type="character" w:customStyle="1" w:styleId="80">
    <w:name w:val="目录 + 间距 -2 pt"/>
    <w:qFormat/>
    <w:uiPriority w:val="0"/>
    <w:rPr>
      <w:rFonts w:eastAsia="宋体"/>
      <w:color w:val="000000"/>
      <w:spacing w:val="-40"/>
      <w:w w:val="100"/>
      <w:kern w:val="2"/>
      <w:position w:val="0"/>
      <w:sz w:val="28"/>
      <w:szCs w:val="24"/>
      <w:lang w:val="zh-CN" w:eastAsia="zh-CN" w:bidi="ar-SA"/>
    </w:rPr>
  </w:style>
  <w:style w:type="character" w:customStyle="1" w:styleId="81">
    <w:name w:val="标题 #7 (5)_"/>
    <w:link w:val="82"/>
    <w:qFormat/>
    <w:locked/>
    <w:uiPriority w:val="0"/>
    <w:rPr>
      <w:rFonts w:ascii="MingLiU" w:hAnsi="MingLiU" w:eastAsia="MingLiU"/>
      <w:spacing w:val="50"/>
      <w:sz w:val="30"/>
      <w:szCs w:val="30"/>
      <w:shd w:val="clear" w:color="auto" w:fill="FFFFFF"/>
    </w:rPr>
  </w:style>
  <w:style w:type="paragraph" w:customStyle="1" w:styleId="82">
    <w:name w:val="标题 #7 (5)"/>
    <w:basedOn w:val="1"/>
    <w:link w:val="81"/>
    <w:qFormat/>
    <w:uiPriority w:val="0"/>
    <w:pPr>
      <w:shd w:val="clear" w:color="auto" w:fill="FFFFFF"/>
      <w:autoSpaceDE/>
      <w:autoSpaceDN/>
      <w:adjustRightInd/>
      <w:spacing w:line="559" w:lineRule="exact"/>
      <w:outlineLvl w:val="6"/>
    </w:pPr>
    <w:rPr>
      <w:rFonts w:hint="default" w:ascii="MingLiU" w:hAnsi="MingLiU" w:eastAsia="MingLiU"/>
      <w:spacing w:val="50"/>
      <w:sz w:val="30"/>
      <w:szCs w:val="30"/>
    </w:rPr>
  </w:style>
  <w:style w:type="character" w:customStyle="1" w:styleId="83">
    <w:name w:val="bds_nopic1"/>
    <w:qFormat/>
    <w:uiPriority w:val="0"/>
  </w:style>
  <w:style w:type="character" w:customStyle="1" w:styleId="84">
    <w:name w:val="标题 #8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85">
    <w:name w:val="标题 #7 (4)_"/>
    <w:link w:val="86"/>
    <w:qFormat/>
    <w:locked/>
    <w:uiPriority w:val="0"/>
    <w:rPr>
      <w:rFonts w:ascii="MingLiU" w:hAnsi="MingLiU" w:eastAsia="MingLiU"/>
      <w:sz w:val="26"/>
      <w:szCs w:val="26"/>
      <w:shd w:val="clear" w:color="auto" w:fill="FFFFFF"/>
    </w:rPr>
  </w:style>
  <w:style w:type="paragraph" w:customStyle="1" w:styleId="86">
    <w:name w:val="标题 #7 (4)"/>
    <w:basedOn w:val="1"/>
    <w:link w:val="85"/>
    <w:qFormat/>
    <w:uiPriority w:val="0"/>
    <w:pPr>
      <w:shd w:val="clear" w:color="auto" w:fill="FFFFFF"/>
      <w:autoSpaceDE/>
      <w:autoSpaceDN/>
      <w:adjustRightInd/>
      <w:spacing w:after="1020" w:line="240" w:lineRule="atLeast"/>
      <w:outlineLvl w:val="6"/>
    </w:pPr>
    <w:rPr>
      <w:rFonts w:hint="default" w:ascii="MingLiU" w:hAnsi="MingLiU" w:eastAsia="MingLiU"/>
      <w:sz w:val="26"/>
      <w:szCs w:val="26"/>
    </w:rPr>
  </w:style>
  <w:style w:type="character" w:customStyle="1" w:styleId="87">
    <w:name w:val="bds_more2"/>
    <w:qFormat/>
    <w:uiPriority w:val="0"/>
  </w:style>
  <w:style w:type="character" w:customStyle="1" w:styleId="88">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89">
    <w:name w:val="正文文本 (5)_"/>
    <w:link w:val="90"/>
    <w:qFormat/>
    <w:uiPriority w:val="0"/>
    <w:rPr>
      <w:rFonts w:ascii="MingLiU" w:hAnsi="MingLiU" w:eastAsia="MingLiU"/>
      <w:shd w:val="clear" w:color="auto" w:fill="FFFFFF"/>
    </w:rPr>
  </w:style>
  <w:style w:type="paragraph" w:customStyle="1" w:styleId="90">
    <w:name w:val="正文文本 (5)"/>
    <w:basedOn w:val="1"/>
    <w:link w:val="89"/>
    <w:qFormat/>
    <w:uiPriority w:val="0"/>
    <w:pPr>
      <w:shd w:val="clear" w:color="auto" w:fill="FFFFFF"/>
      <w:autoSpaceDE/>
      <w:autoSpaceDN/>
      <w:adjustRightInd/>
      <w:spacing w:before="5100" w:line="0" w:lineRule="atLeast"/>
    </w:pPr>
    <w:rPr>
      <w:rFonts w:hint="default" w:ascii="MingLiU" w:hAnsi="MingLiU" w:eastAsia="MingLiU"/>
      <w:sz w:val="20"/>
      <w:shd w:val="clear" w:color="auto" w:fill="FFFFFF"/>
    </w:rPr>
  </w:style>
  <w:style w:type="character" w:customStyle="1" w:styleId="91">
    <w:name w:val="正文文本 (2)_"/>
    <w:link w:val="92"/>
    <w:qFormat/>
    <w:uiPriority w:val="0"/>
    <w:rPr>
      <w:rFonts w:ascii="MingLiU" w:hAnsi="MingLiU" w:eastAsia="MingLiU"/>
      <w:spacing w:val="20"/>
      <w:sz w:val="22"/>
      <w:szCs w:val="22"/>
      <w:shd w:val="clear" w:color="auto" w:fill="FFFFFF"/>
    </w:rPr>
  </w:style>
  <w:style w:type="paragraph" w:customStyle="1" w:styleId="92">
    <w:name w:val="正文文本 (2)4"/>
    <w:basedOn w:val="1"/>
    <w:link w:val="91"/>
    <w:qFormat/>
    <w:uiPriority w:val="0"/>
    <w:pPr>
      <w:shd w:val="clear" w:color="auto" w:fill="FFFFFF"/>
      <w:autoSpaceDE/>
      <w:autoSpaceDN/>
      <w:adjustRightInd/>
      <w:spacing w:before="300" w:line="439" w:lineRule="exact"/>
      <w:jc w:val="distribute"/>
    </w:pPr>
    <w:rPr>
      <w:rFonts w:hint="default" w:ascii="MingLiU" w:hAnsi="MingLiU" w:eastAsia="MingLiU"/>
      <w:spacing w:val="20"/>
      <w:sz w:val="22"/>
      <w:szCs w:val="22"/>
      <w:shd w:val="clear" w:color="auto" w:fill="FFFFFF"/>
    </w:rPr>
  </w:style>
  <w:style w:type="character" w:customStyle="1" w:styleId="93">
    <w:name w:val="纯文本 Char1"/>
    <w:link w:val="94"/>
    <w:unhideWhenUsed/>
    <w:qFormat/>
    <w:locked/>
    <w:uiPriority w:val="0"/>
    <w:rPr>
      <w:rFonts w:hint="eastAsia" w:ascii="宋体" w:hAnsi="Courier New" w:eastAsia="宋体"/>
      <w:sz w:val="24"/>
    </w:rPr>
  </w:style>
  <w:style w:type="paragraph" w:customStyle="1" w:styleId="94">
    <w:name w:val="纯文本1"/>
    <w:basedOn w:val="1"/>
    <w:link w:val="93"/>
    <w:unhideWhenUsed/>
    <w:qFormat/>
    <w:uiPriority w:val="0"/>
    <w:pPr>
      <w:autoSpaceDE/>
      <w:autoSpaceDN/>
      <w:adjustRightInd/>
      <w:spacing w:beforeLines="0" w:afterLines="0"/>
      <w:jc w:val="both"/>
    </w:pPr>
    <w:rPr>
      <w:rFonts w:ascii="宋体" w:hAnsi="Courier New"/>
    </w:rPr>
  </w:style>
  <w:style w:type="character" w:customStyle="1" w:styleId="95">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96">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97">
    <w:name w:val="正文文本 (42)"/>
    <w:qFormat/>
    <w:uiPriority w:val="0"/>
    <w:rPr>
      <w:rFonts w:ascii="MingLiU" w:hAnsi="MingLiU" w:eastAsia="MingLiU"/>
      <w:b/>
      <w:bCs/>
      <w:color w:val="000000"/>
      <w:spacing w:val="0"/>
      <w:w w:val="100"/>
      <w:position w:val="0"/>
      <w:u w:val="single"/>
      <w:lang w:val="zh-CN" w:eastAsia="zh-CN" w:bidi="ar-SA"/>
    </w:rPr>
  </w:style>
  <w:style w:type="character" w:customStyle="1" w:styleId="98">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99">
    <w:name w:val="正文文本 (2) + 间距 2 pt1"/>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100">
    <w:name w:val="样式 宋体 小四 加粗 黑色"/>
    <w:qFormat/>
    <w:uiPriority w:val="0"/>
    <w:rPr>
      <w:rFonts w:ascii="宋体" w:hAnsi="宋体"/>
      <w:b/>
      <w:bCs/>
      <w:color w:val="000000"/>
      <w:sz w:val="24"/>
    </w:rPr>
  </w:style>
  <w:style w:type="paragraph" w:styleId="101">
    <w:name w:val="List Paragraph"/>
    <w:basedOn w:val="1"/>
    <w:qFormat/>
    <w:uiPriority w:val="1"/>
    <w:pPr>
      <w:spacing w:beforeLines="0" w:afterLines="0"/>
    </w:pPr>
    <w:rPr>
      <w:rFonts w:hint="eastAsia"/>
      <w:sz w:val="24"/>
    </w:rPr>
  </w:style>
  <w:style w:type="paragraph" w:customStyle="1" w:styleId="102">
    <w:name w:val="_Style 101"/>
    <w:basedOn w:val="2"/>
    <w:next w:val="1"/>
    <w:qFormat/>
    <w:uiPriority w:val="39"/>
    <w:pPr>
      <w:keepNext/>
      <w:keepLines/>
      <w:widowControl/>
      <w:autoSpaceDE/>
      <w:autoSpaceDN/>
      <w:adjustRightInd/>
      <w:spacing w:before="480" w:line="276" w:lineRule="auto"/>
      <w:ind w:left="0"/>
      <w:outlineLvl w:val="9"/>
    </w:pPr>
    <w:rPr>
      <w:rFonts w:hint="default" w:ascii="Cambria" w:hAnsi="Cambria" w:eastAsia="宋体" w:cs="Times New Roman"/>
      <w:b/>
      <w:bCs/>
      <w:color w:val="365F91"/>
      <w:sz w:val="28"/>
      <w:szCs w:val="28"/>
    </w:rPr>
  </w:style>
  <w:style w:type="paragraph" w:styleId="10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样式 标题 4 + 小四 首行缩进:  2 字符"/>
    <w:basedOn w:val="5"/>
    <w:next w:val="6"/>
    <w:qFormat/>
    <w:uiPriority w:val="0"/>
    <w:pPr>
      <w:keepNext/>
      <w:keepLines/>
      <w:autoSpaceDE/>
      <w:autoSpaceDN/>
      <w:adjustRightInd/>
      <w:spacing w:before="120" w:after="120" w:line="360" w:lineRule="exact"/>
      <w:ind w:firstLine="482"/>
    </w:pPr>
    <w:rPr>
      <w:rFonts w:hint="default" w:ascii="Cambria" w:hAnsi="Cambria" w:eastAsia="黑体" w:cs="宋体"/>
      <w:bCs/>
      <w:kern w:val="2"/>
      <w:sz w:val="24"/>
    </w:rPr>
  </w:style>
  <w:style w:type="paragraph" w:customStyle="1" w:styleId="10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Table Paragraph"/>
    <w:basedOn w:val="1"/>
    <w:unhideWhenUsed/>
    <w:qFormat/>
    <w:uiPriority w:val="1"/>
    <w:pPr>
      <w:spacing w:beforeLines="0" w:afterLines="0"/>
    </w:pPr>
    <w:rPr>
      <w:rFonts w:hint="eastAsia"/>
      <w:sz w:val="24"/>
    </w:rPr>
  </w:style>
  <w:style w:type="paragraph" w:customStyle="1" w:styleId="107">
    <w:name w:val="img"/>
    <w:basedOn w:val="1"/>
    <w:qFormat/>
    <w:uiPriority w:val="0"/>
    <w:pPr>
      <w:widowControl/>
      <w:autoSpaceDE/>
      <w:autoSpaceDN/>
      <w:adjustRightInd/>
      <w:spacing w:before="100" w:beforeAutospacing="1" w:after="100" w:afterAutospacing="1"/>
    </w:pPr>
    <w:rPr>
      <w:rFonts w:hint="default" w:ascii="宋体" w:hAnsi="宋体" w:cs="宋体"/>
      <w:szCs w:val="24"/>
    </w:rPr>
  </w:style>
  <w:style w:type="paragraph" w:customStyle="1" w:styleId="108">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09">
    <w:name w:val="列出段落1"/>
    <w:basedOn w:val="1"/>
    <w:qFormat/>
    <w:uiPriority w:val="0"/>
    <w:pPr>
      <w:autoSpaceDE/>
      <w:autoSpaceDN/>
      <w:ind w:left="424" w:firstLine="480"/>
      <w:jc w:val="both"/>
    </w:pPr>
    <w:rPr>
      <w:rFonts w:ascii="Calibri" w:hAnsi="Calibri" w:cs="Times New Roman"/>
      <w:kern w:val="2"/>
      <w:sz w:val="21"/>
      <w:szCs w:val="24"/>
    </w:rPr>
  </w:style>
  <w:style w:type="character" w:customStyle="1" w:styleId="110">
    <w:name w:val="纯文本 Char2"/>
    <w:qFormat/>
    <w:uiPriority w:val="0"/>
    <w:rPr>
      <w:rFonts w:ascii="宋体" w:hAnsi="Courier New" w:cs="Courier New"/>
      <w:sz w:val="21"/>
      <w:szCs w:val="21"/>
    </w:rPr>
  </w:style>
  <w:style w:type="paragraph" w:customStyle="1" w:styleId="11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Normal_3"/>
    <w:qFormat/>
    <w:uiPriority w:val="0"/>
    <w:rPr>
      <w:rFonts w:ascii="Times New Roman" w:hAnsi="Times New Roman" w:eastAsia="Times New Roman" w:cs="Times New Roman"/>
      <w:sz w:val="24"/>
      <w:szCs w:val="24"/>
      <w:lang w:val="en-US" w:eastAsia="zh-CN" w:bidi="ar-SA"/>
    </w:rPr>
  </w:style>
  <w:style w:type="character" w:customStyle="1" w:styleId="114">
    <w:name w:val="layui-layer-tabnow"/>
    <w:basedOn w:val="32"/>
    <w:qFormat/>
    <w:uiPriority w:val="0"/>
    <w:rPr>
      <w:bdr w:val="single" w:color="CCCCCC" w:sz="6" w:space="0"/>
      <w:shd w:val="clear" w:color="auto" w:fill="FFFFFF"/>
    </w:rPr>
  </w:style>
  <w:style w:type="character" w:customStyle="1" w:styleId="115">
    <w:name w:val="first-child"/>
    <w:basedOn w:val="32"/>
    <w:qFormat/>
    <w:uiPriority w:val="0"/>
  </w:style>
  <w:style w:type="character" w:customStyle="1" w:styleId="116">
    <w:name w:val="NormalCharacter"/>
    <w:qFormat/>
    <w:uiPriority w:val="0"/>
    <w:rPr>
      <w:rFonts w:ascii="Calibri" w:hAnsi="Calibri"/>
      <w:kern w:val="2"/>
      <w:sz w:val="21"/>
      <w:szCs w:val="24"/>
      <w:lang w:val="en-US" w:eastAsia="zh-CN" w:bidi="ar-SA"/>
    </w:rPr>
  </w:style>
  <w:style w:type="paragraph" w:customStyle="1" w:styleId="117">
    <w:name w:val="UserStyle_24"/>
    <w:qFormat/>
    <w:uiPriority w:val="0"/>
    <w:pPr>
      <w:spacing w:before="60" w:after="60" w:line="360" w:lineRule="auto"/>
      <w:ind w:firstLine="480" w:firstLineChars="200"/>
      <w:jc w:val="both"/>
      <w:textAlignment w:val="baseline"/>
    </w:pPr>
    <w:rPr>
      <w:rFonts w:ascii="宋体" w:hAnsi="宋体" w:eastAsia="宋体" w:cs="Times New Roman"/>
      <w:sz w:val="24"/>
      <w:szCs w:val="24"/>
      <w:lang w:val="en-US" w:eastAsia="zh-CN" w:bidi="ar-SA"/>
    </w:rPr>
  </w:style>
  <w:style w:type="paragraph" w:customStyle="1" w:styleId="11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13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92</Pages>
  <Words>51938</Words>
  <Characters>54749</Characters>
  <Lines>388</Lines>
  <Paragraphs>109</Paragraphs>
  <TotalTime>61</TotalTime>
  <ScaleCrop>false</ScaleCrop>
  <LinksUpToDate>false</LinksUpToDate>
  <CharactersWithSpaces>56923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2023-03-09T08:29:00Z</dcterms:created>
  <dc:creator>Administrator</dc:creator>
  <cp:lastModifiedBy>易</cp:lastModifiedBy>
  <cp:lastPrinted>2023-03-28T08:04:00Z</cp:lastPrinted>
  <dcterms:modified xsi:type="dcterms:W3CDTF">2025-07-30T01:35:03Z</dcterms:modified>
  <dc:title>广西**工程项目管理有限责任公司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5BCFBEEB97244F98903C5EC267D35726_13</vt:lpwstr>
  </property>
  <property fmtid="{D5CDD505-2E9C-101B-9397-08002B2CF9AE}" pid="4" name="KSOTemplateDocerSaveRecord">
    <vt:lpwstr>eyJoZGlkIjoiN2I5MjVhOTE3OTM3YzIzZmQ0MGExZGEzYjdkNDRjNzMiLCJ1c2VySWQiOiIxNTg0Mjk4OTA1In0=</vt:lpwstr>
  </property>
</Properties>
</file>