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31AC8">
      <w:pPr>
        <w:shd w:val="clear"/>
        <w:spacing w:line="480" w:lineRule="auto"/>
        <w:jc w:val="center"/>
        <w:rPr>
          <w:rFonts w:ascii="宋体" w:hAnsi="宋体" w:eastAsia="宋体"/>
          <w:b/>
          <w:color w:val="auto"/>
          <w:sz w:val="52"/>
          <w:szCs w:val="52"/>
          <w:highlight w:val="none"/>
        </w:rPr>
      </w:pPr>
      <w:bookmarkStart w:id="162" w:name="_GoBack"/>
    </w:p>
    <w:p w14:paraId="12D72062">
      <w:pPr>
        <w:shd w:val="clear"/>
        <w:spacing w:line="480" w:lineRule="auto"/>
        <w:jc w:val="center"/>
        <w:rPr>
          <w:rFonts w:ascii="宋体" w:hAnsi="宋体" w:eastAsia="宋体"/>
          <w:b/>
          <w:color w:val="auto"/>
          <w:sz w:val="52"/>
          <w:szCs w:val="52"/>
          <w:highlight w:val="none"/>
        </w:rPr>
      </w:pPr>
      <w:r>
        <w:rPr>
          <w:rFonts w:hint="eastAsia" w:ascii="宋体" w:hAnsi="宋体" w:eastAsia="宋体"/>
          <w:b/>
          <w:color w:val="auto"/>
          <w:sz w:val="52"/>
          <w:szCs w:val="52"/>
          <w:highlight w:val="none"/>
        </w:rPr>
        <w:t>广西壮族自治区政府采购</w:t>
      </w:r>
    </w:p>
    <w:p w14:paraId="62020C24">
      <w:pPr>
        <w:shd w:val="clear"/>
        <w:spacing w:line="480" w:lineRule="auto"/>
        <w:jc w:val="center"/>
        <w:rPr>
          <w:rFonts w:ascii="宋体" w:hAnsi="宋体" w:eastAsia="宋体"/>
          <w:b/>
          <w:color w:val="auto"/>
          <w:sz w:val="84"/>
          <w:szCs w:val="84"/>
          <w:highlight w:val="none"/>
        </w:rPr>
      </w:pPr>
    </w:p>
    <w:p w14:paraId="0398B84B">
      <w:pPr>
        <w:shd w:val="clear"/>
        <w:spacing w:line="480" w:lineRule="auto"/>
        <w:jc w:val="center"/>
        <w:rPr>
          <w:rFonts w:ascii="宋体" w:hAnsi="宋体" w:eastAsia="宋体"/>
          <w:b/>
          <w:color w:val="auto"/>
          <w:sz w:val="84"/>
          <w:szCs w:val="84"/>
          <w:highlight w:val="none"/>
        </w:rPr>
      </w:pPr>
      <w:r>
        <w:rPr>
          <w:rFonts w:hint="eastAsia" w:ascii="宋体" w:hAnsi="宋体" w:eastAsia="宋体"/>
          <w:b/>
          <w:color w:val="auto"/>
          <w:sz w:val="84"/>
          <w:szCs w:val="84"/>
          <w:highlight w:val="none"/>
        </w:rPr>
        <w:t>竞争性磋商文件</w:t>
      </w:r>
    </w:p>
    <w:p w14:paraId="14E2C85A">
      <w:pPr>
        <w:shd w:val="clear"/>
        <w:spacing w:line="480" w:lineRule="auto"/>
        <w:jc w:val="center"/>
        <w:rPr>
          <w:rFonts w:ascii="宋体" w:hAnsi="宋体" w:eastAsia="宋体"/>
          <w:b/>
          <w:color w:val="auto"/>
          <w:sz w:val="52"/>
          <w:szCs w:val="52"/>
          <w:highlight w:val="none"/>
        </w:rPr>
      </w:pPr>
      <w:r>
        <w:rPr>
          <w:rFonts w:hint="eastAsia" w:ascii="宋体" w:hAnsi="宋体" w:eastAsia="宋体"/>
          <w:b/>
          <w:color w:val="auto"/>
          <w:sz w:val="52"/>
          <w:szCs w:val="52"/>
          <w:highlight w:val="none"/>
        </w:rPr>
        <w:t>（工程类）</w:t>
      </w:r>
    </w:p>
    <w:p w14:paraId="5B2CD386">
      <w:pPr>
        <w:shd w:val="clear"/>
        <w:spacing w:line="480" w:lineRule="auto"/>
        <w:jc w:val="center"/>
        <w:rPr>
          <w:rFonts w:ascii="宋体" w:hAnsi="宋体" w:eastAsia="宋体"/>
          <w:b/>
          <w:color w:val="auto"/>
          <w:sz w:val="52"/>
          <w:szCs w:val="52"/>
          <w:highlight w:val="none"/>
        </w:rPr>
      </w:pPr>
    </w:p>
    <w:p w14:paraId="61BBA9AC">
      <w:pPr>
        <w:shd w:val="clear"/>
        <w:spacing w:line="480" w:lineRule="auto"/>
        <w:jc w:val="center"/>
        <w:rPr>
          <w:rFonts w:ascii="宋体" w:hAnsi="宋体" w:eastAsia="宋体"/>
          <w:color w:val="auto"/>
          <w:szCs w:val="21"/>
          <w:highlight w:val="none"/>
        </w:rPr>
      </w:pPr>
      <w:r>
        <w:rPr>
          <w:rFonts w:hint="eastAsia" w:ascii="宋体" w:hAnsi="宋体" w:eastAsia="宋体"/>
          <w:color w:val="auto"/>
          <w:szCs w:val="21"/>
          <w:highlight w:val="none"/>
        </w:rPr>
        <w:t>（全流程电子化评标）</w:t>
      </w:r>
    </w:p>
    <w:p w14:paraId="77691E32">
      <w:pPr>
        <w:shd w:val="clear"/>
        <w:spacing w:line="480" w:lineRule="auto"/>
        <w:jc w:val="center"/>
        <w:rPr>
          <w:rFonts w:ascii="宋体" w:hAnsi="宋体" w:eastAsia="宋体"/>
          <w:b/>
          <w:color w:val="auto"/>
          <w:szCs w:val="21"/>
          <w:highlight w:val="none"/>
        </w:rPr>
      </w:pPr>
    </w:p>
    <w:p w14:paraId="16B867E4">
      <w:pPr>
        <w:shd w:val="clear"/>
        <w:spacing w:line="480" w:lineRule="auto"/>
        <w:jc w:val="center"/>
        <w:rPr>
          <w:rFonts w:ascii="宋体" w:hAnsi="宋体" w:eastAsia="宋体"/>
          <w:b/>
          <w:color w:val="auto"/>
          <w:szCs w:val="21"/>
          <w:highlight w:val="none"/>
        </w:rPr>
      </w:pPr>
    </w:p>
    <w:p w14:paraId="3B7655E4">
      <w:pPr>
        <w:shd w:val="clear"/>
        <w:spacing w:line="480" w:lineRule="auto"/>
        <w:ind w:left="0" w:leftChars="0" w:firstLine="1906" w:firstLineChars="633"/>
        <w:rPr>
          <w:rFonts w:hint="eastAsia" w:ascii="仿宋" w:hAnsi="仿宋" w:eastAsia="仿宋"/>
          <w:b/>
          <w:color w:val="auto"/>
          <w:sz w:val="30"/>
          <w:szCs w:val="30"/>
          <w:highlight w:val="none"/>
          <w:lang w:eastAsia="zh-CN"/>
        </w:rPr>
      </w:pPr>
      <w:r>
        <w:rPr>
          <w:rFonts w:hint="eastAsia" w:ascii="仿宋" w:hAnsi="仿宋" w:eastAsia="仿宋"/>
          <w:b/>
          <w:color w:val="auto"/>
          <w:sz w:val="30"/>
          <w:szCs w:val="30"/>
          <w:highlight w:val="none"/>
        </w:rPr>
        <w:t>项目名称：</w:t>
      </w:r>
      <w:r>
        <w:rPr>
          <w:rFonts w:hint="eastAsia" w:ascii="仿宋" w:hAnsi="仿宋" w:eastAsia="仿宋"/>
          <w:b/>
          <w:color w:val="auto"/>
          <w:sz w:val="30"/>
          <w:szCs w:val="30"/>
          <w:highlight w:val="none"/>
          <w:lang w:eastAsia="zh-CN"/>
        </w:rPr>
        <w:t>学生公寓东14栋修缮项目</w:t>
      </w:r>
    </w:p>
    <w:p w14:paraId="45C9F148">
      <w:pPr>
        <w:shd w:val="clear"/>
        <w:spacing w:line="480" w:lineRule="auto"/>
        <w:ind w:left="0" w:leftChars="0" w:firstLine="1906" w:firstLineChars="633"/>
        <w:rPr>
          <w:rFonts w:hint="eastAsia" w:ascii="仿宋" w:hAnsi="仿宋" w:eastAsia="仿宋"/>
          <w:b/>
          <w:color w:val="auto"/>
          <w:sz w:val="30"/>
          <w:szCs w:val="30"/>
          <w:highlight w:val="none"/>
          <w:lang w:eastAsia="zh-CN"/>
        </w:rPr>
      </w:pPr>
      <w:r>
        <w:rPr>
          <w:rFonts w:hint="eastAsia" w:ascii="仿宋" w:hAnsi="仿宋" w:eastAsia="仿宋"/>
          <w:b/>
          <w:color w:val="auto"/>
          <w:sz w:val="30"/>
          <w:szCs w:val="30"/>
          <w:highlight w:val="none"/>
        </w:rPr>
        <w:t>项目编号：</w:t>
      </w:r>
      <w:r>
        <w:rPr>
          <w:rFonts w:hint="eastAsia" w:ascii="仿宋" w:hAnsi="仿宋" w:eastAsia="仿宋"/>
          <w:b/>
          <w:color w:val="auto"/>
          <w:sz w:val="30"/>
          <w:szCs w:val="30"/>
          <w:highlight w:val="none"/>
          <w:lang w:eastAsia="zh-CN"/>
        </w:rPr>
        <w:t>GXZC2025-C2-001195-GLZB</w:t>
      </w:r>
    </w:p>
    <w:p w14:paraId="6F3A2EBF">
      <w:pPr>
        <w:shd w:val="clear"/>
        <w:spacing w:line="480" w:lineRule="auto"/>
        <w:ind w:left="0" w:leftChars="0" w:firstLine="1906" w:firstLineChars="633"/>
        <w:rPr>
          <w:rFonts w:ascii="仿宋" w:hAnsi="仿宋" w:eastAsia="仿宋"/>
          <w:b/>
          <w:color w:val="auto"/>
          <w:sz w:val="30"/>
          <w:szCs w:val="30"/>
          <w:highlight w:val="none"/>
        </w:rPr>
      </w:pPr>
      <w:r>
        <w:rPr>
          <w:rFonts w:hint="eastAsia" w:ascii="仿宋" w:hAnsi="仿宋" w:eastAsia="仿宋"/>
          <w:b/>
          <w:color w:val="auto"/>
          <w:sz w:val="30"/>
          <w:szCs w:val="30"/>
          <w:highlight w:val="none"/>
        </w:rPr>
        <w:t>采购人：广西大学</w:t>
      </w:r>
    </w:p>
    <w:p w14:paraId="26203C31">
      <w:pPr>
        <w:shd w:val="clear"/>
        <w:spacing w:line="480" w:lineRule="auto"/>
        <w:ind w:left="0" w:leftChars="0" w:firstLine="1906" w:firstLineChars="633"/>
        <w:rPr>
          <w:rFonts w:hint="eastAsia" w:ascii="仿宋" w:hAnsi="仿宋" w:eastAsia="仿宋"/>
          <w:b/>
          <w:color w:val="auto"/>
          <w:sz w:val="30"/>
          <w:szCs w:val="30"/>
          <w:highlight w:val="none"/>
          <w:lang w:eastAsia="zh-CN"/>
        </w:rPr>
      </w:pPr>
      <w:r>
        <w:rPr>
          <w:rFonts w:hint="eastAsia" w:ascii="仿宋" w:hAnsi="仿宋" w:eastAsia="仿宋"/>
          <w:b/>
          <w:color w:val="auto"/>
          <w:sz w:val="30"/>
          <w:szCs w:val="30"/>
          <w:highlight w:val="none"/>
        </w:rPr>
        <w:t>采购代理机构：</w:t>
      </w:r>
      <w:r>
        <w:rPr>
          <w:rFonts w:hint="eastAsia" w:ascii="仿宋" w:hAnsi="仿宋" w:eastAsia="仿宋"/>
          <w:b/>
          <w:color w:val="auto"/>
          <w:sz w:val="30"/>
          <w:szCs w:val="30"/>
          <w:highlight w:val="none"/>
          <w:lang w:eastAsia="zh-CN"/>
        </w:rPr>
        <w:t>广西国力招标有限公司</w:t>
      </w:r>
    </w:p>
    <w:p w14:paraId="3DB1DF5F">
      <w:pPr>
        <w:shd w:val="clear"/>
        <w:spacing w:line="480" w:lineRule="auto"/>
        <w:jc w:val="center"/>
        <w:rPr>
          <w:rFonts w:ascii="宋体" w:hAnsi="宋体" w:eastAsia="宋体"/>
          <w:b/>
          <w:color w:val="auto"/>
          <w:szCs w:val="21"/>
          <w:highlight w:val="none"/>
        </w:rPr>
      </w:pPr>
    </w:p>
    <w:p w14:paraId="6BD3027F">
      <w:pPr>
        <w:shd w:val="clear"/>
        <w:spacing w:line="480" w:lineRule="auto"/>
        <w:jc w:val="center"/>
        <w:rPr>
          <w:rFonts w:ascii="仿宋" w:hAnsi="仿宋" w:eastAsia="仿宋"/>
          <w:b/>
          <w:color w:val="auto"/>
          <w:sz w:val="30"/>
          <w:szCs w:val="30"/>
          <w:highlight w:val="none"/>
        </w:rPr>
      </w:pPr>
      <w:r>
        <w:rPr>
          <w:rFonts w:hint="eastAsia" w:ascii="仿宋" w:hAnsi="仿宋" w:eastAsia="仿宋"/>
          <w:b/>
          <w:color w:val="auto"/>
          <w:sz w:val="30"/>
          <w:szCs w:val="30"/>
          <w:highlight w:val="none"/>
        </w:rPr>
        <w:t>202</w:t>
      </w:r>
      <w:r>
        <w:rPr>
          <w:rFonts w:ascii="仿宋" w:hAnsi="仿宋" w:eastAsia="仿宋"/>
          <w:b/>
          <w:color w:val="auto"/>
          <w:sz w:val="30"/>
          <w:szCs w:val="30"/>
          <w:highlight w:val="none"/>
        </w:rPr>
        <w:t>5</w:t>
      </w:r>
      <w:r>
        <w:rPr>
          <w:rFonts w:hint="eastAsia" w:ascii="仿宋" w:hAnsi="仿宋" w:eastAsia="仿宋"/>
          <w:b/>
          <w:color w:val="auto"/>
          <w:sz w:val="30"/>
          <w:szCs w:val="30"/>
          <w:highlight w:val="none"/>
        </w:rPr>
        <w:t>年</w:t>
      </w:r>
      <w:r>
        <w:rPr>
          <w:rFonts w:hint="eastAsia" w:ascii="仿宋" w:hAnsi="仿宋" w:eastAsia="仿宋"/>
          <w:b/>
          <w:color w:val="auto"/>
          <w:sz w:val="30"/>
          <w:szCs w:val="30"/>
          <w:highlight w:val="none"/>
          <w:lang w:val="en-US" w:eastAsia="zh-CN"/>
        </w:rPr>
        <w:t xml:space="preserve"> 5 </w:t>
      </w:r>
      <w:r>
        <w:rPr>
          <w:rFonts w:hint="eastAsia" w:ascii="仿宋" w:hAnsi="仿宋" w:eastAsia="仿宋"/>
          <w:b/>
          <w:color w:val="auto"/>
          <w:sz w:val="30"/>
          <w:szCs w:val="30"/>
          <w:highlight w:val="none"/>
        </w:rPr>
        <w:t>月</w:t>
      </w:r>
      <w:r>
        <w:rPr>
          <w:rFonts w:hint="eastAsia" w:ascii="仿宋" w:hAnsi="仿宋" w:eastAsia="仿宋"/>
          <w:b/>
          <w:color w:val="auto"/>
          <w:sz w:val="30"/>
          <w:szCs w:val="30"/>
          <w:highlight w:val="none"/>
          <w:lang w:val="en-US" w:eastAsia="zh-CN"/>
        </w:rPr>
        <w:t xml:space="preserve"> 16 </w:t>
      </w:r>
      <w:r>
        <w:rPr>
          <w:rFonts w:hint="eastAsia" w:ascii="仿宋" w:hAnsi="仿宋" w:eastAsia="仿宋"/>
          <w:b/>
          <w:color w:val="auto"/>
          <w:sz w:val="30"/>
          <w:szCs w:val="30"/>
          <w:highlight w:val="none"/>
        </w:rPr>
        <w:t>日</w:t>
      </w:r>
    </w:p>
    <w:p w14:paraId="1913AAD0">
      <w:pPr>
        <w:shd w:val="clea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228CBDF6">
      <w:pPr>
        <w:shd w:val="clear"/>
        <w:spacing w:line="300" w:lineRule="auto"/>
        <w:jc w:val="center"/>
        <w:rPr>
          <w:rFonts w:ascii="宋体" w:hAnsi="宋体" w:eastAsia="宋体"/>
          <w:b/>
          <w:color w:val="auto"/>
          <w:sz w:val="44"/>
          <w:szCs w:val="44"/>
          <w:highlight w:val="none"/>
        </w:rPr>
      </w:pPr>
      <w:r>
        <w:rPr>
          <w:rFonts w:hint="eastAsia" w:ascii="宋体" w:hAnsi="宋体" w:eastAsia="宋体"/>
          <w:b/>
          <w:color w:val="auto"/>
          <w:sz w:val="44"/>
          <w:szCs w:val="44"/>
          <w:highlight w:val="none"/>
        </w:rPr>
        <w:t>目录</w:t>
      </w:r>
    </w:p>
    <w:p w14:paraId="0C605C63">
      <w:pPr>
        <w:shd w:val="clear"/>
        <w:spacing w:line="360" w:lineRule="auto"/>
        <w:rPr>
          <w:rFonts w:ascii="宋体" w:hAnsi="宋体" w:eastAsia="宋体"/>
          <w:color w:val="auto"/>
          <w:szCs w:val="21"/>
          <w:highlight w:val="none"/>
        </w:rPr>
      </w:pPr>
    </w:p>
    <w:p w14:paraId="67C50985">
      <w:pPr>
        <w:pStyle w:val="28"/>
        <w:shd w:val="clear"/>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TOC \o "1-3" \u </w:instrText>
      </w:r>
      <w:r>
        <w:rPr>
          <w:rFonts w:ascii="宋体" w:hAnsi="宋体" w:eastAsia="宋体"/>
          <w:color w:val="auto"/>
          <w:szCs w:val="21"/>
          <w:highlight w:val="none"/>
        </w:rPr>
        <w:fldChar w:fldCharType="separate"/>
      </w:r>
      <w:r>
        <w:rPr>
          <w:rFonts w:hint="eastAsia" w:ascii="宋体" w:hAnsi="宋体" w:eastAsia="宋体"/>
          <w:b/>
          <w:color w:val="auto"/>
          <w:szCs w:val="21"/>
          <w:highlight w:val="none"/>
        </w:rPr>
        <w:t>第一</w:t>
      </w:r>
      <w:r>
        <w:rPr>
          <w:rFonts w:hint="eastAsia" w:ascii="宋体" w:hAnsi="宋体" w:eastAsia="宋体"/>
          <w:b/>
          <w:color w:val="auto"/>
          <w:spacing w:val="100"/>
          <w:szCs w:val="21"/>
          <w:highlight w:val="none"/>
        </w:rPr>
        <w:t>章</w:t>
      </w:r>
      <w:r>
        <w:rPr>
          <w:rFonts w:hint="eastAsia" w:ascii="宋体" w:hAnsi="宋体" w:eastAsia="宋体"/>
          <w:b/>
          <w:color w:val="auto"/>
          <w:szCs w:val="21"/>
          <w:highlight w:val="none"/>
        </w:rPr>
        <w:t>竞争性磋商公告</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_Toc197530103 \h </w:instrText>
      </w:r>
      <w:r>
        <w:rPr>
          <w:rFonts w:ascii="宋体" w:hAnsi="宋体" w:eastAsia="宋体"/>
          <w:color w:val="auto"/>
          <w:szCs w:val="21"/>
          <w:highlight w:val="none"/>
        </w:rPr>
        <w:fldChar w:fldCharType="separate"/>
      </w:r>
      <w:r>
        <w:rPr>
          <w:rFonts w:ascii="宋体" w:hAnsi="宋体" w:eastAsia="宋体"/>
          <w:color w:val="auto"/>
          <w:szCs w:val="21"/>
          <w:highlight w:val="none"/>
        </w:rPr>
        <w:t>1</w:t>
      </w:r>
      <w:r>
        <w:rPr>
          <w:rFonts w:ascii="宋体" w:hAnsi="宋体" w:eastAsia="宋体"/>
          <w:color w:val="auto"/>
          <w:szCs w:val="21"/>
          <w:highlight w:val="none"/>
        </w:rPr>
        <w:fldChar w:fldCharType="end"/>
      </w:r>
    </w:p>
    <w:p w14:paraId="0D0B1F11">
      <w:pPr>
        <w:pStyle w:val="28"/>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b/>
          <w:color w:val="auto"/>
          <w:szCs w:val="21"/>
          <w:highlight w:val="none"/>
        </w:rPr>
        <w:t>第二</w:t>
      </w:r>
      <w:r>
        <w:rPr>
          <w:rFonts w:hint="eastAsia" w:ascii="宋体" w:hAnsi="宋体" w:eastAsia="宋体"/>
          <w:b/>
          <w:color w:val="auto"/>
          <w:spacing w:val="100"/>
          <w:szCs w:val="21"/>
          <w:highlight w:val="none"/>
        </w:rPr>
        <w:t>章</w:t>
      </w:r>
      <w:r>
        <w:rPr>
          <w:rFonts w:hint="eastAsia" w:ascii="宋体" w:hAnsi="宋体" w:eastAsia="宋体"/>
          <w:b/>
          <w:color w:val="auto"/>
          <w:szCs w:val="21"/>
          <w:highlight w:val="none"/>
        </w:rPr>
        <w:t>供应商须知</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_Toc197530104 \h </w:instrText>
      </w:r>
      <w:r>
        <w:rPr>
          <w:rFonts w:ascii="宋体" w:hAnsi="宋体" w:eastAsia="宋体"/>
          <w:color w:val="auto"/>
          <w:szCs w:val="21"/>
          <w:highlight w:val="none"/>
        </w:rPr>
        <w:fldChar w:fldCharType="separate"/>
      </w:r>
      <w:r>
        <w:rPr>
          <w:rFonts w:ascii="宋体" w:hAnsi="宋体" w:eastAsia="宋体"/>
          <w:color w:val="auto"/>
          <w:szCs w:val="21"/>
          <w:highlight w:val="none"/>
        </w:rPr>
        <w:t>5</w:t>
      </w:r>
      <w:r>
        <w:rPr>
          <w:rFonts w:ascii="宋体" w:hAnsi="宋体" w:eastAsia="宋体"/>
          <w:color w:val="auto"/>
          <w:szCs w:val="21"/>
          <w:highlight w:val="none"/>
        </w:rPr>
        <w:fldChar w:fldCharType="end"/>
      </w:r>
    </w:p>
    <w:p w14:paraId="7EB38A4A">
      <w:pPr>
        <w:pStyle w:val="33"/>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一、供应商须知前附表</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_Toc197530105 \h </w:instrText>
      </w:r>
      <w:r>
        <w:rPr>
          <w:rFonts w:ascii="宋体" w:hAnsi="宋体" w:eastAsia="宋体"/>
          <w:color w:val="auto"/>
          <w:szCs w:val="21"/>
          <w:highlight w:val="none"/>
        </w:rPr>
        <w:fldChar w:fldCharType="separate"/>
      </w:r>
      <w:r>
        <w:rPr>
          <w:rFonts w:ascii="宋体" w:hAnsi="宋体" w:eastAsia="宋体"/>
          <w:color w:val="auto"/>
          <w:szCs w:val="21"/>
          <w:highlight w:val="none"/>
        </w:rPr>
        <w:t>5</w:t>
      </w:r>
      <w:r>
        <w:rPr>
          <w:rFonts w:ascii="宋体" w:hAnsi="宋体" w:eastAsia="宋体"/>
          <w:color w:val="auto"/>
          <w:szCs w:val="21"/>
          <w:highlight w:val="none"/>
        </w:rPr>
        <w:fldChar w:fldCharType="end"/>
      </w:r>
    </w:p>
    <w:p w14:paraId="48CD4526">
      <w:pPr>
        <w:pStyle w:val="33"/>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二、供应商须知正文</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_Toc197530106 \h </w:instrText>
      </w:r>
      <w:r>
        <w:rPr>
          <w:rFonts w:ascii="宋体" w:hAnsi="宋体" w:eastAsia="宋体"/>
          <w:color w:val="auto"/>
          <w:szCs w:val="21"/>
          <w:highlight w:val="none"/>
        </w:rPr>
        <w:fldChar w:fldCharType="separate"/>
      </w:r>
      <w:r>
        <w:rPr>
          <w:rFonts w:ascii="宋体" w:hAnsi="宋体" w:eastAsia="宋体"/>
          <w:color w:val="auto"/>
          <w:szCs w:val="21"/>
          <w:highlight w:val="none"/>
        </w:rPr>
        <w:t>13</w:t>
      </w:r>
      <w:r>
        <w:rPr>
          <w:rFonts w:ascii="宋体" w:hAnsi="宋体" w:eastAsia="宋体"/>
          <w:color w:val="auto"/>
          <w:szCs w:val="21"/>
          <w:highlight w:val="none"/>
        </w:rPr>
        <w:fldChar w:fldCharType="end"/>
      </w:r>
    </w:p>
    <w:p w14:paraId="05E29DD9">
      <w:pPr>
        <w:pStyle w:val="20"/>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（一）总则</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_Toc197530107 \h </w:instrText>
      </w:r>
      <w:r>
        <w:rPr>
          <w:rFonts w:ascii="宋体" w:hAnsi="宋体" w:eastAsia="宋体"/>
          <w:color w:val="auto"/>
          <w:szCs w:val="21"/>
          <w:highlight w:val="none"/>
        </w:rPr>
        <w:fldChar w:fldCharType="separate"/>
      </w:r>
      <w:r>
        <w:rPr>
          <w:rFonts w:ascii="宋体" w:hAnsi="宋体" w:eastAsia="宋体"/>
          <w:color w:val="auto"/>
          <w:szCs w:val="21"/>
          <w:highlight w:val="none"/>
        </w:rPr>
        <w:t>13</w:t>
      </w:r>
      <w:r>
        <w:rPr>
          <w:rFonts w:ascii="宋体" w:hAnsi="宋体" w:eastAsia="宋体"/>
          <w:color w:val="auto"/>
          <w:szCs w:val="21"/>
          <w:highlight w:val="none"/>
        </w:rPr>
        <w:fldChar w:fldCharType="end"/>
      </w:r>
    </w:p>
    <w:p w14:paraId="61CE358B">
      <w:pPr>
        <w:pStyle w:val="20"/>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（二）磋商文件</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_Toc197530108 \h </w:instrText>
      </w:r>
      <w:r>
        <w:rPr>
          <w:rFonts w:ascii="宋体" w:hAnsi="宋体" w:eastAsia="宋体"/>
          <w:color w:val="auto"/>
          <w:szCs w:val="21"/>
          <w:highlight w:val="none"/>
        </w:rPr>
        <w:fldChar w:fldCharType="separate"/>
      </w:r>
      <w:r>
        <w:rPr>
          <w:rFonts w:ascii="宋体" w:hAnsi="宋体" w:eastAsia="宋体"/>
          <w:color w:val="auto"/>
          <w:szCs w:val="21"/>
          <w:highlight w:val="none"/>
        </w:rPr>
        <w:t>16</w:t>
      </w:r>
      <w:r>
        <w:rPr>
          <w:rFonts w:ascii="宋体" w:hAnsi="宋体" w:eastAsia="宋体"/>
          <w:color w:val="auto"/>
          <w:szCs w:val="21"/>
          <w:highlight w:val="none"/>
        </w:rPr>
        <w:fldChar w:fldCharType="end"/>
      </w:r>
    </w:p>
    <w:p w14:paraId="3EE8F9AD">
      <w:pPr>
        <w:pStyle w:val="20"/>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（三）响应文件的编制</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_Toc197530109 \h </w:instrText>
      </w:r>
      <w:r>
        <w:rPr>
          <w:rFonts w:ascii="宋体" w:hAnsi="宋体" w:eastAsia="宋体"/>
          <w:color w:val="auto"/>
          <w:szCs w:val="21"/>
          <w:highlight w:val="none"/>
        </w:rPr>
        <w:fldChar w:fldCharType="separate"/>
      </w:r>
      <w:r>
        <w:rPr>
          <w:rFonts w:ascii="宋体" w:hAnsi="宋体" w:eastAsia="宋体"/>
          <w:color w:val="auto"/>
          <w:szCs w:val="21"/>
          <w:highlight w:val="none"/>
        </w:rPr>
        <w:t>17</w:t>
      </w:r>
      <w:r>
        <w:rPr>
          <w:rFonts w:ascii="宋体" w:hAnsi="宋体" w:eastAsia="宋体"/>
          <w:color w:val="auto"/>
          <w:szCs w:val="21"/>
          <w:highlight w:val="none"/>
        </w:rPr>
        <w:fldChar w:fldCharType="end"/>
      </w:r>
    </w:p>
    <w:p w14:paraId="0ABF3612">
      <w:pPr>
        <w:pStyle w:val="20"/>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（四）评审及磋商</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_Toc197530110 \h </w:instrText>
      </w:r>
      <w:r>
        <w:rPr>
          <w:rFonts w:ascii="宋体" w:hAnsi="宋体" w:eastAsia="宋体"/>
          <w:color w:val="auto"/>
          <w:szCs w:val="21"/>
          <w:highlight w:val="none"/>
        </w:rPr>
        <w:fldChar w:fldCharType="separate"/>
      </w:r>
      <w:r>
        <w:rPr>
          <w:rFonts w:ascii="宋体" w:hAnsi="宋体" w:eastAsia="宋体"/>
          <w:color w:val="auto"/>
          <w:szCs w:val="21"/>
          <w:highlight w:val="none"/>
        </w:rPr>
        <w:t>20</w:t>
      </w:r>
      <w:r>
        <w:rPr>
          <w:rFonts w:ascii="宋体" w:hAnsi="宋体" w:eastAsia="宋体"/>
          <w:color w:val="auto"/>
          <w:szCs w:val="21"/>
          <w:highlight w:val="none"/>
        </w:rPr>
        <w:fldChar w:fldCharType="end"/>
      </w:r>
    </w:p>
    <w:p w14:paraId="648A0A4F">
      <w:pPr>
        <w:pStyle w:val="28"/>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b/>
          <w:color w:val="auto"/>
          <w:szCs w:val="21"/>
          <w:highlight w:val="none"/>
        </w:rPr>
        <w:t>第三</w:t>
      </w:r>
      <w:r>
        <w:rPr>
          <w:rFonts w:hint="eastAsia" w:ascii="宋体" w:hAnsi="宋体" w:eastAsia="宋体"/>
          <w:b/>
          <w:color w:val="auto"/>
          <w:spacing w:val="100"/>
          <w:szCs w:val="21"/>
          <w:highlight w:val="none"/>
        </w:rPr>
        <w:t>章</w:t>
      </w:r>
      <w:r>
        <w:rPr>
          <w:rFonts w:hint="eastAsia" w:ascii="宋体" w:hAnsi="宋体" w:eastAsia="宋体"/>
          <w:b/>
          <w:color w:val="auto"/>
          <w:szCs w:val="21"/>
          <w:highlight w:val="none"/>
        </w:rPr>
        <w:t>采购需求</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_Toc197530111 \h </w:instrText>
      </w:r>
      <w:r>
        <w:rPr>
          <w:rFonts w:ascii="宋体" w:hAnsi="宋体" w:eastAsia="宋体"/>
          <w:color w:val="auto"/>
          <w:szCs w:val="21"/>
          <w:highlight w:val="none"/>
        </w:rPr>
        <w:fldChar w:fldCharType="separate"/>
      </w:r>
      <w:r>
        <w:rPr>
          <w:rFonts w:ascii="宋体" w:hAnsi="宋体" w:eastAsia="宋体"/>
          <w:color w:val="auto"/>
          <w:szCs w:val="21"/>
          <w:highlight w:val="none"/>
        </w:rPr>
        <w:t>26</w:t>
      </w:r>
      <w:r>
        <w:rPr>
          <w:rFonts w:ascii="宋体" w:hAnsi="宋体" w:eastAsia="宋体"/>
          <w:color w:val="auto"/>
          <w:szCs w:val="21"/>
          <w:highlight w:val="none"/>
        </w:rPr>
        <w:fldChar w:fldCharType="end"/>
      </w:r>
    </w:p>
    <w:p w14:paraId="1EBA5444">
      <w:pPr>
        <w:pStyle w:val="28"/>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b/>
          <w:color w:val="auto"/>
          <w:szCs w:val="21"/>
          <w:highlight w:val="none"/>
        </w:rPr>
        <w:t>第四</w:t>
      </w:r>
      <w:r>
        <w:rPr>
          <w:rFonts w:hint="eastAsia" w:ascii="宋体" w:hAnsi="宋体" w:eastAsia="宋体"/>
          <w:b/>
          <w:color w:val="auto"/>
          <w:spacing w:val="100"/>
          <w:szCs w:val="21"/>
          <w:highlight w:val="none"/>
        </w:rPr>
        <w:t>章</w:t>
      </w:r>
      <w:r>
        <w:rPr>
          <w:rFonts w:hint="eastAsia" w:ascii="宋体" w:hAnsi="宋体" w:eastAsia="宋体"/>
          <w:b/>
          <w:color w:val="auto"/>
          <w:szCs w:val="21"/>
          <w:highlight w:val="none"/>
        </w:rPr>
        <w:t>评审程序、评审方法和评审标准</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_Toc197530112 \h </w:instrText>
      </w:r>
      <w:r>
        <w:rPr>
          <w:rFonts w:ascii="宋体" w:hAnsi="宋体" w:eastAsia="宋体"/>
          <w:color w:val="auto"/>
          <w:szCs w:val="21"/>
          <w:highlight w:val="none"/>
        </w:rPr>
        <w:fldChar w:fldCharType="separate"/>
      </w:r>
      <w:r>
        <w:rPr>
          <w:rFonts w:ascii="宋体" w:hAnsi="宋体" w:eastAsia="宋体"/>
          <w:color w:val="auto"/>
          <w:szCs w:val="21"/>
          <w:highlight w:val="none"/>
        </w:rPr>
        <w:t>32</w:t>
      </w:r>
      <w:r>
        <w:rPr>
          <w:rFonts w:ascii="宋体" w:hAnsi="宋体" w:eastAsia="宋体"/>
          <w:color w:val="auto"/>
          <w:szCs w:val="21"/>
          <w:highlight w:val="none"/>
        </w:rPr>
        <w:fldChar w:fldCharType="end"/>
      </w:r>
    </w:p>
    <w:p w14:paraId="6D3F66D4">
      <w:pPr>
        <w:pStyle w:val="33"/>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一、评审程序和评审方法</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_Toc197530113 \h </w:instrText>
      </w:r>
      <w:r>
        <w:rPr>
          <w:rFonts w:ascii="宋体" w:hAnsi="宋体" w:eastAsia="宋体"/>
          <w:color w:val="auto"/>
          <w:szCs w:val="21"/>
          <w:highlight w:val="none"/>
        </w:rPr>
        <w:fldChar w:fldCharType="separate"/>
      </w:r>
      <w:r>
        <w:rPr>
          <w:rFonts w:ascii="宋体" w:hAnsi="宋体" w:eastAsia="宋体"/>
          <w:color w:val="auto"/>
          <w:szCs w:val="21"/>
          <w:highlight w:val="none"/>
        </w:rPr>
        <w:t>32</w:t>
      </w:r>
      <w:r>
        <w:rPr>
          <w:rFonts w:ascii="宋体" w:hAnsi="宋体" w:eastAsia="宋体"/>
          <w:color w:val="auto"/>
          <w:szCs w:val="21"/>
          <w:highlight w:val="none"/>
        </w:rPr>
        <w:fldChar w:fldCharType="end"/>
      </w:r>
    </w:p>
    <w:p w14:paraId="3458C0B6">
      <w:pPr>
        <w:pStyle w:val="33"/>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二、评审标准</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_Toc197530114 \h </w:instrText>
      </w:r>
      <w:r>
        <w:rPr>
          <w:rFonts w:ascii="宋体" w:hAnsi="宋体" w:eastAsia="宋体"/>
          <w:color w:val="auto"/>
          <w:szCs w:val="21"/>
          <w:highlight w:val="none"/>
        </w:rPr>
        <w:fldChar w:fldCharType="separate"/>
      </w:r>
      <w:r>
        <w:rPr>
          <w:rFonts w:ascii="宋体" w:hAnsi="宋体" w:eastAsia="宋体"/>
          <w:color w:val="auto"/>
          <w:szCs w:val="21"/>
          <w:highlight w:val="none"/>
        </w:rPr>
        <w:t>37</w:t>
      </w:r>
      <w:r>
        <w:rPr>
          <w:rFonts w:ascii="宋体" w:hAnsi="宋体" w:eastAsia="宋体"/>
          <w:color w:val="auto"/>
          <w:szCs w:val="21"/>
          <w:highlight w:val="none"/>
        </w:rPr>
        <w:fldChar w:fldCharType="end"/>
      </w:r>
    </w:p>
    <w:p w14:paraId="4BE5DCF5">
      <w:pPr>
        <w:pStyle w:val="28"/>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b/>
          <w:color w:val="auto"/>
          <w:szCs w:val="21"/>
          <w:highlight w:val="none"/>
        </w:rPr>
        <w:t>第五</w:t>
      </w:r>
      <w:r>
        <w:rPr>
          <w:rFonts w:hint="eastAsia" w:ascii="宋体" w:hAnsi="宋体" w:eastAsia="宋体"/>
          <w:b/>
          <w:color w:val="auto"/>
          <w:spacing w:val="100"/>
          <w:szCs w:val="21"/>
          <w:highlight w:val="none"/>
        </w:rPr>
        <w:t>章</w:t>
      </w:r>
      <w:r>
        <w:rPr>
          <w:rFonts w:hint="eastAsia" w:ascii="宋体" w:hAnsi="宋体" w:eastAsia="宋体"/>
          <w:b/>
          <w:color w:val="auto"/>
          <w:szCs w:val="21"/>
          <w:highlight w:val="none"/>
        </w:rPr>
        <w:t>工程量清单、招标控制价及图纸</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_Toc197530115 \h </w:instrText>
      </w:r>
      <w:r>
        <w:rPr>
          <w:rFonts w:ascii="宋体" w:hAnsi="宋体" w:eastAsia="宋体"/>
          <w:color w:val="auto"/>
          <w:szCs w:val="21"/>
          <w:highlight w:val="none"/>
        </w:rPr>
        <w:fldChar w:fldCharType="separate"/>
      </w:r>
      <w:r>
        <w:rPr>
          <w:rFonts w:ascii="宋体" w:hAnsi="宋体" w:eastAsia="宋体"/>
          <w:color w:val="auto"/>
          <w:szCs w:val="21"/>
          <w:highlight w:val="none"/>
        </w:rPr>
        <w:t>44</w:t>
      </w:r>
      <w:r>
        <w:rPr>
          <w:rFonts w:ascii="宋体" w:hAnsi="宋体" w:eastAsia="宋体"/>
          <w:color w:val="auto"/>
          <w:szCs w:val="21"/>
          <w:highlight w:val="none"/>
        </w:rPr>
        <w:fldChar w:fldCharType="end"/>
      </w:r>
    </w:p>
    <w:p w14:paraId="4C5A90D9">
      <w:pPr>
        <w:pStyle w:val="28"/>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b/>
          <w:color w:val="auto"/>
          <w:szCs w:val="21"/>
          <w:highlight w:val="none"/>
        </w:rPr>
        <w:t>第六</w:t>
      </w:r>
      <w:r>
        <w:rPr>
          <w:rFonts w:hint="eastAsia" w:ascii="宋体" w:hAnsi="宋体" w:eastAsia="宋体"/>
          <w:b/>
          <w:color w:val="auto"/>
          <w:spacing w:val="100"/>
          <w:szCs w:val="21"/>
          <w:highlight w:val="none"/>
        </w:rPr>
        <w:t>章</w:t>
      </w:r>
      <w:r>
        <w:rPr>
          <w:rFonts w:hint="eastAsia" w:ascii="宋体" w:hAnsi="宋体" w:eastAsia="宋体"/>
          <w:b/>
          <w:color w:val="auto"/>
          <w:szCs w:val="21"/>
          <w:highlight w:val="none"/>
        </w:rPr>
        <w:t>响应文件格式</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_Toc197530116 \h </w:instrText>
      </w:r>
      <w:r>
        <w:rPr>
          <w:rFonts w:ascii="宋体" w:hAnsi="宋体" w:eastAsia="宋体"/>
          <w:color w:val="auto"/>
          <w:szCs w:val="21"/>
          <w:highlight w:val="none"/>
        </w:rPr>
        <w:fldChar w:fldCharType="separate"/>
      </w:r>
      <w:r>
        <w:rPr>
          <w:rFonts w:ascii="宋体" w:hAnsi="宋体" w:eastAsia="宋体"/>
          <w:color w:val="auto"/>
          <w:szCs w:val="21"/>
          <w:highlight w:val="none"/>
        </w:rPr>
        <w:t>48</w:t>
      </w:r>
      <w:r>
        <w:rPr>
          <w:rFonts w:ascii="宋体" w:hAnsi="宋体" w:eastAsia="宋体"/>
          <w:color w:val="auto"/>
          <w:szCs w:val="21"/>
          <w:highlight w:val="none"/>
        </w:rPr>
        <w:fldChar w:fldCharType="end"/>
      </w:r>
    </w:p>
    <w:p w14:paraId="4973B99C">
      <w:pPr>
        <w:pStyle w:val="33"/>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一、资格证明文件格式</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_Toc197530117 \h </w:instrText>
      </w:r>
      <w:r>
        <w:rPr>
          <w:rFonts w:ascii="宋体" w:hAnsi="宋体" w:eastAsia="宋体"/>
          <w:color w:val="auto"/>
          <w:szCs w:val="21"/>
          <w:highlight w:val="none"/>
        </w:rPr>
        <w:fldChar w:fldCharType="separate"/>
      </w:r>
      <w:r>
        <w:rPr>
          <w:rFonts w:ascii="宋体" w:hAnsi="宋体" w:eastAsia="宋体"/>
          <w:color w:val="auto"/>
          <w:szCs w:val="21"/>
          <w:highlight w:val="none"/>
        </w:rPr>
        <w:t>48</w:t>
      </w:r>
      <w:r>
        <w:rPr>
          <w:rFonts w:ascii="宋体" w:hAnsi="宋体" w:eastAsia="宋体"/>
          <w:color w:val="auto"/>
          <w:szCs w:val="21"/>
          <w:highlight w:val="none"/>
        </w:rPr>
        <w:fldChar w:fldCharType="end"/>
      </w:r>
    </w:p>
    <w:p w14:paraId="77A47B46">
      <w:pPr>
        <w:pStyle w:val="33"/>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二、报价文件格式</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_Toc197530118 \h </w:instrText>
      </w:r>
      <w:r>
        <w:rPr>
          <w:rFonts w:ascii="宋体" w:hAnsi="宋体" w:eastAsia="宋体"/>
          <w:color w:val="auto"/>
          <w:szCs w:val="21"/>
          <w:highlight w:val="none"/>
        </w:rPr>
        <w:fldChar w:fldCharType="separate"/>
      </w:r>
      <w:r>
        <w:rPr>
          <w:rFonts w:ascii="宋体" w:hAnsi="宋体" w:eastAsia="宋体"/>
          <w:color w:val="auto"/>
          <w:szCs w:val="21"/>
          <w:highlight w:val="none"/>
        </w:rPr>
        <w:t>57</w:t>
      </w:r>
      <w:r>
        <w:rPr>
          <w:rFonts w:ascii="宋体" w:hAnsi="宋体" w:eastAsia="宋体"/>
          <w:color w:val="auto"/>
          <w:szCs w:val="21"/>
          <w:highlight w:val="none"/>
        </w:rPr>
        <w:fldChar w:fldCharType="end"/>
      </w:r>
    </w:p>
    <w:p w14:paraId="7C1A11F4">
      <w:pPr>
        <w:pStyle w:val="33"/>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三、商务技术文件格式</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_Toc197530119 \h </w:instrText>
      </w:r>
      <w:r>
        <w:rPr>
          <w:rFonts w:ascii="宋体" w:hAnsi="宋体" w:eastAsia="宋体"/>
          <w:color w:val="auto"/>
          <w:szCs w:val="21"/>
          <w:highlight w:val="none"/>
        </w:rPr>
        <w:fldChar w:fldCharType="separate"/>
      </w:r>
      <w:r>
        <w:rPr>
          <w:rFonts w:ascii="宋体" w:hAnsi="宋体" w:eastAsia="宋体"/>
          <w:color w:val="auto"/>
          <w:szCs w:val="21"/>
          <w:highlight w:val="none"/>
        </w:rPr>
        <w:t>64</w:t>
      </w:r>
      <w:r>
        <w:rPr>
          <w:rFonts w:ascii="宋体" w:hAnsi="宋体" w:eastAsia="宋体"/>
          <w:color w:val="auto"/>
          <w:szCs w:val="21"/>
          <w:highlight w:val="none"/>
        </w:rPr>
        <w:fldChar w:fldCharType="end"/>
      </w:r>
    </w:p>
    <w:p w14:paraId="0F2FC2A4">
      <w:pPr>
        <w:pStyle w:val="28"/>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b/>
          <w:color w:val="auto"/>
          <w:szCs w:val="21"/>
          <w:highlight w:val="none"/>
        </w:rPr>
        <w:t>第七</w:t>
      </w:r>
      <w:r>
        <w:rPr>
          <w:rFonts w:hint="eastAsia" w:ascii="宋体" w:hAnsi="宋体" w:eastAsia="宋体"/>
          <w:b/>
          <w:color w:val="auto"/>
          <w:spacing w:val="100"/>
          <w:szCs w:val="21"/>
          <w:highlight w:val="none"/>
        </w:rPr>
        <w:t>章</w:t>
      </w:r>
      <w:r>
        <w:rPr>
          <w:rFonts w:hint="eastAsia" w:ascii="宋体" w:hAnsi="宋体" w:eastAsia="宋体"/>
          <w:b/>
          <w:color w:val="auto"/>
          <w:szCs w:val="21"/>
          <w:highlight w:val="none"/>
        </w:rPr>
        <w:t>合同文本</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_Toc197530120 \h </w:instrText>
      </w:r>
      <w:r>
        <w:rPr>
          <w:rFonts w:ascii="宋体" w:hAnsi="宋体" w:eastAsia="宋体"/>
          <w:color w:val="auto"/>
          <w:szCs w:val="21"/>
          <w:highlight w:val="none"/>
        </w:rPr>
        <w:fldChar w:fldCharType="separate"/>
      </w:r>
      <w:r>
        <w:rPr>
          <w:rFonts w:ascii="宋体" w:hAnsi="宋体" w:eastAsia="宋体"/>
          <w:color w:val="auto"/>
          <w:szCs w:val="21"/>
          <w:highlight w:val="none"/>
        </w:rPr>
        <w:t>75</w:t>
      </w:r>
      <w:r>
        <w:rPr>
          <w:rFonts w:ascii="宋体" w:hAnsi="宋体" w:eastAsia="宋体"/>
          <w:color w:val="auto"/>
          <w:szCs w:val="21"/>
          <w:highlight w:val="none"/>
        </w:rPr>
        <w:fldChar w:fldCharType="end"/>
      </w:r>
    </w:p>
    <w:p w14:paraId="364AD0F1">
      <w:pPr>
        <w:pStyle w:val="33"/>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第一部分合同书</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_Toc197530121 \h </w:instrText>
      </w:r>
      <w:r>
        <w:rPr>
          <w:rFonts w:ascii="宋体" w:hAnsi="宋体" w:eastAsia="宋体"/>
          <w:color w:val="auto"/>
          <w:szCs w:val="21"/>
          <w:highlight w:val="none"/>
        </w:rPr>
        <w:fldChar w:fldCharType="separate"/>
      </w:r>
      <w:r>
        <w:rPr>
          <w:rFonts w:ascii="宋体" w:hAnsi="宋体" w:eastAsia="宋体"/>
          <w:color w:val="auto"/>
          <w:szCs w:val="21"/>
          <w:highlight w:val="none"/>
        </w:rPr>
        <w:t>76</w:t>
      </w:r>
      <w:r>
        <w:rPr>
          <w:rFonts w:ascii="宋体" w:hAnsi="宋体" w:eastAsia="宋体"/>
          <w:color w:val="auto"/>
          <w:szCs w:val="21"/>
          <w:highlight w:val="none"/>
        </w:rPr>
        <w:fldChar w:fldCharType="end"/>
      </w:r>
    </w:p>
    <w:p w14:paraId="6F3E6C57">
      <w:pPr>
        <w:pStyle w:val="20"/>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一、工程概况</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_Toc197530122 \h </w:instrText>
      </w:r>
      <w:r>
        <w:rPr>
          <w:rFonts w:ascii="宋体" w:hAnsi="宋体" w:eastAsia="宋体"/>
          <w:color w:val="auto"/>
          <w:szCs w:val="21"/>
          <w:highlight w:val="none"/>
        </w:rPr>
        <w:fldChar w:fldCharType="separate"/>
      </w:r>
      <w:r>
        <w:rPr>
          <w:rFonts w:ascii="宋体" w:hAnsi="宋体" w:eastAsia="宋体"/>
          <w:color w:val="auto"/>
          <w:szCs w:val="21"/>
          <w:highlight w:val="none"/>
        </w:rPr>
        <w:t>76</w:t>
      </w:r>
      <w:r>
        <w:rPr>
          <w:rFonts w:ascii="宋体" w:hAnsi="宋体" w:eastAsia="宋体"/>
          <w:color w:val="auto"/>
          <w:szCs w:val="21"/>
          <w:highlight w:val="none"/>
        </w:rPr>
        <w:fldChar w:fldCharType="end"/>
      </w:r>
    </w:p>
    <w:p w14:paraId="48CF27B0">
      <w:pPr>
        <w:pStyle w:val="20"/>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二、工程承包范围</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_Toc197530123 \h </w:instrText>
      </w:r>
      <w:r>
        <w:rPr>
          <w:rFonts w:ascii="宋体" w:hAnsi="宋体" w:eastAsia="宋体"/>
          <w:color w:val="auto"/>
          <w:szCs w:val="21"/>
          <w:highlight w:val="none"/>
        </w:rPr>
        <w:fldChar w:fldCharType="separate"/>
      </w:r>
      <w:r>
        <w:rPr>
          <w:rFonts w:ascii="宋体" w:hAnsi="宋体" w:eastAsia="宋体"/>
          <w:color w:val="auto"/>
          <w:szCs w:val="21"/>
          <w:highlight w:val="none"/>
        </w:rPr>
        <w:t>76</w:t>
      </w:r>
      <w:r>
        <w:rPr>
          <w:rFonts w:ascii="宋体" w:hAnsi="宋体" w:eastAsia="宋体"/>
          <w:color w:val="auto"/>
          <w:szCs w:val="21"/>
          <w:highlight w:val="none"/>
        </w:rPr>
        <w:fldChar w:fldCharType="end"/>
      </w:r>
    </w:p>
    <w:p w14:paraId="4E325BEF">
      <w:pPr>
        <w:pStyle w:val="20"/>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三、合同工期</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_Toc197530124 \h </w:instrText>
      </w:r>
      <w:r>
        <w:rPr>
          <w:rFonts w:ascii="宋体" w:hAnsi="宋体" w:eastAsia="宋体"/>
          <w:color w:val="auto"/>
          <w:szCs w:val="21"/>
          <w:highlight w:val="none"/>
        </w:rPr>
        <w:fldChar w:fldCharType="separate"/>
      </w:r>
      <w:r>
        <w:rPr>
          <w:rFonts w:ascii="宋体" w:hAnsi="宋体" w:eastAsia="宋体"/>
          <w:color w:val="auto"/>
          <w:szCs w:val="21"/>
          <w:highlight w:val="none"/>
        </w:rPr>
        <w:t>76</w:t>
      </w:r>
      <w:r>
        <w:rPr>
          <w:rFonts w:ascii="宋体" w:hAnsi="宋体" w:eastAsia="宋体"/>
          <w:color w:val="auto"/>
          <w:szCs w:val="21"/>
          <w:highlight w:val="none"/>
        </w:rPr>
        <w:fldChar w:fldCharType="end"/>
      </w:r>
    </w:p>
    <w:p w14:paraId="7CFDC739">
      <w:pPr>
        <w:pStyle w:val="20"/>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四、质量标准</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_Toc197530125 \h </w:instrText>
      </w:r>
      <w:r>
        <w:rPr>
          <w:rFonts w:ascii="宋体" w:hAnsi="宋体" w:eastAsia="宋体"/>
          <w:color w:val="auto"/>
          <w:szCs w:val="21"/>
          <w:highlight w:val="none"/>
        </w:rPr>
        <w:fldChar w:fldCharType="separate"/>
      </w:r>
      <w:r>
        <w:rPr>
          <w:rFonts w:ascii="宋体" w:hAnsi="宋体" w:eastAsia="宋体"/>
          <w:color w:val="auto"/>
          <w:szCs w:val="21"/>
          <w:highlight w:val="none"/>
        </w:rPr>
        <w:t>76</w:t>
      </w:r>
      <w:r>
        <w:rPr>
          <w:rFonts w:ascii="宋体" w:hAnsi="宋体" w:eastAsia="宋体"/>
          <w:color w:val="auto"/>
          <w:szCs w:val="21"/>
          <w:highlight w:val="none"/>
        </w:rPr>
        <w:fldChar w:fldCharType="end"/>
      </w:r>
    </w:p>
    <w:p w14:paraId="2ED0C906">
      <w:pPr>
        <w:pStyle w:val="20"/>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五、签约合同价与合同价格形式</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_Toc197530126 \h </w:instrText>
      </w:r>
      <w:r>
        <w:rPr>
          <w:rFonts w:ascii="宋体" w:hAnsi="宋体" w:eastAsia="宋体"/>
          <w:color w:val="auto"/>
          <w:szCs w:val="21"/>
          <w:highlight w:val="none"/>
        </w:rPr>
        <w:fldChar w:fldCharType="separate"/>
      </w:r>
      <w:r>
        <w:rPr>
          <w:rFonts w:ascii="宋体" w:hAnsi="宋体" w:eastAsia="宋体"/>
          <w:color w:val="auto"/>
          <w:szCs w:val="21"/>
          <w:highlight w:val="none"/>
        </w:rPr>
        <w:t>77</w:t>
      </w:r>
      <w:r>
        <w:rPr>
          <w:rFonts w:ascii="宋体" w:hAnsi="宋体" w:eastAsia="宋体"/>
          <w:color w:val="auto"/>
          <w:szCs w:val="21"/>
          <w:highlight w:val="none"/>
        </w:rPr>
        <w:fldChar w:fldCharType="end"/>
      </w:r>
    </w:p>
    <w:p w14:paraId="1ABCB3A3">
      <w:pPr>
        <w:pStyle w:val="20"/>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六、工程项目经理及其他人员</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_Toc197530127 \h </w:instrText>
      </w:r>
      <w:r>
        <w:rPr>
          <w:rFonts w:ascii="宋体" w:hAnsi="宋体" w:eastAsia="宋体"/>
          <w:color w:val="auto"/>
          <w:szCs w:val="21"/>
          <w:highlight w:val="none"/>
        </w:rPr>
        <w:fldChar w:fldCharType="separate"/>
      </w:r>
      <w:r>
        <w:rPr>
          <w:rFonts w:ascii="宋体" w:hAnsi="宋体" w:eastAsia="宋体"/>
          <w:color w:val="auto"/>
          <w:szCs w:val="21"/>
          <w:highlight w:val="none"/>
        </w:rPr>
        <w:t>77</w:t>
      </w:r>
      <w:r>
        <w:rPr>
          <w:rFonts w:ascii="宋体" w:hAnsi="宋体" w:eastAsia="宋体"/>
          <w:color w:val="auto"/>
          <w:szCs w:val="21"/>
          <w:highlight w:val="none"/>
        </w:rPr>
        <w:fldChar w:fldCharType="end"/>
      </w:r>
    </w:p>
    <w:p w14:paraId="5444407E">
      <w:pPr>
        <w:pStyle w:val="20"/>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七、合同文件构成</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_Toc197530128 \h </w:instrText>
      </w:r>
      <w:r>
        <w:rPr>
          <w:rFonts w:ascii="宋体" w:hAnsi="宋体" w:eastAsia="宋体"/>
          <w:color w:val="auto"/>
          <w:szCs w:val="21"/>
          <w:highlight w:val="none"/>
        </w:rPr>
        <w:fldChar w:fldCharType="separate"/>
      </w:r>
      <w:r>
        <w:rPr>
          <w:rFonts w:ascii="宋体" w:hAnsi="宋体" w:eastAsia="宋体"/>
          <w:color w:val="auto"/>
          <w:szCs w:val="21"/>
          <w:highlight w:val="none"/>
        </w:rPr>
        <w:t>77</w:t>
      </w:r>
      <w:r>
        <w:rPr>
          <w:rFonts w:ascii="宋体" w:hAnsi="宋体" w:eastAsia="宋体"/>
          <w:color w:val="auto"/>
          <w:szCs w:val="21"/>
          <w:highlight w:val="none"/>
        </w:rPr>
        <w:fldChar w:fldCharType="end"/>
      </w:r>
    </w:p>
    <w:p w14:paraId="596AF82A">
      <w:pPr>
        <w:pStyle w:val="20"/>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八、承诺</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_Toc197530129 \h </w:instrText>
      </w:r>
      <w:r>
        <w:rPr>
          <w:rFonts w:ascii="宋体" w:hAnsi="宋体" w:eastAsia="宋体"/>
          <w:color w:val="auto"/>
          <w:szCs w:val="21"/>
          <w:highlight w:val="none"/>
        </w:rPr>
        <w:fldChar w:fldCharType="separate"/>
      </w:r>
      <w:r>
        <w:rPr>
          <w:rFonts w:ascii="宋体" w:hAnsi="宋体" w:eastAsia="宋体"/>
          <w:color w:val="auto"/>
          <w:szCs w:val="21"/>
          <w:highlight w:val="none"/>
        </w:rPr>
        <w:t>78</w:t>
      </w:r>
      <w:r>
        <w:rPr>
          <w:rFonts w:ascii="宋体" w:hAnsi="宋体" w:eastAsia="宋体"/>
          <w:color w:val="auto"/>
          <w:szCs w:val="21"/>
          <w:highlight w:val="none"/>
        </w:rPr>
        <w:fldChar w:fldCharType="end"/>
      </w:r>
    </w:p>
    <w:p w14:paraId="77BF4DA7">
      <w:pPr>
        <w:pStyle w:val="20"/>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九、词语含义</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_Toc197530130 \h </w:instrText>
      </w:r>
      <w:r>
        <w:rPr>
          <w:rFonts w:ascii="宋体" w:hAnsi="宋体" w:eastAsia="宋体"/>
          <w:color w:val="auto"/>
          <w:szCs w:val="21"/>
          <w:highlight w:val="none"/>
        </w:rPr>
        <w:fldChar w:fldCharType="separate"/>
      </w:r>
      <w:r>
        <w:rPr>
          <w:rFonts w:ascii="宋体" w:hAnsi="宋体" w:eastAsia="宋体"/>
          <w:color w:val="auto"/>
          <w:szCs w:val="21"/>
          <w:highlight w:val="none"/>
        </w:rPr>
        <w:t>78</w:t>
      </w:r>
      <w:r>
        <w:rPr>
          <w:rFonts w:ascii="宋体" w:hAnsi="宋体" w:eastAsia="宋体"/>
          <w:color w:val="auto"/>
          <w:szCs w:val="21"/>
          <w:highlight w:val="none"/>
        </w:rPr>
        <w:fldChar w:fldCharType="end"/>
      </w:r>
    </w:p>
    <w:p w14:paraId="0112FD2D">
      <w:pPr>
        <w:pStyle w:val="20"/>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十、订立时间</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_Toc197530131 \h </w:instrText>
      </w:r>
      <w:r>
        <w:rPr>
          <w:rFonts w:ascii="宋体" w:hAnsi="宋体" w:eastAsia="宋体"/>
          <w:color w:val="auto"/>
          <w:szCs w:val="21"/>
          <w:highlight w:val="none"/>
        </w:rPr>
        <w:fldChar w:fldCharType="separate"/>
      </w:r>
      <w:r>
        <w:rPr>
          <w:rFonts w:ascii="宋体" w:hAnsi="宋体" w:eastAsia="宋体"/>
          <w:color w:val="auto"/>
          <w:szCs w:val="21"/>
          <w:highlight w:val="none"/>
        </w:rPr>
        <w:t>78</w:t>
      </w:r>
      <w:r>
        <w:rPr>
          <w:rFonts w:ascii="宋体" w:hAnsi="宋体" w:eastAsia="宋体"/>
          <w:color w:val="auto"/>
          <w:szCs w:val="21"/>
          <w:highlight w:val="none"/>
        </w:rPr>
        <w:fldChar w:fldCharType="end"/>
      </w:r>
    </w:p>
    <w:p w14:paraId="5087646A">
      <w:pPr>
        <w:pStyle w:val="20"/>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十一、订立地点</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_Toc197530132 \h </w:instrText>
      </w:r>
      <w:r>
        <w:rPr>
          <w:rFonts w:ascii="宋体" w:hAnsi="宋体" w:eastAsia="宋体"/>
          <w:color w:val="auto"/>
          <w:szCs w:val="21"/>
          <w:highlight w:val="none"/>
        </w:rPr>
        <w:fldChar w:fldCharType="separate"/>
      </w:r>
      <w:r>
        <w:rPr>
          <w:rFonts w:ascii="宋体" w:hAnsi="宋体" w:eastAsia="宋体"/>
          <w:color w:val="auto"/>
          <w:szCs w:val="21"/>
          <w:highlight w:val="none"/>
        </w:rPr>
        <w:t>78</w:t>
      </w:r>
      <w:r>
        <w:rPr>
          <w:rFonts w:ascii="宋体" w:hAnsi="宋体" w:eastAsia="宋体"/>
          <w:color w:val="auto"/>
          <w:szCs w:val="21"/>
          <w:highlight w:val="none"/>
        </w:rPr>
        <w:fldChar w:fldCharType="end"/>
      </w:r>
    </w:p>
    <w:p w14:paraId="752411C5">
      <w:pPr>
        <w:pStyle w:val="20"/>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十二、补充协议</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_Toc197530133 \h </w:instrText>
      </w:r>
      <w:r>
        <w:rPr>
          <w:rFonts w:ascii="宋体" w:hAnsi="宋体" w:eastAsia="宋体"/>
          <w:color w:val="auto"/>
          <w:szCs w:val="21"/>
          <w:highlight w:val="none"/>
        </w:rPr>
        <w:fldChar w:fldCharType="separate"/>
      </w:r>
      <w:r>
        <w:rPr>
          <w:rFonts w:ascii="宋体" w:hAnsi="宋体" w:eastAsia="宋体"/>
          <w:color w:val="auto"/>
          <w:szCs w:val="21"/>
          <w:highlight w:val="none"/>
        </w:rPr>
        <w:t>78</w:t>
      </w:r>
      <w:r>
        <w:rPr>
          <w:rFonts w:ascii="宋体" w:hAnsi="宋体" w:eastAsia="宋体"/>
          <w:color w:val="auto"/>
          <w:szCs w:val="21"/>
          <w:highlight w:val="none"/>
        </w:rPr>
        <w:fldChar w:fldCharType="end"/>
      </w:r>
    </w:p>
    <w:p w14:paraId="03CAA104">
      <w:pPr>
        <w:pStyle w:val="20"/>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十三、合同生效</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_Toc197530134 \h </w:instrText>
      </w:r>
      <w:r>
        <w:rPr>
          <w:rFonts w:ascii="宋体" w:hAnsi="宋体" w:eastAsia="宋体"/>
          <w:color w:val="auto"/>
          <w:szCs w:val="21"/>
          <w:highlight w:val="none"/>
        </w:rPr>
        <w:fldChar w:fldCharType="separate"/>
      </w:r>
      <w:r>
        <w:rPr>
          <w:rFonts w:ascii="宋体" w:hAnsi="宋体" w:eastAsia="宋体"/>
          <w:color w:val="auto"/>
          <w:szCs w:val="21"/>
          <w:highlight w:val="none"/>
        </w:rPr>
        <w:t>78</w:t>
      </w:r>
      <w:r>
        <w:rPr>
          <w:rFonts w:ascii="宋体" w:hAnsi="宋体" w:eastAsia="宋体"/>
          <w:color w:val="auto"/>
          <w:szCs w:val="21"/>
          <w:highlight w:val="none"/>
        </w:rPr>
        <w:fldChar w:fldCharType="end"/>
      </w:r>
    </w:p>
    <w:p w14:paraId="0F8FC00B">
      <w:pPr>
        <w:pStyle w:val="20"/>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十四、合同份数</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_Toc197530135 \h </w:instrText>
      </w:r>
      <w:r>
        <w:rPr>
          <w:rFonts w:ascii="宋体" w:hAnsi="宋体" w:eastAsia="宋体"/>
          <w:color w:val="auto"/>
          <w:szCs w:val="21"/>
          <w:highlight w:val="none"/>
        </w:rPr>
        <w:fldChar w:fldCharType="separate"/>
      </w:r>
      <w:r>
        <w:rPr>
          <w:rFonts w:ascii="宋体" w:hAnsi="宋体" w:eastAsia="宋体"/>
          <w:color w:val="auto"/>
          <w:szCs w:val="21"/>
          <w:highlight w:val="none"/>
        </w:rPr>
        <w:t>78</w:t>
      </w:r>
      <w:r>
        <w:rPr>
          <w:rFonts w:ascii="宋体" w:hAnsi="宋体" w:eastAsia="宋体"/>
          <w:color w:val="auto"/>
          <w:szCs w:val="21"/>
          <w:highlight w:val="none"/>
        </w:rPr>
        <w:fldChar w:fldCharType="end"/>
      </w:r>
    </w:p>
    <w:p w14:paraId="18C71235">
      <w:pPr>
        <w:pStyle w:val="33"/>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第二部分通用合同条款</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_Toc197530136 \h </w:instrText>
      </w:r>
      <w:r>
        <w:rPr>
          <w:rFonts w:ascii="宋体" w:hAnsi="宋体" w:eastAsia="宋体"/>
          <w:color w:val="auto"/>
          <w:szCs w:val="21"/>
          <w:highlight w:val="none"/>
        </w:rPr>
        <w:fldChar w:fldCharType="separate"/>
      </w:r>
      <w:r>
        <w:rPr>
          <w:rFonts w:ascii="宋体" w:hAnsi="宋体" w:eastAsia="宋体"/>
          <w:color w:val="auto"/>
          <w:szCs w:val="21"/>
          <w:highlight w:val="none"/>
        </w:rPr>
        <w:t>80</w:t>
      </w:r>
      <w:r>
        <w:rPr>
          <w:rFonts w:ascii="宋体" w:hAnsi="宋体" w:eastAsia="宋体"/>
          <w:color w:val="auto"/>
          <w:szCs w:val="21"/>
          <w:highlight w:val="none"/>
        </w:rPr>
        <w:fldChar w:fldCharType="end"/>
      </w:r>
    </w:p>
    <w:p w14:paraId="2812352D">
      <w:pPr>
        <w:pStyle w:val="20"/>
        <w:shd w:val="clear"/>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1.</w:t>
      </w:r>
      <w:r>
        <w:rPr>
          <w:rFonts w:hint="eastAsia" w:ascii="宋体" w:hAnsi="宋体" w:eastAsia="宋体"/>
          <w:color w:val="auto"/>
          <w:szCs w:val="21"/>
          <w:highlight w:val="none"/>
        </w:rPr>
        <w:t>一般约定</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_Toc197530137 \h </w:instrText>
      </w:r>
      <w:r>
        <w:rPr>
          <w:rFonts w:ascii="宋体" w:hAnsi="宋体" w:eastAsia="宋体"/>
          <w:color w:val="auto"/>
          <w:szCs w:val="21"/>
          <w:highlight w:val="none"/>
        </w:rPr>
        <w:fldChar w:fldCharType="separate"/>
      </w:r>
      <w:r>
        <w:rPr>
          <w:rFonts w:ascii="宋体" w:hAnsi="宋体" w:eastAsia="宋体"/>
          <w:color w:val="auto"/>
          <w:szCs w:val="21"/>
          <w:highlight w:val="none"/>
        </w:rPr>
        <w:t>80</w:t>
      </w:r>
      <w:r>
        <w:rPr>
          <w:rFonts w:ascii="宋体" w:hAnsi="宋体" w:eastAsia="宋体"/>
          <w:color w:val="auto"/>
          <w:szCs w:val="21"/>
          <w:highlight w:val="none"/>
        </w:rPr>
        <w:fldChar w:fldCharType="end"/>
      </w:r>
    </w:p>
    <w:p w14:paraId="5D8EC27B">
      <w:pPr>
        <w:pStyle w:val="20"/>
        <w:shd w:val="clear"/>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发包人</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_Toc197530138 \h </w:instrText>
      </w:r>
      <w:r>
        <w:rPr>
          <w:rFonts w:ascii="宋体" w:hAnsi="宋体" w:eastAsia="宋体"/>
          <w:color w:val="auto"/>
          <w:szCs w:val="21"/>
          <w:highlight w:val="none"/>
        </w:rPr>
        <w:fldChar w:fldCharType="separate"/>
      </w:r>
      <w:r>
        <w:rPr>
          <w:rFonts w:ascii="宋体" w:hAnsi="宋体" w:eastAsia="宋体"/>
          <w:color w:val="auto"/>
          <w:szCs w:val="21"/>
          <w:highlight w:val="none"/>
        </w:rPr>
        <w:t>87</w:t>
      </w:r>
      <w:r>
        <w:rPr>
          <w:rFonts w:ascii="宋体" w:hAnsi="宋体" w:eastAsia="宋体"/>
          <w:color w:val="auto"/>
          <w:szCs w:val="21"/>
          <w:highlight w:val="none"/>
        </w:rPr>
        <w:fldChar w:fldCharType="end"/>
      </w:r>
    </w:p>
    <w:p w14:paraId="48C7DF4B">
      <w:pPr>
        <w:pStyle w:val="20"/>
        <w:shd w:val="clear"/>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3.</w:t>
      </w:r>
      <w:r>
        <w:rPr>
          <w:rFonts w:hint="eastAsia" w:ascii="宋体" w:hAnsi="宋体" w:eastAsia="宋体"/>
          <w:color w:val="auto"/>
          <w:szCs w:val="21"/>
          <w:highlight w:val="none"/>
        </w:rPr>
        <w:t>承包人</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_Toc197530139 \h </w:instrText>
      </w:r>
      <w:r>
        <w:rPr>
          <w:rFonts w:ascii="宋体" w:hAnsi="宋体" w:eastAsia="宋体"/>
          <w:color w:val="auto"/>
          <w:szCs w:val="21"/>
          <w:highlight w:val="none"/>
        </w:rPr>
        <w:fldChar w:fldCharType="separate"/>
      </w:r>
      <w:r>
        <w:rPr>
          <w:rFonts w:ascii="宋体" w:hAnsi="宋体" w:eastAsia="宋体"/>
          <w:color w:val="auto"/>
          <w:szCs w:val="21"/>
          <w:highlight w:val="none"/>
        </w:rPr>
        <w:t>89</w:t>
      </w:r>
      <w:r>
        <w:rPr>
          <w:rFonts w:ascii="宋体" w:hAnsi="宋体" w:eastAsia="宋体"/>
          <w:color w:val="auto"/>
          <w:szCs w:val="21"/>
          <w:highlight w:val="none"/>
        </w:rPr>
        <w:fldChar w:fldCharType="end"/>
      </w:r>
    </w:p>
    <w:p w14:paraId="36CE2EB1">
      <w:pPr>
        <w:pStyle w:val="20"/>
        <w:shd w:val="clear"/>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4.</w:t>
      </w:r>
      <w:r>
        <w:rPr>
          <w:rFonts w:hint="eastAsia" w:ascii="宋体" w:hAnsi="宋体" w:eastAsia="宋体"/>
          <w:color w:val="auto"/>
          <w:szCs w:val="21"/>
          <w:highlight w:val="none"/>
        </w:rPr>
        <w:t>监理人</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_Toc197530140 \h </w:instrText>
      </w:r>
      <w:r>
        <w:rPr>
          <w:rFonts w:ascii="宋体" w:hAnsi="宋体" w:eastAsia="宋体"/>
          <w:color w:val="auto"/>
          <w:szCs w:val="21"/>
          <w:highlight w:val="none"/>
        </w:rPr>
        <w:fldChar w:fldCharType="separate"/>
      </w:r>
      <w:r>
        <w:rPr>
          <w:rFonts w:ascii="宋体" w:hAnsi="宋体" w:eastAsia="宋体"/>
          <w:color w:val="auto"/>
          <w:szCs w:val="21"/>
          <w:highlight w:val="none"/>
        </w:rPr>
        <w:t>93</w:t>
      </w:r>
      <w:r>
        <w:rPr>
          <w:rFonts w:ascii="宋体" w:hAnsi="宋体" w:eastAsia="宋体"/>
          <w:color w:val="auto"/>
          <w:szCs w:val="21"/>
          <w:highlight w:val="none"/>
        </w:rPr>
        <w:fldChar w:fldCharType="end"/>
      </w:r>
    </w:p>
    <w:p w14:paraId="1EE20C1A">
      <w:pPr>
        <w:pStyle w:val="20"/>
        <w:shd w:val="clear"/>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5.</w:t>
      </w:r>
      <w:r>
        <w:rPr>
          <w:rFonts w:hint="eastAsia" w:ascii="宋体" w:hAnsi="宋体" w:eastAsia="宋体"/>
          <w:color w:val="auto"/>
          <w:szCs w:val="21"/>
          <w:highlight w:val="none"/>
        </w:rPr>
        <w:t>工程质量</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_Toc197530141 \h </w:instrText>
      </w:r>
      <w:r>
        <w:rPr>
          <w:rFonts w:ascii="宋体" w:hAnsi="宋体" w:eastAsia="宋体"/>
          <w:color w:val="auto"/>
          <w:szCs w:val="21"/>
          <w:highlight w:val="none"/>
        </w:rPr>
        <w:fldChar w:fldCharType="separate"/>
      </w:r>
      <w:r>
        <w:rPr>
          <w:rFonts w:ascii="宋体" w:hAnsi="宋体" w:eastAsia="宋体"/>
          <w:color w:val="auto"/>
          <w:szCs w:val="21"/>
          <w:highlight w:val="none"/>
        </w:rPr>
        <w:t>94</w:t>
      </w:r>
      <w:r>
        <w:rPr>
          <w:rFonts w:ascii="宋体" w:hAnsi="宋体" w:eastAsia="宋体"/>
          <w:color w:val="auto"/>
          <w:szCs w:val="21"/>
          <w:highlight w:val="none"/>
        </w:rPr>
        <w:fldChar w:fldCharType="end"/>
      </w:r>
    </w:p>
    <w:p w14:paraId="60F70614">
      <w:pPr>
        <w:pStyle w:val="20"/>
        <w:shd w:val="clear"/>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6.</w:t>
      </w:r>
      <w:r>
        <w:rPr>
          <w:rFonts w:hint="eastAsia" w:ascii="宋体" w:hAnsi="宋体" w:eastAsia="宋体"/>
          <w:color w:val="auto"/>
          <w:szCs w:val="21"/>
          <w:highlight w:val="none"/>
        </w:rPr>
        <w:t>安全文明施工与环境保护</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_Toc197530142 \h </w:instrText>
      </w:r>
      <w:r>
        <w:rPr>
          <w:rFonts w:ascii="宋体" w:hAnsi="宋体" w:eastAsia="宋体"/>
          <w:color w:val="auto"/>
          <w:szCs w:val="21"/>
          <w:highlight w:val="none"/>
        </w:rPr>
        <w:fldChar w:fldCharType="separate"/>
      </w:r>
      <w:r>
        <w:rPr>
          <w:rFonts w:ascii="宋体" w:hAnsi="宋体" w:eastAsia="宋体"/>
          <w:color w:val="auto"/>
          <w:szCs w:val="21"/>
          <w:highlight w:val="none"/>
        </w:rPr>
        <w:t>96</w:t>
      </w:r>
      <w:r>
        <w:rPr>
          <w:rFonts w:ascii="宋体" w:hAnsi="宋体" w:eastAsia="宋体"/>
          <w:color w:val="auto"/>
          <w:szCs w:val="21"/>
          <w:highlight w:val="none"/>
        </w:rPr>
        <w:fldChar w:fldCharType="end"/>
      </w:r>
    </w:p>
    <w:p w14:paraId="7FB115C9">
      <w:pPr>
        <w:pStyle w:val="20"/>
        <w:shd w:val="clear"/>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7.</w:t>
      </w:r>
      <w:r>
        <w:rPr>
          <w:rFonts w:hint="eastAsia" w:ascii="宋体" w:hAnsi="宋体" w:eastAsia="宋体"/>
          <w:color w:val="auto"/>
          <w:szCs w:val="21"/>
          <w:highlight w:val="none"/>
        </w:rPr>
        <w:t>工期和进度</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_Toc197530143 \h </w:instrText>
      </w:r>
      <w:r>
        <w:rPr>
          <w:rFonts w:ascii="宋体" w:hAnsi="宋体" w:eastAsia="宋体"/>
          <w:color w:val="auto"/>
          <w:szCs w:val="21"/>
          <w:highlight w:val="none"/>
        </w:rPr>
        <w:fldChar w:fldCharType="separate"/>
      </w:r>
      <w:r>
        <w:rPr>
          <w:rFonts w:ascii="宋体" w:hAnsi="宋体" w:eastAsia="宋体"/>
          <w:color w:val="auto"/>
          <w:szCs w:val="21"/>
          <w:highlight w:val="none"/>
        </w:rPr>
        <w:t>99</w:t>
      </w:r>
      <w:r>
        <w:rPr>
          <w:rFonts w:ascii="宋体" w:hAnsi="宋体" w:eastAsia="宋体"/>
          <w:color w:val="auto"/>
          <w:szCs w:val="21"/>
          <w:highlight w:val="none"/>
        </w:rPr>
        <w:fldChar w:fldCharType="end"/>
      </w:r>
    </w:p>
    <w:p w14:paraId="479DCF22">
      <w:pPr>
        <w:pStyle w:val="20"/>
        <w:shd w:val="clear"/>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8.</w:t>
      </w:r>
      <w:r>
        <w:rPr>
          <w:rFonts w:hint="eastAsia" w:ascii="宋体" w:hAnsi="宋体" w:eastAsia="宋体"/>
          <w:color w:val="auto"/>
          <w:szCs w:val="21"/>
          <w:highlight w:val="none"/>
        </w:rPr>
        <w:t>材料与设备</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_Toc197530144 \h </w:instrText>
      </w:r>
      <w:r>
        <w:rPr>
          <w:rFonts w:ascii="宋体" w:hAnsi="宋体" w:eastAsia="宋体"/>
          <w:color w:val="auto"/>
          <w:szCs w:val="21"/>
          <w:highlight w:val="none"/>
        </w:rPr>
        <w:fldChar w:fldCharType="separate"/>
      </w:r>
      <w:r>
        <w:rPr>
          <w:rFonts w:ascii="宋体" w:hAnsi="宋体" w:eastAsia="宋体"/>
          <w:color w:val="auto"/>
          <w:szCs w:val="21"/>
          <w:highlight w:val="none"/>
        </w:rPr>
        <w:t>104</w:t>
      </w:r>
      <w:r>
        <w:rPr>
          <w:rFonts w:ascii="宋体" w:hAnsi="宋体" w:eastAsia="宋体"/>
          <w:color w:val="auto"/>
          <w:szCs w:val="21"/>
          <w:highlight w:val="none"/>
        </w:rPr>
        <w:fldChar w:fldCharType="end"/>
      </w:r>
    </w:p>
    <w:p w14:paraId="0C2022CC">
      <w:pPr>
        <w:pStyle w:val="20"/>
        <w:shd w:val="clear"/>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9.</w:t>
      </w:r>
      <w:r>
        <w:rPr>
          <w:rFonts w:hint="eastAsia" w:ascii="宋体" w:hAnsi="宋体" w:eastAsia="宋体"/>
          <w:color w:val="auto"/>
          <w:szCs w:val="21"/>
          <w:highlight w:val="none"/>
        </w:rPr>
        <w:t>试验与检验</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_Toc197530145 \h </w:instrText>
      </w:r>
      <w:r>
        <w:rPr>
          <w:rFonts w:ascii="宋体" w:hAnsi="宋体" w:eastAsia="宋体"/>
          <w:color w:val="auto"/>
          <w:szCs w:val="21"/>
          <w:highlight w:val="none"/>
        </w:rPr>
        <w:fldChar w:fldCharType="separate"/>
      </w:r>
      <w:r>
        <w:rPr>
          <w:rFonts w:ascii="宋体" w:hAnsi="宋体" w:eastAsia="宋体"/>
          <w:color w:val="auto"/>
          <w:szCs w:val="21"/>
          <w:highlight w:val="none"/>
        </w:rPr>
        <w:t>107</w:t>
      </w:r>
      <w:r>
        <w:rPr>
          <w:rFonts w:ascii="宋体" w:hAnsi="宋体" w:eastAsia="宋体"/>
          <w:color w:val="auto"/>
          <w:szCs w:val="21"/>
          <w:highlight w:val="none"/>
        </w:rPr>
        <w:fldChar w:fldCharType="end"/>
      </w:r>
    </w:p>
    <w:p w14:paraId="47E39E9C">
      <w:pPr>
        <w:pStyle w:val="20"/>
        <w:shd w:val="clear"/>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10.</w:t>
      </w:r>
      <w:r>
        <w:rPr>
          <w:rFonts w:hint="eastAsia" w:ascii="宋体" w:hAnsi="宋体" w:eastAsia="宋体"/>
          <w:color w:val="auto"/>
          <w:szCs w:val="21"/>
          <w:highlight w:val="none"/>
        </w:rPr>
        <w:t>变更</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_Toc197530146 \h </w:instrText>
      </w:r>
      <w:r>
        <w:rPr>
          <w:rFonts w:ascii="宋体" w:hAnsi="宋体" w:eastAsia="宋体"/>
          <w:color w:val="auto"/>
          <w:szCs w:val="21"/>
          <w:highlight w:val="none"/>
        </w:rPr>
        <w:fldChar w:fldCharType="separate"/>
      </w:r>
      <w:r>
        <w:rPr>
          <w:rFonts w:ascii="宋体" w:hAnsi="宋体" w:eastAsia="宋体"/>
          <w:color w:val="auto"/>
          <w:szCs w:val="21"/>
          <w:highlight w:val="none"/>
        </w:rPr>
        <w:t>108</w:t>
      </w:r>
      <w:r>
        <w:rPr>
          <w:rFonts w:ascii="宋体" w:hAnsi="宋体" w:eastAsia="宋体"/>
          <w:color w:val="auto"/>
          <w:szCs w:val="21"/>
          <w:highlight w:val="none"/>
        </w:rPr>
        <w:fldChar w:fldCharType="end"/>
      </w:r>
    </w:p>
    <w:p w14:paraId="0248B0D9">
      <w:pPr>
        <w:pStyle w:val="20"/>
        <w:shd w:val="clear"/>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11.</w:t>
      </w:r>
      <w:r>
        <w:rPr>
          <w:rFonts w:hint="eastAsia" w:ascii="宋体" w:hAnsi="宋体" w:eastAsia="宋体"/>
          <w:color w:val="auto"/>
          <w:szCs w:val="21"/>
          <w:highlight w:val="none"/>
        </w:rPr>
        <w:t>价格调整</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_Toc197530147 \h </w:instrText>
      </w:r>
      <w:r>
        <w:rPr>
          <w:rFonts w:ascii="宋体" w:hAnsi="宋体" w:eastAsia="宋体"/>
          <w:color w:val="auto"/>
          <w:szCs w:val="21"/>
          <w:highlight w:val="none"/>
        </w:rPr>
        <w:fldChar w:fldCharType="separate"/>
      </w:r>
      <w:r>
        <w:rPr>
          <w:rFonts w:ascii="宋体" w:hAnsi="宋体" w:eastAsia="宋体"/>
          <w:color w:val="auto"/>
          <w:szCs w:val="21"/>
          <w:highlight w:val="none"/>
        </w:rPr>
        <w:t>112</w:t>
      </w:r>
      <w:r>
        <w:rPr>
          <w:rFonts w:ascii="宋体" w:hAnsi="宋体" w:eastAsia="宋体"/>
          <w:color w:val="auto"/>
          <w:szCs w:val="21"/>
          <w:highlight w:val="none"/>
        </w:rPr>
        <w:fldChar w:fldCharType="end"/>
      </w:r>
    </w:p>
    <w:p w14:paraId="39B53712">
      <w:pPr>
        <w:pStyle w:val="20"/>
        <w:shd w:val="clear"/>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12.</w:t>
      </w:r>
      <w:r>
        <w:rPr>
          <w:rFonts w:hint="eastAsia" w:ascii="宋体" w:hAnsi="宋体" w:eastAsia="宋体"/>
          <w:color w:val="auto"/>
          <w:szCs w:val="21"/>
          <w:highlight w:val="none"/>
        </w:rPr>
        <w:t>合同价格、计量与支付</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_Toc197530148 \h </w:instrText>
      </w:r>
      <w:r>
        <w:rPr>
          <w:rFonts w:ascii="宋体" w:hAnsi="宋体" w:eastAsia="宋体"/>
          <w:color w:val="auto"/>
          <w:szCs w:val="21"/>
          <w:highlight w:val="none"/>
        </w:rPr>
        <w:fldChar w:fldCharType="separate"/>
      </w:r>
      <w:r>
        <w:rPr>
          <w:rFonts w:ascii="宋体" w:hAnsi="宋体" w:eastAsia="宋体"/>
          <w:color w:val="auto"/>
          <w:szCs w:val="21"/>
          <w:highlight w:val="none"/>
        </w:rPr>
        <w:t>114</w:t>
      </w:r>
      <w:r>
        <w:rPr>
          <w:rFonts w:ascii="宋体" w:hAnsi="宋体" w:eastAsia="宋体"/>
          <w:color w:val="auto"/>
          <w:szCs w:val="21"/>
          <w:highlight w:val="none"/>
        </w:rPr>
        <w:fldChar w:fldCharType="end"/>
      </w:r>
    </w:p>
    <w:p w14:paraId="780E76E5">
      <w:pPr>
        <w:pStyle w:val="20"/>
        <w:shd w:val="clear"/>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13.</w:t>
      </w:r>
      <w:r>
        <w:rPr>
          <w:rFonts w:hint="eastAsia" w:ascii="宋体" w:hAnsi="宋体" w:eastAsia="宋体"/>
          <w:color w:val="auto"/>
          <w:szCs w:val="21"/>
          <w:highlight w:val="none"/>
        </w:rPr>
        <w:t>验收和工程试车</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_Toc197530149 \h </w:instrText>
      </w:r>
      <w:r>
        <w:rPr>
          <w:rFonts w:ascii="宋体" w:hAnsi="宋体" w:eastAsia="宋体"/>
          <w:color w:val="auto"/>
          <w:szCs w:val="21"/>
          <w:highlight w:val="none"/>
        </w:rPr>
        <w:fldChar w:fldCharType="separate"/>
      </w:r>
      <w:r>
        <w:rPr>
          <w:rFonts w:ascii="宋体" w:hAnsi="宋体" w:eastAsia="宋体"/>
          <w:color w:val="auto"/>
          <w:szCs w:val="21"/>
          <w:highlight w:val="none"/>
        </w:rPr>
        <w:t>119</w:t>
      </w:r>
      <w:r>
        <w:rPr>
          <w:rFonts w:ascii="宋体" w:hAnsi="宋体" w:eastAsia="宋体"/>
          <w:color w:val="auto"/>
          <w:szCs w:val="21"/>
          <w:highlight w:val="none"/>
        </w:rPr>
        <w:fldChar w:fldCharType="end"/>
      </w:r>
    </w:p>
    <w:p w14:paraId="5DF4195D">
      <w:pPr>
        <w:pStyle w:val="20"/>
        <w:shd w:val="clear"/>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14.</w:t>
      </w:r>
      <w:r>
        <w:rPr>
          <w:rFonts w:hint="eastAsia" w:ascii="宋体" w:hAnsi="宋体" w:eastAsia="宋体"/>
          <w:color w:val="auto"/>
          <w:szCs w:val="21"/>
          <w:highlight w:val="none"/>
        </w:rPr>
        <w:t>竣工结算</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_Toc197530150 \h </w:instrText>
      </w:r>
      <w:r>
        <w:rPr>
          <w:rFonts w:ascii="宋体" w:hAnsi="宋体" w:eastAsia="宋体"/>
          <w:color w:val="auto"/>
          <w:szCs w:val="21"/>
          <w:highlight w:val="none"/>
        </w:rPr>
        <w:fldChar w:fldCharType="separate"/>
      </w:r>
      <w:r>
        <w:rPr>
          <w:rFonts w:ascii="宋体" w:hAnsi="宋体" w:eastAsia="宋体"/>
          <w:color w:val="auto"/>
          <w:szCs w:val="21"/>
          <w:highlight w:val="none"/>
        </w:rPr>
        <w:t>122</w:t>
      </w:r>
      <w:r>
        <w:rPr>
          <w:rFonts w:ascii="宋体" w:hAnsi="宋体" w:eastAsia="宋体"/>
          <w:color w:val="auto"/>
          <w:szCs w:val="21"/>
          <w:highlight w:val="none"/>
        </w:rPr>
        <w:fldChar w:fldCharType="end"/>
      </w:r>
    </w:p>
    <w:p w14:paraId="787DED75">
      <w:pPr>
        <w:pStyle w:val="20"/>
        <w:shd w:val="clear"/>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15.</w:t>
      </w:r>
      <w:r>
        <w:rPr>
          <w:rFonts w:hint="eastAsia" w:ascii="宋体" w:hAnsi="宋体" w:eastAsia="宋体"/>
          <w:color w:val="auto"/>
          <w:szCs w:val="21"/>
          <w:highlight w:val="none"/>
        </w:rPr>
        <w:t>缺陷责任与保修</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_Toc197530151 \h </w:instrText>
      </w:r>
      <w:r>
        <w:rPr>
          <w:rFonts w:ascii="宋体" w:hAnsi="宋体" w:eastAsia="宋体"/>
          <w:color w:val="auto"/>
          <w:szCs w:val="21"/>
          <w:highlight w:val="none"/>
        </w:rPr>
        <w:fldChar w:fldCharType="separate"/>
      </w:r>
      <w:r>
        <w:rPr>
          <w:rFonts w:ascii="宋体" w:hAnsi="宋体" w:eastAsia="宋体"/>
          <w:color w:val="auto"/>
          <w:szCs w:val="21"/>
          <w:highlight w:val="none"/>
        </w:rPr>
        <w:t>124</w:t>
      </w:r>
      <w:r>
        <w:rPr>
          <w:rFonts w:ascii="宋体" w:hAnsi="宋体" w:eastAsia="宋体"/>
          <w:color w:val="auto"/>
          <w:szCs w:val="21"/>
          <w:highlight w:val="none"/>
        </w:rPr>
        <w:fldChar w:fldCharType="end"/>
      </w:r>
    </w:p>
    <w:p w14:paraId="120B9832">
      <w:pPr>
        <w:pStyle w:val="20"/>
        <w:shd w:val="clear"/>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16.</w:t>
      </w:r>
      <w:r>
        <w:rPr>
          <w:rFonts w:hint="eastAsia" w:ascii="宋体" w:hAnsi="宋体" w:eastAsia="宋体"/>
          <w:color w:val="auto"/>
          <w:szCs w:val="21"/>
          <w:highlight w:val="none"/>
        </w:rPr>
        <w:t>违约</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_Toc197530152 \h </w:instrText>
      </w:r>
      <w:r>
        <w:rPr>
          <w:rFonts w:ascii="宋体" w:hAnsi="宋体" w:eastAsia="宋体"/>
          <w:color w:val="auto"/>
          <w:szCs w:val="21"/>
          <w:highlight w:val="none"/>
        </w:rPr>
        <w:fldChar w:fldCharType="separate"/>
      </w:r>
      <w:r>
        <w:rPr>
          <w:rFonts w:ascii="宋体" w:hAnsi="宋体" w:eastAsia="宋体"/>
          <w:color w:val="auto"/>
          <w:szCs w:val="21"/>
          <w:highlight w:val="none"/>
        </w:rPr>
        <w:t>127</w:t>
      </w:r>
      <w:r>
        <w:rPr>
          <w:rFonts w:ascii="宋体" w:hAnsi="宋体" w:eastAsia="宋体"/>
          <w:color w:val="auto"/>
          <w:szCs w:val="21"/>
          <w:highlight w:val="none"/>
        </w:rPr>
        <w:fldChar w:fldCharType="end"/>
      </w:r>
    </w:p>
    <w:p w14:paraId="61DA5ED9">
      <w:pPr>
        <w:pStyle w:val="20"/>
        <w:shd w:val="clear"/>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17.</w:t>
      </w:r>
      <w:r>
        <w:rPr>
          <w:rFonts w:hint="eastAsia" w:ascii="宋体" w:hAnsi="宋体" w:eastAsia="宋体"/>
          <w:color w:val="auto"/>
          <w:szCs w:val="21"/>
          <w:highlight w:val="none"/>
        </w:rPr>
        <w:t>不可抗力</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_Toc197530153 \h </w:instrText>
      </w:r>
      <w:r>
        <w:rPr>
          <w:rFonts w:ascii="宋体" w:hAnsi="宋体" w:eastAsia="宋体"/>
          <w:color w:val="auto"/>
          <w:szCs w:val="21"/>
          <w:highlight w:val="none"/>
        </w:rPr>
        <w:fldChar w:fldCharType="separate"/>
      </w:r>
      <w:r>
        <w:rPr>
          <w:rFonts w:ascii="宋体" w:hAnsi="宋体" w:eastAsia="宋体"/>
          <w:color w:val="auto"/>
          <w:szCs w:val="21"/>
          <w:highlight w:val="none"/>
        </w:rPr>
        <w:t>129</w:t>
      </w:r>
      <w:r>
        <w:rPr>
          <w:rFonts w:ascii="宋体" w:hAnsi="宋体" w:eastAsia="宋体"/>
          <w:color w:val="auto"/>
          <w:szCs w:val="21"/>
          <w:highlight w:val="none"/>
        </w:rPr>
        <w:fldChar w:fldCharType="end"/>
      </w:r>
    </w:p>
    <w:p w14:paraId="11759CE0">
      <w:pPr>
        <w:pStyle w:val="20"/>
        <w:shd w:val="clear"/>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18.</w:t>
      </w:r>
      <w:r>
        <w:rPr>
          <w:rFonts w:hint="eastAsia" w:ascii="宋体" w:hAnsi="宋体" w:eastAsia="宋体"/>
          <w:color w:val="auto"/>
          <w:szCs w:val="21"/>
          <w:highlight w:val="none"/>
        </w:rPr>
        <w:t>保险</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_Toc197530154 \h </w:instrText>
      </w:r>
      <w:r>
        <w:rPr>
          <w:rFonts w:ascii="宋体" w:hAnsi="宋体" w:eastAsia="宋体"/>
          <w:color w:val="auto"/>
          <w:szCs w:val="21"/>
          <w:highlight w:val="none"/>
        </w:rPr>
        <w:fldChar w:fldCharType="separate"/>
      </w:r>
      <w:r>
        <w:rPr>
          <w:rFonts w:ascii="宋体" w:hAnsi="宋体" w:eastAsia="宋体"/>
          <w:color w:val="auto"/>
          <w:szCs w:val="21"/>
          <w:highlight w:val="none"/>
        </w:rPr>
        <w:t>131</w:t>
      </w:r>
      <w:r>
        <w:rPr>
          <w:rFonts w:ascii="宋体" w:hAnsi="宋体" w:eastAsia="宋体"/>
          <w:color w:val="auto"/>
          <w:szCs w:val="21"/>
          <w:highlight w:val="none"/>
        </w:rPr>
        <w:fldChar w:fldCharType="end"/>
      </w:r>
    </w:p>
    <w:p w14:paraId="68100262">
      <w:pPr>
        <w:pStyle w:val="20"/>
        <w:shd w:val="clear"/>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19.</w:t>
      </w:r>
      <w:r>
        <w:rPr>
          <w:rFonts w:hint="eastAsia" w:ascii="宋体" w:hAnsi="宋体" w:eastAsia="宋体"/>
          <w:color w:val="auto"/>
          <w:szCs w:val="21"/>
          <w:highlight w:val="none"/>
        </w:rPr>
        <w:t>索赔</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_Toc197530155 \h </w:instrText>
      </w:r>
      <w:r>
        <w:rPr>
          <w:rFonts w:ascii="宋体" w:hAnsi="宋体" w:eastAsia="宋体"/>
          <w:color w:val="auto"/>
          <w:szCs w:val="21"/>
          <w:highlight w:val="none"/>
        </w:rPr>
        <w:fldChar w:fldCharType="separate"/>
      </w:r>
      <w:r>
        <w:rPr>
          <w:rFonts w:ascii="宋体" w:hAnsi="宋体" w:eastAsia="宋体"/>
          <w:color w:val="auto"/>
          <w:szCs w:val="21"/>
          <w:highlight w:val="none"/>
        </w:rPr>
        <w:t>132</w:t>
      </w:r>
      <w:r>
        <w:rPr>
          <w:rFonts w:ascii="宋体" w:hAnsi="宋体" w:eastAsia="宋体"/>
          <w:color w:val="auto"/>
          <w:szCs w:val="21"/>
          <w:highlight w:val="none"/>
        </w:rPr>
        <w:fldChar w:fldCharType="end"/>
      </w:r>
    </w:p>
    <w:p w14:paraId="49384E9B">
      <w:pPr>
        <w:pStyle w:val="20"/>
        <w:shd w:val="clear"/>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t>20.</w:t>
      </w:r>
      <w:r>
        <w:rPr>
          <w:rFonts w:hint="eastAsia" w:ascii="宋体" w:hAnsi="宋体" w:eastAsia="宋体"/>
          <w:color w:val="auto"/>
          <w:szCs w:val="21"/>
          <w:highlight w:val="none"/>
        </w:rPr>
        <w:t>争议解决</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_Toc197530156 \h </w:instrText>
      </w:r>
      <w:r>
        <w:rPr>
          <w:rFonts w:ascii="宋体" w:hAnsi="宋体" w:eastAsia="宋体"/>
          <w:color w:val="auto"/>
          <w:szCs w:val="21"/>
          <w:highlight w:val="none"/>
        </w:rPr>
        <w:fldChar w:fldCharType="separate"/>
      </w:r>
      <w:r>
        <w:rPr>
          <w:rFonts w:ascii="宋体" w:hAnsi="宋体" w:eastAsia="宋体"/>
          <w:color w:val="auto"/>
          <w:szCs w:val="21"/>
          <w:highlight w:val="none"/>
        </w:rPr>
        <w:t>133</w:t>
      </w:r>
      <w:r>
        <w:rPr>
          <w:rFonts w:ascii="宋体" w:hAnsi="宋体" w:eastAsia="宋体"/>
          <w:color w:val="auto"/>
          <w:szCs w:val="21"/>
          <w:highlight w:val="none"/>
        </w:rPr>
        <w:fldChar w:fldCharType="end"/>
      </w:r>
    </w:p>
    <w:p w14:paraId="102C6475">
      <w:pPr>
        <w:pStyle w:val="33"/>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第三部分专用合同条款</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_Toc197530157 \h </w:instrText>
      </w:r>
      <w:r>
        <w:rPr>
          <w:rFonts w:ascii="宋体" w:hAnsi="宋体" w:eastAsia="宋体"/>
          <w:color w:val="auto"/>
          <w:szCs w:val="21"/>
          <w:highlight w:val="none"/>
        </w:rPr>
        <w:fldChar w:fldCharType="separate"/>
      </w:r>
      <w:r>
        <w:rPr>
          <w:rFonts w:ascii="宋体" w:hAnsi="宋体" w:eastAsia="宋体"/>
          <w:color w:val="auto"/>
          <w:szCs w:val="21"/>
          <w:highlight w:val="none"/>
        </w:rPr>
        <w:t>135</w:t>
      </w:r>
      <w:r>
        <w:rPr>
          <w:rFonts w:ascii="宋体" w:hAnsi="宋体" w:eastAsia="宋体"/>
          <w:color w:val="auto"/>
          <w:szCs w:val="21"/>
          <w:highlight w:val="none"/>
        </w:rPr>
        <w:fldChar w:fldCharType="end"/>
      </w:r>
    </w:p>
    <w:p w14:paraId="12168F4F">
      <w:pPr>
        <w:pStyle w:val="20"/>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一、词语定义及合同文件</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_Toc197530158 \h </w:instrText>
      </w:r>
      <w:r>
        <w:rPr>
          <w:rFonts w:ascii="宋体" w:hAnsi="宋体" w:eastAsia="宋体"/>
          <w:color w:val="auto"/>
          <w:szCs w:val="21"/>
          <w:highlight w:val="none"/>
        </w:rPr>
        <w:fldChar w:fldCharType="separate"/>
      </w:r>
      <w:r>
        <w:rPr>
          <w:rFonts w:ascii="宋体" w:hAnsi="宋体" w:eastAsia="宋体"/>
          <w:color w:val="auto"/>
          <w:szCs w:val="21"/>
          <w:highlight w:val="none"/>
        </w:rPr>
        <w:t>135</w:t>
      </w:r>
      <w:r>
        <w:rPr>
          <w:rFonts w:ascii="宋体" w:hAnsi="宋体" w:eastAsia="宋体"/>
          <w:color w:val="auto"/>
          <w:szCs w:val="21"/>
          <w:highlight w:val="none"/>
        </w:rPr>
        <w:fldChar w:fldCharType="end"/>
      </w:r>
    </w:p>
    <w:p w14:paraId="06848306">
      <w:pPr>
        <w:pStyle w:val="20"/>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二、双方一般权利和义务</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_Toc197530159 \h </w:instrText>
      </w:r>
      <w:r>
        <w:rPr>
          <w:rFonts w:ascii="宋体" w:hAnsi="宋体" w:eastAsia="宋体"/>
          <w:color w:val="auto"/>
          <w:szCs w:val="21"/>
          <w:highlight w:val="none"/>
        </w:rPr>
        <w:fldChar w:fldCharType="separate"/>
      </w:r>
      <w:r>
        <w:rPr>
          <w:rFonts w:ascii="宋体" w:hAnsi="宋体" w:eastAsia="宋体"/>
          <w:color w:val="auto"/>
          <w:szCs w:val="21"/>
          <w:highlight w:val="none"/>
        </w:rPr>
        <w:t>136</w:t>
      </w:r>
      <w:r>
        <w:rPr>
          <w:rFonts w:ascii="宋体" w:hAnsi="宋体" w:eastAsia="宋体"/>
          <w:color w:val="auto"/>
          <w:szCs w:val="21"/>
          <w:highlight w:val="none"/>
        </w:rPr>
        <w:fldChar w:fldCharType="end"/>
      </w:r>
    </w:p>
    <w:p w14:paraId="24A32EEF">
      <w:pPr>
        <w:pStyle w:val="20"/>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三、施工组织设计和工期</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_Toc197530160 \h </w:instrText>
      </w:r>
      <w:r>
        <w:rPr>
          <w:rFonts w:ascii="宋体" w:hAnsi="宋体" w:eastAsia="宋体"/>
          <w:color w:val="auto"/>
          <w:szCs w:val="21"/>
          <w:highlight w:val="none"/>
        </w:rPr>
        <w:fldChar w:fldCharType="separate"/>
      </w:r>
      <w:r>
        <w:rPr>
          <w:rFonts w:ascii="宋体" w:hAnsi="宋体" w:eastAsia="宋体"/>
          <w:color w:val="auto"/>
          <w:szCs w:val="21"/>
          <w:highlight w:val="none"/>
        </w:rPr>
        <w:t>139</w:t>
      </w:r>
      <w:r>
        <w:rPr>
          <w:rFonts w:ascii="宋体" w:hAnsi="宋体" w:eastAsia="宋体"/>
          <w:color w:val="auto"/>
          <w:szCs w:val="21"/>
          <w:highlight w:val="none"/>
        </w:rPr>
        <w:fldChar w:fldCharType="end"/>
      </w:r>
    </w:p>
    <w:p w14:paraId="234C51AE">
      <w:pPr>
        <w:pStyle w:val="20"/>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四、质量与验收</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_Toc197530161 \h </w:instrText>
      </w:r>
      <w:r>
        <w:rPr>
          <w:rFonts w:ascii="宋体" w:hAnsi="宋体" w:eastAsia="宋体"/>
          <w:color w:val="auto"/>
          <w:szCs w:val="21"/>
          <w:highlight w:val="none"/>
        </w:rPr>
        <w:fldChar w:fldCharType="separate"/>
      </w:r>
      <w:r>
        <w:rPr>
          <w:rFonts w:ascii="宋体" w:hAnsi="宋体" w:eastAsia="宋体"/>
          <w:color w:val="auto"/>
          <w:szCs w:val="21"/>
          <w:highlight w:val="none"/>
        </w:rPr>
        <w:t>140</w:t>
      </w:r>
      <w:r>
        <w:rPr>
          <w:rFonts w:ascii="宋体" w:hAnsi="宋体" w:eastAsia="宋体"/>
          <w:color w:val="auto"/>
          <w:szCs w:val="21"/>
          <w:highlight w:val="none"/>
        </w:rPr>
        <w:fldChar w:fldCharType="end"/>
      </w:r>
    </w:p>
    <w:p w14:paraId="41E6454C">
      <w:pPr>
        <w:pStyle w:val="20"/>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五、合同价款与支付</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_Toc197530162 \h </w:instrText>
      </w:r>
      <w:r>
        <w:rPr>
          <w:rFonts w:ascii="宋体" w:hAnsi="宋体" w:eastAsia="宋体"/>
          <w:color w:val="auto"/>
          <w:szCs w:val="21"/>
          <w:highlight w:val="none"/>
        </w:rPr>
        <w:fldChar w:fldCharType="separate"/>
      </w:r>
      <w:r>
        <w:rPr>
          <w:rFonts w:ascii="宋体" w:hAnsi="宋体" w:eastAsia="宋体"/>
          <w:color w:val="auto"/>
          <w:szCs w:val="21"/>
          <w:highlight w:val="none"/>
        </w:rPr>
        <w:t>140</w:t>
      </w:r>
      <w:r>
        <w:rPr>
          <w:rFonts w:ascii="宋体" w:hAnsi="宋体" w:eastAsia="宋体"/>
          <w:color w:val="auto"/>
          <w:szCs w:val="21"/>
          <w:highlight w:val="none"/>
        </w:rPr>
        <w:fldChar w:fldCharType="end"/>
      </w:r>
    </w:p>
    <w:p w14:paraId="39FD3A38">
      <w:pPr>
        <w:pStyle w:val="20"/>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六、材料设备供应</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_Toc197530163 \h </w:instrText>
      </w:r>
      <w:r>
        <w:rPr>
          <w:rFonts w:ascii="宋体" w:hAnsi="宋体" w:eastAsia="宋体"/>
          <w:color w:val="auto"/>
          <w:szCs w:val="21"/>
          <w:highlight w:val="none"/>
        </w:rPr>
        <w:fldChar w:fldCharType="separate"/>
      </w:r>
      <w:r>
        <w:rPr>
          <w:rFonts w:ascii="宋体" w:hAnsi="宋体" w:eastAsia="宋体"/>
          <w:color w:val="auto"/>
          <w:szCs w:val="21"/>
          <w:highlight w:val="none"/>
        </w:rPr>
        <w:t>144</w:t>
      </w:r>
      <w:r>
        <w:rPr>
          <w:rFonts w:ascii="宋体" w:hAnsi="宋体" w:eastAsia="宋体"/>
          <w:color w:val="auto"/>
          <w:szCs w:val="21"/>
          <w:highlight w:val="none"/>
        </w:rPr>
        <w:fldChar w:fldCharType="end"/>
      </w:r>
    </w:p>
    <w:p w14:paraId="42AF465E">
      <w:pPr>
        <w:pStyle w:val="20"/>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七、竣工验收与结算</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_Toc197530164 \h </w:instrText>
      </w:r>
      <w:r>
        <w:rPr>
          <w:rFonts w:ascii="宋体" w:hAnsi="宋体" w:eastAsia="宋体"/>
          <w:color w:val="auto"/>
          <w:szCs w:val="21"/>
          <w:highlight w:val="none"/>
        </w:rPr>
        <w:fldChar w:fldCharType="separate"/>
      </w:r>
      <w:r>
        <w:rPr>
          <w:rFonts w:ascii="宋体" w:hAnsi="宋体" w:eastAsia="宋体"/>
          <w:color w:val="auto"/>
          <w:szCs w:val="21"/>
          <w:highlight w:val="none"/>
        </w:rPr>
        <w:t>145</w:t>
      </w:r>
      <w:r>
        <w:rPr>
          <w:rFonts w:ascii="宋体" w:hAnsi="宋体" w:eastAsia="宋体"/>
          <w:color w:val="auto"/>
          <w:szCs w:val="21"/>
          <w:highlight w:val="none"/>
        </w:rPr>
        <w:fldChar w:fldCharType="end"/>
      </w:r>
    </w:p>
    <w:p w14:paraId="592B5DB0">
      <w:pPr>
        <w:pStyle w:val="20"/>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八、违约、索赔和争议</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_Toc197530165 \h </w:instrText>
      </w:r>
      <w:r>
        <w:rPr>
          <w:rFonts w:ascii="宋体" w:hAnsi="宋体" w:eastAsia="宋体"/>
          <w:color w:val="auto"/>
          <w:szCs w:val="21"/>
          <w:highlight w:val="none"/>
        </w:rPr>
        <w:fldChar w:fldCharType="separate"/>
      </w:r>
      <w:r>
        <w:rPr>
          <w:rFonts w:ascii="宋体" w:hAnsi="宋体" w:eastAsia="宋体"/>
          <w:color w:val="auto"/>
          <w:szCs w:val="21"/>
          <w:highlight w:val="none"/>
        </w:rPr>
        <w:t>147</w:t>
      </w:r>
      <w:r>
        <w:rPr>
          <w:rFonts w:ascii="宋体" w:hAnsi="宋体" w:eastAsia="宋体"/>
          <w:color w:val="auto"/>
          <w:szCs w:val="21"/>
          <w:highlight w:val="none"/>
        </w:rPr>
        <w:fldChar w:fldCharType="end"/>
      </w:r>
    </w:p>
    <w:p w14:paraId="6FB60519">
      <w:pPr>
        <w:pStyle w:val="20"/>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九、其他</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_Toc197530166 \h </w:instrText>
      </w:r>
      <w:r>
        <w:rPr>
          <w:rFonts w:ascii="宋体" w:hAnsi="宋体" w:eastAsia="宋体"/>
          <w:color w:val="auto"/>
          <w:szCs w:val="21"/>
          <w:highlight w:val="none"/>
        </w:rPr>
        <w:fldChar w:fldCharType="separate"/>
      </w:r>
      <w:r>
        <w:rPr>
          <w:rFonts w:ascii="宋体" w:hAnsi="宋体" w:eastAsia="宋体"/>
          <w:color w:val="auto"/>
          <w:szCs w:val="21"/>
          <w:highlight w:val="none"/>
        </w:rPr>
        <w:t>147</w:t>
      </w:r>
      <w:r>
        <w:rPr>
          <w:rFonts w:ascii="宋体" w:hAnsi="宋体" w:eastAsia="宋体"/>
          <w:color w:val="auto"/>
          <w:szCs w:val="21"/>
          <w:highlight w:val="none"/>
        </w:rPr>
        <w:fldChar w:fldCharType="end"/>
      </w:r>
    </w:p>
    <w:p w14:paraId="34EE79F5">
      <w:pPr>
        <w:pStyle w:val="33"/>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第四部分专用合同条款附件</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_Toc197530167 \h </w:instrText>
      </w:r>
      <w:r>
        <w:rPr>
          <w:rFonts w:ascii="宋体" w:hAnsi="宋体" w:eastAsia="宋体"/>
          <w:color w:val="auto"/>
          <w:szCs w:val="21"/>
          <w:highlight w:val="none"/>
        </w:rPr>
        <w:fldChar w:fldCharType="separate"/>
      </w:r>
      <w:r>
        <w:rPr>
          <w:rFonts w:ascii="宋体" w:hAnsi="宋体" w:eastAsia="宋体"/>
          <w:color w:val="auto"/>
          <w:szCs w:val="21"/>
          <w:highlight w:val="none"/>
        </w:rPr>
        <w:t>149</w:t>
      </w:r>
      <w:r>
        <w:rPr>
          <w:rFonts w:ascii="宋体" w:hAnsi="宋体" w:eastAsia="宋体"/>
          <w:color w:val="auto"/>
          <w:szCs w:val="21"/>
          <w:highlight w:val="none"/>
        </w:rPr>
        <w:fldChar w:fldCharType="end"/>
      </w:r>
    </w:p>
    <w:p w14:paraId="3BC978CE">
      <w:pPr>
        <w:pStyle w:val="20"/>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附件</w:t>
      </w:r>
      <w:r>
        <w:rPr>
          <w:rFonts w:ascii="宋体" w:hAnsi="宋体" w:eastAsia="宋体"/>
          <w:color w:val="auto"/>
          <w:szCs w:val="21"/>
          <w:highlight w:val="none"/>
        </w:rPr>
        <w:t>1</w:t>
      </w:r>
      <w:r>
        <w:rPr>
          <w:rFonts w:hint="eastAsia" w:ascii="宋体" w:hAnsi="宋体" w:eastAsia="宋体"/>
          <w:color w:val="auto"/>
          <w:szCs w:val="21"/>
          <w:highlight w:val="none"/>
        </w:rPr>
        <w:t>：工程质量保修书</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_Toc197530168 \h </w:instrText>
      </w:r>
      <w:r>
        <w:rPr>
          <w:rFonts w:ascii="宋体" w:hAnsi="宋体" w:eastAsia="宋体"/>
          <w:color w:val="auto"/>
          <w:szCs w:val="21"/>
          <w:highlight w:val="none"/>
        </w:rPr>
        <w:fldChar w:fldCharType="separate"/>
      </w:r>
      <w:r>
        <w:rPr>
          <w:rFonts w:ascii="宋体" w:hAnsi="宋体" w:eastAsia="宋体"/>
          <w:color w:val="auto"/>
          <w:szCs w:val="21"/>
          <w:highlight w:val="none"/>
        </w:rPr>
        <w:t>149</w:t>
      </w:r>
      <w:r>
        <w:rPr>
          <w:rFonts w:ascii="宋体" w:hAnsi="宋体" w:eastAsia="宋体"/>
          <w:color w:val="auto"/>
          <w:szCs w:val="21"/>
          <w:highlight w:val="none"/>
        </w:rPr>
        <w:fldChar w:fldCharType="end"/>
      </w:r>
    </w:p>
    <w:p w14:paraId="3B2C57A5">
      <w:pPr>
        <w:pStyle w:val="20"/>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附件</w:t>
      </w:r>
      <w:r>
        <w:rPr>
          <w:rFonts w:ascii="宋体" w:hAnsi="宋体" w:eastAsia="宋体"/>
          <w:color w:val="auto"/>
          <w:szCs w:val="21"/>
          <w:highlight w:val="none"/>
        </w:rPr>
        <w:t>2</w:t>
      </w:r>
      <w:r>
        <w:rPr>
          <w:rFonts w:hint="eastAsia" w:ascii="宋体" w:hAnsi="宋体" w:eastAsia="宋体"/>
          <w:color w:val="auto"/>
          <w:szCs w:val="21"/>
          <w:highlight w:val="none"/>
        </w:rPr>
        <w:t>：安全生产合同</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_Toc197530169 \h </w:instrText>
      </w:r>
      <w:r>
        <w:rPr>
          <w:rFonts w:ascii="宋体" w:hAnsi="宋体" w:eastAsia="宋体"/>
          <w:color w:val="auto"/>
          <w:szCs w:val="21"/>
          <w:highlight w:val="none"/>
        </w:rPr>
        <w:fldChar w:fldCharType="separate"/>
      </w:r>
      <w:r>
        <w:rPr>
          <w:rFonts w:ascii="宋体" w:hAnsi="宋体" w:eastAsia="宋体"/>
          <w:color w:val="auto"/>
          <w:szCs w:val="21"/>
          <w:highlight w:val="none"/>
        </w:rPr>
        <w:t>151</w:t>
      </w:r>
      <w:r>
        <w:rPr>
          <w:rFonts w:ascii="宋体" w:hAnsi="宋体" w:eastAsia="宋体"/>
          <w:color w:val="auto"/>
          <w:szCs w:val="21"/>
          <w:highlight w:val="none"/>
        </w:rPr>
        <w:fldChar w:fldCharType="end"/>
      </w:r>
    </w:p>
    <w:p w14:paraId="2F2B227E">
      <w:pPr>
        <w:pStyle w:val="20"/>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附件</w:t>
      </w:r>
      <w:r>
        <w:rPr>
          <w:rFonts w:ascii="宋体" w:hAnsi="宋体" w:eastAsia="宋体"/>
          <w:color w:val="auto"/>
          <w:szCs w:val="21"/>
          <w:highlight w:val="none"/>
        </w:rPr>
        <w:t>3</w:t>
      </w:r>
      <w:r>
        <w:rPr>
          <w:rFonts w:hint="eastAsia" w:ascii="宋体" w:hAnsi="宋体" w:eastAsia="宋体"/>
          <w:color w:val="auto"/>
          <w:szCs w:val="21"/>
          <w:highlight w:val="none"/>
        </w:rPr>
        <w:t>：发包人施工管理要求</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_Toc197530170 \h </w:instrText>
      </w:r>
      <w:r>
        <w:rPr>
          <w:rFonts w:ascii="宋体" w:hAnsi="宋体" w:eastAsia="宋体"/>
          <w:color w:val="auto"/>
          <w:szCs w:val="21"/>
          <w:highlight w:val="none"/>
        </w:rPr>
        <w:fldChar w:fldCharType="separate"/>
      </w:r>
      <w:r>
        <w:rPr>
          <w:rFonts w:ascii="宋体" w:hAnsi="宋体" w:eastAsia="宋体"/>
          <w:color w:val="auto"/>
          <w:szCs w:val="21"/>
          <w:highlight w:val="none"/>
        </w:rPr>
        <w:t>153</w:t>
      </w:r>
      <w:r>
        <w:rPr>
          <w:rFonts w:ascii="宋体" w:hAnsi="宋体" w:eastAsia="宋体"/>
          <w:color w:val="auto"/>
          <w:szCs w:val="21"/>
          <w:highlight w:val="none"/>
        </w:rPr>
        <w:fldChar w:fldCharType="end"/>
      </w:r>
    </w:p>
    <w:p w14:paraId="24D7158A">
      <w:pPr>
        <w:pStyle w:val="20"/>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附件</w:t>
      </w:r>
      <w:r>
        <w:rPr>
          <w:rFonts w:ascii="宋体" w:hAnsi="宋体" w:eastAsia="宋体"/>
          <w:color w:val="auto"/>
          <w:szCs w:val="21"/>
          <w:highlight w:val="none"/>
        </w:rPr>
        <w:t>4</w:t>
      </w:r>
      <w:r>
        <w:rPr>
          <w:rFonts w:hint="eastAsia" w:ascii="宋体" w:hAnsi="宋体" w:eastAsia="宋体"/>
          <w:color w:val="auto"/>
          <w:szCs w:val="21"/>
          <w:highlight w:val="none"/>
        </w:rPr>
        <w:t>：施工单位项目考核表</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_Toc197530171 \h </w:instrText>
      </w:r>
      <w:r>
        <w:rPr>
          <w:rFonts w:ascii="宋体" w:hAnsi="宋体" w:eastAsia="宋体"/>
          <w:color w:val="auto"/>
          <w:szCs w:val="21"/>
          <w:highlight w:val="none"/>
        </w:rPr>
        <w:fldChar w:fldCharType="separate"/>
      </w:r>
      <w:r>
        <w:rPr>
          <w:rFonts w:ascii="宋体" w:hAnsi="宋体" w:eastAsia="宋体"/>
          <w:color w:val="auto"/>
          <w:szCs w:val="21"/>
          <w:highlight w:val="none"/>
        </w:rPr>
        <w:t>156</w:t>
      </w:r>
      <w:r>
        <w:rPr>
          <w:rFonts w:ascii="宋体" w:hAnsi="宋体" w:eastAsia="宋体"/>
          <w:color w:val="auto"/>
          <w:szCs w:val="21"/>
          <w:highlight w:val="none"/>
        </w:rPr>
        <w:fldChar w:fldCharType="end"/>
      </w:r>
    </w:p>
    <w:p w14:paraId="6A6219D6">
      <w:pPr>
        <w:pStyle w:val="20"/>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附件</w:t>
      </w:r>
      <w:r>
        <w:rPr>
          <w:rFonts w:ascii="宋体" w:hAnsi="宋体" w:eastAsia="宋体"/>
          <w:color w:val="auto"/>
          <w:szCs w:val="21"/>
          <w:highlight w:val="none"/>
        </w:rPr>
        <w:t>5</w:t>
      </w:r>
      <w:r>
        <w:rPr>
          <w:rFonts w:hint="eastAsia" w:ascii="宋体" w:hAnsi="宋体" w:eastAsia="宋体"/>
          <w:color w:val="auto"/>
          <w:szCs w:val="21"/>
          <w:highlight w:val="none"/>
        </w:rPr>
        <w:t>：履约保函示范文本</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_Toc197530172 \h </w:instrText>
      </w:r>
      <w:r>
        <w:rPr>
          <w:rFonts w:ascii="宋体" w:hAnsi="宋体" w:eastAsia="宋体"/>
          <w:color w:val="auto"/>
          <w:szCs w:val="21"/>
          <w:highlight w:val="none"/>
        </w:rPr>
        <w:fldChar w:fldCharType="separate"/>
      </w:r>
      <w:r>
        <w:rPr>
          <w:rFonts w:ascii="宋体" w:hAnsi="宋体" w:eastAsia="宋体"/>
          <w:color w:val="auto"/>
          <w:szCs w:val="21"/>
          <w:highlight w:val="none"/>
        </w:rPr>
        <w:t>158</w:t>
      </w:r>
      <w:r>
        <w:rPr>
          <w:rFonts w:ascii="宋体" w:hAnsi="宋体" w:eastAsia="宋体"/>
          <w:color w:val="auto"/>
          <w:szCs w:val="21"/>
          <w:highlight w:val="none"/>
        </w:rPr>
        <w:fldChar w:fldCharType="end"/>
      </w:r>
    </w:p>
    <w:p w14:paraId="50860441">
      <w:pPr>
        <w:pStyle w:val="20"/>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color w:val="auto"/>
          <w:szCs w:val="21"/>
          <w:highlight w:val="none"/>
        </w:rPr>
        <w:t>附件</w:t>
      </w:r>
      <w:r>
        <w:rPr>
          <w:rFonts w:ascii="宋体" w:hAnsi="宋体" w:eastAsia="宋体"/>
          <w:color w:val="auto"/>
          <w:szCs w:val="21"/>
          <w:highlight w:val="none"/>
        </w:rPr>
        <w:t>6</w:t>
      </w:r>
      <w:r>
        <w:rPr>
          <w:rFonts w:hint="eastAsia" w:ascii="宋体" w:hAnsi="宋体" w:eastAsia="宋体"/>
          <w:color w:val="auto"/>
          <w:szCs w:val="21"/>
          <w:highlight w:val="none"/>
        </w:rPr>
        <w:t>：广西壮族自治区工程建设领域农民工工资专用账户资金管理三方协议</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_Toc197530173 \h </w:instrText>
      </w:r>
      <w:r>
        <w:rPr>
          <w:rFonts w:ascii="宋体" w:hAnsi="宋体" w:eastAsia="宋体"/>
          <w:color w:val="auto"/>
          <w:szCs w:val="21"/>
          <w:highlight w:val="none"/>
        </w:rPr>
        <w:fldChar w:fldCharType="separate"/>
      </w:r>
      <w:r>
        <w:rPr>
          <w:rFonts w:ascii="宋体" w:hAnsi="宋体" w:eastAsia="宋体"/>
          <w:color w:val="auto"/>
          <w:szCs w:val="21"/>
          <w:highlight w:val="none"/>
        </w:rPr>
        <w:t>160</w:t>
      </w:r>
      <w:r>
        <w:rPr>
          <w:rFonts w:ascii="宋体" w:hAnsi="宋体" w:eastAsia="宋体"/>
          <w:color w:val="auto"/>
          <w:szCs w:val="21"/>
          <w:highlight w:val="none"/>
        </w:rPr>
        <w:fldChar w:fldCharType="end"/>
      </w:r>
    </w:p>
    <w:p w14:paraId="405DFF77">
      <w:pPr>
        <w:pStyle w:val="28"/>
        <w:shd w:val="clear"/>
        <w:tabs>
          <w:tab w:val="right" w:leader="dot" w:pos="9344"/>
        </w:tabs>
        <w:spacing w:line="360" w:lineRule="auto"/>
        <w:rPr>
          <w:rFonts w:ascii="宋体" w:hAnsi="宋体" w:eastAsia="宋体"/>
          <w:color w:val="auto"/>
          <w:szCs w:val="21"/>
          <w:highlight w:val="none"/>
        </w:rPr>
      </w:pPr>
      <w:r>
        <w:rPr>
          <w:rFonts w:hint="eastAsia" w:ascii="宋体" w:hAnsi="宋体" w:eastAsia="宋体"/>
          <w:b/>
          <w:color w:val="auto"/>
          <w:szCs w:val="21"/>
          <w:highlight w:val="none"/>
        </w:rPr>
        <w:t>第八</w:t>
      </w:r>
      <w:r>
        <w:rPr>
          <w:rFonts w:hint="eastAsia" w:ascii="宋体" w:hAnsi="宋体" w:eastAsia="宋体"/>
          <w:b/>
          <w:color w:val="auto"/>
          <w:spacing w:val="100"/>
          <w:szCs w:val="21"/>
          <w:highlight w:val="none"/>
        </w:rPr>
        <w:t>章</w:t>
      </w:r>
      <w:r>
        <w:rPr>
          <w:rFonts w:hint="eastAsia" w:ascii="宋体" w:hAnsi="宋体" w:eastAsia="宋体"/>
          <w:b/>
          <w:color w:val="auto"/>
          <w:szCs w:val="21"/>
          <w:highlight w:val="none"/>
        </w:rPr>
        <w:t>质疑、投诉材料格式</w:t>
      </w:r>
      <w:r>
        <w:rPr>
          <w:rFonts w:ascii="宋体" w:hAnsi="宋体" w:eastAsia="宋体"/>
          <w:color w:val="auto"/>
          <w:szCs w:val="21"/>
          <w:highlight w:val="none"/>
        </w:rPr>
        <w:tab/>
      </w:r>
      <w:r>
        <w:rPr>
          <w:rFonts w:ascii="宋体" w:hAnsi="宋体" w:eastAsia="宋体"/>
          <w:color w:val="auto"/>
          <w:szCs w:val="21"/>
          <w:highlight w:val="none"/>
        </w:rPr>
        <w:fldChar w:fldCharType="begin"/>
      </w:r>
      <w:r>
        <w:rPr>
          <w:rFonts w:ascii="宋体" w:hAnsi="宋体" w:eastAsia="宋体"/>
          <w:color w:val="auto"/>
          <w:szCs w:val="21"/>
          <w:highlight w:val="none"/>
        </w:rPr>
        <w:instrText xml:space="preserve"> PAGEREF _Toc197530174 \h </w:instrText>
      </w:r>
      <w:r>
        <w:rPr>
          <w:rFonts w:ascii="宋体" w:hAnsi="宋体" w:eastAsia="宋体"/>
          <w:color w:val="auto"/>
          <w:szCs w:val="21"/>
          <w:highlight w:val="none"/>
        </w:rPr>
        <w:fldChar w:fldCharType="separate"/>
      </w:r>
      <w:r>
        <w:rPr>
          <w:rFonts w:ascii="宋体" w:hAnsi="宋体" w:eastAsia="宋体"/>
          <w:color w:val="auto"/>
          <w:szCs w:val="21"/>
          <w:highlight w:val="none"/>
        </w:rPr>
        <w:t>163</w:t>
      </w:r>
      <w:r>
        <w:rPr>
          <w:rFonts w:ascii="宋体" w:hAnsi="宋体" w:eastAsia="宋体"/>
          <w:color w:val="auto"/>
          <w:szCs w:val="21"/>
          <w:highlight w:val="none"/>
        </w:rPr>
        <w:fldChar w:fldCharType="end"/>
      </w:r>
    </w:p>
    <w:p w14:paraId="711E4780">
      <w:pPr>
        <w:pStyle w:val="28"/>
        <w:shd w:val="clear"/>
        <w:tabs>
          <w:tab w:val="right" w:leader="dot" w:pos="9344"/>
        </w:tabs>
        <w:spacing w:line="360" w:lineRule="auto"/>
        <w:rPr>
          <w:rFonts w:ascii="宋体" w:hAnsi="宋体" w:eastAsia="宋体"/>
          <w:color w:val="auto"/>
          <w:szCs w:val="21"/>
          <w:highlight w:val="none"/>
        </w:rPr>
      </w:pPr>
      <w:r>
        <w:rPr>
          <w:rFonts w:ascii="宋体" w:hAnsi="宋体" w:eastAsia="宋体"/>
          <w:color w:val="auto"/>
          <w:szCs w:val="21"/>
          <w:highlight w:val="none"/>
        </w:rPr>
        <w:fldChar w:fldCharType="end"/>
      </w:r>
    </w:p>
    <w:p w14:paraId="31AA0072">
      <w:pPr>
        <w:shd w:val="clear"/>
        <w:spacing w:line="360" w:lineRule="auto"/>
        <w:rPr>
          <w:rFonts w:ascii="宋体" w:hAnsi="宋体" w:eastAsia="宋体"/>
          <w:color w:val="auto"/>
          <w:szCs w:val="21"/>
          <w:highlight w:val="none"/>
        </w:rPr>
        <w:sectPr>
          <w:footerReference r:id="rId3" w:type="default"/>
          <w:pgSz w:w="11906" w:h="16838"/>
          <w:pgMar w:top="1440" w:right="1134" w:bottom="1440" w:left="1418" w:header="851" w:footer="992" w:gutter="0"/>
          <w:pgNumType w:start="1"/>
          <w:cols w:space="425" w:num="1"/>
          <w:docGrid w:type="lines" w:linePitch="312" w:charSpace="0"/>
        </w:sectPr>
      </w:pPr>
    </w:p>
    <w:p w14:paraId="61DFF47F">
      <w:pPr>
        <w:pStyle w:val="2"/>
        <w:shd w:val="clear"/>
        <w:jc w:val="center"/>
        <w:rPr>
          <w:rFonts w:ascii="宋体" w:hAnsi="宋体" w:eastAsia="宋体"/>
          <w:color w:val="auto"/>
          <w:highlight w:val="none"/>
        </w:rPr>
      </w:pPr>
      <w:bookmarkStart w:id="0" w:name="_Toc197530103"/>
      <w:r>
        <w:rPr>
          <w:rFonts w:hint="eastAsia" w:ascii="宋体" w:hAnsi="宋体" w:eastAsia="宋体"/>
          <w:color w:val="auto"/>
          <w:highlight w:val="none"/>
        </w:rPr>
        <w:t>第一</w:t>
      </w:r>
      <w:r>
        <w:rPr>
          <w:rFonts w:hint="eastAsia" w:ascii="宋体" w:hAnsi="宋体" w:eastAsia="宋体"/>
          <w:color w:val="auto"/>
          <w:spacing w:val="100"/>
          <w:highlight w:val="none"/>
        </w:rPr>
        <w:t>章</w:t>
      </w:r>
      <w:r>
        <w:rPr>
          <w:rFonts w:hint="eastAsia" w:ascii="宋体" w:hAnsi="宋体" w:eastAsia="宋体"/>
          <w:color w:val="auto"/>
          <w:highlight w:val="none"/>
        </w:rPr>
        <w:t>竞争性磋商公告</w:t>
      </w:r>
      <w:bookmarkEnd w:id="0"/>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4"/>
      </w:tblGrid>
      <w:tr w14:paraId="57E8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tcPr>
          <w:p w14:paraId="67B3993B">
            <w:pPr>
              <w:shd w:val="clear"/>
              <w:spacing w:line="360" w:lineRule="auto"/>
              <w:jc w:val="left"/>
              <w:rPr>
                <w:rFonts w:ascii="宋体" w:hAnsi="宋体"/>
                <w:b/>
                <w:color w:val="auto"/>
                <w:szCs w:val="21"/>
                <w:highlight w:val="none"/>
              </w:rPr>
            </w:pPr>
            <w:r>
              <w:rPr>
                <w:rFonts w:hint="eastAsia" w:ascii="宋体" w:hAnsi="宋体"/>
                <w:b/>
                <w:color w:val="auto"/>
                <w:szCs w:val="21"/>
                <w:highlight w:val="none"/>
              </w:rPr>
              <w:t>项目概况</w:t>
            </w:r>
          </w:p>
          <w:p w14:paraId="700A584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学生公寓东14栋修缮项目</w:t>
            </w:r>
            <w:r>
              <w:rPr>
                <w:rFonts w:hint="eastAsia" w:ascii="宋体" w:hAnsi="宋体"/>
                <w:color w:val="auto"/>
                <w:szCs w:val="21"/>
                <w:highlight w:val="none"/>
              </w:rPr>
              <w:t>采购项目的潜在供应商应在广西政府采购云平台（https：//www.gcy.zfcg.gxzf.gov.cn/）获取采购文件，并于</w:t>
            </w:r>
            <w:bookmarkStart w:id="1" w:name="OLE_LINK8"/>
            <w:bookmarkStart w:id="2" w:name="OLE_LINK7"/>
            <w:r>
              <w:rPr>
                <w:rFonts w:hint="eastAsia" w:ascii="宋体" w:hAnsi="宋体"/>
                <w:color w:val="auto"/>
                <w:szCs w:val="21"/>
                <w:highlight w:val="none"/>
              </w:rPr>
              <w:t>202</w:t>
            </w:r>
            <w:r>
              <w:rPr>
                <w:rFonts w:ascii="宋体" w:hAnsi="宋体"/>
                <w:color w:val="auto"/>
                <w:szCs w:val="21"/>
                <w:highlight w:val="none"/>
              </w:rPr>
              <w:t>5</w:t>
            </w:r>
            <w:r>
              <w:rPr>
                <w:rFonts w:hint="eastAsia" w:ascii="宋体" w:hAnsi="宋体"/>
                <w:color w:val="auto"/>
                <w:szCs w:val="21"/>
                <w:highlight w:val="none"/>
              </w:rPr>
              <w:t>年</w:t>
            </w:r>
            <w:r>
              <w:rPr>
                <w:rFonts w:hint="eastAsia" w:ascii="宋体" w:hAnsi="宋体"/>
                <w:color w:val="auto"/>
                <w:szCs w:val="21"/>
                <w:highlight w:val="none"/>
                <w:lang w:val="en-US" w:eastAsia="zh-CN"/>
              </w:rPr>
              <w:t>5</w:t>
            </w:r>
            <w:r>
              <w:rPr>
                <w:rFonts w:hint="eastAsia" w:ascii="宋体" w:hAnsi="宋体"/>
                <w:color w:val="auto"/>
                <w:szCs w:val="21"/>
                <w:highlight w:val="none"/>
              </w:rPr>
              <w:t>月</w:t>
            </w:r>
            <w:r>
              <w:rPr>
                <w:rFonts w:hint="eastAsia" w:ascii="宋体" w:hAnsi="宋体"/>
                <w:color w:val="auto"/>
                <w:szCs w:val="21"/>
                <w:highlight w:val="none"/>
                <w:lang w:val="en-US" w:eastAsia="zh-CN"/>
              </w:rPr>
              <w:t>27</w:t>
            </w:r>
            <w:r>
              <w:rPr>
                <w:rFonts w:hint="eastAsia" w:ascii="宋体" w:hAnsi="宋体"/>
                <w:color w:val="auto"/>
                <w:szCs w:val="21"/>
                <w:highlight w:val="none"/>
              </w:rPr>
              <w:t>日</w:t>
            </w:r>
            <w:bookmarkEnd w:id="1"/>
            <w:bookmarkEnd w:id="2"/>
            <w:r>
              <w:rPr>
                <w:rFonts w:ascii="宋体" w:hAnsi="宋体"/>
                <w:color w:val="auto"/>
                <w:szCs w:val="21"/>
                <w:highlight w:val="none"/>
              </w:rPr>
              <w:t>09：</w:t>
            </w:r>
            <w:r>
              <w:rPr>
                <w:rFonts w:hint="eastAsia" w:ascii="宋体" w:hAnsi="宋体"/>
                <w:color w:val="auto"/>
                <w:szCs w:val="21"/>
                <w:highlight w:val="none"/>
                <w:lang w:val="en-US" w:eastAsia="zh-CN"/>
              </w:rPr>
              <w:t>3</w:t>
            </w:r>
            <w:r>
              <w:rPr>
                <w:rFonts w:ascii="宋体" w:hAnsi="宋体"/>
                <w:color w:val="auto"/>
                <w:szCs w:val="21"/>
                <w:highlight w:val="none"/>
              </w:rPr>
              <w:t>0</w:t>
            </w:r>
            <w:r>
              <w:rPr>
                <w:rFonts w:hint="eastAsia" w:ascii="宋体" w:hAnsi="宋体"/>
                <w:color w:val="auto"/>
                <w:szCs w:val="21"/>
                <w:highlight w:val="none"/>
              </w:rPr>
              <w:t>（北京时间）前提交响应文件。</w:t>
            </w:r>
          </w:p>
        </w:tc>
      </w:tr>
    </w:tbl>
    <w:p w14:paraId="1204ADBF">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一、项目基本情况</w:t>
      </w:r>
    </w:p>
    <w:p w14:paraId="588A3B5F">
      <w:pPr>
        <w:shd w:val="clear"/>
        <w:spacing w:line="360" w:lineRule="auto"/>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rPr>
        <w:t>项目编号：</w:t>
      </w:r>
      <w:r>
        <w:rPr>
          <w:rFonts w:hint="eastAsia" w:ascii="宋体" w:hAnsi="宋体" w:eastAsia="宋体" w:cs="宋体"/>
          <w:color w:val="auto"/>
          <w:kern w:val="0"/>
          <w:szCs w:val="21"/>
          <w:highlight w:val="none"/>
          <w:lang w:eastAsia="zh-CN"/>
        </w:rPr>
        <w:t>GXZC2025-C2-001195-GLZB</w:t>
      </w:r>
    </w:p>
    <w:p w14:paraId="4A149430">
      <w:pPr>
        <w:shd w:val="clear"/>
        <w:spacing w:line="360" w:lineRule="auto"/>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rPr>
        <w:t>项目名称：</w:t>
      </w:r>
      <w:r>
        <w:rPr>
          <w:rFonts w:hint="eastAsia" w:ascii="宋体" w:hAnsi="宋体" w:eastAsia="宋体"/>
          <w:color w:val="auto"/>
          <w:szCs w:val="21"/>
          <w:highlight w:val="none"/>
          <w:lang w:eastAsia="zh-CN"/>
        </w:rPr>
        <w:t>学生公寓东14栋修缮项目</w:t>
      </w:r>
    </w:p>
    <w:p w14:paraId="1285C5C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采购方式：竞争性磋商</w:t>
      </w:r>
    </w:p>
    <w:p w14:paraId="310098E4">
      <w:pPr>
        <w:shd w:val="clear"/>
        <w:spacing w:line="360" w:lineRule="auto"/>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rPr>
        <w:t>预算总金额（元）：</w:t>
      </w:r>
      <w:r>
        <w:rPr>
          <w:rFonts w:hint="eastAsia" w:ascii="宋体" w:hAnsi="宋体" w:eastAsia="宋体" w:cs="宋体"/>
          <w:color w:val="auto"/>
          <w:kern w:val="0"/>
          <w:szCs w:val="21"/>
          <w:highlight w:val="none"/>
          <w:lang w:eastAsia="zh-CN"/>
        </w:rPr>
        <w:t>1956432.90</w:t>
      </w:r>
    </w:p>
    <w:p w14:paraId="530D6CCC">
      <w:pPr>
        <w:shd w:val="clear"/>
        <w:spacing w:line="360" w:lineRule="auto"/>
        <w:ind w:firstLine="420" w:firstLineChars="200"/>
        <w:jc w:val="left"/>
        <w:rPr>
          <w:rFonts w:hint="eastAsia" w:ascii="宋体" w:hAnsi="宋体" w:eastAsiaTheme="minorEastAsia"/>
          <w:color w:val="auto"/>
          <w:szCs w:val="21"/>
          <w:highlight w:val="none"/>
          <w:lang w:val="en-US" w:eastAsia="zh-CN"/>
        </w:rPr>
      </w:pPr>
      <w:r>
        <w:rPr>
          <w:rFonts w:hint="eastAsia" w:ascii="宋体" w:hAnsi="宋体" w:eastAsia="宋体"/>
          <w:color w:val="auto"/>
          <w:szCs w:val="21"/>
          <w:highlight w:val="none"/>
        </w:rPr>
        <w:t>最高限价（如有）：</w:t>
      </w:r>
      <w:r>
        <w:rPr>
          <w:rFonts w:hint="eastAsia" w:ascii="宋体" w:hAnsi="宋体" w:eastAsia="宋体" w:cs="宋体"/>
          <w:color w:val="auto"/>
          <w:kern w:val="0"/>
          <w:szCs w:val="21"/>
          <w:highlight w:val="none"/>
          <w:lang w:eastAsia="zh-CN"/>
        </w:rPr>
        <w:t>1956432.90</w:t>
      </w:r>
      <w:r>
        <w:rPr>
          <w:rFonts w:hint="eastAsia" w:ascii="宋体" w:hAnsi="宋体" w:cs="宋体"/>
          <w:color w:val="auto"/>
          <w:kern w:val="0"/>
          <w:szCs w:val="21"/>
          <w:highlight w:val="none"/>
          <w:lang w:val="en-US" w:eastAsia="zh-CN"/>
        </w:rPr>
        <w:t>元</w:t>
      </w:r>
    </w:p>
    <w:p w14:paraId="7EF62E8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项目建设规模及主要建设内容：</w:t>
      </w:r>
      <w:bookmarkStart w:id="3" w:name="OLE_LINK23"/>
      <w:bookmarkStart w:id="4" w:name="OLE_LINK24"/>
      <w:r>
        <w:rPr>
          <w:rFonts w:hint="eastAsia" w:ascii="宋体" w:hAnsi="宋体" w:cs="宋体"/>
          <w:color w:val="auto"/>
          <w:szCs w:val="21"/>
          <w:highlight w:val="none"/>
        </w:rPr>
        <w:t>学生公寓东14栋修缮项目共计有60间宿舍，可提供240个硕士新生床位，改造面积2994.24㎡，主要包括：拆除宿舍内天地墙原有饰面、墙体、水管、电线等；重新铺地砖、墙面刮腻子刷无机涂料（局部贴瓷砖）、天棚面刮腻子刷无机涂料、更换门窗、重装水电等</w:t>
      </w:r>
      <w:r>
        <w:rPr>
          <w:rFonts w:hint="eastAsia" w:ascii="宋体" w:hAnsi="宋体" w:eastAsia="宋体"/>
          <w:color w:val="auto"/>
          <w:szCs w:val="21"/>
          <w:highlight w:val="none"/>
        </w:rPr>
        <w:t>。</w:t>
      </w:r>
      <w:bookmarkEnd w:id="3"/>
      <w:bookmarkEnd w:id="4"/>
      <w:r>
        <w:rPr>
          <w:rFonts w:hint="eastAsia" w:ascii="宋体" w:hAnsi="宋体" w:eastAsia="宋体"/>
          <w:color w:val="auto"/>
          <w:szCs w:val="21"/>
          <w:highlight w:val="none"/>
        </w:rPr>
        <w:t>采购范围：</w:t>
      </w:r>
      <w:r>
        <w:rPr>
          <w:rFonts w:hint="eastAsia" w:ascii="宋体" w:hAnsi="宋体" w:eastAsia="宋体"/>
          <w:color w:val="auto"/>
          <w:szCs w:val="21"/>
          <w:highlight w:val="none"/>
          <w:lang w:eastAsia="zh-CN"/>
        </w:rPr>
        <w:t>学生公寓东14栋修缮项目</w:t>
      </w:r>
      <w:r>
        <w:rPr>
          <w:rFonts w:hint="eastAsia" w:ascii="宋体" w:hAnsi="宋体" w:eastAsia="宋体"/>
          <w:color w:val="auto"/>
          <w:szCs w:val="21"/>
          <w:highlight w:val="none"/>
        </w:rPr>
        <w:t>工程施工，具体详见采购人发布的施工设计图纸、工程量清单及招标控制价。工程质量标准：合格。具体详见采购文件“第三章采购需求”技术要求。</w:t>
      </w:r>
    </w:p>
    <w:p w14:paraId="008D40E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合同履约期限：施工工期：</w:t>
      </w:r>
      <w:r>
        <w:rPr>
          <w:rFonts w:hint="eastAsia" w:ascii="宋体" w:hAnsi="宋体" w:eastAsia="宋体"/>
          <w:color w:val="auto"/>
          <w:szCs w:val="21"/>
          <w:highlight w:val="none"/>
          <w:lang w:val="en-US" w:eastAsia="zh-CN"/>
        </w:rPr>
        <w:t>55</w:t>
      </w:r>
      <w:r>
        <w:rPr>
          <w:rFonts w:hint="eastAsia" w:ascii="宋体" w:hAnsi="宋体" w:eastAsia="宋体"/>
          <w:color w:val="auto"/>
          <w:szCs w:val="21"/>
          <w:highlight w:val="none"/>
        </w:rPr>
        <w:t>日历天。</w:t>
      </w:r>
    </w:p>
    <w:p w14:paraId="45FEAC7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本标项（否）接受联合体投标。</w:t>
      </w:r>
    </w:p>
    <w:p w14:paraId="562C0C74">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二、申请人的资格要求</w:t>
      </w:r>
    </w:p>
    <w:p w14:paraId="72E6A9A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1.满足《中华人民共和国政府采购法》第二十二条规定；</w:t>
      </w:r>
    </w:p>
    <w:p w14:paraId="1607AB5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2.落实政府采购政策需满足的资格要求：无。</w:t>
      </w:r>
    </w:p>
    <w:p w14:paraId="3F44CE4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3.本项目的特定资格要求：</w:t>
      </w:r>
    </w:p>
    <w:p w14:paraId="4DAAFB1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（1）供应商具有有效的建筑工程施工总承包三级（含）以上资质，同时具备有效的省级及以上建设行政主管部门颁发的安全生产许可证，并在人员、设备、资金等方面具备相应的施工能力。</w:t>
      </w:r>
    </w:p>
    <w:p w14:paraId="7279B82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拟投入本项目的项目经理须具备建筑工程专业二级（含）以上注册建造师执业资格，并持有省级或省级以上行政主管部门或其授权部门（机构）颁发的B类安全生产考核合格证书。本项目不接受有在建、已中标（成交）未开工或已列为其他项目中标候选人第一名的建造师作为项目经理（符合《广西壮族自治区建筑市场诚信卡管理暂行办法》第十六条第一款及桂建管﹝2016﹞70号、桂建管〔2020〕11号文除外）。</w:t>
      </w:r>
    </w:p>
    <w:p w14:paraId="336FBE7B">
      <w:pPr>
        <w:shd w:val="clea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3</w:t>
      </w:r>
      <w:r>
        <w:rPr>
          <w:rFonts w:ascii="宋体" w:hAnsi="宋体" w:eastAsia="宋体"/>
          <w:color w:val="auto"/>
          <w:szCs w:val="21"/>
          <w:highlight w:val="none"/>
        </w:rPr>
        <w:t>）</w:t>
      </w:r>
      <w:r>
        <w:rPr>
          <w:rFonts w:hint="eastAsia" w:ascii="宋体" w:hAnsi="宋体" w:eastAsia="宋体"/>
          <w:color w:val="auto"/>
          <w:szCs w:val="21"/>
          <w:highlight w:val="none"/>
        </w:rPr>
        <w:t>拟投入本项目的专职安全生产管理人员须具备有效的安全生产考核合格证书（C类）。</w:t>
      </w:r>
    </w:p>
    <w:p w14:paraId="60EB4AB3">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三、获取采购文件</w:t>
      </w:r>
    </w:p>
    <w:p w14:paraId="3D9DA2F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时间：202</w:t>
      </w:r>
      <w:r>
        <w:rPr>
          <w:rFonts w:ascii="宋体" w:hAnsi="宋体" w:eastAsia="宋体"/>
          <w:color w:val="auto"/>
          <w:szCs w:val="21"/>
          <w:highlight w:val="none"/>
        </w:rPr>
        <w:t>5</w:t>
      </w:r>
      <w:r>
        <w:rPr>
          <w:rFonts w:hint="eastAsia" w:ascii="宋体" w:hAnsi="宋体" w:eastAsia="宋体"/>
          <w:color w:val="auto"/>
          <w:szCs w:val="21"/>
          <w:highlight w:val="none"/>
        </w:rPr>
        <w:t>年</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月</w:t>
      </w:r>
      <w:r>
        <w:rPr>
          <w:rFonts w:hint="eastAsia" w:ascii="宋体" w:hAnsi="宋体" w:eastAsia="宋体"/>
          <w:color w:val="auto"/>
          <w:szCs w:val="21"/>
          <w:highlight w:val="none"/>
          <w:lang w:val="en-US" w:eastAsia="zh-CN"/>
        </w:rPr>
        <w:t>16</w:t>
      </w:r>
      <w:r>
        <w:rPr>
          <w:rFonts w:hint="eastAsia" w:ascii="宋体" w:hAnsi="宋体" w:eastAsia="宋体"/>
          <w:color w:val="auto"/>
          <w:szCs w:val="21"/>
          <w:highlight w:val="none"/>
        </w:rPr>
        <w:t>日至202</w:t>
      </w:r>
      <w:r>
        <w:rPr>
          <w:rFonts w:ascii="宋体" w:hAnsi="宋体" w:eastAsia="宋体"/>
          <w:color w:val="auto"/>
          <w:szCs w:val="21"/>
          <w:highlight w:val="none"/>
        </w:rPr>
        <w:t>5</w:t>
      </w:r>
      <w:r>
        <w:rPr>
          <w:rFonts w:hint="eastAsia" w:ascii="宋体" w:hAnsi="宋体" w:eastAsia="宋体"/>
          <w:color w:val="auto"/>
          <w:szCs w:val="21"/>
          <w:highlight w:val="none"/>
        </w:rPr>
        <w:t>年</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月</w:t>
      </w:r>
      <w:r>
        <w:rPr>
          <w:rFonts w:hint="eastAsia" w:ascii="宋体" w:hAnsi="宋体" w:eastAsia="宋体"/>
          <w:color w:val="auto"/>
          <w:szCs w:val="21"/>
          <w:highlight w:val="none"/>
          <w:lang w:val="en-US" w:eastAsia="zh-CN"/>
        </w:rPr>
        <w:t>23</w:t>
      </w:r>
      <w:r>
        <w:rPr>
          <w:rFonts w:hint="eastAsia" w:ascii="宋体" w:hAnsi="宋体" w:eastAsia="宋体"/>
          <w:color w:val="auto"/>
          <w:szCs w:val="21"/>
          <w:highlight w:val="none"/>
        </w:rPr>
        <w:t>日，每天上午00：00至11：59，下午12：00至23：59（北京时间，法定节假日除外）</w:t>
      </w:r>
    </w:p>
    <w:p w14:paraId="638109A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地点（网址）：广西政府采购云平台（https：//www.gcy.zfcg.gxzf.gov.cn/）</w:t>
      </w:r>
    </w:p>
    <w:p w14:paraId="685C79E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方式：网上下载。本项目不提供纸质文件，潜在供应商可自行在广西政府采购云平台（https：//www.gcy.zfcg.gxzf.gov.cn/）下载采购文件及附件（操作路径：登录广西政府采购云平台-项目采购-获取采购文件-找到本项目-点击“申请获取采购文件”），电子响应文件制作需要基于广西政府采购云平台获取的采购文件编制，通过其他方式获取采购文件的，将有可能导致供应商无法在广西政府采购云平台编制及上传响应文件。</w:t>
      </w:r>
    </w:p>
    <w:p w14:paraId="3EBC6C4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售价（元）：0</w:t>
      </w:r>
    </w:p>
    <w:p w14:paraId="5D92BAD4">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四、响应文件提交</w:t>
      </w:r>
    </w:p>
    <w:p w14:paraId="61164B7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截止时间：202</w:t>
      </w:r>
      <w:r>
        <w:rPr>
          <w:rFonts w:ascii="宋体" w:hAnsi="宋体" w:eastAsia="宋体"/>
          <w:color w:val="auto"/>
          <w:szCs w:val="21"/>
          <w:highlight w:val="none"/>
        </w:rPr>
        <w:t>5</w:t>
      </w:r>
      <w:r>
        <w:rPr>
          <w:rFonts w:hint="eastAsia" w:ascii="宋体" w:hAnsi="宋体" w:eastAsia="宋体"/>
          <w:color w:val="auto"/>
          <w:szCs w:val="21"/>
          <w:highlight w:val="none"/>
        </w:rPr>
        <w:t>年</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月</w:t>
      </w:r>
      <w:r>
        <w:rPr>
          <w:rFonts w:hint="eastAsia" w:ascii="宋体" w:hAnsi="宋体" w:eastAsia="宋体"/>
          <w:color w:val="auto"/>
          <w:szCs w:val="21"/>
          <w:highlight w:val="none"/>
          <w:lang w:val="en-US" w:eastAsia="zh-CN"/>
        </w:rPr>
        <w:t>27</w:t>
      </w:r>
      <w:r>
        <w:rPr>
          <w:rFonts w:hint="eastAsia" w:ascii="宋体" w:hAnsi="宋体" w:eastAsia="宋体"/>
          <w:color w:val="auto"/>
          <w:szCs w:val="21"/>
          <w:highlight w:val="none"/>
        </w:rPr>
        <w:t>日</w:t>
      </w:r>
      <w:r>
        <w:rPr>
          <w:rFonts w:ascii="宋体" w:hAnsi="宋体" w:eastAsia="宋体"/>
          <w:color w:val="auto"/>
          <w:szCs w:val="21"/>
          <w:highlight w:val="none"/>
        </w:rPr>
        <w:t>09</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0（北京时间）</w:t>
      </w:r>
    </w:p>
    <w:p w14:paraId="2F59855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地点（网址）：广西政府采购云平台（https：//www.gcy.zfcg.gxzf.gov.cn/）</w:t>
      </w:r>
    </w:p>
    <w:p w14:paraId="185C6F03">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五、开启</w:t>
      </w:r>
    </w:p>
    <w:p w14:paraId="2D1B7FD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开启时间：202</w:t>
      </w:r>
      <w:r>
        <w:rPr>
          <w:rFonts w:ascii="宋体" w:hAnsi="宋体" w:eastAsia="宋体"/>
          <w:color w:val="auto"/>
          <w:szCs w:val="21"/>
          <w:highlight w:val="none"/>
        </w:rPr>
        <w:t>5</w:t>
      </w:r>
      <w:r>
        <w:rPr>
          <w:rFonts w:hint="eastAsia" w:ascii="宋体" w:hAnsi="宋体" w:eastAsia="宋体"/>
          <w:color w:val="auto"/>
          <w:szCs w:val="21"/>
          <w:highlight w:val="none"/>
        </w:rPr>
        <w:t>年</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月</w:t>
      </w:r>
      <w:r>
        <w:rPr>
          <w:rFonts w:hint="eastAsia" w:ascii="宋体" w:hAnsi="宋体" w:eastAsia="宋体"/>
          <w:color w:val="auto"/>
          <w:szCs w:val="21"/>
          <w:highlight w:val="none"/>
          <w:lang w:val="en-US" w:eastAsia="zh-CN"/>
        </w:rPr>
        <w:t>27</w:t>
      </w:r>
      <w:r>
        <w:rPr>
          <w:rFonts w:hint="eastAsia" w:ascii="宋体" w:hAnsi="宋体" w:eastAsia="宋体"/>
          <w:color w:val="auto"/>
          <w:szCs w:val="21"/>
          <w:highlight w:val="none"/>
        </w:rPr>
        <w:t>日</w:t>
      </w:r>
      <w:r>
        <w:rPr>
          <w:rFonts w:ascii="宋体" w:hAnsi="宋体" w:eastAsia="宋体"/>
          <w:color w:val="auto"/>
          <w:szCs w:val="21"/>
          <w:highlight w:val="none"/>
        </w:rPr>
        <w:t>09</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0（北京时间）</w:t>
      </w:r>
    </w:p>
    <w:p w14:paraId="1304F67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地点（网址）：广西政府采购云平台（https：//www.gcy.zfcg.gxzf.gov.cn/）</w:t>
      </w:r>
    </w:p>
    <w:p w14:paraId="4070CB8A">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六、公告期限</w:t>
      </w:r>
    </w:p>
    <w:p w14:paraId="423D347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自本公告发布之日起</w:t>
      </w:r>
      <w:r>
        <w:rPr>
          <w:rFonts w:ascii="宋体" w:hAnsi="宋体" w:eastAsia="宋体"/>
          <w:color w:val="auto"/>
          <w:szCs w:val="21"/>
          <w:highlight w:val="none"/>
        </w:rPr>
        <w:t>5</w:t>
      </w:r>
      <w:r>
        <w:rPr>
          <w:rFonts w:hint="eastAsia" w:ascii="宋体" w:hAnsi="宋体" w:eastAsia="宋体"/>
          <w:color w:val="auto"/>
          <w:szCs w:val="21"/>
          <w:highlight w:val="none"/>
        </w:rPr>
        <w:t>个工作日。</w:t>
      </w:r>
    </w:p>
    <w:p w14:paraId="41129013">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七、其他补充事宜</w:t>
      </w:r>
    </w:p>
    <w:p w14:paraId="002DF063">
      <w:pPr>
        <w:shd w:val="clea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1.</w:t>
      </w:r>
      <w:r>
        <w:rPr>
          <w:rFonts w:hint="eastAsia" w:ascii="宋体" w:hAnsi="宋体" w:eastAsia="宋体"/>
          <w:color w:val="auto"/>
          <w:szCs w:val="21"/>
          <w:highlight w:val="none"/>
        </w:rPr>
        <w:t>网上查询地址：中国政府采购网（www.ccgp.gov.cn）、广西政府采购网（http：//zfcg.gxzf.gov.cn）。</w:t>
      </w:r>
    </w:p>
    <w:p w14:paraId="5D571E8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2.磋商保证金：人民币</w:t>
      </w:r>
      <w:r>
        <w:rPr>
          <w:rFonts w:hint="eastAsia" w:ascii="宋体" w:hAnsi="宋体" w:eastAsia="宋体"/>
          <w:color w:val="auto"/>
          <w:szCs w:val="21"/>
          <w:highlight w:val="none"/>
          <w:lang w:val="en-US" w:eastAsia="zh-CN"/>
        </w:rPr>
        <w:t>壹万玖仟元整</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19000</w:t>
      </w:r>
      <w:r>
        <w:rPr>
          <w:rFonts w:hint="eastAsia" w:ascii="宋体" w:hAnsi="宋体" w:eastAsia="宋体"/>
          <w:color w:val="auto"/>
          <w:szCs w:val="21"/>
          <w:highlight w:val="none"/>
        </w:rPr>
        <w:t>.00元）。</w:t>
      </w:r>
    </w:p>
    <w:p w14:paraId="7D6BC46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3.本项目需要落实的政府采购政策：</w:t>
      </w:r>
    </w:p>
    <w:p w14:paraId="2A59A2D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（1）政府采购促进中小企业发展；</w:t>
      </w:r>
    </w:p>
    <w:p w14:paraId="4BC9060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（2）政府采购支持采用本国产品的政策；</w:t>
      </w:r>
    </w:p>
    <w:p w14:paraId="79F8C79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）强制采购节能产品；优先采购节能产品、环境标志产品；</w:t>
      </w:r>
    </w:p>
    <w:p w14:paraId="580D69D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）政府采购促进残疾人就业政策；</w:t>
      </w:r>
    </w:p>
    <w:p w14:paraId="15A1EDF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5</w:t>
      </w:r>
      <w:r>
        <w:rPr>
          <w:rFonts w:hint="eastAsia" w:ascii="宋体" w:hAnsi="宋体" w:eastAsia="宋体"/>
          <w:color w:val="auto"/>
          <w:szCs w:val="21"/>
          <w:highlight w:val="none"/>
        </w:rPr>
        <w:t>）政府采购支持监狱企业发展。</w:t>
      </w:r>
    </w:p>
    <w:p w14:paraId="44D5B1F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供应商其他资格要求：</w:t>
      </w:r>
    </w:p>
    <w:p w14:paraId="0032F18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3D69796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26238D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5.供应商竞标注意事项</w:t>
      </w:r>
    </w:p>
    <w:p w14:paraId="5D2B2D40">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jc w:val="left"/>
        <w:textAlignment w:val="auto"/>
        <w:rPr>
          <w:rFonts w:ascii="宋体" w:hAnsi="宋体" w:eastAsia="宋体"/>
          <w:color w:val="auto"/>
          <w:szCs w:val="21"/>
          <w:highlight w:val="none"/>
        </w:rPr>
      </w:pPr>
      <w:r>
        <w:rPr>
          <w:rFonts w:hint="eastAsia" w:ascii="宋体" w:hAnsi="宋体" w:eastAsia="宋体"/>
          <w:color w:val="auto"/>
          <w:szCs w:val="21"/>
          <w:highlight w:val="none"/>
        </w:rPr>
        <w:t>（1）本项目为全流程电子化采购项目，通过广西政府采购云平台（https：//www.gcy.zfcg.gxzf.gov.cn/）实行在线电子竞争性磋商，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供应商在广西政府采购云平台提交电子版响应文件时，请填写参加远程开标活动经办人联系方式。</w:t>
      </w:r>
    </w:p>
    <w:p w14:paraId="5C73E357">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（2）未进行网上注册并办理数字证书（CA认证）的供应商将无法参与本项目政府采购活动，潜在供应商应当在首次响应文件提交截止时间前，完成电子交易平台上的CA数字证书办理及响应文件的提交。</w:t>
      </w:r>
    </w:p>
    <w:p w14:paraId="64E55A71">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3）CA证书在线解密：首次响应文件开启时，需要供应商携带制作响应文件时用来加密的有效数字证书（CA认证）登录广西政府采购云平台电子开标大厅现场按规定时间对加密的响应文件进行解密，未能按要求进行解密的，由此产生的后果由供应商自行承担。</w:t>
      </w:r>
    </w:p>
    <w:p w14:paraId="4DCB9916">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注：1）为确保网上操作合法、有效和安全，请供应商确保在电子竞争性磋商过程中能够对相关数据电文进行加密和使用电子签章，妥善保管CA数字证书并使用有效的CA数字证书参与整个采购活动。</w:t>
      </w:r>
    </w:p>
    <w:p w14:paraId="16BCBA62">
      <w:pPr>
        <w:keepNext w:val="0"/>
        <w:keepLines w:val="0"/>
        <w:pageBreakBefore w:val="0"/>
        <w:widowControl w:val="0"/>
        <w:shd w:val="clear"/>
        <w:kinsoku/>
        <w:wordWrap w:val="0"/>
        <w:overflowPunct/>
        <w:topLinePunct w:val="0"/>
        <w:autoSpaceDE/>
        <w:autoSpaceDN/>
        <w:bidi w:val="0"/>
        <w:adjustRightInd/>
        <w:snapToGrid/>
        <w:spacing w:line="360" w:lineRule="auto"/>
        <w:ind w:firstLine="840" w:firstLineChars="400"/>
        <w:textAlignment w:val="auto"/>
        <w:rPr>
          <w:rFonts w:ascii="宋体" w:hAnsi="宋体" w:eastAsia="宋体"/>
          <w:color w:val="auto"/>
          <w:szCs w:val="21"/>
          <w:highlight w:val="none"/>
        </w:rPr>
      </w:pPr>
      <w:r>
        <w:rPr>
          <w:rFonts w:hint="eastAsia" w:ascii="宋体" w:hAnsi="宋体" w:eastAsia="宋体"/>
          <w:color w:val="auto"/>
          <w:szCs w:val="21"/>
          <w:highlight w:val="none"/>
        </w:rPr>
        <w:t>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61470FD3">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（4）供应商需要在具备有摄像头及语音功能且互联网网络状况良好的电脑登录广西政府采购云平台远程开标大厅参与本次磋商，否则后果自负。</w:t>
      </w:r>
    </w:p>
    <w:p w14:paraId="7E3703C4">
      <w:pPr>
        <w:keepNext w:val="0"/>
        <w:keepLines w:val="0"/>
        <w:pageBreakBefore w:val="0"/>
        <w:widowControl w:val="0"/>
        <w:shd w:val="clear"/>
        <w:kinsoku/>
        <w:wordWrap w:val="0"/>
        <w:overflowPunct/>
        <w:topLinePunct w:val="0"/>
        <w:autoSpaceDE/>
        <w:autoSpaceDN/>
        <w:bidi w:val="0"/>
        <w:adjustRightInd/>
        <w:snapToGrid/>
        <w:spacing w:line="360" w:lineRule="auto"/>
        <w:ind w:firstLine="420" w:firstLineChars="200"/>
        <w:textAlignment w:val="auto"/>
        <w:rPr>
          <w:rFonts w:ascii="宋体" w:hAnsi="宋体" w:eastAsia="宋体"/>
          <w:color w:val="auto"/>
          <w:szCs w:val="21"/>
          <w:highlight w:val="none"/>
        </w:rPr>
      </w:pPr>
      <w:r>
        <w:rPr>
          <w:rFonts w:hint="eastAsia" w:ascii="宋体" w:hAnsi="宋体" w:eastAsia="宋体"/>
          <w:color w:val="auto"/>
          <w:szCs w:val="21"/>
          <w:highlight w:val="none"/>
        </w:rPr>
        <w:t>6.若对项目采购电子交易系统操作有疑问，可登录广西政府采购云平台（https：//www.gcy.zfcg.gxzf.gov.cn/），点击右侧咨询小采，获取采小蜜智能服务管家帮助，或拨打广西政府采购云平台服务热线95763获取热线服务帮助。</w:t>
      </w:r>
    </w:p>
    <w:p w14:paraId="1F98688C">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八、凡对本次采购提出询问，请按以下方式联系</w:t>
      </w:r>
    </w:p>
    <w:p w14:paraId="34EF7D8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1.采购人信息</w:t>
      </w:r>
    </w:p>
    <w:p w14:paraId="62AF867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名称：广西大学</w:t>
      </w:r>
    </w:p>
    <w:p w14:paraId="02C7A9E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地址：广西</w:t>
      </w:r>
      <w:bookmarkStart w:id="5" w:name="OLE_LINK10"/>
      <w:bookmarkStart w:id="6" w:name="OLE_LINK9"/>
      <w:r>
        <w:rPr>
          <w:rFonts w:hint="eastAsia" w:ascii="宋体" w:hAnsi="宋体" w:eastAsia="宋体"/>
          <w:color w:val="auto"/>
          <w:szCs w:val="21"/>
          <w:highlight w:val="none"/>
        </w:rPr>
        <w:t>壮族自治区</w:t>
      </w:r>
      <w:bookmarkEnd w:id="5"/>
      <w:bookmarkEnd w:id="6"/>
      <w:r>
        <w:rPr>
          <w:rFonts w:hint="eastAsia" w:ascii="宋体" w:hAnsi="宋体" w:eastAsia="宋体"/>
          <w:color w:val="auto"/>
          <w:szCs w:val="21"/>
          <w:highlight w:val="none"/>
        </w:rPr>
        <w:t>南宁市西乡塘区大学东路100号</w:t>
      </w:r>
    </w:p>
    <w:p w14:paraId="40CDCEB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项目联系人：唐琼玲</w:t>
      </w:r>
    </w:p>
    <w:p w14:paraId="3281485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项目联系方式：0771-3233183</w:t>
      </w:r>
    </w:p>
    <w:p w14:paraId="24C0D8A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2.采购代理机构信息</w:t>
      </w:r>
    </w:p>
    <w:p w14:paraId="1543FDC6">
      <w:pPr>
        <w:shd w:val="clear"/>
        <w:spacing w:line="360" w:lineRule="auto"/>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rPr>
        <w:t>名称：</w:t>
      </w:r>
      <w:r>
        <w:rPr>
          <w:rFonts w:hint="eastAsia" w:ascii="宋体" w:hAnsi="宋体" w:eastAsia="宋体"/>
          <w:color w:val="auto"/>
          <w:szCs w:val="21"/>
          <w:highlight w:val="none"/>
          <w:lang w:eastAsia="zh-CN"/>
        </w:rPr>
        <w:t>广西国力招标有限公司</w:t>
      </w:r>
    </w:p>
    <w:p w14:paraId="6C6B4182">
      <w:pPr>
        <w:shd w:val="clear"/>
        <w:spacing w:line="360" w:lineRule="auto"/>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rPr>
        <w:t>地址：广西壮族自治区</w:t>
      </w:r>
      <w:r>
        <w:rPr>
          <w:rFonts w:hint="eastAsia" w:ascii="宋体" w:hAnsi="宋体" w:eastAsia="宋体"/>
          <w:color w:val="auto"/>
          <w:szCs w:val="21"/>
          <w:highlight w:val="none"/>
          <w:lang w:eastAsia="zh-CN"/>
        </w:rPr>
        <w:t>南宁市白沙大道53号松宇时代13楼</w:t>
      </w:r>
    </w:p>
    <w:p w14:paraId="69BD1B59">
      <w:pPr>
        <w:shd w:val="clear"/>
        <w:spacing w:line="360" w:lineRule="auto"/>
        <w:ind w:firstLine="420" w:firstLineChars="200"/>
        <w:rPr>
          <w:rFonts w:hint="eastAsia" w:ascii="宋体" w:hAnsi="宋体" w:eastAsiaTheme="minorEastAsia"/>
          <w:color w:val="auto"/>
          <w:szCs w:val="21"/>
          <w:highlight w:val="none"/>
          <w:lang w:eastAsia="zh-CN"/>
        </w:rPr>
      </w:pPr>
      <w:r>
        <w:rPr>
          <w:rFonts w:hint="eastAsia" w:ascii="宋体" w:hAnsi="宋体" w:eastAsia="宋体"/>
          <w:color w:val="auto"/>
          <w:szCs w:val="21"/>
          <w:highlight w:val="none"/>
        </w:rPr>
        <w:t>项目联系人：</w:t>
      </w:r>
      <w:r>
        <w:rPr>
          <w:rFonts w:hint="eastAsia" w:ascii="宋体" w:hAnsi="宋体"/>
          <w:color w:val="auto"/>
          <w:highlight w:val="none"/>
        </w:rPr>
        <w:t>何云飞、</w:t>
      </w:r>
      <w:r>
        <w:rPr>
          <w:rFonts w:hint="eastAsia" w:ascii="宋体" w:hAnsi="宋体"/>
          <w:color w:val="auto"/>
          <w:highlight w:val="none"/>
          <w:lang w:val="en-US" w:eastAsia="zh-CN"/>
        </w:rPr>
        <w:t>覃阳</w:t>
      </w:r>
    </w:p>
    <w:p w14:paraId="49CBB17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项目联系方式：</w:t>
      </w:r>
      <w:r>
        <w:rPr>
          <w:rFonts w:hint="eastAsia" w:ascii="宋体" w:hAnsi="宋体"/>
          <w:color w:val="auto"/>
          <w:highlight w:val="none"/>
        </w:rPr>
        <w:t>0771-4915558</w:t>
      </w:r>
    </w:p>
    <w:p w14:paraId="2662F24D">
      <w:pPr>
        <w:shd w:val="clear"/>
        <w:spacing w:line="360" w:lineRule="auto"/>
        <w:ind w:firstLine="420" w:firstLineChars="200"/>
        <w:rPr>
          <w:rFonts w:ascii="宋体" w:hAnsi="宋体" w:eastAsia="宋体"/>
          <w:color w:val="auto"/>
          <w:szCs w:val="21"/>
          <w:highlight w:val="none"/>
        </w:rPr>
        <w:sectPr>
          <w:footerReference r:id="rId4" w:type="default"/>
          <w:pgSz w:w="11906" w:h="16838"/>
          <w:pgMar w:top="1440" w:right="1134" w:bottom="1440" w:left="1418" w:header="851" w:footer="992" w:gutter="0"/>
          <w:pgNumType w:start="1"/>
          <w:cols w:space="425" w:num="1"/>
          <w:docGrid w:type="lines" w:linePitch="312" w:charSpace="0"/>
        </w:sectPr>
      </w:pPr>
    </w:p>
    <w:p w14:paraId="3CF63AEE">
      <w:pPr>
        <w:pStyle w:val="2"/>
        <w:shd w:val="clear"/>
        <w:jc w:val="center"/>
        <w:rPr>
          <w:rFonts w:ascii="宋体" w:hAnsi="宋体" w:eastAsia="宋体"/>
          <w:color w:val="auto"/>
          <w:highlight w:val="none"/>
        </w:rPr>
      </w:pPr>
      <w:bookmarkStart w:id="7" w:name="_Toc197530104"/>
      <w:r>
        <w:rPr>
          <w:rFonts w:hint="eastAsia" w:ascii="宋体" w:hAnsi="宋体" w:eastAsia="宋体"/>
          <w:color w:val="auto"/>
          <w:highlight w:val="none"/>
        </w:rPr>
        <w:t>第二</w:t>
      </w:r>
      <w:r>
        <w:rPr>
          <w:rFonts w:hint="eastAsia" w:ascii="宋体" w:hAnsi="宋体" w:eastAsia="宋体"/>
          <w:color w:val="auto"/>
          <w:spacing w:val="100"/>
          <w:highlight w:val="none"/>
        </w:rPr>
        <w:t>章</w:t>
      </w:r>
      <w:r>
        <w:rPr>
          <w:rFonts w:hint="eastAsia" w:ascii="宋体" w:hAnsi="宋体" w:eastAsia="宋体"/>
          <w:color w:val="auto"/>
          <w:highlight w:val="none"/>
        </w:rPr>
        <w:t>供应商须知</w:t>
      </w:r>
      <w:bookmarkEnd w:id="7"/>
    </w:p>
    <w:p w14:paraId="4D3F96D3">
      <w:pPr>
        <w:pStyle w:val="3"/>
        <w:shd w:val="clear"/>
        <w:jc w:val="center"/>
        <w:rPr>
          <w:color w:val="auto"/>
          <w:highlight w:val="none"/>
        </w:rPr>
      </w:pPr>
      <w:bookmarkStart w:id="8" w:name="_Toc197530105"/>
      <w:r>
        <w:rPr>
          <w:rFonts w:hint="eastAsia"/>
          <w:color w:val="auto"/>
          <w:highlight w:val="none"/>
        </w:rPr>
        <w:t>一、供应商须知前附表</w:t>
      </w:r>
      <w:bookmarkEnd w:id="8"/>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356"/>
      </w:tblGrid>
      <w:tr w14:paraId="1A64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1B89F8BE">
            <w:pPr>
              <w:shd w:val="clear"/>
              <w:spacing w:line="360" w:lineRule="auto"/>
              <w:jc w:val="center"/>
              <w:rPr>
                <w:rFonts w:ascii="宋体" w:hAnsi="宋体"/>
                <w:b/>
                <w:color w:val="auto"/>
                <w:szCs w:val="21"/>
                <w:highlight w:val="none"/>
              </w:rPr>
            </w:pPr>
            <w:r>
              <w:rPr>
                <w:rFonts w:hint="eastAsia" w:ascii="宋体" w:hAnsi="宋体"/>
                <w:b/>
                <w:color w:val="auto"/>
                <w:szCs w:val="21"/>
                <w:highlight w:val="none"/>
              </w:rPr>
              <w:t>条款号</w:t>
            </w:r>
          </w:p>
        </w:tc>
        <w:tc>
          <w:tcPr>
            <w:tcW w:w="8356" w:type="dxa"/>
            <w:vAlign w:val="center"/>
          </w:tcPr>
          <w:p w14:paraId="17184D91">
            <w:pPr>
              <w:shd w:val="clear"/>
              <w:spacing w:line="360" w:lineRule="auto"/>
              <w:jc w:val="center"/>
              <w:rPr>
                <w:rFonts w:ascii="宋体" w:hAnsi="宋体"/>
                <w:b/>
                <w:color w:val="auto"/>
                <w:szCs w:val="21"/>
                <w:highlight w:val="none"/>
              </w:rPr>
            </w:pPr>
            <w:r>
              <w:rPr>
                <w:rFonts w:hint="eastAsia" w:ascii="宋体" w:hAnsi="宋体"/>
                <w:b/>
                <w:color w:val="auto"/>
                <w:szCs w:val="21"/>
                <w:highlight w:val="none"/>
              </w:rPr>
              <w:t>内容</w:t>
            </w:r>
          </w:p>
        </w:tc>
      </w:tr>
      <w:tr w14:paraId="767A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1D3CE226">
            <w:pPr>
              <w:shd w:val="clea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8356" w:type="dxa"/>
            <w:vAlign w:val="center"/>
          </w:tcPr>
          <w:p w14:paraId="43BC7AA3">
            <w:pPr>
              <w:shd w:val="clear"/>
              <w:spacing w:line="360" w:lineRule="auto"/>
              <w:jc w:val="left"/>
              <w:rPr>
                <w:rFonts w:ascii="宋体" w:hAnsi="宋体"/>
                <w:color w:val="auto"/>
                <w:szCs w:val="21"/>
                <w:highlight w:val="none"/>
              </w:rPr>
            </w:pPr>
            <w:r>
              <w:rPr>
                <w:rFonts w:hint="eastAsia" w:ascii="宋体" w:hAnsi="宋体"/>
                <w:color w:val="auto"/>
                <w:szCs w:val="21"/>
                <w:highlight w:val="none"/>
              </w:rPr>
              <w:t>1.供应商的资格条件：详见竞争性磋商公告。</w:t>
            </w:r>
          </w:p>
          <w:p w14:paraId="30B986D9">
            <w:pPr>
              <w:shd w:val="clear"/>
              <w:spacing w:line="360" w:lineRule="auto"/>
              <w:jc w:val="left"/>
              <w:rPr>
                <w:rFonts w:ascii="宋体" w:hAnsi="宋体"/>
                <w:color w:val="auto"/>
                <w:szCs w:val="21"/>
                <w:highlight w:val="none"/>
              </w:rPr>
            </w:pPr>
            <w:r>
              <w:rPr>
                <w:rFonts w:hint="eastAsia" w:ascii="宋体" w:hAnsi="宋体"/>
                <w:color w:val="auto"/>
                <w:szCs w:val="21"/>
                <w:highlight w:val="none"/>
              </w:rPr>
              <w:t>2.供应商出现下列情形之一的，不得参加政府采购活动：</w:t>
            </w:r>
          </w:p>
          <w:p w14:paraId="5876FF2F">
            <w:pPr>
              <w:shd w:val="clear"/>
              <w:spacing w:line="360" w:lineRule="auto"/>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8288B6F">
            <w:pPr>
              <w:shd w:val="clear"/>
              <w:spacing w:line="360" w:lineRule="auto"/>
              <w:jc w:val="left"/>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.2</w:t>
            </w:r>
            <w:r>
              <w:rPr>
                <w:rFonts w:hint="eastAsia" w:ascii="宋体" w:hAnsi="宋体"/>
                <w:color w:val="auto"/>
                <w:szCs w:val="21"/>
                <w:highlight w:val="none"/>
              </w:rPr>
              <w:t>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1BB6F3B3">
            <w:pPr>
              <w:shd w:val="clear"/>
              <w:spacing w:line="360" w:lineRule="auto"/>
              <w:jc w:val="left"/>
              <w:rPr>
                <w:rFonts w:ascii="宋体" w:hAnsi="宋体"/>
                <w:color w:val="auto"/>
                <w:szCs w:val="21"/>
                <w:highlight w:val="none"/>
              </w:rPr>
            </w:pPr>
            <w:r>
              <w:rPr>
                <w:rFonts w:hint="eastAsia" w:ascii="宋体" w:hAnsi="宋体"/>
                <w:color w:val="auto"/>
                <w:szCs w:val="21"/>
                <w:highlight w:val="none"/>
              </w:rPr>
              <w:t>2.3供应商在参加政府采购活动前三年内，履行与采购人或者与采购人存在管理关系的单位的采购合同时，发生过重大实质性违约且未及时采取合理补救措施的，不得参与本次采购活动。</w:t>
            </w:r>
          </w:p>
        </w:tc>
      </w:tr>
      <w:tr w14:paraId="11E1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42827676">
            <w:pPr>
              <w:shd w:val="clear"/>
              <w:spacing w:line="360" w:lineRule="auto"/>
              <w:jc w:val="center"/>
              <w:rPr>
                <w:rFonts w:ascii="宋体" w:hAnsi="宋体"/>
                <w:color w:val="auto"/>
                <w:szCs w:val="21"/>
                <w:highlight w:val="none"/>
              </w:rPr>
            </w:pPr>
            <w:r>
              <w:rPr>
                <w:rFonts w:hint="eastAsia" w:ascii="宋体" w:hAnsi="宋体"/>
                <w:color w:val="auto"/>
                <w:szCs w:val="21"/>
                <w:highlight w:val="none"/>
              </w:rPr>
              <w:t>5.1</w:t>
            </w:r>
          </w:p>
        </w:tc>
        <w:tc>
          <w:tcPr>
            <w:tcW w:w="8356" w:type="dxa"/>
            <w:vAlign w:val="center"/>
          </w:tcPr>
          <w:p w14:paraId="22076CB4">
            <w:pPr>
              <w:shd w:val="clear"/>
              <w:spacing w:line="360" w:lineRule="auto"/>
              <w:jc w:val="left"/>
              <w:rPr>
                <w:rFonts w:ascii="宋体" w:hAnsi="宋体"/>
                <w:color w:val="auto"/>
                <w:szCs w:val="21"/>
                <w:highlight w:val="none"/>
              </w:rPr>
            </w:pPr>
            <w:r>
              <w:rPr>
                <w:rFonts w:hint="eastAsia" w:ascii="宋体" w:hAnsi="宋体"/>
                <w:color w:val="auto"/>
                <w:szCs w:val="21"/>
                <w:highlight w:val="none"/>
              </w:rPr>
              <w:t>是否接受联合体竞标：否。</w:t>
            </w:r>
          </w:p>
        </w:tc>
      </w:tr>
      <w:tr w14:paraId="08EC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2483E93E">
            <w:pPr>
              <w:shd w:val="clear"/>
              <w:spacing w:line="360" w:lineRule="auto"/>
              <w:jc w:val="center"/>
              <w:rPr>
                <w:rFonts w:ascii="宋体" w:hAnsi="宋体"/>
                <w:color w:val="auto"/>
                <w:szCs w:val="21"/>
                <w:highlight w:val="none"/>
              </w:rPr>
            </w:pPr>
            <w:r>
              <w:rPr>
                <w:rFonts w:hint="eastAsia" w:ascii="宋体" w:hAnsi="宋体"/>
                <w:color w:val="auto"/>
                <w:szCs w:val="21"/>
                <w:highlight w:val="none"/>
              </w:rPr>
              <w:t>5.2</w:t>
            </w:r>
          </w:p>
        </w:tc>
        <w:tc>
          <w:tcPr>
            <w:tcW w:w="8356" w:type="dxa"/>
            <w:vAlign w:val="center"/>
          </w:tcPr>
          <w:p w14:paraId="7397B55B">
            <w:pPr>
              <w:shd w:val="clear"/>
              <w:spacing w:line="360" w:lineRule="auto"/>
              <w:jc w:val="left"/>
              <w:rPr>
                <w:rFonts w:ascii="宋体" w:hAnsi="宋体"/>
                <w:color w:val="auto"/>
                <w:szCs w:val="21"/>
                <w:highlight w:val="none"/>
              </w:rPr>
            </w:pPr>
            <w:r>
              <w:rPr>
                <w:rFonts w:hint="eastAsia" w:ascii="宋体" w:hAnsi="宋体"/>
                <w:color w:val="auto"/>
                <w:szCs w:val="21"/>
                <w:highlight w:val="none"/>
              </w:rPr>
              <w:t>如接受联合体参加竞争性磋商，要求如下：</w:t>
            </w:r>
          </w:p>
          <w:p w14:paraId="1E1548FD">
            <w:pPr>
              <w:shd w:val="clear"/>
              <w:spacing w:line="360" w:lineRule="auto"/>
              <w:jc w:val="left"/>
              <w:rPr>
                <w:rFonts w:ascii="宋体" w:hAnsi="宋体"/>
                <w:color w:val="auto"/>
                <w:szCs w:val="21"/>
                <w:highlight w:val="none"/>
              </w:rPr>
            </w:pPr>
            <w:r>
              <w:rPr>
                <w:rFonts w:hint="eastAsia" w:ascii="宋体" w:hAnsi="宋体"/>
                <w:color w:val="auto"/>
                <w:szCs w:val="21"/>
                <w:highlight w:val="none"/>
              </w:rPr>
              <w:t>1.两个以上竞标人可以组成一个竞标联合体，以一个竞标人的身份共同参加竞标，联合体竞标人的名称应统一按“XXX公司与XXX公司的联合体”的规则填写。</w:t>
            </w:r>
          </w:p>
          <w:p w14:paraId="319DDF2A">
            <w:pPr>
              <w:shd w:val="clear"/>
              <w:spacing w:line="360" w:lineRule="auto"/>
              <w:jc w:val="left"/>
              <w:rPr>
                <w:rFonts w:ascii="宋体" w:hAnsi="宋体"/>
                <w:color w:val="auto"/>
                <w:szCs w:val="21"/>
                <w:highlight w:val="none"/>
              </w:rPr>
            </w:pPr>
            <w:r>
              <w:rPr>
                <w:rFonts w:hint="eastAsia" w:ascii="宋体" w:hAnsi="宋体"/>
                <w:color w:val="auto"/>
                <w:szCs w:val="21"/>
                <w:highlight w:val="none"/>
              </w:rPr>
              <w:t>2.以联合体形式参加竞标的，联合体各方均必须具备《中华人民共和国政府采购法》第二十二条第一款规定的基本条件（涉及行政许可范围的内容，联合体各方均应具备相应资质）。本项目有特殊要求规定竞标人特定条件的，联合体各方中至少有一方必须符合采购文件“4.本项目的特定条件”。</w:t>
            </w:r>
          </w:p>
          <w:p w14:paraId="10870C27">
            <w:pPr>
              <w:shd w:val="clear"/>
              <w:spacing w:line="360" w:lineRule="auto"/>
              <w:jc w:val="left"/>
              <w:rPr>
                <w:rFonts w:ascii="宋体" w:hAnsi="宋体"/>
                <w:color w:val="auto"/>
                <w:szCs w:val="21"/>
                <w:highlight w:val="none"/>
              </w:rPr>
            </w:pPr>
            <w:r>
              <w:rPr>
                <w:rFonts w:hint="eastAsia" w:ascii="宋体" w:hAnsi="宋体"/>
                <w:color w:val="auto"/>
                <w:szCs w:val="21"/>
                <w:highlight w:val="none"/>
              </w:rPr>
              <w:t>3.联合体竞标的，须提供《联合体竞标协议书》（格式后附），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14:paraId="27E9E8FF">
            <w:pPr>
              <w:shd w:val="clear"/>
              <w:spacing w:line="360" w:lineRule="auto"/>
              <w:jc w:val="left"/>
              <w:rPr>
                <w:rFonts w:ascii="宋体" w:hAnsi="宋体"/>
                <w:color w:val="auto"/>
                <w:szCs w:val="21"/>
                <w:highlight w:val="none"/>
              </w:rPr>
            </w:pPr>
            <w:r>
              <w:rPr>
                <w:rFonts w:hint="eastAsia" w:ascii="宋体" w:hAnsi="宋体"/>
                <w:color w:val="auto"/>
                <w:szCs w:val="21"/>
                <w:highlight w:val="none"/>
              </w:rPr>
              <w:t>4.以联合体形式参加政府采购活动的，联合体各方不得再单独参加或者与其他</w:t>
            </w:r>
            <w:r>
              <w:rPr>
                <w:rFonts w:hint="eastAsia" w:ascii="宋体" w:hAnsi="宋体" w:eastAsia="宋体"/>
                <w:color w:val="auto"/>
                <w:szCs w:val="21"/>
                <w:highlight w:val="none"/>
              </w:rPr>
              <w:t>供应商</w:t>
            </w:r>
            <w:r>
              <w:rPr>
                <w:rFonts w:hint="eastAsia" w:ascii="宋体" w:hAnsi="宋体"/>
                <w:color w:val="auto"/>
                <w:szCs w:val="21"/>
                <w:highlight w:val="none"/>
              </w:rPr>
              <w:t>另外组成联合体参加同一合同项下的政府采购活动，否则与之相关的响应文件作废。</w:t>
            </w:r>
          </w:p>
          <w:p w14:paraId="539C3449">
            <w:pPr>
              <w:shd w:val="clear"/>
              <w:spacing w:line="360" w:lineRule="auto"/>
              <w:jc w:val="left"/>
              <w:rPr>
                <w:rFonts w:ascii="宋体" w:hAnsi="宋体"/>
                <w:color w:val="auto"/>
                <w:szCs w:val="21"/>
                <w:highlight w:val="none"/>
              </w:rPr>
            </w:pPr>
            <w:r>
              <w:rPr>
                <w:rFonts w:hint="eastAsia" w:ascii="宋体" w:hAnsi="宋体"/>
                <w:color w:val="auto"/>
                <w:szCs w:val="21"/>
                <w:highlight w:val="none"/>
              </w:rPr>
              <w:t>5.联合体中有同类资质的竞标人按照联合体分工承担相同工作的，应当按照资质等级较低的竞标人确定资质等级。</w:t>
            </w:r>
          </w:p>
          <w:p w14:paraId="2A8EB075">
            <w:pPr>
              <w:shd w:val="clear"/>
              <w:spacing w:line="360" w:lineRule="auto"/>
              <w:jc w:val="left"/>
              <w:rPr>
                <w:rFonts w:ascii="宋体" w:hAnsi="宋体"/>
                <w:color w:val="auto"/>
                <w:szCs w:val="21"/>
                <w:highlight w:val="none"/>
              </w:rPr>
            </w:pPr>
            <w:r>
              <w:rPr>
                <w:rFonts w:hint="eastAsia" w:ascii="宋体" w:hAnsi="宋体"/>
                <w:color w:val="auto"/>
                <w:szCs w:val="21"/>
                <w:highlight w:val="none"/>
              </w:rPr>
              <w:t>6.联合体竞标业绩、履约能力，联合体各方提供均可计算。</w:t>
            </w:r>
          </w:p>
          <w:p w14:paraId="3F144D79">
            <w:pPr>
              <w:shd w:val="clear"/>
              <w:spacing w:line="360" w:lineRule="auto"/>
              <w:jc w:val="left"/>
              <w:rPr>
                <w:rFonts w:ascii="宋体" w:hAnsi="宋体"/>
                <w:color w:val="auto"/>
                <w:szCs w:val="21"/>
                <w:highlight w:val="none"/>
              </w:rPr>
            </w:pPr>
            <w:r>
              <w:rPr>
                <w:rFonts w:hint="eastAsia" w:ascii="宋体" w:hAnsi="宋体"/>
                <w:color w:val="auto"/>
                <w:szCs w:val="21"/>
                <w:highlight w:val="none"/>
              </w:rPr>
              <w:t>7.联合体各方均应按照采购文件的规定提交资格证明文件。</w:t>
            </w:r>
          </w:p>
        </w:tc>
      </w:tr>
      <w:tr w14:paraId="584E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055B4914">
            <w:pPr>
              <w:shd w:val="clear"/>
              <w:spacing w:line="360" w:lineRule="auto"/>
              <w:jc w:val="center"/>
              <w:rPr>
                <w:rFonts w:ascii="宋体" w:hAnsi="宋体"/>
                <w:color w:val="auto"/>
                <w:szCs w:val="21"/>
                <w:highlight w:val="none"/>
              </w:rPr>
            </w:pPr>
            <w:r>
              <w:rPr>
                <w:rFonts w:ascii="宋体" w:hAnsi="宋体"/>
                <w:color w:val="auto"/>
                <w:szCs w:val="21"/>
                <w:highlight w:val="none"/>
              </w:rPr>
              <w:t>6.2</w:t>
            </w:r>
          </w:p>
        </w:tc>
        <w:tc>
          <w:tcPr>
            <w:tcW w:w="8356" w:type="dxa"/>
            <w:vAlign w:val="center"/>
          </w:tcPr>
          <w:p w14:paraId="1A0F3A24">
            <w:pPr>
              <w:shd w:val="clear"/>
              <w:spacing w:line="360" w:lineRule="auto"/>
              <w:jc w:val="left"/>
              <w:rPr>
                <w:rFonts w:ascii="宋体" w:hAnsi="宋体"/>
                <w:color w:val="auto"/>
                <w:szCs w:val="21"/>
                <w:highlight w:val="none"/>
              </w:rPr>
            </w:pPr>
            <w:r>
              <w:rPr>
                <w:rFonts w:hint="eastAsia" w:ascii="宋体" w:hAnsi="宋体"/>
                <w:color w:val="auto"/>
                <w:szCs w:val="21"/>
                <w:highlight w:val="none"/>
              </w:rPr>
              <w:sym w:font="Wingdings 2" w:char="F052"/>
            </w:r>
            <w:r>
              <w:rPr>
                <w:rFonts w:hint="eastAsia" w:ascii="宋体" w:hAnsi="宋体"/>
                <w:color w:val="auto"/>
                <w:szCs w:val="21"/>
                <w:highlight w:val="none"/>
              </w:rPr>
              <w:t>不允许分包</w:t>
            </w:r>
          </w:p>
          <w:p w14:paraId="5536418E">
            <w:pPr>
              <w:shd w:val="clear"/>
              <w:spacing w:line="360" w:lineRule="auto"/>
              <w:jc w:val="left"/>
              <w:rPr>
                <w:rFonts w:ascii="宋体" w:hAnsi="宋体"/>
                <w:color w:val="auto"/>
                <w:szCs w:val="21"/>
                <w:highlight w:val="none"/>
              </w:rPr>
            </w:pPr>
            <w:r>
              <w:rPr>
                <w:rFonts w:hint="eastAsia" w:ascii="宋体" w:hAnsi="宋体"/>
                <w:color w:val="auto"/>
                <w:szCs w:val="21"/>
                <w:highlight w:val="none"/>
              </w:rPr>
              <w:t>□允许分包</w:t>
            </w:r>
          </w:p>
          <w:p w14:paraId="1D7DD38F">
            <w:pPr>
              <w:shd w:val="clear"/>
              <w:spacing w:line="360" w:lineRule="auto"/>
              <w:jc w:val="left"/>
              <w:rPr>
                <w:rFonts w:ascii="宋体" w:hAnsi="宋体"/>
                <w:color w:val="auto"/>
                <w:szCs w:val="21"/>
                <w:highlight w:val="none"/>
              </w:rPr>
            </w:pPr>
            <w:r>
              <w:rPr>
                <w:rFonts w:hint="eastAsia" w:ascii="宋体" w:hAnsi="宋体"/>
                <w:color w:val="auto"/>
                <w:szCs w:val="21"/>
                <w:highlight w:val="none"/>
              </w:rPr>
              <w:t>分包内容：</w:t>
            </w:r>
            <w:r>
              <w:rPr>
                <w:rFonts w:hint="eastAsia" w:ascii="宋体" w:hAnsi="宋体"/>
                <w:color w:val="auto"/>
                <w:szCs w:val="21"/>
                <w:highlight w:val="none"/>
                <w:u w:val="single"/>
                <w:lang w:val="en-US" w:eastAsia="zh-CN"/>
              </w:rPr>
              <w:t xml:space="preserve">   /   </w:t>
            </w:r>
            <w:r>
              <w:rPr>
                <w:rFonts w:hint="eastAsia" w:ascii="宋体" w:hAnsi="宋体"/>
                <w:color w:val="auto"/>
                <w:szCs w:val="21"/>
                <w:highlight w:val="none"/>
              </w:rPr>
              <w:t>。</w:t>
            </w:r>
          </w:p>
          <w:p w14:paraId="7F29C8CC">
            <w:pPr>
              <w:shd w:val="clear"/>
              <w:spacing w:line="360" w:lineRule="auto"/>
              <w:jc w:val="left"/>
              <w:rPr>
                <w:rFonts w:ascii="宋体" w:hAnsi="宋体"/>
                <w:color w:val="auto"/>
                <w:szCs w:val="21"/>
                <w:highlight w:val="none"/>
              </w:rPr>
            </w:pPr>
            <w:r>
              <w:rPr>
                <w:rFonts w:hint="eastAsia" w:ascii="宋体" w:hAnsi="宋体"/>
                <w:color w:val="auto"/>
                <w:szCs w:val="21"/>
                <w:highlight w:val="none"/>
              </w:rPr>
              <w:t>分包金额或者比例：</w:t>
            </w:r>
            <w:r>
              <w:rPr>
                <w:rFonts w:hint="eastAsia" w:ascii="宋体" w:hAnsi="宋体"/>
                <w:color w:val="auto"/>
                <w:szCs w:val="21"/>
                <w:highlight w:val="none"/>
                <w:u w:val="single"/>
                <w:lang w:val="en-US" w:eastAsia="zh-CN"/>
              </w:rPr>
              <w:t xml:space="preserve">   /   </w:t>
            </w:r>
            <w:r>
              <w:rPr>
                <w:rFonts w:hint="eastAsia" w:ascii="宋体" w:hAnsi="宋体"/>
                <w:color w:val="auto"/>
                <w:szCs w:val="21"/>
                <w:highlight w:val="none"/>
              </w:rPr>
              <w:t>。</w:t>
            </w:r>
          </w:p>
          <w:p w14:paraId="01092EA1">
            <w:pPr>
              <w:shd w:val="clear"/>
              <w:spacing w:line="360" w:lineRule="auto"/>
              <w:jc w:val="left"/>
              <w:rPr>
                <w:rFonts w:ascii="宋体" w:hAnsi="宋体"/>
                <w:color w:val="auto"/>
                <w:szCs w:val="21"/>
                <w:highlight w:val="none"/>
              </w:rPr>
            </w:pPr>
            <w:r>
              <w:rPr>
                <w:rFonts w:hint="eastAsia" w:ascii="宋体" w:hAnsi="宋体"/>
                <w:color w:val="auto"/>
                <w:szCs w:val="21"/>
                <w:highlight w:val="none"/>
              </w:rPr>
              <w:t>分包供应商必须具备的资质：</w:t>
            </w:r>
            <w:r>
              <w:rPr>
                <w:rFonts w:hint="eastAsia" w:ascii="宋体" w:hAnsi="宋体"/>
                <w:color w:val="auto"/>
                <w:szCs w:val="21"/>
                <w:highlight w:val="none"/>
                <w:u w:val="single"/>
                <w:lang w:val="en-US" w:eastAsia="zh-CN"/>
              </w:rPr>
              <w:t xml:space="preserve">   /   </w:t>
            </w:r>
            <w:r>
              <w:rPr>
                <w:rFonts w:hint="eastAsia" w:ascii="宋体" w:hAnsi="宋体"/>
                <w:color w:val="auto"/>
                <w:szCs w:val="21"/>
                <w:highlight w:val="none"/>
              </w:rPr>
              <w:t>。</w:t>
            </w:r>
          </w:p>
        </w:tc>
      </w:tr>
      <w:tr w14:paraId="5276B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54EABE9D">
            <w:pPr>
              <w:shd w:val="clear"/>
              <w:spacing w:line="360" w:lineRule="auto"/>
              <w:jc w:val="center"/>
              <w:rPr>
                <w:rFonts w:ascii="宋体" w:hAnsi="宋体"/>
                <w:color w:val="auto"/>
                <w:szCs w:val="21"/>
                <w:highlight w:val="none"/>
              </w:rPr>
            </w:pPr>
            <w:r>
              <w:rPr>
                <w:rFonts w:hint="eastAsia" w:ascii="宋体" w:hAnsi="宋体"/>
                <w:color w:val="auto"/>
                <w:szCs w:val="21"/>
                <w:highlight w:val="none"/>
              </w:rPr>
              <w:t>12.1.1</w:t>
            </w:r>
          </w:p>
        </w:tc>
        <w:tc>
          <w:tcPr>
            <w:tcW w:w="8356" w:type="dxa"/>
            <w:vAlign w:val="center"/>
          </w:tcPr>
          <w:p w14:paraId="4C9F74E3">
            <w:pPr>
              <w:shd w:val="clear"/>
              <w:spacing w:line="360" w:lineRule="auto"/>
              <w:jc w:val="left"/>
              <w:rPr>
                <w:rFonts w:ascii="宋体" w:hAnsi="宋体"/>
                <w:b/>
                <w:color w:val="auto"/>
                <w:szCs w:val="21"/>
                <w:highlight w:val="none"/>
              </w:rPr>
            </w:pPr>
            <w:r>
              <w:rPr>
                <w:rFonts w:hint="eastAsia" w:ascii="宋体" w:hAnsi="宋体"/>
                <w:b/>
                <w:color w:val="auto"/>
                <w:szCs w:val="21"/>
                <w:highlight w:val="none"/>
              </w:rPr>
              <w:t>资格证明文件</w:t>
            </w:r>
          </w:p>
          <w:p w14:paraId="1C53F8DE">
            <w:pPr>
              <w:shd w:val="clear"/>
              <w:spacing w:line="360" w:lineRule="auto"/>
              <w:jc w:val="left"/>
              <w:rPr>
                <w:rFonts w:ascii="宋体" w:hAnsi="宋体"/>
                <w:b/>
                <w:color w:val="auto"/>
                <w:szCs w:val="21"/>
                <w:highlight w:val="none"/>
              </w:rPr>
            </w:pPr>
            <w:r>
              <w:rPr>
                <w:rFonts w:hint="eastAsia" w:ascii="宋体" w:hAnsi="宋体"/>
                <w:color w:val="auto"/>
                <w:szCs w:val="21"/>
                <w:highlight w:val="none"/>
              </w:rPr>
              <w:t>1.供应商为法人或者其他组织的，提供营业执照等证明文件复印件（如营业执照或者事业单位法人证书或者执业许可证等）；</w:t>
            </w:r>
            <w:r>
              <w:rPr>
                <w:rFonts w:hint="eastAsia" w:ascii="宋体" w:hAnsi="宋体"/>
                <w:b/>
                <w:color w:val="auto"/>
                <w:szCs w:val="21"/>
                <w:highlight w:val="none"/>
              </w:rPr>
              <w:t>（必须提供，否则响应文件按无效处理）</w:t>
            </w:r>
          </w:p>
          <w:p w14:paraId="5C7F0C4D">
            <w:pPr>
              <w:shd w:val="clear"/>
              <w:spacing w:line="360" w:lineRule="auto"/>
              <w:jc w:val="left"/>
              <w:rPr>
                <w:rFonts w:ascii="宋体" w:hAnsi="宋体"/>
                <w:b/>
                <w:color w:val="auto"/>
                <w:szCs w:val="21"/>
                <w:highlight w:val="none"/>
              </w:rPr>
            </w:pPr>
            <w:r>
              <w:rPr>
                <w:rFonts w:hint="eastAsia" w:ascii="宋体" w:hAnsi="宋体"/>
                <w:color w:val="auto"/>
                <w:szCs w:val="21"/>
                <w:highlight w:val="none"/>
              </w:rPr>
              <w:t>2.供应商依法缴纳税收的相关材料（</w:t>
            </w:r>
            <w:bookmarkStart w:id="9" w:name="OLE_LINK11"/>
            <w:bookmarkStart w:id="10" w:name="OLE_LINK12"/>
            <w:r>
              <w:rPr>
                <w:rFonts w:hint="eastAsia" w:ascii="宋体" w:hAnsi="宋体"/>
                <w:color w:val="auto"/>
                <w:szCs w:val="21"/>
                <w:highlight w:val="none"/>
              </w:rPr>
              <w:t>竞标截止日期前半年</w:t>
            </w:r>
            <w:bookmarkEnd w:id="9"/>
            <w:bookmarkEnd w:id="10"/>
            <w:r>
              <w:rPr>
                <w:rFonts w:hint="eastAsia" w:ascii="宋体" w:hAnsi="宋体"/>
                <w:color w:val="auto"/>
                <w:szCs w:val="21"/>
                <w:highlight w:val="none"/>
              </w:rPr>
              <w:t>内任意一个月的依法缴纳税收的凭据复印件；依法免税的，必须提供相应文件证明其依法免税。从成立之日起到响应文件提交截止时间止不足要求月数的，只需提供从成立之日起的依法缴纳税收相应证明文件）；</w:t>
            </w:r>
            <w:r>
              <w:rPr>
                <w:rFonts w:hint="eastAsia" w:ascii="宋体" w:hAnsi="宋体"/>
                <w:b/>
                <w:color w:val="auto"/>
                <w:szCs w:val="21"/>
                <w:highlight w:val="none"/>
              </w:rPr>
              <w:t>（必须提供，否则响应文件按无效处理）</w:t>
            </w:r>
          </w:p>
          <w:p w14:paraId="1107D3E5">
            <w:pPr>
              <w:shd w:val="clear"/>
              <w:spacing w:line="360" w:lineRule="auto"/>
              <w:jc w:val="left"/>
              <w:rPr>
                <w:rFonts w:ascii="宋体" w:hAnsi="宋体"/>
                <w:b/>
                <w:color w:val="auto"/>
                <w:szCs w:val="21"/>
                <w:highlight w:val="none"/>
              </w:rPr>
            </w:pPr>
            <w:r>
              <w:rPr>
                <w:rFonts w:hint="eastAsia" w:ascii="宋体" w:hAnsi="宋体"/>
                <w:color w:val="auto"/>
                <w:szCs w:val="21"/>
                <w:highlight w:val="none"/>
              </w:rPr>
              <w:t>3.供应商依法缴纳社会保障资金的相关材料[竞标截止日期前半年内任意一个月的依法缴纳社会保障资金的缴费凭证（专用收据或者社会保险缴纳清单）复印件；依法不需要缴纳社会保障资金的，必须提供相应文件证明不需要缴纳社会保障资金。从成立之日起到响应文件提交截止时间止不足要求月数的只需提供从成立之日起的依法缴纳社会保障资金的相应证明文件]；</w:t>
            </w:r>
            <w:r>
              <w:rPr>
                <w:rFonts w:hint="eastAsia" w:ascii="宋体" w:hAnsi="宋体"/>
                <w:b/>
                <w:color w:val="auto"/>
                <w:szCs w:val="21"/>
                <w:highlight w:val="none"/>
              </w:rPr>
              <w:t>（必须提供，否则响应文件按无效处理）</w:t>
            </w:r>
          </w:p>
          <w:p w14:paraId="7458BD92">
            <w:pPr>
              <w:shd w:val="clear"/>
              <w:spacing w:line="360" w:lineRule="auto"/>
              <w:jc w:val="left"/>
              <w:rPr>
                <w:rFonts w:ascii="宋体" w:hAnsi="宋体"/>
                <w:b/>
                <w:color w:val="auto"/>
                <w:szCs w:val="21"/>
                <w:highlight w:val="none"/>
              </w:rPr>
            </w:pPr>
            <w:r>
              <w:rPr>
                <w:rFonts w:hint="eastAsia" w:ascii="宋体" w:hAnsi="宋体"/>
                <w:color w:val="auto"/>
                <w:szCs w:val="21"/>
                <w:highlight w:val="none"/>
              </w:rPr>
              <w:t>4.供应商财务状况报告及供应商财务状况承诺书（格式后附）（</w:t>
            </w:r>
            <w:bookmarkStart w:id="11" w:name="OLE_LINK13"/>
            <w:bookmarkStart w:id="12" w:name="OLE_LINK14"/>
            <w:r>
              <w:rPr>
                <w:rFonts w:hint="eastAsia" w:ascii="宋体" w:hAnsi="宋体"/>
                <w:color w:val="auto"/>
                <w:szCs w:val="21"/>
                <w:highlight w:val="none"/>
              </w:rPr>
              <w:t>2023年度</w:t>
            </w:r>
            <w:bookmarkEnd w:id="11"/>
            <w:bookmarkEnd w:id="12"/>
            <w:r>
              <w:rPr>
                <w:rFonts w:hint="eastAsia" w:ascii="宋体" w:hAnsi="宋体"/>
                <w:color w:val="auto"/>
                <w:szCs w:val="21"/>
                <w:highlight w:val="none"/>
              </w:rPr>
              <w:t>或202</w:t>
            </w:r>
            <w:r>
              <w:rPr>
                <w:rFonts w:ascii="宋体" w:hAnsi="宋体"/>
                <w:color w:val="auto"/>
                <w:szCs w:val="21"/>
                <w:highlight w:val="none"/>
              </w:rPr>
              <w:t>4</w:t>
            </w:r>
            <w:r>
              <w:rPr>
                <w:rFonts w:hint="eastAsia" w:ascii="宋体" w:hAnsi="宋体"/>
                <w:color w:val="auto"/>
                <w:szCs w:val="21"/>
                <w:highlight w:val="none"/>
              </w:rPr>
              <w:t>年度财务报表复印件，或者银行出具的资信证明，或者中国人民银行征信中心出具的信用报告；供应商属于成立时间在规定年度之后的法人或其他组织，需提供成立之日起至响应文件提交截止时间前的月报表或银行出具的资信证明或者中国人民银行征信中心出具的企业信用报告；资信证明应在有效期内，未注明有效期的，银行出具时间至响应文件提交截止时间不得超过一年）；</w:t>
            </w:r>
            <w:r>
              <w:rPr>
                <w:rFonts w:hint="eastAsia" w:ascii="宋体" w:hAnsi="宋体"/>
                <w:b/>
                <w:color w:val="auto"/>
                <w:szCs w:val="21"/>
                <w:highlight w:val="none"/>
              </w:rPr>
              <w:t>（必须提供，否则响应文件按无效处理）</w:t>
            </w:r>
          </w:p>
          <w:p w14:paraId="0B6D91E3">
            <w:pPr>
              <w:shd w:val="clear"/>
              <w:spacing w:line="360" w:lineRule="auto"/>
              <w:jc w:val="left"/>
              <w:rPr>
                <w:rFonts w:ascii="宋体" w:hAnsi="宋体"/>
                <w:b/>
                <w:color w:val="auto"/>
                <w:szCs w:val="21"/>
                <w:highlight w:val="none"/>
              </w:rPr>
            </w:pPr>
            <w:r>
              <w:rPr>
                <w:rFonts w:hint="eastAsia" w:ascii="宋体" w:hAnsi="宋体"/>
                <w:color w:val="auto"/>
                <w:szCs w:val="21"/>
                <w:highlight w:val="none"/>
              </w:rPr>
              <w:t>5.供应商直接控股、管理关系信息表（格式后附）；</w:t>
            </w:r>
            <w:r>
              <w:rPr>
                <w:rFonts w:hint="eastAsia" w:ascii="宋体" w:hAnsi="宋体"/>
                <w:b/>
                <w:color w:val="auto"/>
                <w:szCs w:val="21"/>
                <w:highlight w:val="none"/>
              </w:rPr>
              <w:t>（必须提供，否则响应文件按无效处理）</w:t>
            </w:r>
          </w:p>
          <w:p w14:paraId="05827115">
            <w:pPr>
              <w:shd w:val="clear"/>
              <w:spacing w:line="360" w:lineRule="auto"/>
              <w:jc w:val="left"/>
              <w:rPr>
                <w:rFonts w:ascii="宋体" w:hAnsi="宋体"/>
                <w:b/>
                <w:color w:val="auto"/>
                <w:szCs w:val="21"/>
                <w:highlight w:val="none"/>
              </w:rPr>
            </w:pPr>
            <w:r>
              <w:rPr>
                <w:rFonts w:hint="eastAsia" w:ascii="宋体" w:hAnsi="宋体"/>
                <w:color w:val="auto"/>
                <w:szCs w:val="21"/>
                <w:highlight w:val="none"/>
              </w:rPr>
              <w:t>6.竞标声明（格式后附）；</w:t>
            </w:r>
            <w:r>
              <w:rPr>
                <w:rFonts w:hint="eastAsia" w:ascii="宋体" w:hAnsi="宋体"/>
                <w:b/>
                <w:color w:val="auto"/>
                <w:szCs w:val="21"/>
                <w:highlight w:val="none"/>
              </w:rPr>
              <w:t>（必须提供，否则响应文件按无效处理）</w:t>
            </w:r>
          </w:p>
          <w:p w14:paraId="6399100C">
            <w:pPr>
              <w:shd w:val="clear"/>
              <w:spacing w:line="360" w:lineRule="auto"/>
              <w:rPr>
                <w:rFonts w:ascii="宋体" w:hAns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竞争性磋商公告对应的特定资格要求设置供应商提供的资格证明材料；</w:t>
            </w:r>
            <w:r>
              <w:rPr>
                <w:rFonts w:hint="eastAsia" w:ascii="宋体" w:hAnsi="宋体"/>
                <w:b/>
                <w:color w:val="auto"/>
                <w:szCs w:val="21"/>
                <w:highlight w:val="none"/>
              </w:rPr>
              <w:t>（必须提供，否则响应文件按无效处理）</w:t>
            </w:r>
          </w:p>
          <w:p w14:paraId="7838EE45">
            <w:pPr>
              <w:shd w:val="clear"/>
              <w:spacing w:line="360" w:lineRule="auto"/>
              <w:rPr>
                <w:rFonts w:ascii="宋体" w:hAnsi="宋体"/>
                <w:color w:val="auto"/>
                <w:szCs w:val="21"/>
                <w:highlight w:val="none"/>
              </w:rPr>
            </w:pPr>
            <w:r>
              <w:rPr>
                <w:rFonts w:hint="eastAsia" w:ascii="宋体" w:hAnsi="宋体"/>
                <w:color w:val="auto"/>
                <w:szCs w:val="21"/>
                <w:highlight w:val="none"/>
              </w:rPr>
              <w:t>（1）供应商具有有效的建筑工程施工总承包三级（含）以上资质，具备有效的省级及以上建设行政主管部门颁发的安全生产许可证，并在人员、设备、资金等方面具备相应的施工能力。</w:t>
            </w:r>
          </w:p>
          <w:p w14:paraId="3B19BD62">
            <w:pPr>
              <w:shd w:val="clear"/>
              <w:spacing w:line="360" w:lineRule="auto"/>
              <w:rPr>
                <w:rFonts w:ascii="宋体" w:hAnsi="宋体"/>
                <w:color w:val="auto"/>
                <w:szCs w:val="21"/>
                <w:highlight w:val="none"/>
              </w:rPr>
            </w:pPr>
            <w:r>
              <w:rPr>
                <w:rFonts w:hint="eastAsia" w:ascii="宋体" w:hAnsi="宋体"/>
                <w:color w:val="auto"/>
                <w:szCs w:val="21"/>
                <w:highlight w:val="none"/>
              </w:rPr>
              <w:t>（2）拟投入本项目的项目经理须具备建筑工程专业二级（含）以上注册建造师执业资格，并持有省级或省级以上行政主管部门或其授权部门（机构）颁发的B类安全生产考核合格证书。本项目不接受有在建、已中标（成交）未开工或已列为其他项目中标候选人第一名的建造师作为项目经理（符合《广西壮族自治区建筑市场诚信卡管理暂行办法》第十六条第一款及桂建管﹝2016﹞70号、桂建管〔2020〕11号文除外）。</w:t>
            </w:r>
          </w:p>
          <w:p w14:paraId="2F9F11C1">
            <w:pPr>
              <w:shd w:val="clear"/>
              <w:spacing w:line="360" w:lineRule="auto"/>
              <w:jc w:val="left"/>
              <w:rPr>
                <w:rFonts w:ascii="宋体" w:hAnsi="宋体"/>
                <w:color w:val="auto"/>
                <w:szCs w:val="21"/>
                <w:highlight w:val="none"/>
              </w:rPr>
            </w:pPr>
            <w:r>
              <w:rPr>
                <w:rFonts w:hint="eastAsia" w:ascii="宋体" w:hAnsi="宋体"/>
                <w:color w:val="auto"/>
                <w:szCs w:val="21"/>
                <w:highlight w:val="none"/>
              </w:rPr>
              <w:t>（3）拟投入本项目的专职安全生产管理人员须具备有效的安全生产考核合格证书（C类）。</w:t>
            </w:r>
          </w:p>
          <w:p w14:paraId="76D0D819">
            <w:pPr>
              <w:shd w:val="clear"/>
              <w:spacing w:line="360" w:lineRule="auto"/>
              <w:jc w:val="left"/>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除磋商文件规定必须提供以外，供应商认为需要提供的其他证明材料；</w:t>
            </w:r>
          </w:p>
          <w:p w14:paraId="44FF24DA">
            <w:pPr>
              <w:shd w:val="clear"/>
              <w:spacing w:line="360" w:lineRule="auto"/>
              <w:jc w:val="left"/>
              <w:rPr>
                <w:rFonts w:ascii="宋体" w:hAnsi="宋体"/>
                <w:b/>
                <w:color w:val="auto"/>
                <w:szCs w:val="21"/>
                <w:highlight w:val="none"/>
              </w:rPr>
            </w:pPr>
            <w:r>
              <w:rPr>
                <w:rFonts w:hint="eastAsia" w:ascii="宋体" w:hAnsi="宋体"/>
                <w:b/>
                <w:color w:val="auto"/>
                <w:szCs w:val="21"/>
                <w:highlight w:val="none"/>
              </w:rPr>
              <w:t>注：</w:t>
            </w:r>
          </w:p>
          <w:p w14:paraId="0B359D16">
            <w:pPr>
              <w:shd w:val="clear"/>
              <w:spacing w:line="360" w:lineRule="auto"/>
              <w:jc w:val="left"/>
              <w:rPr>
                <w:rFonts w:ascii="宋体" w:hAnsi="宋体"/>
                <w:b/>
                <w:color w:val="auto"/>
                <w:szCs w:val="21"/>
                <w:highlight w:val="none"/>
              </w:rPr>
            </w:pPr>
            <w:r>
              <w:rPr>
                <w:rFonts w:hint="eastAsia" w:ascii="宋体" w:hAnsi="宋体"/>
                <w:b/>
                <w:color w:val="auto"/>
                <w:szCs w:val="21"/>
                <w:highlight w:val="none"/>
              </w:rPr>
              <w:t>1.以上标明“必须提供”的材料属于复印件的，必须加盖供应商公章，否则响应文件按无效响应处理。</w:t>
            </w:r>
          </w:p>
          <w:p w14:paraId="22D7F8F6">
            <w:pPr>
              <w:shd w:val="clear"/>
              <w:spacing w:line="360" w:lineRule="auto"/>
              <w:jc w:val="left"/>
              <w:rPr>
                <w:rFonts w:ascii="宋体" w:hAnsi="宋体"/>
                <w:color w:val="auto"/>
                <w:szCs w:val="21"/>
                <w:highlight w:val="none"/>
              </w:rPr>
            </w:pPr>
            <w:r>
              <w:rPr>
                <w:rFonts w:hint="eastAsia" w:ascii="宋体" w:hAnsi="宋体"/>
                <w:b/>
                <w:color w:val="auto"/>
                <w:szCs w:val="21"/>
                <w:highlight w:val="none"/>
              </w:rPr>
              <w:t>2.联合体竞标时，第1-5项资格证明文件联合体各方均必须分别提供，联合体各方分别盖章和签字，否则响应文件按无效响应处理。</w:t>
            </w:r>
          </w:p>
        </w:tc>
      </w:tr>
      <w:tr w14:paraId="65AD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2E4C2BBA">
            <w:pPr>
              <w:shd w:val="clear"/>
              <w:spacing w:line="360" w:lineRule="auto"/>
              <w:jc w:val="center"/>
              <w:rPr>
                <w:rFonts w:ascii="宋体" w:hAnsi="宋体"/>
                <w:color w:val="auto"/>
                <w:szCs w:val="21"/>
                <w:highlight w:val="none"/>
              </w:rPr>
            </w:pPr>
            <w:r>
              <w:rPr>
                <w:rFonts w:hint="eastAsia" w:ascii="宋体" w:hAnsi="宋体"/>
                <w:color w:val="auto"/>
                <w:szCs w:val="21"/>
                <w:highlight w:val="none"/>
              </w:rPr>
              <w:t>12.1.2</w:t>
            </w:r>
          </w:p>
        </w:tc>
        <w:tc>
          <w:tcPr>
            <w:tcW w:w="8356" w:type="dxa"/>
            <w:vAlign w:val="center"/>
          </w:tcPr>
          <w:p w14:paraId="3B364BF9">
            <w:pPr>
              <w:shd w:val="clear"/>
              <w:spacing w:line="360" w:lineRule="auto"/>
              <w:jc w:val="left"/>
              <w:rPr>
                <w:rFonts w:ascii="宋体" w:hAnsi="宋体"/>
                <w:b/>
                <w:color w:val="auto"/>
                <w:szCs w:val="21"/>
                <w:highlight w:val="none"/>
              </w:rPr>
            </w:pPr>
            <w:r>
              <w:rPr>
                <w:rFonts w:hint="eastAsia" w:ascii="宋体" w:hAnsi="宋体"/>
                <w:b/>
                <w:color w:val="auto"/>
                <w:szCs w:val="21"/>
                <w:highlight w:val="none"/>
              </w:rPr>
              <w:t>报价文件</w:t>
            </w:r>
          </w:p>
          <w:p w14:paraId="2D0D5B49">
            <w:pPr>
              <w:shd w:val="clear"/>
              <w:spacing w:line="360" w:lineRule="auto"/>
              <w:jc w:val="left"/>
              <w:rPr>
                <w:rFonts w:ascii="宋体" w:hAnsi="宋体"/>
                <w:b/>
                <w:color w:val="auto"/>
                <w:szCs w:val="21"/>
                <w:highlight w:val="none"/>
              </w:rPr>
            </w:pPr>
            <w:r>
              <w:rPr>
                <w:rFonts w:hint="eastAsia" w:ascii="宋体" w:hAnsi="宋体"/>
                <w:color w:val="auto"/>
                <w:szCs w:val="21"/>
                <w:highlight w:val="none"/>
              </w:rPr>
              <w:t>1.竞标函及竞标函附录（格式后附）；</w:t>
            </w:r>
            <w:r>
              <w:rPr>
                <w:rFonts w:hint="eastAsia" w:ascii="宋体" w:hAnsi="宋体"/>
                <w:b/>
                <w:color w:val="auto"/>
                <w:szCs w:val="21"/>
                <w:highlight w:val="none"/>
              </w:rPr>
              <w:t>（必须提供，否则响应文件按无效处理）</w:t>
            </w:r>
          </w:p>
          <w:p w14:paraId="7473D276">
            <w:pPr>
              <w:shd w:val="clear"/>
              <w:spacing w:line="360" w:lineRule="auto"/>
              <w:jc w:val="left"/>
              <w:rPr>
                <w:rFonts w:ascii="宋体" w:hAnsi="宋体"/>
                <w:b/>
                <w:color w:val="auto"/>
                <w:szCs w:val="21"/>
                <w:highlight w:val="none"/>
              </w:rPr>
            </w:pPr>
            <w:r>
              <w:rPr>
                <w:rFonts w:ascii="宋体" w:hAnsi="宋体"/>
                <w:color w:val="auto"/>
                <w:szCs w:val="21"/>
                <w:highlight w:val="none"/>
              </w:rPr>
              <w:t>2</w:t>
            </w:r>
            <w:r>
              <w:rPr>
                <w:rFonts w:hint="eastAsia" w:ascii="宋体" w:hAnsi="宋体"/>
                <w:color w:val="auto"/>
                <w:szCs w:val="21"/>
                <w:highlight w:val="none"/>
              </w:rPr>
              <w:t>.竞标报价表（格式后附）；</w:t>
            </w:r>
            <w:r>
              <w:rPr>
                <w:rFonts w:hint="eastAsia" w:ascii="宋体" w:hAnsi="宋体"/>
                <w:b/>
                <w:color w:val="auto"/>
                <w:szCs w:val="21"/>
                <w:highlight w:val="none"/>
              </w:rPr>
              <w:t>（必须提供，否则响应文件按无效处理）</w:t>
            </w:r>
          </w:p>
          <w:p w14:paraId="1A5DFBFF">
            <w:pPr>
              <w:shd w:val="clear"/>
              <w:spacing w:line="360" w:lineRule="auto"/>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.《中小企业声明函》或《残疾人福利性单位声明函》或监狱企业证明（由省级以上监狱管理局、戒毒管理局（含新疆生产建设兵团）出具的属于监狱企业的证明文件）；（如有请提供）</w:t>
            </w:r>
          </w:p>
          <w:p w14:paraId="22991452">
            <w:pPr>
              <w:shd w:val="clear"/>
              <w:spacing w:line="360" w:lineRule="auto"/>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.供应商认为需要提供的其他有关资料。（如有请提供）</w:t>
            </w:r>
          </w:p>
        </w:tc>
      </w:tr>
      <w:tr w14:paraId="1772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439C34A4">
            <w:pPr>
              <w:shd w:val="clear"/>
              <w:spacing w:line="360" w:lineRule="auto"/>
              <w:jc w:val="center"/>
              <w:rPr>
                <w:rFonts w:ascii="宋体" w:hAnsi="宋体"/>
                <w:color w:val="auto"/>
                <w:szCs w:val="21"/>
                <w:highlight w:val="none"/>
              </w:rPr>
            </w:pPr>
            <w:r>
              <w:rPr>
                <w:rFonts w:hint="eastAsia" w:ascii="宋体" w:hAnsi="宋体"/>
                <w:color w:val="auto"/>
                <w:szCs w:val="21"/>
                <w:highlight w:val="none"/>
              </w:rPr>
              <w:t>12.1.3</w:t>
            </w:r>
          </w:p>
        </w:tc>
        <w:tc>
          <w:tcPr>
            <w:tcW w:w="8356" w:type="dxa"/>
            <w:vAlign w:val="center"/>
          </w:tcPr>
          <w:p w14:paraId="5A9C5430">
            <w:pPr>
              <w:shd w:val="clear"/>
              <w:spacing w:line="360" w:lineRule="auto"/>
              <w:jc w:val="left"/>
              <w:rPr>
                <w:rFonts w:ascii="宋体" w:hAnsi="宋体"/>
                <w:b/>
                <w:color w:val="auto"/>
                <w:szCs w:val="21"/>
                <w:highlight w:val="none"/>
              </w:rPr>
            </w:pPr>
            <w:r>
              <w:rPr>
                <w:rFonts w:hint="eastAsia" w:ascii="宋体" w:hAnsi="宋体"/>
                <w:b/>
                <w:color w:val="auto"/>
                <w:szCs w:val="21"/>
                <w:highlight w:val="none"/>
              </w:rPr>
              <w:t>商务技术文件</w:t>
            </w:r>
          </w:p>
          <w:p w14:paraId="3A56A2C2">
            <w:pPr>
              <w:shd w:val="clear"/>
              <w:spacing w:line="360" w:lineRule="auto"/>
              <w:jc w:val="left"/>
              <w:rPr>
                <w:rFonts w:ascii="宋体" w:hAnsi="宋体"/>
                <w:b/>
                <w:color w:val="auto"/>
                <w:szCs w:val="21"/>
                <w:highlight w:val="none"/>
              </w:rPr>
            </w:pPr>
            <w:r>
              <w:rPr>
                <w:rFonts w:hint="eastAsia" w:ascii="宋体" w:hAnsi="宋体"/>
                <w:color w:val="auto"/>
                <w:szCs w:val="21"/>
                <w:highlight w:val="none"/>
              </w:rPr>
              <w:t>1.无串通参加竞争性磋商行为的承诺函（格式后附）；</w:t>
            </w:r>
            <w:r>
              <w:rPr>
                <w:rFonts w:hint="eastAsia" w:ascii="宋体" w:hAnsi="宋体"/>
                <w:b/>
                <w:color w:val="auto"/>
                <w:szCs w:val="21"/>
                <w:highlight w:val="none"/>
              </w:rPr>
              <w:t>（必须提供，否则响应文件按无效处理）</w:t>
            </w:r>
          </w:p>
          <w:p w14:paraId="28AEC6D8">
            <w:pPr>
              <w:shd w:val="clear"/>
              <w:spacing w:line="360" w:lineRule="auto"/>
              <w:jc w:val="left"/>
              <w:rPr>
                <w:rFonts w:ascii="宋体" w:hAnsi="宋体"/>
                <w:b/>
                <w:color w:val="auto"/>
                <w:szCs w:val="21"/>
                <w:highlight w:val="none"/>
              </w:rPr>
            </w:pPr>
            <w:r>
              <w:rPr>
                <w:rFonts w:hint="eastAsia" w:ascii="宋体" w:hAnsi="宋体"/>
                <w:color w:val="auto"/>
                <w:szCs w:val="21"/>
                <w:highlight w:val="none"/>
              </w:rPr>
              <w:t>2.法定代表人身份证明书及法定代表人有效身份证正反面复印件（格式后附）；</w:t>
            </w:r>
            <w:r>
              <w:rPr>
                <w:rFonts w:hint="eastAsia" w:ascii="宋体" w:hAnsi="宋体"/>
                <w:b/>
                <w:color w:val="auto"/>
                <w:szCs w:val="21"/>
                <w:highlight w:val="none"/>
              </w:rPr>
              <w:t>（必须提供，否则响应文件按无效处理）</w:t>
            </w:r>
          </w:p>
          <w:p w14:paraId="540F0231">
            <w:pPr>
              <w:shd w:val="clear"/>
              <w:spacing w:line="360" w:lineRule="auto"/>
              <w:jc w:val="left"/>
              <w:rPr>
                <w:rFonts w:ascii="宋体" w:hAnsi="宋体"/>
                <w:b/>
                <w:color w:val="auto"/>
                <w:szCs w:val="21"/>
                <w:highlight w:val="none"/>
              </w:rPr>
            </w:pPr>
            <w:r>
              <w:rPr>
                <w:rFonts w:hint="eastAsia" w:ascii="宋体" w:hAnsi="宋体"/>
                <w:color w:val="auto"/>
                <w:szCs w:val="21"/>
                <w:highlight w:val="none"/>
              </w:rPr>
              <w:t>3.授权委托书及委托代理人有效身份证正反面复印件（格式后附）；</w:t>
            </w:r>
            <w:r>
              <w:rPr>
                <w:rFonts w:hint="eastAsia" w:ascii="宋体" w:hAnsi="宋体"/>
                <w:b/>
                <w:color w:val="auto"/>
                <w:szCs w:val="21"/>
                <w:highlight w:val="none"/>
              </w:rPr>
              <w:t>（委托时必须提供，否则响应文件按无效处理）</w:t>
            </w:r>
          </w:p>
          <w:p w14:paraId="5ED3F4B4">
            <w:pPr>
              <w:shd w:val="clear"/>
              <w:spacing w:line="360" w:lineRule="auto"/>
              <w:jc w:val="left"/>
              <w:rPr>
                <w:rFonts w:ascii="宋体" w:hAnsi="宋体"/>
                <w:b/>
                <w:color w:val="auto"/>
                <w:szCs w:val="21"/>
                <w:highlight w:val="none"/>
              </w:rPr>
            </w:pPr>
            <w:r>
              <w:rPr>
                <w:rFonts w:hint="eastAsia" w:ascii="宋体" w:hAnsi="宋体"/>
                <w:color w:val="auto"/>
                <w:szCs w:val="21"/>
                <w:highlight w:val="none"/>
              </w:rPr>
              <w:t>4.磋商保证金提交凭证；</w:t>
            </w:r>
            <w:r>
              <w:rPr>
                <w:rFonts w:hint="eastAsia" w:ascii="宋体" w:hAnsi="宋体"/>
                <w:b/>
                <w:color w:val="auto"/>
                <w:szCs w:val="21"/>
                <w:highlight w:val="none"/>
              </w:rPr>
              <w:t>（如要求提交磋商保证金的则必须提供，否则响应文件按无效处理）</w:t>
            </w:r>
          </w:p>
          <w:p w14:paraId="3CCA2002">
            <w:pPr>
              <w:shd w:val="clear"/>
              <w:spacing w:line="360" w:lineRule="auto"/>
              <w:jc w:val="left"/>
              <w:rPr>
                <w:rFonts w:ascii="宋体" w:hAnsi="宋体"/>
                <w:b/>
                <w:color w:val="auto"/>
                <w:szCs w:val="21"/>
                <w:highlight w:val="none"/>
              </w:rPr>
            </w:pPr>
            <w:r>
              <w:rPr>
                <w:rFonts w:hint="eastAsia" w:ascii="宋体" w:hAnsi="宋体"/>
                <w:color w:val="auto"/>
                <w:szCs w:val="21"/>
                <w:highlight w:val="none"/>
              </w:rPr>
              <w:t>5.建筑材料和设备节能环保要求承诺书（格式后附）</w:t>
            </w:r>
            <w:r>
              <w:rPr>
                <w:rFonts w:hint="eastAsia" w:ascii="宋体" w:hAnsi="宋体"/>
                <w:b/>
                <w:color w:val="auto"/>
                <w:szCs w:val="21"/>
                <w:highlight w:val="none"/>
              </w:rPr>
              <w:t>；（必须提供，否则响应文件按无效响应处理）</w:t>
            </w:r>
          </w:p>
          <w:p w14:paraId="3D45A0B7">
            <w:pPr>
              <w:shd w:val="clear"/>
              <w:spacing w:line="360" w:lineRule="auto"/>
              <w:jc w:val="left"/>
              <w:rPr>
                <w:rFonts w:ascii="宋体" w:hAnsi="宋体"/>
                <w:color w:val="auto"/>
                <w:szCs w:val="21"/>
                <w:highlight w:val="none"/>
              </w:rPr>
            </w:pPr>
            <w:r>
              <w:rPr>
                <w:rFonts w:hint="eastAsia" w:ascii="宋体" w:hAnsi="宋体"/>
                <w:color w:val="auto"/>
                <w:szCs w:val="21"/>
                <w:highlight w:val="none"/>
              </w:rPr>
              <w:t>6.总工程量承诺书（格式自拟）；</w:t>
            </w:r>
            <w:r>
              <w:rPr>
                <w:rFonts w:hint="eastAsia" w:ascii="宋体" w:hAnsi="宋体"/>
                <w:b/>
                <w:color w:val="auto"/>
                <w:szCs w:val="21"/>
                <w:highlight w:val="none"/>
              </w:rPr>
              <w:t>（必须提供，格式自拟，承诺书须包含有“如我单位成交，开工30日历天内现场已完成工程量未达到总工程量的60%的，采购人有权委托其他施工单位共同完成剩余工程。如成交人拒不配合的，采购人有权解除合同，并向采购人支付合同价5%的违约金”的内容，否则响应文件按无效响应处理）</w:t>
            </w:r>
          </w:p>
          <w:p w14:paraId="045F949B">
            <w:pPr>
              <w:shd w:val="clear"/>
              <w:spacing w:line="360" w:lineRule="auto"/>
              <w:jc w:val="left"/>
              <w:rPr>
                <w:rFonts w:ascii="宋体" w:hAnsi="宋体"/>
                <w:b/>
                <w:color w:val="auto"/>
                <w:szCs w:val="21"/>
                <w:highlight w:val="none"/>
              </w:rPr>
            </w:pPr>
            <w:r>
              <w:rPr>
                <w:rFonts w:hint="eastAsia" w:ascii="宋体" w:hAnsi="宋体"/>
                <w:color w:val="auto"/>
                <w:szCs w:val="21"/>
                <w:highlight w:val="none"/>
              </w:rPr>
              <w:t>7.商务条款偏离表（格式后附）；</w:t>
            </w:r>
            <w:r>
              <w:rPr>
                <w:rFonts w:hint="eastAsia" w:ascii="宋体" w:hAnsi="宋体"/>
                <w:b/>
                <w:color w:val="auto"/>
                <w:szCs w:val="21"/>
                <w:highlight w:val="none"/>
              </w:rPr>
              <w:t>（必须提供，否则响应文件按无效响应处理）</w:t>
            </w:r>
          </w:p>
          <w:p w14:paraId="61D4B168">
            <w:pPr>
              <w:shd w:val="clear"/>
              <w:spacing w:line="360" w:lineRule="auto"/>
              <w:jc w:val="left"/>
              <w:rPr>
                <w:rFonts w:ascii="宋体" w:hAnsi="宋体"/>
                <w:b/>
                <w:color w:val="auto"/>
                <w:szCs w:val="21"/>
                <w:highlight w:val="none"/>
              </w:rPr>
            </w:pPr>
            <w:r>
              <w:rPr>
                <w:rFonts w:hint="eastAsia" w:ascii="宋体" w:hAnsi="宋体"/>
                <w:color w:val="auto"/>
                <w:szCs w:val="21"/>
                <w:highlight w:val="none"/>
              </w:rPr>
              <w:t>8.技术要求偏离表（格式后附）；</w:t>
            </w:r>
            <w:r>
              <w:rPr>
                <w:rFonts w:hint="eastAsia" w:ascii="宋体" w:hAnsi="宋体"/>
                <w:b/>
                <w:color w:val="auto"/>
                <w:szCs w:val="21"/>
                <w:highlight w:val="none"/>
              </w:rPr>
              <w:t>（必须提供，否则响应文件按无效响应处理）</w:t>
            </w:r>
          </w:p>
          <w:p w14:paraId="37A6DE57">
            <w:pPr>
              <w:shd w:val="clear"/>
              <w:spacing w:line="360" w:lineRule="auto"/>
              <w:jc w:val="left"/>
              <w:rPr>
                <w:rFonts w:ascii="宋体" w:hAnsi="宋体"/>
                <w:b/>
                <w:color w:val="auto"/>
                <w:szCs w:val="21"/>
                <w:highlight w:val="none"/>
              </w:rPr>
            </w:pPr>
            <w:r>
              <w:rPr>
                <w:rFonts w:hint="eastAsia" w:ascii="宋体" w:hAnsi="宋体"/>
                <w:color w:val="auto"/>
                <w:szCs w:val="21"/>
                <w:highlight w:val="none"/>
              </w:rPr>
              <w:t>9.施工组织设计（格式自拟）；</w:t>
            </w:r>
            <w:r>
              <w:rPr>
                <w:rFonts w:hint="eastAsia" w:ascii="宋体" w:hAnsi="宋体"/>
                <w:b/>
                <w:color w:val="auto"/>
                <w:szCs w:val="21"/>
                <w:highlight w:val="none"/>
              </w:rPr>
              <w:t>（必须提供，否则响应文件按无效处理）</w:t>
            </w:r>
          </w:p>
          <w:p w14:paraId="4E3F9274">
            <w:pPr>
              <w:shd w:val="clear"/>
              <w:spacing w:line="360" w:lineRule="auto"/>
              <w:jc w:val="left"/>
              <w:rPr>
                <w:rFonts w:ascii="宋体" w:hAnsi="宋体"/>
                <w:color w:val="auto"/>
                <w:szCs w:val="21"/>
                <w:highlight w:val="none"/>
              </w:rPr>
            </w:pPr>
            <w:r>
              <w:rPr>
                <w:rFonts w:hint="eastAsia" w:ascii="宋体" w:hAnsi="宋体"/>
                <w:color w:val="auto"/>
                <w:szCs w:val="21"/>
                <w:highlight w:val="none"/>
              </w:rPr>
              <w:t>10.拟分包项目情况表（格式自拟）；</w:t>
            </w:r>
            <w:r>
              <w:rPr>
                <w:rFonts w:hint="eastAsia" w:ascii="宋体" w:hAnsi="宋体"/>
                <w:b/>
                <w:color w:val="auto"/>
                <w:szCs w:val="21"/>
                <w:highlight w:val="none"/>
              </w:rPr>
              <w:t>（如有）</w:t>
            </w:r>
          </w:p>
          <w:p w14:paraId="768A728C">
            <w:pPr>
              <w:shd w:val="clear"/>
              <w:spacing w:line="360" w:lineRule="auto"/>
              <w:jc w:val="left"/>
              <w:rPr>
                <w:rFonts w:ascii="宋体" w:hAnsi="宋体"/>
                <w:color w:val="auto"/>
                <w:szCs w:val="21"/>
                <w:highlight w:val="none"/>
              </w:rPr>
            </w:pPr>
            <w:r>
              <w:rPr>
                <w:rFonts w:hint="eastAsia" w:ascii="宋体" w:hAnsi="宋体"/>
                <w:color w:val="auto"/>
                <w:szCs w:val="21"/>
                <w:highlight w:val="none"/>
              </w:rPr>
              <w:t>11.项目管理机构配备情况表及主要人员简历表（格式自拟）；</w:t>
            </w:r>
            <w:r>
              <w:rPr>
                <w:rFonts w:hint="eastAsia" w:ascii="宋体" w:hAnsi="宋体"/>
                <w:b/>
                <w:color w:val="auto"/>
                <w:szCs w:val="21"/>
                <w:highlight w:val="none"/>
              </w:rPr>
              <w:t>（必须提供，否则响应文件按无效处理）</w:t>
            </w:r>
          </w:p>
          <w:p w14:paraId="751648F5">
            <w:pPr>
              <w:shd w:val="clear"/>
              <w:spacing w:line="360" w:lineRule="auto"/>
              <w:jc w:val="left"/>
              <w:rPr>
                <w:rFonts w:ascii="宋体" w:hAnsi="宋体"/>
                <w:color w:val="auto"/>
                <w:szCs w:val="21"/>
                <w:highlight w:val="none"/>
              </w:rPr>
            </w:pPr>
            <w:r>
              <w:rPr>
                <w:rFonts w:hint="eastAsia" w:ascii="宋体" w:hAnsi="宋体"/>
                <w:color w:val="auto"/>
                <w:szCs w:val="21"/>
                <w:highlight w:val="none"/>
              </w:rPr>
              <w:t>12.供应商业绩一览表（格式后附）；</w:t>
            </w:r>
            <w:r>
              <w:rPr>
                <w:rFonts w:hint="eastAsia" w:ascii="宋体" w:hAnsi="宋体"/>
                <w:b/>
                <w:color w:val="auto"/>
                <w:szCs w:val="21"/>
                <w:highlight w:val="none"/>
              </w:rPr>
              <w:t>（如有）</w:t>
            </w:r>
          </w:p>
          <w:p w14:paraId="4E672B83">
            <w:pPr>
              <w:shd w:val="clear"/>
              <w:spacing w:line="360" w:lineRule="auto"/>
              <w:jc w:val="left"/>
              <w:rPr>
                <w:rFonts w:ascii="宋体" w:hAnsi="宋体"/>
                <w:color w:val="auto"/>
                <w:szCs w:val="21"/>
                <w:highlight w:val="none"/>
              </w:rPr>
            </w:pPr>
            <w:r>
              <w:rPr>
                <w:rFonts w:hint="eastAsia" w:ascii="宋体" w:hAnsi="宋体"/>
                <w:color w:val="auto"/>
                <w:szCs w:val="21"/>
                <w:highlight w:val="none"/>
              </w:rPr>
              <w:t>13.供应商认为需要提供的其他有关资料。</w:t>
            </w:r>
          </w:p>
          <w:p w14:paraId="66FD1DF3">
            <w:pPr>
              <w:shd w:val="clear"/>
              <w:spacing w:line="360" w:lineRule="auto"/>
              <w:jc w:val="left"/>
              <w:rPr>
                <w:rFonts w:ascii="宋体" w:hAnsi="宋体"/>
                <w:b/>
                <w:color w:val="auto"/>
                <w:szCs w:val="21"/>
                <w:highlight w:val="none"/>
              </w:rPr>
            </w:pPr>
            <w:r>
              <w:rPr>
                <w:rFonts w:hint="eastAsia" w:ascii="宋体" w:hAnsi="宋体"/>
                <w:b/>
                <w:color w:val="auto"/>
                <w:szCs w:val="21"/>
                <w:highlight w:val="none"/>
              </w:rPr>
              <w:t>注：以上标明“必须提供”的材料属于复印件的，必须加盖供应商公章，否则响应文件按无效处理。</w:t>
            </w:r>
          </w:p>
        </w:tc>
      </w:tr>
      <w:tr w14:paraId="16E0A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2C10F41B">
            <w:pPr>
              <w:shd w:val="clear"/>
              <w:spacing w:line="360" w:lineRule="auto"/>
              <w:jc w:val="center"/>
              <w:rPr>
                <w:rFonts w:ascii="宋体" w:hAnsi="宋体"/>
                <w:color w:val="auto"/>
                <w:szCs w:val="21"/>
                <w:highlight w:val="none"/>
              </w:rPr>
            </w:pPr>
            <w:r>
              <w:rPr>
                <w:rFonts w:hint="eastAsia" w:ascii="宋体" w:hAnsi="宋体"/>
                <w:color w:val="auto"/>
                <w:szCs w:val="21"/>
                <w:highlight w:val="none"/>
              </w:rPr>
              <w:t>15.1</w:t>
            </w:r>
          </w:p>
        </w:tc>
        <w:tc>
          <w:tcPr>
            <w:tcW w:w="8356" w:type="dxa"/>
            <w:vAlign w:val="center"/>
          </w:tcPr>
          <w:p w14:paraId="21716948">
            <w:pPr>
              <w:shd w:val="clear"/>
              <w:spacing w:line="360" w:lineRule="auto"/>
              <w:jc w:val="left"/>
              <w:rPr>
                <w:rFonts w:ascii="宋体" w:hAnsi="宋体"/>
                <w:b/>
                <w:color w:val="auto"/>
                <w:szCs w:val="21"/>
                <w:highlight w:val="none"/>
              </w:rPr>
            </w:pPr>
            <w:r>
              <w:rPr>
                <w:rFonts w:hint="eastAsia" w:ascii="宋体" w:hAnsi="宋体" w:cs="宋体"/>
                <w:b/>
                <w:color w:val="auto"/>
                <w:szCs w:val="21"/>
                <w:highlight w:val="none"/>
              </w:rPr>
              <w:t>竞争性磋商报价采用下浮系数报价（报价范围：0≤下浮系数＜100%），供应商应认真阅读已经采购人审定的最高限价，参与磋商即表示认可最高限价，成交后依据采购预算价（招标控制价）公布的相应的清单项目的单价乘以（1-下浮系数）进行结算，竞标人不得对采购人的采购预算价（招标控制价）中的综合单价进行修改。</w:t>
            </w:r>
          </w:p>
        </w:tc>
      </w:tr>
      <w:tr w14:paraId="04BC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44A07D71">
            <w:pPr>
              <w:shd w:val="clear"/>
              <w:spacing w:line="360" w:lineRule="auto"/>
              <w:jc w:val="center"/>
              <w:rPr>
                <w:rFonts w:ascii="宋体" w:hAnsi="宋体"/>
                <w:color w:val="auto"/>
                <w:szCs w:val="21"/>
                <w:highlight w:val="none"/>
              </w:rPr>
            </w:pPr>
            <w:r>
              <w:rPr>
                <w:rFonts w:hint="eastAsia" w:ascii="宋体" w:hAnsi="宋体"/>
                <w:color w:val="auto"/>
                <w:szCs w:val="21"/>
                <w:highlight w:val="none"/>
              </w:rPr>
              <w:t>15.2</w:t>
            </w:r>
          </w:p>
        </w:tc>
        <w:tc>
          <w:tcPr>
            <w:tcW w:w="8356" w:type="dxa"/>
            <w:vAlign w:val="center"/>
          </w:tcPr>
          <w:p w14:paraId="5BF9443F">
            <w:pPr>
              <w:shd w:val="clear"/>
              <w:spacing w:line="360" w:lineRule="auto"/>
              <w:jc w:val="left"/>
              <w:rPr>
                <w:rFonts w:ascii="宋体" w:hAnsi="宋体"/>
                <w:color w:val="auto"/>
                <w:szCs w:val="21"/>
                <w:highlight w:val="none"/>
              </w:rPr>
            </w:pPr>
            <w:r>
              <w:rPr>
                <w:rFonts w:hint="eastAsia" w:ascii="宋体" w:hAnsi="宋体"/>
                <w:color w:val="auto"/>
                <w:szCs w:val="21"/>
                <w:highlight w:val="none"/>
              </w:rPr>
              <w:t>竞争性磋商报价包括为实施和完成合同工程所需的劳务、材料、机械、质检（自检）、安装、缺陷修复、管理、保险、税费、利润以及安全文明施工费等费用，以及合同明示或暗示的所有责任、义务和一般风险。</w:t>
            </w:r>
          </w:p>
        </w:tc>
      </w:tr>
      <w:tr w14:paraId="6046E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3CD1641A">
            <w:pPr>
              <w:shd w:val="clear"/>
              <w:spacing w:line="360" w:lineRule="auto"/>
              <w:jc w:val="center"/>
              <w:rPr>
                <w:rFonts w:ascii="宋体" w:hAnsi="宋体"/>
                <w:color w:val="auto"/>
                <w:szCs w:val="21"/>
                <w:highlight w:val="none"/>
              </w:rPr>
            </w:pPr>
            <w:r>
              <w:rPr>
                <w:rFonts w:ascii="宋体" w:hAnsi="宋体"/>
                <w:color w:val="auto"/>
                <w:szCs w:val="21"/>
                <w:highlight w:val="none"/>
              </w:rPr>
              <w:t>15.3</w:t>
            </w:r>
          </w:p>
        </w:tc>
        <w:tc>
          <w:tcPr>
            <w:tcW w:w="8356" w:type="dxa"/>
            <w:vAlign w:val="center"/>
          </w:tcPr>
          <w:p w14:paraId="47FA16BB">
            <w:pPr>
              <w:shd w:val="clear"/>
              <w:spacing w:line="360" w:lineRule="auto"/>
              <w:jc w:val="left"/>
              <w:rPr>
                <w:rFonts w:ascii="宋体" w:hAnsi="宋体"/>
                <w:color w:val="auto"/>
                <w:szCs w:val="21"/>
                <w:highlight w:val="none"/>
              </w:rPr>
            </w:pPr>
            <w:r>
              <w:rPr>
                <w:rFonts w:hint="eastAsia" w:ascii="宋体" w:hAnsi="宋体"/>
                <w:color w:val="auto"/>
                <w:szCs w:val="21"/>
                <w:highlight w:val="none"/>
              </w:rPr>
              <w:t>本工程增值税计税方法：</w:t>
            </w:r>
            <w:r>
              <w:rPr>
                <w:rFonts w:hint="eastAsia" w:ascii="宋体" w:hAnsi="宋体"/>
                <w:color w:val="auto"/>
                <w:szCs w:val="21"/>
                <w:highlight w:val="none"/>
              </w:rPr>
              <w:sym w:font="Wingdings 2" w:char="F052"/>
            </w:r>
            <w:r>
              <w:rPr>
                <w:rFonts w:hint="eastAsia" w:ascii="宋体" w:hAnsi="宋体"/>
                <w:color w:val="auto"/>
                <w:szCs w:val="21"/>
                <w:highlight w:val="none"/>
              </w:rPr>
              <w:t>一般计税法；□简易计税法</w:t>
            </w:r>
          </w:p>
        </w:tc>
      </w:tr>
      <w:tr w14:paraId="17C7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1A889D2A">
            <w:pPr>
              <w:shd w:val="clear"/>
              <w:spacing w:line="360" w:lineRule="auto"/>
              <w:jc w:val="center"/>
              <w:rPr>
                <w:rFonts w:ascii="宋体" w:hAnsi="宋体"/>
                <w:color w:val="auto"/>
                <w:szCs w:val="21"/>
                <w:highlight w:val="none"/>
              </w:rPr>
            </w:pPr>
            <w:r>
              <w:rPr>
                <w:rFonts w:hint="eastAsia" w:ascii="宋体" w:hAnsi="宋体"/>
                <w:color w:val="auto"/>
                <w:szCs w:val="21"/>
                <w:highlight w:val="none"/>
              </w:rPr>
              <w:t>16.2</w:t>
            </w:r>
          </w:p>
        </w:tc>
        <w:tc>
          <w:tcPr>
            <w:tcW w:w="8356" w:type="dxa"/>
            <w:vAlign w:val="center"/>
          </w:tcPr>
          <w:p w14:paraId="06020D5B">
            <w:pPr>
              <w:shd w:val="clear"/>
              <w:spacing w:line="360" w:lineRule="auto"/>
              <w:jc w:val="left"/>
              <w:rPr>
                <w:rFonts w:ascii="宋体" w:hAnsi="宋体"/>
                <w:color w:val="auto"/>
                <w:szCs w:val="21"/>
                <w:highlight w:val="none"/>
              </w:rPr>
            </w:pPr>
            <w:r>
              <w:rPr>
                <w:rFonts w:hint="eastAsia" w:ascii="宋体" w:hAnsi="宋体"/>
                <w:color w:val="auto"/>
                <w:szCs w:val="21"/>
                <w:highlight w:val="none"/>
              </w:rPr>
              <w:t>竞争性磋商有效期：自首次响应文件提交截止之日起120日。</w:t>
            </w:r>
          </w:p>
        </w:tc>
      </w:tr>
      <w:tr w14:paraId="62C1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4D077148">
            <w:pPr>
              <w:shd w:val="clear"/>
              <w:spacing w:line="360" w:lineRule="auto"/>
              <w:jc w:val="center"/>
              <w:rPr>
                <w:rFonts w:ascii="宋体" w:hAnsi="宋体"/>
                <w:color w:val="auto"/>
                <w:szCs w:val="21"/>
                <w:highlight w:val="none"/>
              </w:rPr>
            </w:pPr>
            <w:r>
              <w:rPr>
                <w:rFonts w:ascii="宋体" w:hAnsi="宋体"/>
                <w:color w:val="auto"/>
                <w:szCs w:val="21"/>
                <w:highlight w:val="none"/>
              </w:rPr>
              <w:t>17.1</w:t>
            </w:r>
          </w:p>
        </w:tc>
        <w:tc>
          <w:tcPr>
            <w:tcW w:w="8356" w:type="dxa"/>
            <w:vAlign w:val="center"/>
          </w:tcPr>
          <w:p w14:paraId="3191C17B">
            <w:pPr>
              <w:shd w:val="clear"/>
              <w:spacing w:line="360" w:lineRule="auto"/>
              <w:jc w:val="left"/>
              <w:rPr>
                <w:rFonts w:ascii="宋体" w:hAnsi="宋体"/>
                <w:color w:val="auto"/>
                <w:szCs w:val="21"/>
                <w:highlight w:val="none"/>
              </w:rPr>
            </w:pPr>
            <w:r>
              <w:rPr>
                <w:rFonts w:hint="eastAsia" w:ascii="宋体" w:hAnsi="宋体"/>
                <w:color w:val="auto"/>
                <w:szCs w:val="21"/>
                <w:highlight w:val="none"/>
              </w:rPr>
              <w:t>□本项目不收取磋商保证金。</w:t>
            </w:r>
          </w:p>
          <w:p w14:paraId="3FB85BDB">
            <w:pPr>
              <w:shd w:val="clear"/>
              <w:spacing w:line="360" w:lineRule="auto"/>
              <w:jc w:val="left"/>
              <w:rPr>
                <w:rFonts w:ascii="宋体" w:hAnsi="宋体"/>
                <w:color w:val="auto"/>
                <w:szCs w:val="21"/>
                <w:highlight w:val="none"/>
              </w:rPr>
            </w:pPr>
            <w:r>
              <w:rPr>
                <w:rFonts w:ascii="宋体" w:hAnsi="宋体"/>
                <w:color w:val="auto"/>
                <w:szCs w:val="21"/>
                <w:highlight w:val="none"/>
              </w:rPr>
              <w:sym w:font="Wingdings 2" w:char="F052"/>
            </w:r>
            <w:r>
              <w:rPr>
                <w:rFonts w:hint="eastAsia" w:ascii="宋体" w:hAnsi="宋体"/>
                <w:color w:val="auto"/>
                <w:szCs w:val="21"/>
                <w:highlight w:val="none"/>
              </w:rPr>
              <w:t>本项目收取磋商保证金，具体规定如下：</w:t>
            </w:r>
          </w:p>
          <w:p w14:paraId="1EA8C809">
            <w:pPr>
              <w:shd w:val="clear"/>
              <w:spacing w:line="360" w:lineRule="auto"/>
              <w:jc w:val="left"/>
              <w:rPr>
                <w:rFonts w:ascii="宋体" w:hAnsi="宋体"/>
                <w:color w:val="auto"/>
                <w:szCs w:val="21"/>
                <w:highlight w:val="none"/>
              </w:rPr>
            </w:pPr>
            <w:r>
              <w:rPr>
                <w:rFonts w:hint="eastAsia" w:ascii="宋体" w:hAnsi="宋体"/>
                <w:color w:val="auto"/>
                <w:szCs w:val="21"/>
                <w:highlight w:val="none"/>
              </w:rPr>
              <w:t>磋商保证金（人民币）：</w:t>
            </w:r>
            <w:r>
              <w:rPr>
                <w:rFonts w:hint="eastAsia" w:ascii="宋体" w:hAnsi="宋体"/>
                <w:color w:val="auto"/>
                <w:szCs w:val="21"/>
                <w:highlight w:val="none"/>
                <w:lang w:val="en-US" w:eastAsia="zh-CN"/>
              </w:rPr>
              <w:t>壹万玖仟元整</w:t>
            </w:r>
            <w:r>
              <w:rPr>
                <w:rFonts w:hint="eastAsia" w:ascii="宋体" w:hAnsi="宋体"/>
                <w:color w:val="auto"/>
                <w:szCs w:val="21"/>
                <w:highlight w:val="none"/>
              </w:rPr>
              <w:t>（¥</w:t>
            </w:r>
            <w:r>
              <w:rPr>
                <w:rFonts w:hint="eastAsia" w:ascii="宋体" w:hAnsi="宋体"/>
                <w:color w:val="auto"/>
                <w:szCs w:val="21"/>
                <w:highlight w:val="none"/>
                <w:lang w:val="en-US" w:eastAsia="zh-CN"/>
              </w:rPr>
              <w:t>19</w:t>
            </w:r>
            <w:r>
              <w:rPr>
                <w:rFonts w:hint="eastAsia" w:ascii="宋体" w:hAnsi="宋体"/>
                <w:color w:val="auto"/>
                <w:szCs w:val="21"/>
                <w:highlight w:val="none"/>
              </w:rPr>
              <w:t>000.00）。</w:t>
            </w:r>
          </w:p>
          <w:p w14:paraId="4C0ED530">
            <w:pPr>
              <w:shd w:val="clear"/>
              <w:spacing w:line="360" w:lineRule="auto"/>
              <w:jc w:val="left"/>
              <w:rPr>
                <w:rFonts w:ascii="宋体" w:hAnsi="宋体"/>
                <w:color w:val="auto"/>
                <w:szCs w:val="21"/>
                <w:highlight w:val="none"/>
              </w:rPr>
            </w:pPr>
            <w:r>
              <w:rPr>
                <w:rFonts w:hint="eastAsia" w:ascii="宋体" w:hAnsi="宋体"/>
                <w:color w:val="auto"/>
                <w:szCs w:val="21"/>
                <w:highlight w:val="none"/>
              </w:rPr>
              <w:t>磋商保证金的缴纳账号信息：</w:t>
            </w:r>
          </w:p>
          <w:p w14:paraId="70157D0F">
            <w:pPr>
              <w:shd w:val="clear"/>
              <w:spacing w:line="360" w:lineRule="auto"/>
              <w:jc w:val="left"/>
              <w:rPr>
                <w:rFonts w:ascii="宋体" w:hAnsi="宋体"/>
                <w:color w:val="auto"/>
                <w:szCs w:val="21"/>
                <w:highlight w:val="none"/>
              </w:rPr>
            </w:pPr>
            <w:r>
              <w:rPr>
                <w:rFonts w:hint="eastAsia" w:ascii="宋体" w:hAnsi="宋体"/>
                <w:color w:val="auto"/>
                <w:szCs w:val="21"/>
                <w:highlight w:val="none"/>
              </w:rPr>
              <w:t>开户名称：</w:t>
            </w:r>
            <w:r>
              <w:rPr>
                <w:rFonts w:hint="eastAsia" w:ascii="宋体" w:hAnsi="宋体"/>
                <w:color w:val="auto"/>
                <w:szCs w:val="21"/>
                <w:highlight w:val="none"/>
                <w:lang w:eastAsia="zh-CN"/>
              </w:rPr>
              <w:t>广西国力招标有限公司</w:t>
            </w:r>
            <w:r>
              <w:rPr>
                <w:rFonts w:hint="eastAsia" w:ascii="宋体" w:hAnsi="宋体"/>
                <w:color w:val="auto"/>
                <w:szCs w:val="21"/>
                <w:highlight w:val="none"/>
              </w:rPr>
              <w:t>；</w:t>
            </w:r>
          </w:p>
          <w:p w14:paraId="036B9480">
            <w:pPr>
              <w:shd w:val="clear"/>
              <w:spacing w:line="360" w:lineRule="auto"/>
              <w:jc w:val="left"/>
              <w:rPr>
                <w:rFonts w:ascii="宋体" w:hAnsi="宋体"/>
                <w:color w:val="auto"/>
                <w:szCs w:val="21"/>
                <w:highlight w:val="none"/>
              </w:rPr>
            </w:pPr>
            <w:r>
              <w:rPr>
                <w:rFonts w:hint="eastAsia" w:ascii="宋体" w:hAnsi="宋体"/>
                <w:color w:val="auto"/>
                <w:szCs w:val="21"/>
                <w:highlight w:val="none"/>
              </w:rPr>
              <w:t>账号：</w:t>
            </w:r>
            <w:r>
              <w:rPr>
                <w:rFonts w:hint="eastAsia" w:ascii="宋体" w:hAnsi="宋体" w:cs="宋体"/>
                <w:bCs/>
                <w:color w:val="auto"/>
                <w:szCs w:val="21"/>
                <w:highlight w:val="none"/>
              </w:rPr>
              <w:t>800109057455558</w:t>
            </w:r>
            <w:r>
              <w:rPr>
                <w:rFonts w:hint="eastAsia" w:ascii="宋体" w:hAnsi="宋体"/>
                <w:color w:val="auto"/>
                <w:szCs w:val="21"/>
                <w:highlight w:val="none"/>
              </w:rPr>
              <w:t>；</w:t>
            </w:r>
          </w:p>
          <w:p w14:paraId="512CA347">
            <w:pPr>
              <w:shd w:val="clear"/>
              <w:spacing w:line="360" w:lineRule="auto"/>
              <w:jc w:val="left"/>
              <w:rPr>
                <w:rFonts w:ascii="宋体" w:hAnsi="宋体"/>
                <w:color w:val="auto"/>
                <w:szCs w:val="21"/>
                <w:highlight w:val="none"/>
              </w:rPr>
            </w:pPr>
            <w:r>
              <w:rPr>
                <w:rFonts w:hint="eastAsia" w:ascii="宋体" w:hAnsi="宋体"/>
                <w:color w:val="auto"/>
                <w:szCs w:val="21"/>
                <w:highlight w:val="none"/>
              </w:rPr>
              <w:t>开户行：</w:t>
            </w:r>
            <w:r>
              <w:rPr>
                <w:rFonts w:hint="eastAsia" w:ascii="宋体" w:hAnsi="宋体"/>
                <w:color w:val="auto"/>
                <w:szCs w:val="21"/>
                <w:highlight w:val="none"/>
                <w:lang w:eastAsia="zh-CN"/>
              </w:rPr>
              <w:t>广西北部湾银行金凯支行（网银支付可选广西北部湾银行江南支行）</w:t>
            </w:r>
            <w:r>
              <w:rPr>
                <w:rFonts w:hint="eastAsia" w:ascii="宋体" w:hAnsi="宋体"/>
                <w:color w:val="auto"/>
                <w:szCs w:val="21"/>
                <w:highlight w:val="none"/>
              </w:rPr>
              <w:t>。</w:t>
            </w:r>
          </w:p>
          <w:p w14:paraId="3880BE26">
            <w:pPr>
              <w:shd w:val="clear"/>
              <w:spacing w:line="360" w:lineRule="auto"/>
              <w:jc w:val="left"/>
              <w:rPr>
                <w:rFonts w:ascii="宋体" w:hAnsi="宋体"/>
                <w:color w:val="auto"/>
                <w:szCs w:val="21"/>
                <w:highlight w:val="none"/>
              </w:rPr>
            </w:pPr>
            <w:r>
              <w:rPr>
                <w:rFonts w:hint="eastAsia" w:ascii="宋体" w:hAnsi="宋体"/>
                <w:color w:val="auto"/>
                <w:szCs w:val="21"/>
                <w:highlight w:val="none"/>
              </w:rPr>
              <w:t>相关要求：</w:t>
            </w:r>
          </w:p>
          <w:p w14:paraId="3E0B8C19">
            <w:pPr>
              <w:shd w:val="clear"/>
              <w:spacing w:line="360" w:lineRule="auto"/>
              <w:jc w:val="left"/>
              <w:rPr>
                <w:rFonts w:ascii="宋体" w:hAnsi="宋体"/>
                <w:color w:val="auto"/>
                <w:szCs w:val="21"/>
                <w:highlight w:val="none"/>
              </w:rPr>
            </w:pPr>
            <w:r>
              <w:rPr>
                <w:rFonts w:hint="eastAsia" w:ascii="宋体" w:hAnsi="宋体"/>
                <w:color w:val="auto"/>
                <w:szCs w:val="21"/>
                <w:highlight w:val="none"/>
              </w:rPr>
              <w:t>1.磋商保证金的缴纳方式：银行转账、支票、汇票、本票或者金融、担保金融、担保机构出具的保函，禁止采用现钞方式。采用银行转账方式的，在响应文件提交截止时间前交至指定账户并且到账；采用支票、汇票、本票或者保函等方式的，在响应文件提交截止时间前，供应商必须提交支票、汇票、本票或者保函原件。否则视为无效磋商保证金。</w:t>
            </w:r>
          </w:p>
          <w:p w14:paraId="5C0A822F">
            <w:pPr>
              <w:shd w:val="clear"/>
              <w:spacing w:line="360" w:lineRule="auto"/>
              <w:jc w:val="left"/>
              <w:rPr>
                <w:rFonts w:ascii="宋体" w:hAnsi="宋体"/>
                <w:color w:val="auto"/>
                <w:szCs w:val="21"/>
                <w:highlight w:val="none"/>
              </w:rPr>
            </w:pPr>
            <w:r>
              <w:rPr>
                <w:rFonts w:hint="eastAsia" w:ascii="宋体" w:hAnsi="宋体"/>
                <w:color w:val="auto"/>
                <w:szCs w:val="21"/>
                <w:highlight w:val="none"/>
              </w:rPr>
              <w:t>（1）磋商保证金采用银行转账缴纳方式的，在响应文件提交截止时间前交至指定账户并且到账，供应商应将银行转账底单的复印件作为磋商保证金缴纳凭证，放置于商务技术文件中，否则响应文件按无效响应处理。</w:t>
            </w:r>
          </w:p>
          <w:p w14:paraId="1A311C85">
            <w:pPr>
              <w:shd w:val="clear"/>
              <w:spacing w:line="360" w:lineRule="auto"/>
              <w:jc w:val="left"/>
              <w:rPr>
                <w:rFonts w:hint="default" w:ascii="宋体" w:hAnsi="宋体" w:eastAsiaTheme="minorEastAsia"/>
                <w:color w:val="auto"/>
                <w:szCs w:val="21"/>
                <w:highlight w:val="none"/>
                <w:lang w:val="en-US" w:eastAsia="zh-CN"/>
              </w:rPr>
            </w:pPr>
            <w:r>
              <w:rPr>
                <w:rFonts w:hint="eastAsia" w:ascii="宋体" w:hAnsi="宋体"/>
                <w:color w:val="auto"/>
                <w:szCs w:val="21"/>
                <w:highlight w:val="none"/>
              </w:rPr>
              <w:t>（2）磋商保证金采用支票、汇票、本票或者金融、担保机构出具的保函缴纳方式的，供应商应将支票、汇票、本票或者金融、担保机构出具的保函的复印件作为磋商保证金缴纳凭证，放置于商务技术文件中，否则响应文件按无效响应处理。供应商必须在首次响应文件提交截止时间前将支票、汇票、本票或者金融、担保机构出具的保函原件提交给采购代理机构，由采购代理机构向供应商出具回执，并妥善保管。</w:t>
            </w:r>
            <w:r>
              <w:rPr>
                <w:rFonts w:hint="eastAsia" w:ascii="宋体" w:hAnsi="宋体"/>
                <w:color w:val="auto"/>
                <w:szCs w:val="21"/>
                <w:highlight w:val="none"/>
                <w:lang w:val="en-US" w:eastAsia="zh-CN"/>
              </w:rPr>
              <w:t>纸质材料现场提交或邮寄地址:南宁市白沙大道53号松宇时代13楼，联系人:陈惠、谭雯、郑欢，0771-4915100。电子材料电子邮箱接收地址：2771551817@qq.com。</w:t>
            </w:r>
          </w:p>
          <w:p w14:paraId="691FCCD1">
            <w:pPr>
              <w:shd w:val="clear"/>
              <w:spacing w:line="360" w:lineRule="auto"/>
              <w:jc w:val="left"/>
              <w:rPr>
                <w:rFonts w:ascii="宋体" w:hAnsi="宋体"/>
                <w:color w:val="auto"/>
                <w:szCs w:val="21"/>
                <w:highlight w:val="none"/>
              </w:rPr>
            </w:pPr>
            <w:r>
              <w:rPr>
                <w:rFonts w:hint="eastAsia" w:ascii="宋体" w:hAnsi="宋体"/>
                <w:color w:val="auto"/>
                <w:szCs w:val="21"/>
                <w:highlight w:val="none"/>
              </w:rPr>
              <w:t>2.供应商为联合体的，可以由联合体中的一方或者多方共同缴纳磋商保证金，其缴纳的保证金对联合体各方均具有约束力。</w:t>
            </w:r>
          </w:p>
          <w:p w14:paraId="0401581A">
            <w:pPr>
              <w:shd w:val="clear"/>
              <w:spacing w:line="360" w:lineRule="auto"/>
              <w:jc w:val="left"/>
              <w:rPr>
                <w:rFonts w:ascii="宋体" w:hAnsi="宋体"/>
                <w:color w:val="auto"/>
                <w:szCs w:val="21"/>
                <w:highlight w:val="none"/>
              </w:rPr>
            </w:pPr>
            <w:r>
              <w:rPr>
                <w:rFonts w:hint="eastAsia" w:ascii="宋体" w:hAnsi="宋体"/>
                <w:color w:val="auto"/>
                <w:szCs w:val="21"/>
                <w:highlight w:val="none"/>
              </w:rPr>
              <w:t>备注：</w:t>
            </w:r>
          </w:p>
          <w:p w14:paraId="429D9FAF">
            <w:pPr>
              <w:shd w:val="clear"/>
              <w:spacing w:line="360" w:lineRule="auto"/>
              <w:jc w:val="left"/>
              <w:rPr>
                <w:rFonts w:ascii="宋体" w:hAnsi="宋体"/>
                <w:color w:val="auto"/>
                <w:szCs w:val="21"/>
                <w:highlight w:val="none"/>
              </w:rPr>
            </w:pPr>
            <w:r>
              <w:rPr>
                <w:rFonts w:hint="eastAsia" w:ascii="宋体" w:hAnsi="宋体"/>
                <w:color w:val="auto"/>
                <w:szCs w:val="21"/>
                <w:highlight w:val="none"/>
              </w:rPr>
              <w:t>（1）磋商保证金在响应文件提交截止时间后缴纳的，或者不按规定缴纳方式缴纳的，或者未足额缴纳的（包含保函额度不足的），视为无效磋商保证金。</w:t>
            </w:r>
          </w:p>
          <w:p w14:paraId="3403C5EE">
            <w:pPr>
              <w:shd w:val="clear"/>
              <w:spacing w:line="360" w:lineRule="auto"/>
              <w:jc w:val="left"/>
              <w:rPr>
                <w:rFonts w:ascii="宋体" w:hAnsi="宋体"/>
                <w:color w:val="auto"/>
                <w:szCs w:val="21"/>
                <w:highlight w:val="none"/>
              </w:rPr>
            </w:pPr>
            <w:r>
              <w:rPr>
                <w:rFonts w:hint="eastAsia" w:ascii="宋体" w:hAnsi="宋体"/>
                <w:color w:val="auto"/>
                <w:szCs w:val="21"/>
                <w:highlight w:val="none"/>
              </w:rPr>
              <w:t>（2）供应商采用现钞方式或者从个人账户（自然人参加竞争性磋商除外）转出的磋商保证金，视为无效磋商保证金。</w:t>
            </w:r>
          </w:p>
          <w:p w14:paraId="0FCD0EA2">
            <w:pPr>
              <w:shd w:val="clear"/>
              <w:spacing w:line="360" w:lineRule="auto"/>
              <w:jc w:val="left"/>
              <w:rPr>
                <w:rFonts w:ascii="宋体" w:hAnsi="宋体"/>
                <w:color w:val="auto"/>
                <w:szCs w:val="21"/>
                <w:highlight w:val="none"/>
              </w:rPr>
            </w:pPr>
            <w:r>
              <w:rPr>
                <w:rFonts w:hint="eastAsia" w:ascii="宋体" w:hAnsi="宋体"/>
                <w:color w:val="auto"/>
                <w:szCs w:val="21"/>
                <w:highlight w:val="none"/>
              </w:rPr>
              <w:t>（3）支票、汇票或者本票出现无效或者背书情形的，视为无效磋商保证金。</w:t>
            </w:r>
          </w:p>
          <w:p w14:paraId="48B72827">
            <w:pPr>
              <w:shd w:val="clear"/>
              <w:spacing w:line="360" w:lineRule="auto"/>
              <w:jc w:val="left"/>
              <w:rPr>
                <w:rFonts w:ascii="宋体" w:hAnsi="宋体"/>
                <w:color w:val="auto"/>
                <w:szCs w:val="21"/>
                <w:highlight w:val="none"/>
              </w:rPr>
            </w:pPr>
            <w:r>
              <w:rPr>
                <w:rFonts w:hint="eastAsia" w:ascii="宋体" w:hAnsi="宋体"/>
                <w:color w:val="auto"/>
                <w:szCs w:val="21"/>
                <w:highlight w:val="none"/>
              </w:rPr>
              <w:t>（4）保函有效期短于竞争性磋商有效期的，视为无效磋商保证金。</w:t>
            </w:r>
          </w:p>
          <w:p w14:paraId="358C4F10">
            <w:pPr>
              <w:shd w:val="clear"/>
              <w:spacing w:line="360" w:lineRule="auto"/>
              <w:jc w:val="left"/>
              <w:rPr>
                <w:rFonts w:ascii="宋体" w:hAnsi="宋体"/>
                <w:color w:val="auto"/>
                <w:szCs w:val="21"/>
                <w:highlight w:val="none"/>
              </w:rPr>
            </w:pPr>
            <w:r>
              <w:rPr>
                <w:rFonts w:hint="eastAsia" w:ascii="宋体" w:hAnsi="宋体"/>
                <w:color w:val="auto"/>
                <w:szCs w:val="21"/>
                <w:highlight w:val="none"/>
              </w:rPr>
              <w:t>（5）采用银行、保险机构出具保函的，必须为无条件保函，否则视为无效磋商保证金。</w:t>
            </w:r>
          </w:p>
        </w:tc>
      </w:tr>
      <w:tr w14:paraId="7AF2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4489CDB8">
            <w:pPr>
              <w:shd w:val="clear"/>
              <w:spacing w:line="360" w:lineRule="auto"/>
              <w:jc w:val="center"/>
              <w:rPr>
                <w:rFonts w:ascii="宋体" w:hAnsi="宋体"/>
                <w:color w:val="auto"/>
                <w:szCs w:val="21"/>
                <w:highlight w:val="none"/>
              </w:rPr>
            </w:pPr>
            <w:r>
              <w:rPr>
                <w:rFonts w:hint="eastAsia" w:ascii="宋体" w:hAnsi="宋体"/>
                <w:color w:val="auto"/>
                <w:szCs w:val="21"/>
                <w:highlight w:val="none"/>
              </w:rPr>
              <w:t>19</w:t>
            </w:r>
          </w:p>
        </w:tc>
        <w:tc>
          <w:tcPr>
            <w:tcW w:w="8356" w:type="dxa"/>
            <w:vAlign w:val="center"/>
          </w:tcPr>
          <w:p w14:paraId="75A5F69D">
            <w:pPr>
              <w:shd w:val="clear"/>
              <w:spacing w:line="360" w:lineRule="auto"/>
              <w:jc w:val="left"/>
              <w:rPr>
                <w:rFonts w:ascii="宋体" w:hAnsi="宋体"/>
                <w:color w:val="auto"/>
                <w:szCs w:val="21"/>
                <w:highlight w:val="none"/>
              </w:rPr>
            </w:pPr>
            <w:r>
              <w:rPr>
                <w:rFonts w:hint="eastAsia" w:ascii="宋体" w:hAnsi="宋体"/>
                <w:color w:val="auto"/>
                <w:szCs w:val="21"/>
                <w:highlight w:val="none"/>
              </w:rPr>
              <w:t>本项目不接受电子备份响应文件。</w:t>
            </w:r>
          </w:p>
        </w:tc>
      </w:tr>
      <w:tr w14:paraId="011D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52629191">
            <w:pPr>
              <w:shd w:val="clear"/>
              <w:spacing w:line="360" w:lineRule="auto"/>
              <w:jc w:val="center"/>
              <w:rPr>
                <w:rFonts w:ascii="宋体" w:hAnsi="宋体"/>
                <w:color w:val="auto"/>
                <w:szCs w:val="21"/>
                <w:highlight w:val="none"/>
              </w:rPr>
            </w:pPr>
            <w:r>
              <w:rPr>
                <w:rFonts w:hint="eastAsia" w:ascii="宋体" w:hAnsi="宋体"/>
                <w:color w:val="auto"/>
                <w:szCs w:val="21"/>
                <w:highlight w:val="none"/>
              </w:rPr>
              <w:t>20.1</w:t>
            </w:r>
          </w:p>
        </w:tc>
        <w:tc>
          <w:tcPr>
            <w:tcW w:w="8356" w:type="dxa"/>
            <w:vAlign w:val="center"/>
          </w:tcPr>
          <w:p w14:paraId="2A773DEB">
            <w:pPr>
              <w:shd w:val="clear"/>
              <w:spacing w:line="360" w:lineRule="auto"/>
              <w:jc w:val="left"/>
              <w:rPr>
                <w:rFonts w:ascii="宋体" w:hAnsi="宋体"/>
                <w:color w:val="auto"/>
                <w:szCs w:val="21"/>
                <w:highlight w:val="none"/>
              </w:rPr>
            </w:pPr>
            <w:r>
              <w:rPr>
                <w:rFonts w:hint="eastAsia" w:ascii="宋体" w:hAnsi="宋体"/>
                <w:color w:val="auto"/>
                <w:szCs w:val="21"/>
                <w:highlight w:val="none"/>
              </w:rPr>
              <w:t>响应文件提交截止时间：详见竞争性磋商公告。</w:t>
            </w:r>
          </w:p>
          <w:p w14:paraId="3B8F3CD5">
            <w:pPr>
              <w:shd w:val="clear"/>
              <w:spacing w:line="360" w:lineRule="auto"/>
              <w:jc w:val="left"/>
              <w:rPr>
                <w:rFonts w:ascii="宋体" w:hAnsi="宋体"/>
                <w:color w:val="auto"/>
                <w:szCs w:val="21"/>
                <w:highlight w:val="none"/>
              </w:rPr>
            </w:pPr>
            <w:r>
              <w:rPr>
                <w:rFonts w:hint="eastAsia" w:ascii="宋体" w:hAnsi="宋体"/>
                <w:color w:val="auto"/>
                <w:szCs w:val="21"/>
                <w:highlight w:val="none"/>
              </w:rPr>
              <w:t>响应文件提交地点：详见竞争性磋商公告。</w:t>
            </w:r>
          </w:p>
        </w:tc>
      </w:tr>
      <w:tr w14:paraId="5E1B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672D9972">
            <w:pPr>
              <w:shd w:val="clear"/>
              <w:spacing w:line="360" w:lineRule="auto"/>
              <w:jc w:val="center"/>
              <w:rPr>
                <w:rFonts w:ascii="宋体" w:hAnsi="宋体"/>
                <w:color w:val="auto"/>
                <w:szCs w:val="21"/>
                <w:highlight w:val="none"/>
              </w:rPr>
            </w:pPr>
            <w:r>
              <w:rPr>
                <w:rFonts w:hint="eastAsia" w:ascii="宋体" w:hAnsi="宋体"/>
                <w:color w:val="auto"/>
                <w:szCs w:val="21"/>
                <w:highlight w:val="none"/>
              </w:rPr>
              <w:t>24.1</w:t>
            </w:r>
          </w:p>
        </w:tc>
        <w:tc>
          <w:tcPr>
            <w:tcW w:w="8356" w:type="dxa"/>
            <w:vAlign w:val="center"/>
          </w:tcPr>
          <w:p w14:paraId="3A6C0C2A">
            <w:pPr>
              <w:shd w:val="clear"/>
              <w:spacing w:line="360" w:lineRule="auto"/>
              <w:jc w:val="left"/>
              <w:rPr>
                <w:rFonts w:ascii="宋体" w:hAnsi="宋体"/>
                <w:color w:val="auto"/>
                <w:szCs w:val="21"/>
                <w:highlight w:val="none"/>
              </w:rPr>
            </w:pPr>
            <w:r>
              <w:rPr>
                <w:rFonts w:hint="eastAsia" w:ascii="宋体" w:hAnsi="宋体"/>
                <w:color w:val="auto"/>
                <w:szCs w:val="21"/>
                <w:highlight w:val="none"/>
              </w:rPr>
              <w:t>磋商小组的人数：</w:t>
            </w:r>
            <w:r>
              <w:rPr>
                <w:rFonts w:ascii="宋体" w:hAnsi="宋体"/>
                <w:color w:val="auto"/>
                <w:szCs w:val="21"/>
                <w:highlight w:val="none"/>
              </w:rPr>
              <w:t>3</w:t>
            </w:r>
            <w:r>
              <w:rPr>
                <w:rFonts w:hint="eastAsia" w:ascii="宋体" w:hAnsi="宋体"/>
                <w:color w:val="auto"/>
                <w:szCs w:val="21"/>
                <w:highlight w:val="none"/>
              </w:rPr>
              <w:t>人。</w:t>
            </w:r>
          </w:p>
        </w:tc>
      </w:tr>
      <w:tr w14:paraId="289A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5E152632">
            <w:pPr>
              <w:shd w:val="clear"/>
              <w:spacing w:line="360" w:lineRule="auto"/>
              <w:jc w:val="center"/>
              <w:rPr>
                <w:rFonts w:ascii="宋体" w:hAnsi="宋体"/>
                <w:color w:val="auto"/>
                <w:szCs w:val="21"/>
                <w:highlight w:val="none"/>
              </w:rPr>
            </w:pPr>
            <w:r>
              <w:rPr>
                <w:rFonts w:hint="eastAsia" w:ascii="宋体" w:hAnsi="宋体"/>
                <w:color w:val="auto"/>
                <w:szCs w:val="21"/>
                <w:highlight w:val="none"/>
              </w:rPr>
              <w:t>25</w:t>
            </w:r>
          </w:p>
        </w:tc>
        <w:tc>
          <w:tcPr>
            <w:tcW w:w="8356" w:type="dxa"/>
            <w:vAlign w:val="center"/>
          </w:tcPr>
          <w:p w14:paraId="6C67312A">
            <w:pPr>
              <w:shd w:val="clear"/>
              <w:spacing w:line="360" w:lineRule="auto"/>
              <w:jc w:val="left"/>
              <w:rPr>
                <w:rFonts w:ascii="宋体" w:hAnsi="宋体"/>
                <w:color w:val="auto"/>
                <w:szCs w:val="21"/>
                <w:highlight w:val="none"/>
              </w:rPr>
            </w:pPr>
            <w:r>
              <w:rPr>
                <w:rFonts w:hint="eastAsia" w:ascii="宋体" w:hAnsi="宋体"/>
                <w:color w:val="auto"/>
                <w:szCs w:val="21"/>
                <w:highlight w:val="none"/>
              </w:rPr>
              <w:t>首次响应文件开启时间详见“竞争性磋商公告”。</w:t>
            </w:r>
          </w:p>
          <w:p w14:paraId="4DD612C4">
            <w:pPr>
              <w:shd w:val="clear"/>
              <w:spacing w:line="360" w:lineRule="auto"/>
              <w:jc w:val="left"/>
              <w:rPr>
                <w:rFonts w:ascii="宋体" w:hAnsi="宋体"/>
                <w:color w:val="auto"/>
                <w:szCs w:val="21"/>
                <w:highlight w:val="none"/>
              </w:rPr>
            </w:pPr>
            <w:r>
              <w:rPr>
                <w:rFonts w:hint="eastAsia" w:ascii="宋体" w:hAnsi="宋体"/>
                <w:color w:val="auto"/>
                <w:szCs w:val="21"/>
                <w:highlight w:val="none"/>
              </w:rPr>
              <w:t>首次响应文件解密时间：30分钟。</w:t>
            </w:r>
          </w:p>
        </w:tc>
      </w:tr>
      <w:tr w14:paraId="4500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54224FB4">
            <w:pPr>
              <w:shd w:val="clear"/>
              <w:spacing w:line="360" w:lineRule="auto"/>
              <w:jc w:val="center"/>
              <w:rPr>
                <w:rFonts w:ascii="宋体" w:hAnsi="宋体"/>
                <w:color w:val="auto"/>
                <w:szCs w:val="21"/>
                <w:highlight w:val="none"/>
              </w:rPr>
            </w:pPr>
            <w:r>
              <w:rPr>
                <w:rFonts w:hint="eastAsia" w:ascii="宋体" w:hAnsi="宋体"/>
                <w:color w:val="auto"/>
                <w:szCs w:val="21"/>
                <w:highlight w:val="none"/>
              </w:rPr>
              <w:t>26.3</w:t>
            </w:r>
          </w:p>
        </w:tc>
        <w:tc>
          <w:tcPr>
            <w:tcW w:w="8356" w:type="dxa"/>
            <w:vAlign w:val="center"/>
          </w:tcPr>
          <w:p w14:paraId="43588063">
            <w:pPr>
              <w:shd w:val="clear"/>
              <w:spacing w:line="360" w:lineRule="auto"/>
              <w:jc w:val="left"/>
              <w:rPr>
                <w:rFonts w:ascii="宋体" w:hAnsi="宋体"/>
                <w:color w:val="auto"/>
                <w:szCs w:val="21"/>
                <w:highlight w:val="none"/>
              </w:rPr>
            </w:pPr>
            <w:r>
              <w:rPr>
                <w:rFonts w:hint="eastAsia" w:ascii="宋体" w:hAnsi="宋体"/>
                <w:color w:val="auto"/>
                <w:szCs w:val="21"/>
                <w:highlight w:val="none"/>
              </w:rPr>
              <w:t>商务要求评审中允许负偏离的条款数为0项。</w:t>
            </w:r>
          </w:p>
          <w:p w14:paraId="35422132">
            <w:pPr>
              <w:shd w:val="clear"/>
              <w:spacing w:line="360" w:lineRule="auto"/>
              <w:jc w:val="left"/>
              <w:rPr>
                <w:rFonts w:ascii="宋体" w:hAnsi="宋体"/>
                <w:color w:val="auto"/>
                <w:szCs w:val="21"/>
                <w:highlight w:val="none"/>
              </w:rPr>
            </w:pPr>
            <w:r>
              <w:rPr>
                <w:rFonts w:hint="eastAsia" w:ascii="宋体" w:hAnsi="宋体"/>
                <w:color w:val="auto"/>
                <w:szCs w:val="21"/>
                <w:highlight w:val="none"/>
              </w:rPr>
              <w:t>技术要求评审中允许负偏离的条款数为0项。</w:t>
            </w:r>
          </w:p>
        </w:tc>
      </w:tr>
      <w:tr w14:paraId="6CDC8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352682F0">
            <w:pPr>
              <w:shd w:val="clear"/>
              <w:spacing w:line="360" w:lineRule="auto"/>
              <w:jc w:val="center"/>
              <w:rPr>
                <w:rFonts w:ascii="宋体" w:hAnsi="宋体"/>
                <w:color w:val="auto"/>
                <w:szCs w:val="21"/>
                <w:highlight w:val="none"/>
              </w:rPr>
            </w:pPr>
            <w:r>
              <w:rPr>
                <w:rFonts w:ascii="宋体" w:hAnsi="宋体"/>
                <w:color w:val="auto"/>
                <w:szCs w:val="21"/>
                <w:highlight w:val="none"/>
              </w:rPr>
              <w:t>28.1</w:t>
            </w:r>
          </w:p>
        </w:tc>
        <w:tc>
          <w:tcPr>
            <w:tcW w:w="8356" w:type="dxa"/>
            <w:vAlign w:val="center"/>
          </w:tcPr>
          <w:p w14:paraId="217A0316">
            <w:pPr>
              <w:shd w:val="clear"/>
              <w:spacing w:line="360" w:lineRule="auto"/>
              <w:jc w:val="left"/>
              <w:rPr>
                <w:rFonts w:ascii="宋体" w:hAnsi="宋体"/>
                <w:color w:val="auto"/>
                <w:szCs w:val="21"/>
                <w:highlight w:val="none"/>
              </w:rPr>
            </w:pPr>
            <w:r>
              <w:rPr>
                <w:rFonts w:hint="eastAsia" w:ascii="宋体" w:hAnsi="宋体"/>
                <w:color w:val="auto"/>
                <w:szCs w:val="21"/>
                <w:highlight w:val="none"/>
              </w:rPr>
              <w:t>□本项目不收取履约保证金。</w:t>
            </w:r>
          </w:p>
          <w:p w14:paraId="60D52AEC">
            <w:pPr>
              <w:shd w:val="clear"/>
              <w:spacing w:line="360" w:lineRule="auto"/>
              <w:jc w:val="left"/>
              <w:rPr>
                <w:rFonts w:ascii="宋体" w:hAnsi="宋体"/>
                <w:color w:val="auto"/>
                <w:szCs w:val="21"/>
                <w:highlight w:val="none"/>
              </w:rPr>
            </w:pPr>
            <w:r>
              <w:rPr>
                <w:rFonts w:ascii="宋体" w:hAnsi="宋体"/>
                <w:color w:val="auto"/>
                <w:szCs w:val="21"/>
                <w:highlight w:val="none"/>
              </w:rPr>
              <w:sym w:font="Wingdings 2" w:char="F052"/>
            </w:r>
            <w:r>
              <w:rPr>
                <w:rFonts w:hint="eastAsia" w:ascii="宋体" w:hAnsi="宋体"/>
                <w:color w:val="auto"/>
                <w:szCs w:val="21"/>
                <w:highlight w:val="none"/>
              </w:rPr>
              <w:t>本项目收取履约保证金，具体详见第三章采购需求。</w:t>
            </w:r>
          </w:p>
        </w:tc>
      </w:tr>
      <w:tr w14:paraId="56F5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6358B53E">
            <w:pPr>
              <w:shd w:val="clear"/>
              <w:spacing w:line="360" w:lineRule="auto"/>
              <w:jc w:val="center"/>
              <w:rPr>
                <w:rFonts w:ascii="宋体" w:hAnsi="宋体"/>
                <w:color w:val="auto"/>
                <w:szCs w:val="21"/>
                <w:highlight w:val="none"/>
              </w:rPr>
            </w:pPr>
            <w:r>
              <w:rPr>
                <w:rFonts w:hint="eastAsia" w:ascii="宋体" w:hAnsi="宋体"/>
                <w:color w:val="auto"/>
                <w:szCs w:val="21"/>
                <w:highlight w:val="none"/>
              </w:rPr>
              <w:t>29.1</w:t>
            </w:r>
          </w:p>
        </w:tc>
        <w:tc>
          <w:tcPr>
            <w:tcW w:w="8356" w:type="dxa"/>
            <w:vAlign w:val="center"/>
          </w:tcPr>
          <w:p w14:paraId="5D2DF373">
            <w:pPr>
              <w:shd w:val="clear"/>
              <w:spacing w:line="360" w:lineRule="auto"/>
              <w:jc w:val="left"/>
              <w:rPr>
                <w:rFonts w:ascii="宋体" w:hAnsi="宋体"/>
                <w:color w:val="auto"/>
                <w:szCs w:val="21"/>
                <w:highlight w:val="none"/>
              </w:rPr>
            </w:pPr>
            <w:r>
              <w:rPr>
                <w:rFonts w:hint="eastAsia" w:ascii="宋体" w:hAnsi="宋体"/>
                <w:color w:val="auto"/>
                <w:szCs w:val="21"/>
                <w:highlight w:val="none"/>
              </w:rPr>
              <w:t>签订合同携带的证明材料：</w:t>
            </w:r>
          </w:p>
          <w:p w14:paraId="46E15A25">
            <w:pPr>
              <w:shd w:val="clear"/>
              <w:spacing w:line="360" w:lineRule="auto"/>
              <w:jc w:val="left"/>
              <w:rPr>
                <w:rFonts w:ascii="宋体" w:hAnsi="宋体"/>
                <w:color w:val="auto"/>
                <w:szCs w:val="21"/>
                <w:highlight w:val="none"/>
              </w:rPr>
            </w:pPr>
            <w:r>
              <w:rPr>
                <w:rFonts w:hint="eastAsia" w:ascii="宋体" w:hAnsi="宋体"/>
                <w:color w:val="auto"/>
                <w:szCs w:val="21"/>
                <w:highlight w:val="none"/>
              </w:rPr>
              <w:t>1.委托代理人负责签订合同的，须携带授权委托书及委托代理人身份证原件等其他资格证件。</w:t>
            </w:r>
          </w:p>
          <w:p w14:paraId="4E4C0F56">
            <w:pPr>
              <w:shd w:val="clear"/>
              <w:spacing w:line="360" w:lineRule="auto"/>
              <w:jc w:val="left"/>
              <w:rPr>
                <w:rFonts w:ascii="宋体" w:hAnsi="宋体"/>
                <w:color w:val="auto"/>
                <w:szCs w:val="21"/>
                <w:highlight w:val="none"/>
              </w:rPr>
            </w:pPr>
            <w:r>
              <w:rPr>
                <w:rFonts w:hint="eastAsia" w:ascii="宋体" w:hAnsi="宋体"/>
                <w:color w:val="auto"/>
                <w:szCs w:val="21"/>
                <w:highlight w:val="none"/>
              </w:rPr>
              <w:t>2.法定代表人负责签订合同的，须携带法定代表人身份证明原件及身份证原件等其他证明材料。</w:t>
            </w:r>
          </w:p>
        </w:tc>
      </w:tr>
      <w:tr w14:paraId="578BF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1A5323FF">
            <w:pPr>
              <w:shd w:val="clear"/>
              <w:spacing w:line="360" w:lineRule="auto"/>
              <w:jc w:val="center"/>
              <w:rPr>
                <w:rFonts w:ascii="宋体" w:hAnsi="宋体"/>
                <w:color w:val="auto"/>
                <w:szCs w:val="21"/>
                <w:highlight w:val="none"/>
              </w:rPr>
            </w:pPr>
            <w:r>
              <w:rPr>
                <w:rFonts w:hint="eastAsia" w:ascii="宋体" w:hAnsi="宋体"/>
                <w:color w:val="auto"/>
                <w:szCs w:val="21"/>
                <w:highlight w:val="none"/>
              </w:rPr>
              <w:t>31.2</w:t>
            </w:r>
          </w:p>
        </w:tc>
        <w:tc>
          <w:tcPr>
            <w:tcW w:w="8356" w:type="dxa"/>
            <w:vAlign w:val="center"/>
          </w:tcPr>
          <w:p w14:paraId="0298BA84">
            <w:pPr>
              <w:shd w:val="clear"/>
              <w:spacing w:line="360" w:lineRule="auto"/>
              <w:jc w:val="left"/>
              <w:rPr>
                <w:rFonts w:ascii="宋体" w:hAnsi="宋体"/>
                <w:color w:val="auto"/>
                <w:szCs w:val="21"/>
                <w:highlight w:val="none"/>
              </w:rPr>
            </w:pPr>
            <w:r>
              <w:rPr>
                <w:rFonts w:hint="eastAsia" w:ascii="宋体" w:hAnsi="宋体"/>
                <w:color w:val="auto"/>
                <w:szCs w:val="21"/>
                <w:highlight w:val="none"/>
              </w:rPr>
              <w:t>接收质疑函方式：书面形式。</w:t>
            </w:r>
          </w:p>
          <w:p w14:paraId="38381B5E">
            <w:pPr>
              <w:shd w:val="clear"/>
              <w:spacing w:line="360" w:lineRule="auto"/>
              <w:jc w:val="left"/>
              <w:rPr>
                <w:rFonts w:ascii="宋体" w:hAnsi="宋体"/>
                <w:color w:val="auto"/>
                <w:szCs w:val="21"/>
                <w:highlight w:val="none"/>
              </w:rPr>
            </w:pPr>
            <w:r>
              <w:rPr>
                <w:rFonts w:hint="eastAsia" w:ascii="宋体" w:hAnsi="宋体"/>
                <w:color w:val="auto"/>
                <w:szCs w:val="21"/>
                <w:highlight w:val="none"/>
              </w:rPr>
              <w:t>质疑联系部门及联系方式：</w:t>
            </w:r>
            <w:r>
              <w:rPr>
                <w:rFonts w:hint="eastAsia" w:ascii="宋体" w:hAnsi="宋体"/>
                <w:color w:val="auto"/>
                <w:szCs w:val="21"/>
                <w:highlight w:val="none"/>
                <w:lang w:eastAsia="zh-CN"/>
              </w:rPr>
              <w:t>广西国力招标有限公司</w:t>
            </w:r>
            <w:r>
              <w:rPr>
                <w:rFonts w:hint="eastAsia" w:ascii="宋体" w:hAnsi="宋体"/>
                <w:color w:val="auto"/>
                <w:szCs w:val="21"/>
                <w:highlight w:val="none"/>
              </w:rPr>
              <w:t>。</w:t>
            </w:r>
          </w:p>
          <w:p w14:paraId="5B7EAE94">
            <w:pPr>
              <w:shd w:val="clear"/>
              <w:spacing w:line="360" w:lineRule="auto"/>
              <w:jc w:val="left"/>
              <w:rPr>
                <w:rFonts w:ascii="宋体" w:hAnsi="宋体"/>
                <w:color w:val="auto"/>
                <w:szCs w:val="21"/>
                <w:highlight w:val="none"/>
              </w:rPr>
            </w:pPr>
            <w:r>
              <w:rPr>
                <w:rFonts w:hint="eastAsia" w:ascii="宋体" w:hAnsi="宋体"/>
                <w:color w:val="auto"/>
                <w:szCs w:val="21"/>
                <w:highlight w:val="none"/>
              </w:rPr>
              <w:t>联系电话：0771-</w:t>
            </w:r>
            <w:r>
              <w:rPr>
                <w:rFonts w:hint="eastAsia" w:ascii="宋体" w:hAnsi="宋体"/>
                <w:color w:val="auto"/>
                <w:szCs w:val="21"/>
                <w:highlight w:val="none"/>
                <w:lang w:val="en-US" w:eastAsia="zh-CN"/>
              </w:rPr>
              <w:t>4915558</w:t>
            </w:r>
            <w:r>
              <w:rPr>
                <w:rFonts w:hint="eastAsia" w:ascii="宋体" w:hAnsi="宋体"/>
                <w:color w:val="auto"/>
                <w:szCs w:val="21"/>
                <w:highlight w:val="none"/>
              </w:rPr>
              <w:t>。</w:t>
            </w:r>
          </w:p>
          <w:p w14:paraId="25FC54E9">
            <w:pPr>
              <w:shd w:val="clear"/>
              <w:spacing w:line="360" w:lineRule="auto"/>
              <w:jc w:val="left"/>
              <w:rPr>
                <w:rFonts w:ascii="宋体" w:hAnsi="宋体"/>
                <w:color w:val="auto"/>
                <w:szCs w:val="21"/>
                <w:highlight w:val="none"/>
              </w:rPr>
            </w:pPr>
            <w:r>
              <w:rPr>
                <w:rFonts w:hint="eastAsia" w:ascii="宋体" w:hAnsi="宋体"/>
                <w:color w:val="auto"/>
                <w:szCs w:val="21"/>
                <w:highlight w:val="none"/>
              </w:rPr>
              <w:t>通讯地址：广西壮族自治区</w:t>
            </w:r>
            <w:r>
              <w:rPr>
                <w:rFonts w:hint="eastAsia" w:ascii="宋体" w:hAnsi="宋体"/>
                <w:color w:val="auto"/>
                <w:szCs w:val="21"/>
                <w:highlight w:val="none"/>
                <w:lang w:eastAsia="zh-CN"/>
              </w:rPr>
              <w:t>南宁市白沙大道53号松宇时代13楼</w:t>
            </w:r>
            <w:r>
              <w:rPr>
                <w:rFonts w:hint="eastAsia" w:ascii="宋体" w:hAnsi="宋体"/>
                <w:color w:val="auto"/>
                <w:szCs w:val="21"/>
                <w:highlight w:val="none"/>
              </w:rPr>
              <w:t>。</w:t>
            </w:r>
          </w:p>
          <w:p w14:paraId="5C522CC2">
            <w:pPr>
              <w:shd w:val="clear"/>
              <w:spacing w:line="360" w:lineRule="auto"/>
              <w:jc w:val="left"/>
              <w:rPr>
                <w:rFonts w:ascii="宋体" w:hAnsi="宋体"/>
                <w:color w:val="auto"/>
                <w:szCs w:val="21"/>
                <w:highlight w:val="none"/>
              </w:rPr>
            </w:pPr>
            <w:r>
              <w:rPr>
                <w:rFonts w:hint="eastAsia" w:ascii="宋体" w:hAnsi="宋体"/>
                <w:color w:val="auto"/>
                <w:szCs w:val="21"/>
                <w:highlight w:val="none"/>
              </w:rPr>
              <w:t>业务时间：工作日每天上午8：</w:t>
            </w:r>
            <w:r>
              <w:rPr>
                <w:rFonts w:hint="eastAsia" w:ascii="宋体" w:hAnsi="宋体"/>
                <w:color w:val="auto"/>
                <w:szCs w:val="21"/>
                <w:highlight w:val="none"/>
                <w:lang w:val="en-US" w:eastAsia="zh-CN"/>
              </w:rPr>
              <w:t>3</w:t>
            </w:r>
            <w:r>
              <w:rPr>
                <w:rFonts w:hint="eastAsia" w:ascii="宋体" w:hAnsi="宋体"/>
                <w:color w:val="auto"/>
                <w:szCs w:val="21"/>
                <w:highlight w:val="none"/>
              </w:rPr>
              <w:t>0到12：00，下午3：00到6：00。</w:t>
            </w:r>
          </w:p>
        </w:tc>
      </w:tr>
      <w:tr w14:paraId="527E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30B1F6B0">
            <w:pPr>
              <w:shd w:val="clear"/>
              <w:spacing w:line="360" w:lineRule="auto"/>
              <w:jc w:val="center"/>
              <w:rPr>
                <w:rFonts w:ascii="宋体" w:hAnsi="宋体"/>
                <w:color w:val="auto"/>
                <w:szCs w:val="21"/>
                <w:highlight w:val="none"/>
              </w:rPr>
            </w:pPr>
            <w:r>
              <w:rPr>
                <w:rFonts w:hint="eastAsia" w:ascii="宋体" w:hAnsi="宋体"/>
                <w:color w:val="auto"/>
                <w:szCs w:val="21"/>
                <w:highlight w:val="none"/>
              </w:rPr>
              <w:t>32.1</w:t>
            </w:r>
          </w:p>
        </w:tc>
        <w:tc>
          <w:tcPr>
            <w:tcW w:w="8356" w:type="dxa"/>
            <w:vAlign w:val="center"/>
          </w:tcPr>
          <w:p w14:paraId="36519B00">
            <w:pPr>
              <w:shd w:val="clear"/>
              <w:spacing w:line="360" w:lineRule="auto"/>
              <w:jc w:val="left"/>
              <w:rPr>
                <w:rFonts w:ascii="宋体" w:hAnsi="宋体"/>
                <w:color w:val="auto"/>
                <w:szCs w:val="21"/>
                <w:highlight w:val="none"/>
              </w:rPr>
            </w:pPr>
            <w:r>
              <w:rPr>
                <w:rFonts w:hint="eastAsia" w:ascii="宋体" w:hAnsi="宋体"/>
                <w:color w:val="auto"/>
                <w:szCs w:val="21"/>
                <w:highlight w:val="none"/>
              </w:rPr>
              <w:t>1.采购代理费支付方式：</w:t>
            </w:r>
          </w:p>
          <w:p w14:paraId="73B41967">
            <w:pPr>
              <w:shd w:val="clear"/>
              <w:spacing w:line="360" w:lineRule="auto"/>
              <w:jc w:val="left"/>
              <w:rPr>
                <w:rFonts w:ascii="宋体" w:hAnsi="宋体"/>
                <w:color w:val="auto"/>
                <w:szCs w:val="21"/>
                <w:highlight w:val="none"/>
              </w:rPr>
            </w:pPr>
            <w:r>
              <w:rPr>
                <w:rFonts w:hint="eastAsia" w:ascii="宋体" w:hAnsi="宋体"/>
                <w:color w:val="auto"/>
                <w:szCs w:val="21"/>
                <w:highlight w:val="none"/>
              </w:rPr>
              <w:t>本项目代理服务费由成交供应商在领取成交通知书前，一次性向采购代理机构支付。</w:t>
            </w:r>
          </w:p>
          <w:p w14:paraId="5F3F6C6B">
            <w:pPr>
              <w:shd w:val="clear"/>
              <w:spacing w:line="360" w:lineRule="auto"/>
              <w:jc w:val="left"/>
              <w:rPr>
                <w:rFonts w:ascii="宋体" w:hAnsi="宋体"/>
                <w:color w:val="auto"/>
                <w:szCs w:val="21"/>
                <w:highlight w:val="none"/>
              </w:rPr>
            </w:pPr>
            <w:r>
              <w:rPr>
                <w:rFonts w:hint="eastAsia" w:ascii="宋体" w:hAnsi="宋体"/>
                <w:color w:val="auto"/>
                <w:szCs w:val="21"/>
                <w:highlight w:val="none"/>
              </w:rPr>
              <w:t>2.采购代理费收取标准：</w:t>
            </w:r>
          </w:p>
          <w:p w14:paraId="1F2F2335">
            <w:pPr>
              <w:shd w:val="clear"/>
              <w:spacing w:line="360" w:lineRule="auto"/>
              <w:jc w:val="left"/>
              <w:rPr>
                <w:rFonts w:ascii="宋体" w:hAnsi="宋体"/>
                <w:color w:val="auto"/>
                <w:szCs w:val="21"/>
                <w:highlight w:val="none"/>
              </w:rPr>
            </w:pPr>
            <w:r>
              <w:rPr>
                <w:rFonts w:hint="eastAsia" w:ascii="宋体" w:hAnsi="宋体"/>
                <w:color w:val="auto"/>
                <w:szCs w:val="21"/>
                <w:highlight w:val="none"/>
              </w:rPr>
              <w:t>以成交金额为计费额，按本须知正文第</w:t>
            </w:r>
            <w:r>
              <w:rPr>
                <w:rFonts w:ascii="宋体" w:hAnsi="宋体"/>
                <w:color w:val="auto"/>
                <w:szCs w:val="21"/>
                <w:highlight w:val="none"/>
              </w:rPr>
              <w:t>32.2</w:t>
            </w:r>
            <w:r>
              <w:rPr>
                <w:rFonts w:hint="eastAsia" w:ascii="宋体" w:hAnsi="宋体"/>
                <w:color w:val="auto"/>
                <w:szCs w:val="21"/>
                <w:highlight w:val="none"/>
              </w:rPr>
              <w:t>条规定的工程类收费标准采用差额定率累进法计算出收费基准价格，采购代理收费以收费基准价格收取。</w:t>
            </w:r>
          </w:p>
          <w:p w14:paraId="6E667607">
            <w:pPr>
              <w:shd w:val="clear"/>
              <w:spacing w:line="360" w:lineRule="auto"/>
              <w:jc w:val="left"/>
              <w:rPr>
                <w:rFonts w:ascii="宋体" w:hAnsi="宋体"/>
                <w:color w:val="auto"/>
                <w:szCs w:val="21"/>
                <w:highlight w:val="none"/>
              </w:rPr>
            </w:pPr>
            <w:r>
              <w:rPr>
                <w:rFonts w:hint="eastAsia" w:ascii="宋体" w:hAnsi="宋体"/>
                <w:color w:val="auto"/>
                <w:szCs w:val="21"/>
                <w:highlight w:val="none"/>
              </w:rPr>
              <w:t>3.采购代理费收取银行账户</w:t>
            </w:r>
          </w:p>
          <w:p w14:paraId="6BCAD936">
            <w:pPr>
              <w:shd w:val="clear"/>
              <w:spacing w:line="360" w:lineRule="auto"/>
              <w:jc w:val="left"/>
              <w:rPr>
                <w:rFonts w:ascii="宋体" w:hAnsi="宋体"/>
                <w:color w:val="auto"/>
                <w:szCs w:val="21"/>
                <w:highlight w:val="none"/>
              </w:rPr>
            </w:pPr>
            <w:r>
              <w:rPr>
                <w:rFonts w:hint="eastAsia" w:ascii="宋体" w:hAnsi="宋体"/>
                <w:color w:val="auto"/>
                <w:szCs w:val="21"/>
                <w:highlight w:val="none"/>
              </w:rPr>
              <w:t>开户名称：</w:t>
            </w:r>
            <w:r>
              <w:rPr>
                <w:rFonts w:hint="eastAsia" w:ascii="宋体" w:hAnsi="宋体"/>
                <w:color w:val="auto"/>
                <w:szCs w:val="21"/>
                <w:highlight w:val="none"/>
                <w:lang w:eastAsia="zh-CN"/>
              </w:rPr>
              <w:t>广西国力招标有限公司</w:t>
            </w:r>
          </w:p>
          <w:p w14:paraId="5FFBD165">
            <w:pPr>
              <w:shd w:val="clear"/>
              <w:spacing w:line="360" w:lineRule="auto"/>
              <w:jc w:val="left"/>
              <w:rPr>
                <w:rFonts w:ascii="宋体" w:hAnsi="宋体"/>
                <w:color w:val="auto"/>
                <w:szCs w:val="21"/>
                <w:highlight w:val="none"/>
              </w:rPr>
            </w:pPr>
            <w:r>
              <w:rPr>
                <w:rFonts w:hint="eastAsia" w:ascii="宋体" w:hAnsi="宋体"/>
                <w:color w:val="auto"/>
                <w:szCs w:val="21"/>
                <w:highlight w:val="none"/>
              </w:rPr>
              <w:t>开户银行：</w:t>
            </w:r>
            <w:r>
              <w:rPr>
                <w:rFonts w:hint="eastAsia" w:hAnsi="宋体" w:cs="宋体"/>
                <w:color w:val="auto"/>
                <w:sz w:val="21"/>
                <w:highlight w:val="none"/>
                <w:lang w:val="en-US" w:eastAsia="zh-CN"/>
              </w:rPr>
              <w:t>广西北部湾银行金凯支行（网银支付可选广西北部湾银行江南支行）</w:t>
            </w:r>
          </w:p>
          <w:p w14:paraId="5A9CF55E">
            <w:pPr>
              <w:shd w:val="clear"/>
              <w:spacing w:line="360" w:lineRule="auto"/>
              <w:jc w:val="left"/>
              <w:rPr>
                <w:rFonts w:hint="eastAsia" w:ascii="宋体" w:hAnsi="宋体"/>
                <w:color w:val="auto"/>
                <w:szCs w:val="21"/>
                <w:highlight w:val="none"/>
              </w:rPr>
            </w:pPr>
            <w:r>
              <w:rPr>
                <w:rFonts w:hint="eastAsia" w:ascii="宋体" w:hAnsi="宋体"/>
                <w:color w:val="auto"/>
                <w:szCs w:val="21"/>
                <w:highlight w:val="none"/>
              </w:rPr>
              <w:t>银行账号：</w:t>
            </w:r>
            <w:r>
              <w:rPr>
                <w:rFonts w:hint="eastAsia" w:ascii="宋体" w:hAnsi="宋体"/>
                <w:color w:val="auto"/>
                <w:szCs w:val="21"/>
                <w:highlight w:val="none"/>
              </w:rPr>
              <w:t>800109057455558</w:t>
            </w:r>
          </w:p>
          <w:p w14:paraId="7F1A137B">
            <w:pPr>
              <w:shd w:val="clear"/>
              <w:spacing w:line="360" w:lineRule="auto"/>
              <w:jc w:val="left"/>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银行行号：</w:t>
            </w:r>
            <w:r>
              <w:rPr>
                <w:rFonts w:hint="eastAsia" w:ascii="宋体" w:hAnsi="宋体"/>
                <w:color w:val="auto"/>
                <w:szCs w:val="21"/>
                <w:highlight w:val="none"/>
              </w:rPr>
              <w:t>313611002043</w:t>
            </w:r>
          </w:p>
        </w:tc>
      </w:tr>
      <w:tr w14:paraId="08A9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475EAB61">
            <w:pPr>
              <w:shd w:val="clear"/>
              <w:spacing w:line="360" w:lineRule="auto"/>
              <w:jc w:val="center"/>
              <w:rPr>
                <w:rFonts w:ascii="宋体" w:hAnsi="宋体"/>
                <w:color w:val="auto"/>
                <w:szCs w:val="21"/>
                <w:highlight w:val="none"/>
              </w:rPr>
            </w:pPr>
            <w:r>
              <w:rPr>
                <w:rFonts w:hint="eastAsia" w:ascii="宋体" w:hAnsi="宋体"/>
                <w:color w:val="auto"/>
                <w:szCs w:val="21"/>
                <w:highlight w:val="none"/>
              </w:rPr>
              <w:t>33.1</w:t>
            </w:r>
          </w:p>
        </w:tc>
        <w:tc>
          <w:tcPr>
            <w:tcW w:w="8356" w:type="dxa"/>
            <w:vAlign w:val="center"/>
          </w:tcPr>
          <w:p w14:paraId="15E18B4C">
            <w:pPr>
              <w:shd w:val="clear"/>
              <w:spacing w:line="360" w:lineRule="auto"/>
              <w:jc w:val="left"/>
              <w:rPr>
                <w:rFonts w:ascii="宋体" w:hAnsi="宋体"/>
                <w:color w:val="auto"/>
                <w:szCs w:val="21"/>
                <w:highlight w:val="none"/>
              </w:rPr>
            </w:pPr>
            <w:r>
              <w:rPr>
                <w:rFonts w:hint="eastAsia" w:ascii="宋体" w:hAnsi="宋体"/>
                <w:color w:val="auto"/>
                <w:szCs w:val="21"/>
                <w:highlight w:val="none"/>
              </w:rPr>
              <w:t>解释：构成本磋商文件的各个组成文件应互为解释，互为说明；除磋商文件中有特别规定外，仅适用于竞争性磋商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148D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6DAD5320">
            <w:pPr>
              <w:shd w:val="clear"/>
              <w:spacing w:line="360" w:lineRule="auto"/>
              <w:jc w:val="center"/>
              <w:rPr>
                <w:rFonts w:ascii="宋体" w:hAnsi="宋体"/>
                <w:color w:val="auto"/>
                <w:szCs w:val="21"/>
                <w:highlight w:val="none"/>
              </w:rPr>
            </w:pPr>
            <w:r>
              <w:rPr>
                <w:rFonts w:hint="eastAsia" w:ascii="宋体" w:hAnsi="宋体"/>
                <w:color w:val="auto"/>
                <w:szCs w:val="21"/>
                <w:highlight w:val="none"/>
              </w:rPr>
              <w:t>33.2</w:t>
            </w:r>
          </w:p>
        </w:tc>
        <w:tc>
          <w:tcPr>
            <w:tcW w:w="8356" w:type="dxa"/>
            <w:vAlign w:val="center"/>
          </w:tcPr>
          <w:p w14:paraId="2D5AEEEF">
            <w:pPr>
              <w:shd w:val="clear"/>
              <w:spacing w:line="360" w:lineRule="auto"/>
              <w:jc w:val="left"/>
              <w:rPr>
                <w:rFonts w:ascii="宋体" w:hAnsi="宋体"/>
                <w:color w:val="auto"/>
                <w:szCs w:val="21"/>
                <w:highlight w:val="none"/>
              </w:rPr>
            </w:pPr>
            <w:r>
              <w:rPr>
                <w:rFonts w:hint="eastAsia" w:ascii="宋体" w:hAnsi="宋体"/>
                <w:color w:val="auto"/>
                <w:szCs w:val="21"/>
                <w:highlight w:val="none"/>
              </w:rPr>
              <w:t>农民工工资保证金：按照《保障农民工工资支付条例》及《广西壮族自治区人力资源和社会保障厅等8部门关于印发广西壮族自治区工程建设领域农民工工资专用账户管理暂行办法实施细则的通知》（桂人社规〔2022〕5号）有关规定执行。如开设了农民工工资专用账户的，应按规定比例足额将农民工工资保证金存入账户，也可以使用银行保函。工程竣工验收结算经审定后，按照规定程序，将农民工工资保证金没有使用或剩余的金额退还给成交供应商。</w:t>
            </w:r>
          </w:p>
        </w:tc>
      </w:tr>
      <w:tr w14:paraId="27D6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016516E3">
            <w:pPr>
              <w:shd w:val="clear"/>
              <w:spacing w:line="360" w:lineRule="auto"/>
              <w:jc w:val="center"/>
              <w:rPr>
                <w:rFonts w:ascii="宋体" w:hAnsi="宋体"/>
                <w:color w:val="auto"/>
                <w:szCs w:val="21"/>
                <w:highlight w:val="none"/>
              </w:rPr>
            </w:pPr>
            <w:r>
              <w:rPr>
                <w:rFonts w:hint="eastAsia" w:ascii="宋体" w:hAnsi="宋体"/>
                <w:color w:val="auto"/>
                <w:szCs w:val="21"/>
                <w:highlight w:val="none"/>
              </w:rPr>
              <w:t>33.3</w:t>
            </w:r>
          </w:p>
        </w:tc>
        <w:tc>
          <w:tcPr>
            <w:tcW w:w="8356" w:type="dxa"/>
            <w:vAlign w:val="center"/>
          </w:tcPr>
          <w:p w14:paraId="1E2BB917">
            <w:pPr>
              <w:shd w:val="clear"/>
              <w:spacing w:line="360" w:lineRule="auto"/>
              <w:jc w:val="left"/>
              <w:rPr>
                <w:rFonts w:ascii="宋体" w:hAnsi="宋体"/>
                <w:color w:val="auto"/>
                <w:szCs w:val="21"/>
                <w:highlight w:val="none"/>
              </w:rPr>
            </w:pPr>
            <w:r>
              <w:rPr>
                <w:rFonts w:hint="eastAsia" w:ascii="宋体" w:hAnsi="宋体"/>
                <w:color w:val="auto"/>
                <w:szCs w:val="21"/>
                <w:highlight w:val="none"/>
              </w:rPr>
              <w:t>1.本磋商文件中描述供应商的“公章”是指根据我国对公章的管理规定，用供应商法定主体名称制作的印章或供应商通过指定电子化政府采购平台办理数字证书（CA认证）获得的以法定主体名称制作的电子印章。除本磋商文件有特殊规定外，供应商的财务章、部门章、分公司章、工会章、合同章、投标专用章、业务专用章及银行的转账章、现金收讫章、现金付讫章等其他形式印章均不能代替公章。</w:t>
            </w:r>
          </w:p>
          <w:p w14:paraId="0E686ACC">
            <w:pPr>
              <w:shd w:val="clear"/>
              <w:spacing w:line="360" w:lineRule="auto"/>
              <w:jc w:val="left"/>
              <w:rPr>
                <w:rFonts w:ascii="宋体" w:hAnsi="宋体"/>
                <w:color w:val="auto"/>
                <w:szCs w:val="21"/>
                <w:highlight w:val="none"/>
              </w:rPr>
            </w:pPr>
            <w:r>
              <w:rPr>
                <w:rFonts w:hint="eastAsia" w:ascii="宋体" w:hAnsi="宋体"/>
                <w:color w:val="auto"/>
                <w:szCs w:val="21"/>
                <w:highlight w:val="none"/>
              </w:rPr>
              <w:t>2.供应商为其他组织或者自然人时，本磋商文件规定的法定代表人指负责人或者自然人。本磋商文件所称负责人是指参加磋商的其他组织营业执照或者执业许可证等证照上的负责人，本磋商文件所称自然人指参与磋商的自然人本人，且应具备独立承担民事责任能力，自然人应当为年满18岁以上成年人（十六周岁以上的未成年人，以自己的劳动收入为主要生活来源的，视为完全民事行为能力人）。</w:t>
            </w:r>
          </w:p>
          <w:p w14:paraId="56D5BF01">
            <w:pPr>
              <w:shd w:val="clear"/>
              <w:spacing w:line="360" w:lineRule="auto"/>
              <w:jc w:val="left"/>
              <w:rPr>
                <w:rFonts w:ascii="宋体" w:hAnsi="宋体"/>
                <w:color w:val="auto"/>
                <w:szCs w:val="21"/>
                <w:highlight w:val="none"/>
              </w:rPr>
            </w:pPr>
            <w:r>
              <w:rPr>
                <w:rFonts w:hint="eastAsia" w:ascii="宋体" w:hAnsi="宋体"/>
                <w:color w:val="auto"/>
                <w:szCs w:val="21"/>
                <w:highlight w:val="none"/>
              </w:rPr>
              <w:t>3.本磋商文件中描述供应商的“签字”是指供应商的法定代表人或者委托代理人在文件规定签署处签名或者指供应商通过指定电子化政府采购平台办理数字证书（CA认证）获得的以供应商法定代表人或者委托代理人姓名制作的电子印章签名的行为，私章、印鉴等其他形式均不能代替签字。</w:t>
            </w:r>
          </w:p>
          <w:p w14:paraId="610D75F8">
            <w:pPr>
              <w:shd w:val="clear"/>
              <w:spacing w:line="360" w:lineRule="auto"/>
              <w:jc w:val="left"/>
              <w:rPr>
                <w:rFonts w:ascii="宋体" w:hAnsi="宋体"/>
                <w:color w:val="auto"/>
                <w:szCs w:val="21"/>
                <w:highlight w:val="none"/>
              </w:rPr>
            </w:pPr>
            <w:r>
              <w:rPr>
                <w:rFonts w:hint="eastAsia" w:ascii="宋体" w:hAnsi="宋体"/>
                <w:color w:val="auto"/>
                <w:szCs w:val="21"/>
                <w:highlight w:val="none"/>
              </w:rPr>
              <w:t>4.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5C73A321">
            <w:pPr>
              <w:shd w:val="clear"/>
              <w:spacing w:line="360" w:lineRule="auto"/>
              <w:jc w:val="left"/>
              <w:rPr>
                <w:rFonts w:ascii="宋体" w:hAnsi="宋体"/>
                <w:color w:val="auto"/>
                <w:szCs w:val="21"/>
                <w:highlight w:val="none"/>
              </w:rPr>
            </w:pPr>
            <w:r>
              <w:rPr>
                <w:rFonts w:hint="eastAsia" w:ascii="宋体" w:hAnsi="宋体"/>
                <w:color w:val="auto"/>
                <w:szCs w:val="21"/>
                <w:highlight w:val="none"/>
              </w:rPr>
              <w:t>5.自然人投标的，磋商文件规定盖公章处由自然人摁手指指印。</w:t>
            </w:r>
          </w:p>
          <w:p w14:paraId="5B460260">
            <w:pPr>
              <w:shd w:val="clear"/>
              <w:spacing w:line="360" w:lineRule="auto"/>
              <w:jc w:val="left"/>
              <w:rPr>
                <w:rFonts w:ascii="宋体" w:hAnsi="宋体"/>
                <w:color w:val="auto"/>
                <w:szCs w:val="21"/>
                <w:highlight w:val="none"/>
              </w:rPr>
            </w:pPr>
            <w:r>
              <w:rPr>
                <w:rFonts w:hint="eastAsia" w:ascii="宋体" w:hAnsi="宋体"/>
                <w:color w:val="auto"/>
                <w:szCs w:val="21"/>
                <w:highlight w:val="none"/>
              </w:rPr>
              <w:t>6.本磋商文件所称的“以上”“以下”“以内”“届满”，包括本数；所称的“不满”“超过”“以外”，不包括本数。</w:t>
            </w:r>
          </w:p>
        </w:tc>
      </w:tr>
      <w:tr w14:paraId="1AC6D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8" w:type="dxa"/>
            <w:vAlign w:val="center"/>
          </w:tcPr>
          <w:p w14:paraId="5A68CDFB">
            <w:pPr>
              <w:shd w:val="clear"/>
              <w:spacing w:line="360" w:lineRule="auto"/>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3.5</w:t>
            </w:r>
          </w:p>
        </w:tc>
        <w:tc>
          <w:tcPr>
            <w:tcW w:w="8356" w:type="dxa"/>
            <w:vAlign w:val="center"/>
          </w:tcPr>
          <w:p w14:paraId="01B30887">
            <w:pPr>
              <w:shd w:val="clear"/>
              <w:spacing w:line="360" w:lineRule="auto"/>
              <w:jc w:val="left"/>
              <w:rPr>
                <w:rFonts w:ascii="宋体" w:hAnsi="宋体"/>
                <w:color w:val="auto"/>
                <w:szCs w:val="21"/>
                <w:highlight w:val="none"/>
              </w:rPr>
            </w:pPr>
            <w:r>
              <w:rPr>
                <w:rFonts w:hint="eastAsia" w:ascii="宋体" w:hAnsi="宋体"/>
                <w:color w:val="auto"/>
                <w:szCs w:val="21"/>
                <w:highlight w:val="none"/>
              </w:rPr>
              <w:t>现场踏勘：</w:t>
            </w:r>
          </w:p>
          <w:p w14:paraId="1968FC40">
            <w:pPr>
              <w:numPr>
                <w:ilvl w:val="0"/>
                <w:numId w:val="0"/>
              </w:numPr>
              <w:shd w:val="clear"/>
              <w:spacing w:line="360" w:lineRule="auto"/>
              <w:jc w:val="left"/>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1.本项目不统一组织现场踏勘，供应商如需全面了解项目现场情况，可自行前往现场踏勘。如因不了解现场导致投标失误由供应商自行承担后果。</w:t>
            </w:r>
          </w:p>
          <w:p w14:paraId="7EBB5655">
            <w:pPr>
              <w:numPr>
                <w:ilvl w:val="0"/>
                <w:numId w:val="0"/>
              </w:numPr>
              <w:shd w:val="clear"/>
              <w:spacing w:line="360" w:lineRule="auto"/>
              <w:jc w:val="left"/>
              <w:rPr>
                <w:rFonts w:hint="eastAsia" w:ascii="宋体" w:hAnsi="宋体" w:eastAsiaTheme="minorEastAsia" w:cstheme="minorBidi"/>
                <w:color w:val="auto"/>
                <w:kern w:val="2"/>
                <w:sz w:val="21"/>
                <w:szCs w:val="21"/>
                <w:highlight w:val="none"/>
                <w:lang w:val="en-US" w:eastAsia="zh-CN" w:bidi="ar-SA"/>
              </w:rPr>
            </w:pPr>
            <w:r>
              <w:rPr>
                <w:rFonts w:hint="eastAsia" w:ascii="宋体" w:hAnsi="宋体" w:eastAsiaTheme="minorEastAsia" w:cstheme="minorBidi"/>
                <w:color w:val="auto"/>
                <w:kern w:val="2"/>
                <w:sz w:val="21"/>
                <w:szCs w:val="21"/>
                <w:highlight w:val="none"/>
                <w:lang w:val="en-US" w:eastAsia="zh-CN" w:bidi="ar-SA"/>
              </w:rPr>
              <w:t>2.供应商承担踏勘现场所发生的费用和自身安全责任。</w:t>
            </w:r>
          </w:p>
          <w:p w14:paraId="70DE49EC">
            <w:pPr>
              <w:numPr>
                <w:ilvl w:val="0"/>
                <w:numId w:val="0"/>
              </w:numPr>
              <w:shd w:val="clear"/>
              <w:spacing w:line="360" w:lineRule="auto"/>
              <w:jc w:val="left"/>
              <w:rPr>
                <w:rFonts w:ascii="宋体" w:hAnsi="宋体"/>
                <w:color w:val="auto"/>
                <w:szCs w:val="21"/>
                <w:highlight w:val="none"/>
              </w:rPr>
            </w:pPr>
            <w:r>
              <w:rPr>
                <w:rFonts w:hint="eastAsia" w:ascii="宋体" w:hAnsi="宋体" w:eastAsiaTheme="minorEastAsia" w:cstheme="minorBidi"/>
                <w:color w:val="auto"/>
                <w:kern w:val="2"/>
                <w:sz w:val="21"/>
                <w:szCs w:val="21"/>
                <w:highlight w:val="none"/>
                <w:lang w:val="en-US" w:eastAsia="zh-CN" w:bidi="ar-SA"/>
              </w:rPr>
              <w:t xml:space="preserve">3.采购人不对供应商在踏勘现场后做出的判断和决策负责。 </w:t>
            </w:r>
          </w:p>
        </w:tc>
      </w:tr>
    </w:tbl>
    <w:p w14:paraId="5A088E00">
      <w:pPr>
        <w:shd w:val="clear"/>
        <w:spacing w:line="360" w:lineRule="auto"/>
        <w:ind w:firstLine="420" w:firstLineChars="200"/>
        <w:rPr>
          <w:rFonts w:ascii="宋体" w:hAnsi="宋体" w:eastAsia="宋体"/>
          <w:color w:val="auto"/>
          <w:szCs w:val="21"/>
          <w:highlight w:val="none"/>
        </w:rPr>
      </w:pPr>
    </w:p>
    <w:p w14:paraId="153C8259">
      <w:pPr>
        <w:shd w:val="clea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4D615CD5">
      <w:pPr>
        <w:pStyle w:val="3"/>
        <w:shd w:val="clear"/>
        <w:jc w:val="center"/>
        <w:rPr>
          <w:color w:val="auto"/>
          <w:highlight w:val="none"/>
        </w:rPr>
      </w:pPr>
      <w:bookmarkStart w:id="13" w:name="_Toc197530106"/>
      <w:r>
        <w:rPr>
          <w:rFonts w:hint="eastAsia"/>
          <w:color w:val="auto"/>
          <w:highlight w:val="none"/>
        </w:rPr>
        <w:t>二、供应商须知正文</w:t>
      </w:r>
      <w:bookmarkEnd w:id="13"/>
    </w:p>
    <w:p w14:paraId="2B3342AE">
      <w:pPr>
        <w:pStyle w:val="4"/>
        <w:shd w:val="clear"/>
        <w:jc w:val="left"/>
        <w:rPr>
          <w:rFonts w:ascii="宋体" w:hAnsi="宋体" w:eastAsia="宋体"/>
          <w:color w:val="auto"/>
          <w:sz w:val="28"/>
          <w:szCs w:val="28"/>
          <w:highlight w:val="none"/>
        </w:rPr>
      </w:pPr>
      <w:bookmarkStart w:id="14" w:name="_Toc197530107"/>
      <w:r>
        <w:rPr>
          <w:rFonts w:hint="eastAsia" w:ascii="宋体" w:hAnsi="宋体" w:eastAsia="宋体"/>
          <w:color w:val="auto"/>
          <w:sz w:val="28"/>
          <w:szCs w:val="28"/>
          <w:highlight w:val="none"/>
        </w:rPr>
        <w:t>（一）总则</w:t>
      </w:r>
      <w:bookmarkEnd w:id="14"/>
    </w:p>
    <w:p w14:paraId="6891C4E1">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1.适用范围</w:t>
      </w:r>
    </w:p>
    <w:p w14:paraId="3B3AEA5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5E3DF0F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1.2本竞争性磋商文件（以下简称磋商文件）适用于本项目的所有采购程序和环节（法律、法规另有规定的，从其规定）。</w:t>
      </w:r>
    </w:p>
    <w:p w14:paraId="09510A65">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2.定义</w:t>
      </w:r>
    </w:p>
    <w:p w14:paraId="05088B0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2.1“采购人”是指依法进行政府采购的国家机关、事业单位、团体组织。</w:t>
      </w:r>
    </w:p>
    <w:p w14:paraId="33CB3AB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2.2“采购代理机构”是指政府采购集中采购机构和集中采购机构以外的采购代理机构。</w:t>
      </w:r>
    </w:p>
    <w:p w14:paraId="1697E21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2.3“供应商”是指向采购人提供货物、工程或者服务的法人、其他组织或者自然人。</w:t>
      </w:r>
    </w:p>
    <w:p w14:paraId="5BC91F8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2.4“工程”是指建设工程，包括建筑物和构筑物的新建、改建、扩建、装修、拆除、修缮等。</w:t>
      </w:r>
    </w:p>
    <w:p w14:paraId="4DCBB7C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2.5“竞争性磋商”是指供应商按照本项目竞争性磋商公告或者邀请函规定的方式获取磋商文件、提交响应文件并希望获得标的的行为。</w:t>
      </w:r>
    </w:p>
    <w:p w14:paraId="1B56A53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2.6“书面形式”是指合同书、信件和数据电文（包括电报、电传、传真、电子数据交换和电子邮件）等可以有形地表现所载内容的形式。</w:t>
      </w:r>
    </w:p>
    <w:p w14:paraId="660DDB5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2.7“响应文件”是指：供应商根据本磋商文件要求，编制包含资格证明、报价、商务技术等所有内容的文件。</w:t>
      </w:r>
    </w:p>
    <w:p w14:paraId="3CA5868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2.8“实质性要求”是指磋商文件中已经指明不满足则响应文件按无效处理的条款，或者不能负偏离的条款，或者采购需求中带“▲”的条款。</w:t>
      </w:r>
    </w:p>
    <w:p w14:paraId="3527D48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2.9“正偏离”，是指响应文件对磋商文件“采购需求”中有关条款作出的响应优于条款要求并有利于采购人的情形。</w:t>
      </w:r>
    </w:p>
    <w:p w14:paraId="5410D17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2.10“负偏离”，是指响应文件对磋商文件“采购需求”中有关条款作出的响应不满足条款要求，导致采购人要求不能得到满足的情形。</w:t>
      </w:r>
    </w:p>
    <w:p w14:paraId="2441030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2.11“允许负偏离的条款”是指采购需求中的不属于“实质性要求”的条款。</w:t>
      </w:r>
    </w:p>
    <w:p w14:paraId="6D1DBE8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2.12“首次报价”是指供应商提交的首次响应文件中的报价。</w:t>
      </w:r>
    </w:p>
    <w:p w14:paraId="2922B6C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2.13“评审报价”是指供应商提交的最后报价并经修正（如有）和政策功能价格扣除（如有）后的价格。</w:t>
      </w:r>
    </w:p>
    <w:p w14:paraId="33CACEA1">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3.供应商的资格条件</w:t>
      </w:r>
    </w:p>
    <w:p w14:paraId="0665C44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供应商的资格条件详见“供应商须知前附表”。</w:t>
      </w:r>
    </w:p>
    <w:p w14:paraId="09272D03">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4.磋商费用</w:t>
      </w:r>
    </w:p>
    <w:p w14:paraId="3EF68A6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供应商应承担参与本次采购活动有关的所有费用，包括但不限于获取磋商文件、勘查现场、编制和提交响应文件、参加磋商与应答、签订合同等，不论竞争性磋商结果如何，均应自行承担。</w:t>
      </w:r>
    </w:p>
    <w:p w14:paraId="13297C99">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5.联合体参加竞争性磋商</w:t>
      </w:r>
    </w:p>
    <w:p w14:paraId="399DBCD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5.1本项目是否接受联合体参加竞争性磋商，详见“供应商须知前附表”。</w:t>
      </w:r>
    </w:p>
    <w:p w14:paraId="73636ED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5.2如接受联合体参加竞争性磋商，相关要求详见“供应商须知前附表”。</w:t>
      </w:r>
    </w:p>
    <w:p w14:paraId="489FC79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5.3根据《政府采购促进中小企业发展管理办法》（财库[2020]46号）第九条及《广西壮族自治区财政厅关于持续优化政府采购营商环境推动高质量发展的通知》（桂财采〔2024〕55号）规定，接受大中型企业与小微企业组成联合体的采购项目，对于联合协议约定小微企业的合同份额占到合同总金额30%以上的，采购人、采购代理机构应当对联合体的报价给予4%-6%（工程项目为1%-2%）的扣除，用扣除后的价格参加评审。组成联合体的小微企业与联合体内其他企业、分包企业之间存在直接控股、管理关系的，不享受价格扣除优惠政策。</w:t>
      </w:r>
    </w:p>
    <w:p w14:paraId="34B86FAE">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6.转包与分包</w:t>
      </w:r>
    </w:p>
    <w:p w14:paraId="22A123C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6.1本项目不允许转包。</w:t>
      </w:r>
    </w:p>
    <w:p w14:paraId="1AE7552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6.2本项目是否允许分包详见“供应商须知前附表”，本项目不允许违法分包。允许分包的非主体、非关键性工作，根据法律法规规定承担该工作需要资质或者行政许可的，如该工作由供应商自行承担，供应商应具备相应的资质或者行政许可，如供应商不具备相应的资质或者行政许可必须采用分包的方式，但分包供应商应具备相应资质或者行政许可。</w:t>
      </w:r>
    </w:p>
    <w:p w14:paraId="37BA7F4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6.3供应商根据磋商文件的规定和采购项目的实际情况，拟在成交后将成交项目的非主体、非关键性工作分包的，应当在响应文件中载明分包承担主体，分包承担主体应当具备相应资质条件且不得再次分包。</w:t>
      </w:r>
    </w:p>
    <w:p w14:paraId="08B2876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6.4根据《政府采购促进中小企业发展管理办法》（财库[2020]46号）第九条及《广西壮族自治区财政厅关于持续优化政府采购营商环境推动高质量发展的通知》（桂财采〔2024〕55号）规定，允许大中型企业向一家或者多家小微企业分包的采购项目，对于分包意向协议约定小微企业的合同份额占到合同总金额30%以上的，采购人、采购代理机构应当对大中型企业的报价给予4%-6%（工程项目为1%-2%）的扣除，用扣除后的价格参加评审。接受分包的小微企业与分包企业之间存在直接控股、管理关系的，不享受价格扣除优惠政策。</w:t>
      </w:r>
    </w:p>
    <w:p w14:paraId="4401AA33">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7.特别说明</w:t>
      </w:r>
    </w:p>
    <w:p w14:paraId="0EEB455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7.1如果本磋商文件要求提供供应商或制造商的资格、信誉、荣誉、业绩与企业认证等材料的，资格、信誉、荣誉、业绩与企业认证等必须为供应商或者制造商所拥有或自身获得。</w:t>
      </w:r>
    </w:p>
    <w:p w14:paraId="72CEDF4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7.2供应商应仔细阅读磋商文件的所有内容，按照磋商文件的要求提交响应文件，并对所提供的全部资料的真实性承担法律责任。</w:t>
      </w:r>
    </w:p>
    <w:p w14:paraId="0558C97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7.3供应商在竞争性磋商活动中提供任何虚假材料谋取成交的，将报财政部门查处；签订合同后发现的，按照相关法律执行。</w:t>
      </w:r>
    </w:p>
    <w:p w14:paraId="3A359AE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7.4在政府采购活动中，采购人员及相关人员与供应商有下列利害关系之一的，应当回避：</w:t>
      </w:r>
    </w:p>
    <w:p w14:paraId="358413A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（1）参加采购活动前3年内与供应商存在劳动关系；</w:t>
      </w:r>
    </w:p>
    <w:p w14:paraId="26F33DB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（2）参加采购活动前3年内担任供应商的董事、监事；</w:t>
      </w:r>
    </w:p>
    <w:p w14:paraId="5C948BD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（3）参加采购活动前3年内是供应商的控股股东或者实际控制人；</w:t>
      </w:r>
    </w:p>
    <w:p w14:paraId="49C4E36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（4）与供应商的法定代表人或者负责人有夫妻、直系血亲、三代以内旁系血亲或者近姻亲关系；</w:t>
      </w:r>
    </w:p>
    <w:p w14:paraId="2155111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（5）与供应商有其他可能影响政府采购活动公平、公正进行的关系。</w:t>
      </w:r>
    </w:p>
    <w:p w14:paraId="577E0A1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9568AB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7.5有下列情形之一的视为供应商相互串通竞争性磋商，响应文件将被视为无效：</w:t>
      </w:r>
    </w:p>
    <w:p w14:paraId="281497A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（1）不同供应商的响应文件由同一单位或者个人编制，或者不同供应商报名的IP地址一致的；</w:t>
      </w:r>
    </w:p>
    <w:p w14:paraId="390B91B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（2）不同供应商委托同一单位或者个人办理竞争性磋商事宜；</w:t>
      </w:r>
    </w:p>
    <w:p w14:paraId="0BE26A2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（3）不同的供应商的响应文件载明的项目管理员为同一个人；</w:t>
      </w:r>
    </w:p>
    <w:p w14:paraId="080F555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（4）不同供应商的响应文件异常一致或者报价呈规律性差异；</w:t>
      </w:r>
    </w:p>
    <w:p w14:paraId="4F4A28D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（5）不同供应商的响应文件相互混装；</w:t>
      </w:r>
    </w:p>
    <w:p w14:paraId="6B0DEDC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（6）不同供应商的磋商保证金从同一单位或者个人账户转出。</w:t>
      </w:r>
      <w:r>
        <w:rPr>
          <w:rFonts w:hint="eastAsia" w:ascii="宋体" w:hAnsi="宋体" w:eastAsia="宋体"/>
          <w:color w:val="auto"/>
          <w:szCs w:val="21"/>
          <w:highlight w:val="none"/>
        </w:rPr>
        <w:tab/>
      </w:r>
    </w:p>
    <w:p w14:paraId="106839E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7.6供应商有下列情形之一的，属于恶意串通行为，将报同级监督管理部门：</w:t>
      </w:r>
    </w:p>
    <w:p w14:paraId="0980F19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（1）供应商直接或者间接从采购人或者采购代理机构处获得其他供应商的相关信息并修改其响应文件；</w:t>
      </w:r>
    </w:p>
    <w:p w14:paraId="32C1C01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（2）供应商按照采购人或者采购代理机构的授意撤换、修改响应文件；</w:t>
      </w:r>
    </w:p>
    <w:p w14:paraId="4DF32B1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（3）供应商之间协商报价、技术方案等响应文件或者响应文件的实质性内容；</w:t>
      </w:r>
    </w:p>
    <w:p w14:paraId="04C7F68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（4）属于同一集团、协会、商会等组织成员的供应商按照该组织要求协同参加政府采购活动；</w:t>
      </w:r>
    </w:p>
    <w:p w14:paraId="064A751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（5）供应商之间事先约定一致抬高或者压低报价，或者在政府采购活动中事先约定轮流以高价位或者低价位成交，或者事先约定由某一特定供应商成交，然后再参加竞争性磋商；</w:t>
      </w:r>
    </w:p>
    <w:p w14:paraId="717A9C1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（6）供应商之间商定部分供应商放弃参加政府采购活动或者放弃成交；</w:t>
      </w:r>
    </w:p>
    <w:p w14:paraId="07C3FD8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（7）供应商与采购人或者采购代理机构之间、供应商相互之间，为谋求特定供应商成交或者排斥其他供应商的其他串通行为。</w:t>
      </w:r>
    </w:p>
    <w:p w14:paraId="04E2A4D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7.7磋商委托</w:t>
      </w:r>
    </w:p>
    <w:p w14:paraId="05D9F8A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供应商代表参加磋商活动过程中必须携带个人有效身份证件。如供应商代表不是法定代表人，须持有授权委托书（按第六章要求格式填写）。</w:t>
      </w:r>
    </w:p>
    <w:p w14:paraId="162451B8">
      <w:pPr>
        <w:pStyle w:val="4"/>
        <w:shd w:val="clear"/>
        <w:jc w:val="left"/>
        <w:rPr>
          <w:rFonts w:ascii="宋体" w:hAnsi="宋体" w:eastAsia="宋体"/>
          <w:color w:val="auto"/>
          <w:sz w:val="28"/>
          <w:szCs w:val="28"/>
          <w:highlight w:val="none"/>
        </w:rPr>
      </w:pPr>
      <w:bookmarkStart w:id="15" w:name="_Toc197530108"/>
      <w:r>
        <w:rPr>
          <w:rFonts w:hint="eastAsia" w:ascii="宋体" w:hAnsi="宋体" w:eastAsia="宋体"/>
          <w:color w:val="auto"/>
          <w:sz w:val="28"/>
          <w:szCs w:val="28"/>
          <w:highlight w:val="none"/>
        </w:rPr>
        <w:t>（二）磋商文件</w:t>
      </w:r>
      <w:bookmarkEnd w:id="15"/>
    </w:p>
    <w:p w14:paraId="0A5FC4C8">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8.磋商文件的构成</w:t>
      </w:r>
    </w:p>
    <w:p w14:paraId="170CE45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第一</w:t>
      </w:r>
      <w:r>
        <w:rPr>
          <w:rFonts w:hint="eastAsia" w:ascii="宋体" w:hAnsi="宋体" w:eastAsia="宋体"/>
          <w:color w:val="auto"/>
          <w:spacing w:val="100"/>
          <w:szCs w:val="21"/>
          <w:highlight w:val="none"/>
        </w:rPr>
        <w:t>章</w:t>
      </w:r>
      <w:r>
        <w:rPr>
          <w:rFonts w:hint="eastAsia" w:ascii="宋体" w:hAnsi="宋体" w:eastAsia="宋体"/>
          <w:color w:val="auto"/>
          <w:szCs w:val="21"/>
          <w:highlight w:val="none"/>
        </w:rPr>
        <w:t>竞争性磋商公告；</w:t>
      </w:r>
    </w:p>
    <w:p w14:paraId="64A042C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第二</w:t>
      </w:r>
      <w:r>
        <w:rPr>
          <w:rFonts w:hint="eastAsia" w:ascii="宋体" w:hAnsi="宋体" w:eastAsia="宋体"/>
          <w:color w:val="auto"/>
          <w:spacing w:val="100"/>
          <w:szCs w:val="21"/>
          <w:highlight w:val="none"/>
        </w:rPr>
        <w:t>章</w:t>
      </w:r>
      <w:r>
        <w:rPr>
          <w:rFonts w:hint="eastAsia" w:ascii="宋体" w:hAnsi="宋体" w:eastAsia="宋体"/>
          <w:color w:val="auto"/>
          <w:szCs w:val="21"/>
          <w:highlight w:val="none"/>
        </w:rPr>
        <w:t>供应商须知；</w:t>
      </w:r>
    </w:p>
    <w:p w14:paraId="732ECB7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第三</w:t>
      </w:r>
      <w:r>
        <w:rPr>
          <w:rFonts w:hint="eastAsia" w:ascii="宋体" w:hAnsi="宋体" w:eastAsia="宋体"/>
          <w:color w:val="auto"/>
          <w:spacing w:val="100"/>
          <w:szCs w:val="21"/>
          <w:highlight w:val="none"/>
        </w:rPr>
        <w:t>章</w:t>
      </w:r>
      <w:r>
        <w:rPr>
          <w:rFonts w:hint="eastAsia" w:ascii="宋体" w:hAnsi="宋体" w:eastAsia="宋体"/>
          <w:color w:val="auto"/>
          <w:szCs w:val="21"/>
          <w:highlight w:val="none"/>
        </w:rPr>
        <w:t>采购需求；</w:t>
      </w:r>
    </w:p>
    <w:p w14:paraId="653FB79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第四</w:t>
      </w:r>
      <w:r>
        <w:rPr>
          <w:rFonts w:hint="eastAsia" w:ascii="宋体" w:hAnsi="宋体" w:eastAsia="宋体"/>
          <w:color w:val="auto"/>
          <w:spacing w:val="100"/>
          <w:szCs w:val="21"/>
          <w:highlight w:val="none"/>
        </w:rPr>
        <w:t>章</w:t>
      </w:r>
      <w:r>
        <w:rPr>
          <w:rFonts w:hint="eastAsia" w:ascii="宋体" w:hAnsi="宋体" w:eastAsia="宋体"/>
          <w:color w:val="auto"/>
          <w:szCs w:val="21"/>
          <w:highlight w:val="none"/>
        </w:rPr>
        <w:t>评审程序、评审方法和评审标准；</w:t>
      </w:r>
    </w:p>
    <w:p w14:paraId="5874151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第五</w:t>
      </w:r>
      <w:r>
        <w:rPr>
          <w:rFonts w:hint="eastAsia" w:ascii="宋体" w:hAnsi="宋体" w:eastAsia="宋体"/>
          <w:color w:val="auto"/>
          <w:spacing w:val="100"/>
          <w:szCs w:val="21"/>
          <w:highlight w:val="none"/>
        </w:rPr>
        <w:t>章</w:t>
      </w:r>
      <w:r>
        <w:rPr>
          <w:rFonts w:hint="eastAsia" w:ascii="宋体" w:hAnsi="宋体" w:eastAsia="宋体"/>
          <w:color w:val="auto"/>
          <w:szCs w:val="21"/>
          <w:highlight w:val="none"/>
        </w:rPr>
        <w:t>工程量清单、招标控制价及图纸；</w:t>
      </w:r>
    </w:p>
    <w:p w14:paraId="785B0F3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第六</w:t>
      </w:r>
      <w:r>
        <w:rPr>
          <w:rFonts w:hint="eastAsia" w:ascii="宋体" w:hAnsi="宋体" w:eastAsia="宋体"/>
          <w:color w:val="auto"/>
          <w:spacing w:val="100"/>
          <w:szCs w:val="21"/>
          <w:highlight w:val="none"/>
        </w:rPr>
        <w:t>章</w:t>
      </w:r>
      <w:r>
        <w:rPr>
          <w:rFonts w:hint="eastAsia" w:ascii="宋体" w:hAnsi="宋体" w:eastAsia="宋体"/>
          <w:color w:val="auto"/>
          <w:szCs w:val="21"/>
          <w:highlight w:val="none"/>
        </w:rPr>
        <w:t>响应文件格式；</w:t>
      </w:r>
    </w:p>
    <w:p w14:paraId="5864943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第七</w:t>
      </w:r>
      <w:r>
        <w:rPr>
          <w:rFonts w:hint="eastAsia" w:ascii="宋体" w:hAnsi="宋体" w:eastAsia="宋体"/>
          <w:color w:val="auto"/>
          <w:spacing w:val="100"/>
          <w:szCs w:val="21"/>
          <w:highlight w:val="none"/>
        </w:rPr>
        <w:t>章</w:t>
      </w:r>
      <w:r>
        <w:rPr>
          <w:rFonts w:hint="eastAsia" w:ascii="宋体" w:hAnsi="宋体" w:eastAsia="宋体"/>
          <w:color w:val="auto"/>
          <w:szCs w:val="21"/>
          <w:highlight w:val="none"/>
        </w:rPr>
        <w:t>合同文本。</w:t>
      </w:r>
    </w:p>
    <w:p w14:paraId="2596E1F7">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9.供应商的询问</w:t>
      </w:r>
    </w:p>
    <w:p w14:paraId="28678E5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27CD19CB">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10.磋商文件的澄清和修改</w:t>
      </w:r>
    </w:p>
    <w:p w14:paraId="0263475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10.1提交首次响应文件截止之日前，采购人或者采购代理机构可以对已发出的磋商文件进行必要的澄清或者修改，澄清或者修改的内容作为磋商文件的组成部分。澄清或者修改的内容可能影响响应文件编制的，采购人或者采购代理机构应当在提交首次响应文件截止之日</w:t>
      </w:r>
      <w:r>
        <w:rPr>
          <w:rFonts w:ascii="宋体" w:hAnsi="宋体" w:eastAsia="宋体"/>
          <w:color w:val="auto"/>
          <w:szCs w:val="21"/>
          <w:highlight w:val="none"/>
        </w:rPr>
        <w:t>3个工作</w:t>
      </w:r>
      <w:r>
        <w:rPr>
          <w:rFonts w:hint="eastAsia" w:ascii="宋体" w:hAnsi="宋体" w:eastAsia="宋体"/>
          <w:color w:val="auto"/>
          <w:szCs w:val="21"/>
          <w:highlight w:val="none"/>
        </w:rPr>
        <w:t>日前，在原公告发布媒体上发布更正公告，并以书面形式通知所有获取磋商文件的供应商，不足</w:t>
      </w:r>
      <w:r>
        <w:rPr>
          <w:rFonts w:ascii="宋体" w:hAnsi="宋体" w:eastAsia="宋体"/>
          <w:color w:val="auto"/>
          <w:szCs w:val="21"/>
          <w:highlight w:val="none"/>
        </w:rPr>
        <w:t>3个工作</w:t>
      </w:r>
      <w:r>
        <w:rPr>
          <w:rFonts w:hint="eastAsia" w:ascii="宋体" w:hAnsi="宋体" w:eastAsia="宋体"/>
          <w:color w:val="auto"/>
          <w:szCs w:val="21"/>
          <w:highlight w:val="none"/>
        </w:rPr>
        <w:t>日的，应当顺延提交首次响应文件截止时间。</w:t>
      </w:r>
    </w:p>
    <w:p w14:paraId="35B43F6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10.2采购人和采购代理机构可以视采购具体情况，变更首次响应文件提交截止时间和开启时间，并在原公告发布媒体上发布更正公告。</w:t>
      </w:r>
    </w:p>
    <w:p w14:paraId="5EF11CB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10.3磋商文件澄清、答复、修改、补充的内容为磋商文件的组成部分。当磋商文件与磋商文件的澄清、答复、修改、补充通知就同一内容的表述不一致时，以最后发出的文件为准。</w:t>
      </w:r>
    </w:p>
    <w:p w14:paraId="62E8C36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10.4响应文件未按磋商文件的澄清、修改后的内容编制的，其响应文件作无效响应处理。</w:t>
      </w:r>
    </w:p>
    <w:p w14:paraId="169DDFA0">
      <w:pPr>
        <w:pStyle w:val="4"/>
        <w:shd w:val="clear"/>
        <w:jc w:val="left"/>
        <w:rPr>
          <w:rFonts w:ascii="宋体" w:hAnsi="宋体" w:eastAsia="宋体"/>
          <w:color w:val="auto"/>
          <w:sz w:val="28"/>
          <w:szCs w:val="28"/>
          <w:highlight w:val="none"/>
        </w:rPr>
      </w:pPr>
      <w:bookmarkStart w:id="16" w:name="_Toc197530109"/>
      <w:r>
        <w:rPr>
          <w:rFonts w:hint="eastAsia" w:ascii="宋体" w:hAnsi="宋体" w:eastAsia="宋体"/>
          <w:color w:val="auto"/>
          <w:sz w:val="28"/>
          <w:szCs w:val="28"/>
          <w:highlight w:val="none"/>
        </w:rPr>
        <w:t>（三）响应文件的编制</w:t>
      </w:r>
      <w:bookmarkEnd w:id="16"/>
    </w:p>
    <w:p w14:paraId="4198CB5A">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11.响应文件的编制原则</w:t>
      </w:r>
    </w:p>
    <w:p w14:paraId="1DBE077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供应商必须按照磋商文件的要求编制响应文件，并对其提交的响应文件的真实性、合法性承担法律责任。响应文件必须对磋商文件作出实质性响应。</w:t>
      </w:r>
    </w:p>
    <w:p w14:paraId="1E3092C2">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12.响应文件的组成</w:t>
      </w:r>
    </w:p>
    <w:p w14:paraId="487AD6F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12.1响应文件由资格证明文件、报价文件、商务技术文件三部分组成。</w:t>
      </w:r>
    </w:p>
    <w:p w14:paraId="2B96C92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12.1.1资格证明文件：详见“供应商须知前附表”。</w:t>
      </w:r>
    </w:p>
    <w:p w14:paraId="52AFD92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12.1.2报价文件：详见“供应商须知前附表”。</w:t>
      </w:r>
    </w:p>
    <w:p w14:paraId="3F2B5E6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12.1.3商务技术文件：详见“供应商须知前附表”。</w:t>
      </w:r>
    </w:p>
    <w:p w14:paraId="7DD25595">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13.计量单位</w:t>
      </w:r>
    </w:p>
    <w:p w14:paraId="092A3B1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磋商文件已有明确规定的，使用磋商文件规定的计量单位；磋商文件没有规定的，应采用中华人民共和国法定计量单位，货币种类为人民币，否则视同未响应。</w:t>
      </w:r>
    </w:p>
    <w:p w14:paraId="342A2598">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14.竞争性磋商的风险</w:t>
      </w:r>
    </w:p>
    <w:p w14:paraId="4FF1073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供应商没有按照磋商文件要求提供全部资料，或者供应商没有对磋商文件在各方面作出实质性响应可能导致其响应无效，是供应商应当考虑的风险。</w:t>
      </w:r>
    </w:p>
    <w:p w14:paraId="6CADCDDF">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15.竞争性磋商报价</w:t>
      </w:r>
    </w:p>
    <w:p w14:paraId="62BFD38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15.1竞争性磋商报价应按磋商文件中“竞争性磋商报价表”格式填写。</w:t>
      </w:r>
    </w:p>
    <w:p w14:paraId="7421E07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15.2竞争性磋商报价的内容见“供应商须知前附表”。</w:t>
      </w:r>
    </w:p>
    <w:p w14:paraId="52AE197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15.3本项目的增值税计税方法见“供应商须知前附表”。</w:t>
      </w:r>
    </w:p>
    <w:p w14:paraId="7C12CB9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15.4竞争性磋商报价要求：</w:t>
      </w:r>
    </w:p>
    <w:p w14:paraId="7819E50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15.4.1供应商的竞争性磋商报价应符合以下要求，否则响应文件按无效响应处理：</w:t>
      </w:r>
    </w:p>
    <w:p w14:paraId="14752BB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（1）供应商必须就“采购需求”中所参加竞争性磋商的每个分标的全部内容分别作完整唯一报价，不得存在漏项报价；</w:t>
      </w:r>
    </w:p>
    <w:p w14:paraId="6E1AFF6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（2）供应商必须就所参加竞争性磋商的分标的单项内容作唯一报价。</w:t>
      </w:r>
    </w:p>
    <w:p w14:paraId="1CC49F7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15.4.2竞争性磋商报价（包含首次报价、最后报价）超过所参加竞争性磋商分标规定的采购预算金额或者最高限价的，其响应文件将按无效处理。</w:t>
      </w:r>
    </w:p>
    <w:p w14:paraId="3E26165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15.4.3竞争性磋商报价（包含首次报价、最后报价）超过分项采购预算金额或者最高限价的，其响应文件将按无效处理。</w:t>
      </w:r>
    </w:p>
    <w:p w14:paraId="56348C81">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16.竞争性磋商有效期</w:t>
      </w:r>
    </w:p>
    <w:p w14:paraId="38FF1CD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16.1竞争性磋商有效期是指为保证采购人有足够的时间在提交响应文件后完成评审、确定成交供应商、合同签订等工作而要求供应商提交的响应文件在一定时间内保持有效的期限。</w:t>
      </w:r>
    </w:p>
    <w:p w14:paraId="2E020DC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16.2竞争性磋商有效期应由供应商按“供应商须知前附表”规定的期限作出响应。</w:t>
      </w:r>
    </w:p>
    <w:p w14:paraId="1FD6F1B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16.3供应商的响应文件在竞争性磋商有效期内均保持有效。</w:t>
      </w:r>
    </w:p>
    <w:p w14:paraId="1404E230">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17.磋商保证金</w:t>
      </w:r>
    </w:p>
    <w:p w14:paraId="1A660EF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17.1供应商须按“供应商须知前附表”的规定缴纳磋商保证金。</w:t>
      </w:r>
    </w:p>
    <w:p w14:paraId="58584D0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17.2磋商保证金的退还</w:t>
      </w:r>
    </w:p>
    <w:p w14:paraId="4E8EF93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未成交供应商的磋商保证金自成交通知书发出之日起5个工作日内退还；成交供应商的磋商保证金自签订合同之日起5个工作日内退还成交供应商。</w:t>
      </w:r>
    </w:p>
    <w:p w14:paraId="5DFB119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17.3磋商保证金不计息。</w:t>
      </w:r>
    </w:p>
    <w:p w14:paraId="03DD9AB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17.4供应商有下列情形之一的，磋商保证金将不予退还：</w:t>
      </w:r>
    </w:p>
    <w:p w14:paraId="6784B99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（1）供应商在提交响应文件截止时间后撤回响应文件的；</w:t>
      </w:r>
    </w:p>
    <w:p w14:paraId="69D1AE2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（2）未按规定缴纳履约保证金的；</w:t>
      </w:r>
    </w:p>
    <w:p w14:paraId="2C12DA2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（3）供应商在响应文件中提供虚假材料的；</w:t>
      </w:r>
    </w:p>
    <w:p w14:paraId="6A479E5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（4）除因不可抗力或者磋商文件认可的情形以外，成交供应商不与采购人签订合同的；</w:t>
      </w:r>
    </w:p>
    <w:p w14:paraId="5891AAA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（5）供应商与采购人、其他供应商或者采购代理机构恶意串通的；</w:t>
      </w:r>
    </w:p>
    <w:p w14:paraId="674D5E2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（6）法律法规规定的其他情形。</w:t>
      </w:r>
    </w:p>
    <w:p w14:paraId="1E20E312">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18.响应文件编制的要求</w:t>
      </w:r>
    </w:p>
    <w:p w14:paraId="6EB3DD2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18.1供应商应安装客户端软件—“广西政府采购云平台新版客户端”，并按照磋商文件和电子交易平台的要求编制并加密响应文件。供应商未按规定加密的响应文件，电子交易平台将拒收并提示。响应文件内容不完整、编排混乱导致响应文件被误读、漏读或者查找不到相关内容的，由此引发的后果由供应商承担。</w:t>
      </w:r>
    </w:p>
    <w:p w14:paraId="053873D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18.2为确保网上操作合法、有效和安全，供应商应当在提交响应文件截止时间前完成在“广西政府采购云平台”的身份认证，确保在磋商过程中能够对相关数据电文进行加密和使用电子签章。使用“广西政府采购云平台电子交易客户端”需要提前申领CA数字证书。</w:t>
      </w:r>
    </w:p>
    <w:p w14:paraId="61C1DCC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18.3响应文件须由供应商按采购文件要求签字、盖章（具体以供应商须知前附表或响应文件格式规定为准），否则按无效响应处理。</w:t>
      </w:r>
    </w:p>
    <w:p w14:paraId="65404D1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18.4响应文件中标注的供应商名称应与主体资格证明（如营业执照或者事业单位法人证书或者执业许可证或者登记证书等）及公章一致，否则其响应文件按无效处理。</w:t>
      </w:r>
    </w:p>
    <w:p w14:paraId="6EDA09B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3DB30785">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19.电子备份响应文件</w:t>
      </w:r>
    </w:p>
    <w:p w14:paraId="18345DF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本项目不接受备份响应文件。</w:t>
      </w:r>
    </w:p>
    <w:p w14:paraId="2C04E495">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20.响应文件的提交</w:t>
      </w:r>
    </w:p>
    <w:p w14:paraId="52C1EF8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20.1供应商必须按“供应商须知前附表”规定的时间及地点提交响应文件。电子响应文件应在制作完成后，在提交响应文件截止时间前通过有效数字证书（CA认证锁）进行电子签章、加密，然后通过网络将加密的电子响应文件提交至广西政府采购云平台。</w:t>
      </w:r>
    </w:p>
    <w:p w14:paraId="750F389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20.2未在规定时间内提交或者未按照磋商文件要求加密的电子响应文件，广西政府采购云平台将拒收。</w:t>
      </w:r>
    </w:p>
    <w:p w14:paraId="63FA6F7D">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21.首次响应文件的补充、修改与撤回</w:t>
      </w:r>
    </w:p>
    <w:p w14:paraId="1993F3A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21.1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注：补充、修改或者撤回方式可登陆广西政府采购云平台（https：//www.gcy.zfcg.gxzf.gov.cn/）中查看。）</w:t>
      </w:r>
    </w:p>
    <w:p w14:paraId="5BF69D4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21.2在提交响应文件截止时间前，除供应商补充、修改或者撤回响应文件外，任何单位和个人不得解密或提取响应文件。</w:t>
      </w:r>
    </w:p>
    <w:p w14:paraId="1EFC0682">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22.响应文件的退回</w:t>
      </w:r>
    </w:p>
    <w:p w14:paraId="459263A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采购人和采购代理机构对已提交的响应文件概不退回。</w:t>
      </w:r>
    </w:p>
    <w:p w14:paraId="1C068B0A">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23.截止时间后的撤回</w:t>
      </w:r>
    </w:p>
    <w:p w14:paraId="4210B20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供应商在响应文件提交截止时间后向采购人、采购代理机构书面申请撤回响应文件的，将根据本须知正文第17.4条的规定不予退还其磋商保证金。</w:t>
      </w:r>
    </w:p>
    <w:p w14:paraId="158ACDFA">
      <w:pPr>
        <w:pStyle w:val="4"/>
        <w:shd w:val="clear"/>
        <w:jc w:val="left"/>
        <w:rPr>
          <w:rFonts w:ascii="宋体" w:hAnsi="宋体" w:eastAsia="宋体"/>
          <w:color w:val="auto"/>
          <w:sz w:val="28"/>
          <w:szCs w:val="28"/>
          <w:highlight w:val="none"/>
        </w:rPr>
      </w:pPr>
      <w:bookmarkStart w:id="17" w:name="_Toc197530110"/>
      <w:r>
        <w:rPr>
          <w:rFonts w:hint="eastAsia" w:ascii="宋体" w:hAnsi="宋体" w:eastAsia="宋体"/>
          <w:color w:val="auto"/>
          <w:sz w:val="28"/>
          <w:szCs w:val="28"/>
          <w:highlight w:val="none"/>
        </w:rPr>
        <w:t>（四）评审及磋商</w:t>
      </w:r>
      <w:bookmarkEnd w:id="17"/>
    </w:p>
    <w:p w14:paraId="090CA6F9">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24.磋商小组成立</w:t>
      </w:r>
    </w:p>
    <w:p w14:paraId="456E45F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14:paraId="327E243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2C3F260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24.3采购代理机构应当基于广西政府采购云平台抽（选）取评审专家。</w:t>
      </w:r>
    </w:p>
    <w:p w14:paraId="0DA26CD4">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25.首次响应文件的开启和解密</w:t>
      </w:r>
    </w:p>
    <w:p w14:paraId="2B35C0C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采购代理机构将在“供应商须知前附表”规定的时间通过电子交易平台组织响应文件开启，供应商的法定代表人或其委托代理人须携带加密时所用的CA锁，按平台提示和磋商文件的规定登录到广西政府采购云平台电子开标大厅签到，采购代理机构依托广西政府采购云平台向各供应商发出电子加密响应文件【开始解密】通知，由供应商按“供应商须知前附表”规定的时间内自行进行响应文件解密。供应商未在规定的时间内解密响应文件或者解密失败的，供应商的响应文件按无效处理。</w:t>
      </w:r>
    </w:p>
    <w:p w14:paraId="4831823C">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26.评审程序、评审方法和评审标准</w:t>
      </w:r>
    </w:p>
    <w:p w14:paraId="2E5E1FE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26.1本项目的评审方法为综合评分法。</w:t>
      </w:r>
    </w:p>
    <w:p w14:paraId="6BF9935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26.2磋商小组按照“第四章评审程序、评审方法和评审标准”规定的方法、评审因素、标准和程序对响应文件进行评审并推荐成交候选供应商。</w:t>
      </w:r>
    </w:p>
    <w:p w14:paraId="6095541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26.3商务/技术要求允许负偏离的条款数详见“供应商须知前附表”。</w:t>
      </w:r>
    </w:p>
    <w:p w14:paraId="5BC7726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26.4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0D7C01C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26.5电子交易活动的中止。采购过程中出现以下情形，导致电子交易平台无法正常运行，或者无法保证电子交易的公平、公正和安全时，采购机构可中止电子交易活动：</w:t>
      </w:r>
    </w:p>
    <w:p w14:paraId="695C0F0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（1）电子交易平台发生故障而无法登录访问的；</w:t>
      </w:r>
    </w:p>
    <w:p w14:paraId="0BB91EB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（2）电子交易平台应用或数据库出现错误，不能进行正常操作的；</w:t>
      </w:r>
    </w:p>
    <w:p w14:paraId="57DC1B8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（3）电子交易平台发现严重安全漏洞，有潜在泄密危险的；</w:t>
      </w:r>
    </w:p>
    <w:p w14:paraId="3219346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（4）病毒发作导致不能进行正常操作的；</w:t>
      </w:r>
    </w:p>
    <w:p w14:paraId="0BFD3BC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（5）其他无法保证电子交易的公平、公正和安全的情况。</w:t>
      </w:r>
    </w:p>
    <w:p w14:paraId="0CE9FBC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26.6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076D08FE">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27.确定成交供应商及结果公告</w:t>
      </w:r>
    </w:p>
    <w:p w14:paraId="7CFEA9D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27.1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0C7D9A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14:paraId="1DF5CF6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27.3出现下列情形之一的，采购人或者采购代理机构应当终止竞争性磋商采购活动，发布项目终止公告并说明原因，重新开展采购活动：</w:t>
      </w:r>
    </w:p>
    <w:p w14:paraId="7A23A12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（1）因情况变化，不再符合规定的竞争性磋商采购方式适用情形的；</w:t>
      </w:r>
    </w:p>
    <w:p w14:paraId="43EA281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（2）出现影响采购公正的违法、违规行为的；</w:t>
      </w:r>
    </w:p>
    <w:p w14:paraId="0911BD6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（3）除“第四章评审程序、评审方法和评审标准”第4.3条规定的情形外，在采购过程中符合要求的供应商或者报价未超过采购预算的供应商不足3家的。</w:t>
      </w:r>
    </w:p>
    <w:p w14:paraId="089AC16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27.4在采购活动中因重大变故，采购任务取消的，采购人或者采购代理机构应当终止采购活动，通知所有参加采购活动的供应商，并将项目实施情况和采购任务取消原因报送本级财政部门。</w:t>
      </w:r>
    </w:p>
    <w:p w14:paraId="33F94DE0">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28.履约保证金</w:t>
      </w:r>
    </w:p>
    <w:p w14:paraId="7E2D679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28.1履约保证金的金额、缴纳方式、退付的时间和条件详见“供应商须知前附表”。成交供应商未按规定缴纳履约保证金的，视同放弃成交资格。</w:t>
      </w:r>
    </w:p>
    <w:p w14:paraId="2EEBBDD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28.2在履约保证金退还日期前，若成交供应商的开户名称、开户银行、</w:t>
      </w:r>
      <w:r>
        <w:rPr>
          <w:rFonts w:hint="eastAsia" w:ascii="宋体" w:hAnsi="宋体"/>
          <w:color w:val="auto"/>
          <w:szCs w:val="21"/>
          <w:highlight w:val="none"/>
        </w:rPr>
        <w:t>账号</w:t>
      </w:r>
      <w:r>
        <w:rPr>
          <w:rFonts w:hint="eastAsia" w:ascii="宋体" w:hAnsi="宋体" w:eastAsia="宋体"/>
          <w:color w:val="auto"/>
          <w:szCs w:val="21"/>
          <w:highlight w:val="none"/>
        </w:rPr>
        <w:t>有变动的，请以书面形式通知履约保证金收取单位，否则由此产生的后果由成交供应商自行承担。</w:t>
      </w:r>
    </w:p>
    <w:p w14:paraId="24DE7437">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29.签订合同</w:t>
      </w:r>
    </w:p>
    <w:p w14:paraId="051D21A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29.1签订电子采购合同：成交供应商领取电子成交通知书后，在规定的日期、时间、地点，由法定代表人或其授权代表与采购人代表签订电子采购合同。如成交供应商为联合体的，由联合体成员各方法定代表人或其授权代表与采购人代表签订合同。</w:t>
      </w:r>
    </w:p>
    <w:p w14:paraId="49A1861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线下签订纸质合同：供应商领取成交通知书后，按“供应商须知前附表”规定向采购人出示相关证明材料，经采购人核验合格后方可签订合同。</w:t>
      </w:r>
    </w:p>
    <w:p w14:paraId="54A232E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29.2签订合同时间：在成交通知书规定的时间内与采购人签订合同。</w:t>
      </w:r>
    </w:p>
    <w:p w14:paraId="6D881FE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w:t>
      </w:r>
    </w:p>
    <w:p w14:paraId="1A3E075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成交供应商放弃成交项目，拒绝与采购人签订合同的，其磋商保证金将不予退还，并上缴国库。给采购人造成损失，或（并）因此延误采购人工期计划的，须依据《中华人民共和国民法典》第五百条、《政府采购非招标采购方式管理办法（财政部令第74号）》第二十二条、第五十四条规定、《工程建设项目施工招标投标办法（2013年修正）》第六十条和第八十一条等规定承担赔偿损失等法律责任，采购人有权将成交供应商的失信行为报财政部门记入诚信档案，以示惩戒。</w:t>
      </w:r>
    </w:p>
    <w:p w14:paraId="58AD583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D1E499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5DF9F94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29.6如签订合同并生效后，供应商无故拒绝或延期，除按照合同条款处理外，将承担相应的法律责任。</w:t>
      </w:r>
    </w:p>
    <w:p w14:paraId="59DBEC75">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30.政府采购合同公告</w:t>
      </w:r>
    </w:p>
    <w:p w14:paraId="650B270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7E558A3">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31.询问、质疑和投诉</w:t>
      </w:r>
    </w:p>
    <w:p w14:paraId="3486534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31.1供应商对政府采购活动事项有疑问的，可以向采购人、采购代理机构提出询问，采购人或者采购代理机构应当在3个工作日内对供应商依法提出的询问作出答复，但答复的内容不得涉及商业秘密。</w:t>
      </w:r>
    </w:p>
    <w:p w14:paraId="2035EAE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供应商须知前附表”。具体质疑起算时间如下：</w:t>
      </w:r>
    </w:p>
    <w:p w14:paraId="4F81F33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（1）对可以质疑的磋商文件提出质疑的，为获取磋商文件之日或者竞争性磋商公告期限届满之日；</w:t>
      </w:r>
    </w:p>
    <w:p w14:paraId="475C678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（2）对采购过程提出质疑的，为各采购程序环节结束之日；</w:t>
      </w:r>
    </w:p>
    <w:p w14:paraId="3EFBE0F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（3）对成交结果提出质疑的，为成交结果公告期限届满之日。</w:t>
      </w:r>
    </w:p>
    <w:p w14:paraId="5FF2051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2B97D3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31.4供应商提出质疑应当提交质疑函和必要的证明材料，针对同一采购程序环节的质疑必须在法定质疑期内一次性提出。质疑函应当包括下列内容（质疑函格式后附）：</w:t>
      </w:r>
    </w:p>
    <w:p w14:paraId="0105CCF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（1）供应商的姓名或者名称、地址、邮编、联系人及联系电话；</w:t>
      </w:r>
    </w:p>
    <w:p w14:paraId="5694469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（2）质疑项目的名称、编号；</w:t>
      </w:r>
    </w:p>
    <w:p w14:paraId="1163FCA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（3）具体、明确的质疑事项和与质疑事项相关的请求；</w:t>
      </w:r>
    </w:p>
    <w:p w14:paraId="43E1292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（4）事实依据；</w:t>
      </w:r>
    </w:p>
    <w:p w14:paraId="2FF5834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（5）必要的法律依据；</w:t>
      </w:r>
    </w:p>
    <w:p w14:paraId="78B941A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（6）提出质疑的日期。</w:t>
      </w:r>
    </w:p>
    <w:p w14:paraId="7617C8B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供应商为自然人的，应当由本人签字；供应商为法人或者其他组织的，应当由法定代表人、主要负责人，或者其委托代理人签字或者盖章，并加盖公章。</w:t>
      </w:r>
    </w:p>
    <w:p w14:paraId="097B8E1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31.5采购人、采购代理机构认为供应商质疑不成立，或者成立但未对成交结果构成影响的，继续开展采购活动；认为供应商质疑成立且影响或者可能影响成交结果的，按照下列情况处理：</w:t>
      </w:r>
    </w:p>
    <w:p w14:paraId="6407B79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（1）对采购文件提出的质疑，依法通过澄清或者修改可以继续开展采购活动的，澄清或者修改采购文件后继续开展采购活动；否则应当修改采购文件后重新开展采购活动。</w:t>
      </w:r>
    </w:p>
    <w:p w14:paraId="171AF98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（2）对采购过程或者成交结果提出的质疑且质疑成立，合格供应商符合法定数量时，可以从合格的成交候选人中另行确定成交供应商的，应当依法另行确定成交供应商；否则应当重新开展采购活动。</w:t>
      </w:r>
    </w:p>
    <w:p w14:paraId="00E318B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质疑答复导致成交结果改变的，采购人或者采购代理机构应当将有关情况书面报告本级财政部门。</w:t>
      </w:r>
    </w:p>
    <w:p w14:paraId="2338F80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B91126B">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32.其他内容</w:t>
      </w:r>
    </w:p>
    <w:p w14:paraId="677C765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32.1代理服务费收取标准及缴费账户详见“供应商须知前附表”，供应商为联合体的，可以由联合体中的一方或者多方共同缴纳代理服务费。</w:t>
      </w:r>
    </w:p>
    <w:p w14:paraId="2CD4B32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32.2代理服务费收费计算标准：</w:t>
      </w:r>
    </w:p>
    <w:tbl>
      <w:tblPr>
        <w:tblStyle w:val="38"/>
        <w:tblW w:w="0" w:type="auto"/>
        <w:jc w:val="center"/>
        <w:tblLayout w:type="autofit"/>
        <w:tblCellMar>
          <w:top w:w="0" w:type="dxa"/>
          <w:left w:w="108" w:type="dxa"/>
          <w:bottom w:w="0" w:type="dxa"/>
          <w:right w:w="108" w:type="dxa"/>
        </w:tblCellMar>
      </w:tblPr>
      <w:tblGrid>
        <w:gridCol w:w="2336"/>
        <w:gridCol w:w="2336"/>
        <w:gridCol w:w="2336"/>
        <w:gridCol w:w="2336"/>
      </w:tblGrid>
      <w:tr w14:paraId="36A8C40E">
        <w:trPr>
          <w:trHeight w:val="1509" w:hRule="atLeast"/>
          <w:jc w:val="center"/>
        </w:trPr>
        <w:tc>
          <w:tcPr>
            <w:tcW w:w="2336" w:type="dxa"/>
            <w:tcBorders>
              <w:top w:val="single" w:color="auto" w:sz="4" w:space="0"/>
              <w:left w:val="single" w:color="auto" w:sz="4" w:space="0"/>
              <w:bottom w:val="single" w:color="auto" w:sz="4" w:space="0"/>
              <w:right w:val="single" w:color="auto" w:sz="4" w:space="0"/>
              <w:tl2br w:val="single" w:color="auto" w:sz="4" w:space="0"/>
            </w:tcBorders>
            <w:vAlign w:val="center"/>
          </w:tcPr>
          <w:p w14:paraId="76E8FCC9">
            <w:pPr>
              <w:shd w:val="clear"/>
              <w:spacing w:line="360" w:lineRule="auto"/>
              <w:jc w:val="right"/>
              <w:rPr>
                <w:rFonts w:ascii="宋体" w:hAnsi="宋体"/>
                <w:color w:val="auto"/>
                <w:szCs w:val="21"/>
                <w:highlight w:val="none"/>
              </w:rPr>
            </w:pPr>
            <w:r>
              <w:rPr>
                <w:rFonts w:hint="eastAsia" w:ascii="宋体" w:hAnsi="宋体"/>
                <w:color w:val="auto"/>
                <w:szCs w:val="21"/>
                <w:highlight w:val="none"/>
              </w:rPr>
              <w:t>费率</w:t>
            </w:r>
          </w:p>
          <w:p w14:paraId="63369843">
            <w:pPr>
              <w:shd w:val="clear"/>
              <w:spacing w:line="360" w:lineRule="auto"/>
              <w:jc w:val="left"/>
              <w:rPr>
                <w:rFonts w:ascii="宋体" w:hAnsi="宋体"/>
                <w:color w:val="auto"/>
                <w:szCs w:val="21"/>
                <w:highlight w:val="none"/>
              </w:rPr>
            </w:pPr>
          </w:p>
          <w:p w14:paraId="407C3C40">
            <w:pPr>
              <w:shd w:val="clear"/>
              <w:spacing w:line="360" w:lineRule="auto"/>
              <w:jc w:val="left"/>
              <w:rPr>
                <w:rFonts w:ascii="宋体" w:hAnsi="宋体"/>
                <w:color w:val="auto"/>
                <w:szCs w:val="21"/>
                <w:highlight w:val="none"/>
              </w:rPr>
            </w:pPr>
            <w:r>
              <w:rPr>
                <w:rFonts w:hint="eastAsia" w:ascii="宋体" w:hAnsi="宋体"/>
                <w:color w:val="auto"/>
                <w:szCs w:val="21"/>
                <w:highlight w:val="none"/>
              </w:rPr>
              <w:t>金额（人民币）</w:t>
            </w:r>
          </w:p>
        </w:tc>
        <w:tc>
          <w:tcPr>
            <w:tcW w:w="2336" w:type="dxa"/>
            <w:tcBorders>
              <w:top w:val="single" w:color="auto" w:sz="4" w:space="0"/>
              <w:left w:val="single" w:color="auto" w:sz="4" w:space="0"/>
              <w:bottom w:val="single" w:color="auto" w:sz="4" w:space="0"/>
              <w:right w:val="single" w:color="auto" w:sz="4" w:space="0"/>
            </w:tcBorders>
            <w:vAlign w:val="center"/>
          </w:tcPr>
          <w:p w14:paraId="79202B07">
            <w:pPr>
              <w:shd w:val="clear"/>
              <w:spacing w:line="360" w:lineRule="auto"/>
              <w:jc w:val="center"/>
              <w:rPr>
                <w:rFonts w:ascii="宋体" w:hAnsi="宋体"/>
                <w:color w:val="auto"/>
                <w:szCs w:val="21"/>
                <w:highlight w:val="none"/>
              </w:rPr>
            </w:pPr>
            <w:r>
              <w:rPr>
                <w:rFonts w:hint="eastAsia" w:ascii="宋体" w:hAnsi="宋体"/>
                <w:color w:val="auto"/>
                <w:szCs w:val="21"/>
                <w:highlight w:val="none"/>
              </w:rPr>
              <w:t>货物类</w:t>
            </w:r>
          </w:p>
        </w:tc>
        <w:tc>
          <w:tcPr>
            <w:tcW w:w="2336" w:type="dxa"/>
            <w:tcBorders>
              <w:top w:val="single" w:color="auto" w:sz="4" w:space="0"/>
              <w:left w:val="single" w:color="auto" w:sz="4" w:space="0"/>
              <w:bottom w:val="single" w:color="auto" w:sz="4" w:space="0"/>
              <w:right w:val="single" w:color="auto" w:sz="4" w:space="0"/>
            </w:tcBorders>
            <w:vAlign w:val="center"/>
          </w:tcPr>
          <w:p w14:paraId="621FAC31">
            <w:pPr>
              <w:shd w:val="clear"/>
              <w:spacing w:line="360" w:lineRule="auto"/>
              <w:jc w:val="center"/>
              <w:rPr>
                <w:rFonts w:ascii="宋体" w:hAnsi="宋体"/>
                <w:color w:val="auto"/>
                <w:szCs w:val="21"/>
                <w:highlight w:val="none"/>
              </w:rPr>
            </w:pPr>
            <w:r>
              <w:rPr>
                <w:rFonts w:hint="eastAsia" w:ascii="宋体" w:hAnsi="宋体"/>
                <w:color w:val="auto"/>
                <w:szCs w:val="21"/>
                <w:highlight w:val="none"/>
              </w:rPr>
              <w:t>服务类</w:t>
            </w:r>
          </w:p>
        </w:tc>
        <w:tc>
          <w:tcPr>
            <w:tcW w:w="2336" w:type="dxa"/>
            <w:tcBorders>
              <w:top w:val="single" w:color="auto" w:sz="4" w:space="0"/>
              <w:left w:val="single" w:color="auto" w:sz="4" w:space="0"/>
              <w:bottom w:val="single" w:color="auto" w:sz="4" w:space="0"/>
              <w:right w:val="single" w:color="auto" w:sz="4" w:space="0"/>
            </w:tcBorders>
            <w:vAlign w:val="center"/>
          </w:tcPr>
          <w:p w14:paraId="741DCF5B">
            <w:pPr>
              <w:shd w:val="clear"/>
              <w:spacing w:line="360" w:lineRule="auto"/>
              <w:jc w:val="center"/>
              <w:rPr>
                <w:rFonts w:ascii="宋体" w:hAnsi="宋体"/>
                <w:color w:val="auto"/>
                <w:szCs w:val="21"/>
                <w:highlight w:val="none"/>
              </w:rPr>
            </w:pPr>
            <w:r>
              <w:rPr>
                <w:rFonts w:hint="eastAsia" w:ascii="宋体" w:hAnsi="宋体"/>
                <w:color w:val="auto"/>
                <w:szCs w:val="21"/>
                <w:highlight w:val="none"/>
              </w:rPr>
              <w:t>工程类</w:t>
            </w:r>
          </w:p>
        </w:tc>
      </w:tr>
      <w:tr w14:paraId="607C02C4">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03761971">
            <w:pPr>
              <w:shd w:val="clear"/>
              <w:spacing w:line="360" w:lineRule="auto"/>
              <w:jc w:val="center"/>
              <w:rPr>
                <w:rFonts w:ascii="宋体" w:hAnsi="宋体"/>
                <w:color w:val="auto"/>
                <w:szCs w:val="21"/>
                <w:highlight w:val="none"/>
              </w:rPr>
            </w:pPr>
            <w:r>
              <w:rPr>
                <w:rFonts w:hint="eastAsia" w:ascii="宋体" w:hAnsi="宋体"/>
                <w:color w:val="auto"/>
                <w:szCs w:val="21"/>
                <w:highlight w:val="none"/>
              </w:rPr>
              <w:t>100万元以下</w:t>
            </w:r>
          </w:p>
        </w:tc>
        <w:tc>
          <w:tcPr>
            <w:tcW w:w="2336" w:type="dxa"/>
            <w:tcBorders>
              <w:top w:val="single" w:color="auto" w:sz="4" w:space="0"/>
              <w:left w:val="single" w:color="auto" w:sz="4" w:space="0"/>
              <w:bottom w:val="single" w:color="auto" w:sz="4" w:space="0"/>
              <w:right w:val="single" w:color="auto" w:sz="4" w:space="0"/>
            </w:tcBorders>
            <w:vAlign w:val="center"/>
          </w:tcPr>
          <w:p w14:paraId="64BABB0C">
            <w:pPr>
              <w:shd w:val="clear"/>
              <w:spacing w:line="360" w:lineRule="auto"/>
              <w:jc w:val="center"/>
              <w:rPr>
                <w:rFonts w:ascii="宋体" w:hAnsi="宋体"/>
                <w:color w:val="auto"/>
                <w:szCs w:val="21"/>
                <w:highlight w:val="none"/>
              </w:rPr>
            </w:pPr>
            <w:r>
              <w:rPr>
                <w:rFonts w:hint="eastAsia" w:ascii="宋体" w:hAnsi="宋体"/>
                <w:color w:val="auto"/>
                <w:szCs w:val="21"/>
                <w:highlight w:val="none"/>
              </w:rPr>
              <w:t>1.5%</w:t>
            </w:r>
          </w:p>
        </w:tc>
        <w:tc>
          <w:tcPr>
            <w:tcW w:w="2336" w:type="dxa"/>
            <w:tcBorders>
              <w:top w:val="single" w:color="auto" w:sz="4" w:space="0"/>
              <w:left w:val="single" w:color="auto" w:sz="4" w:space="0"/>
              <w:bottom w:val="single" w:color="auto" w:sz="4" w:space="0"/>
              <w:right w:val="single" w:color="auto" w:sz="4" w:space="0"/>
            </w:tcBorders>
            <w:vAlign w:val="center"/>
          </w:tcPr>
          <w:p w14:paraId="6AA6A1A2">
            <w:pPr>
              <w:shd w:val="clear"/>
              <w:spacing w:line="360" w:lineRule="auto"/>
              <w:jc w:val="center"/>
              <w:rPr>
                <w:rFonts w:ascii="宋体" w:hAnsi="宋体"/>
                <w:color w:val="auto"/>
                <w:szCs w:val="21"/>
                <w:highlight w:val="none"/>
              </w:rPr>
            </w:pPr>
            <w:r>
              <w:rPr>
                <w:rFonts w:hint="eastAsia" w:ascii="宋体" w:hAnsi="宋体"/>
                <w:color w:val="auto"/>
                <w:szCs w:val="21"/>
                <w:highlight w:val="none"/>
              </w:rPr>
              <w:t>1.5%</w:t>
            </w:r>
          </w:p>
        </w:tc>
        <w:tc>
          <w:tcPr>
            <w:tcW w:w="2336" w:type="dxa"/>
            <w:tcBorders>
              <w:top w:val="single" w:color="auto" w:sz="4" w:space="0"/>
              <w:left w:val="single" w:color="auto" w:sz="4" w:space="0"/>
              <w:bottom w:val="single" w:color="auto" w:sz="4" w:space="0"/>
              <w:right w:val="single" w:color="auto" w:sz="4" w:space="0"/>
            </w:tcBorders>
            <w:vAlign w:val="center"/>
          </w:tcPr>
          <w:p w14:paraId="1593C1BC">
            <w:pPr>
              <w:shd w:val="clear"/>
              <w:spacing w:line="360" w:lineRule="auto"/>
              <w:jc w:val="center"/>
              <w:rPr>
                <w:rFonts w:ascii="宋体" w:hAnsi="宋体"/>
                <w:color w:val="auto"/>
                <w:szCs w:val="21"/>
                <w:highlight w:val="none"/>
              </w:rPr>
            </w:pPr>
            <w:r>
              <w:rPr>
                <w:rFonts w:hint="eastAsia" w:ascii="宋体" w:hAnsi="宋体"/>
                <w:color w:val="auto"/>
                <w:szCs w:val="21"/>
                <w:highlight w:val="none"/>
              </w:rPr>
              <w:t>1.0%</w:t>
            </w:r>
          </w:p>
        </w:tc>
      </w:tr>
      <w:tr w14:paraId="724F48D2">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1082FF42">
            <w:pPr>
              <w:shd w:val="clear"/>
              <w:spacing w:line="360" w:lineRule="auto"/>
              <w:jc w:val="center"/>
              <w:rPr>
                <w:rFonts w:ascii="宋体" w:hAnsi="宋体"/>
                <w:color w:val="auto"/>
                <w:szCs w:val="21"/>
                <w:highlight w:val="none"/>
              </w:rPr>
            </w:pPr>
            <w:r>
              <w:rPr>
                <w:rFonts w:hint="eastAsia" w:ascii="宋体" w:hAnsi="宋体"/>
                <w:color w:val="auto"/>
                <w:szCs w:val="21"/>
                <w:highlight w:val="none"/>
              </w:rPr>
              <w:t>100～500万元</w:t>
            </w:r>
          </w:p>
        </w:tc>
        <w:tc>
          <w:tcPr>
            <w:tcW w:w="2336" w:type="dxa"/>
            <w:tcBorders>
              <w:top w:val="single" w:color="auto" w:sz="4" w:space="0"/>
              <w:left w:val="single" w:color="auto" w:sz="4" w:space="0"/>
              <w:bottom w:val="single" w:color="auto" w:sz="4" w:space="0"/>
              <w:right w:val="single" w:color="auto" w:sz="4" w:space="0"/>
            </w:tcBorders>
            <w:vAlign w:val="center"/>
          </w:tcPr>
          <w:p w14:paraId="0C874997">
            <w:pPr>
              <w:shd w:val="clear"/>
              <w:spacing w:line="360" w:lineRule="auto"/>
              <w:jc w:val="center"/>
              <w:rPr>
                <w:rFonts w:ascii="宋体" w:hAnsi="宋体"/>
                <w:color w:val="auto"/>
                <w:szCs w:val="21"/>
                <w:highlight w:val="none"/>
              </w:rPr>
            </w:pPr>
            <w:r>
              <w:rPr>
                <w:rFonts w:hint="eastAsia" w:ascii="宋体" w:hAnsi="宋体"/>
                <w:color w:val="auto"/>
                <w:szCs w:val="21"/>
                <w:highlight w:val="none"/>
              </w:rPr>
              <w:t>1.1%</w:t>
            </w:r>
          </w:p>
        </w:tc>
        <w:tc>
          <w:tcPr>
            <w:tcW w:w="2336" w:type="dxa"/>
            <w:tcBorders>
              <w:top w:val="single" w:color="auto" w:sz="4" w:space="0"/>
              <w:left w:val="single" w:color="auto" w:sz="4" w:space="0"/>
              <w:bottom w:val="single" w:color="auto" w:sz="4" w:space="0"/>
              <w:right w:val="single" w:color="auto" w:sz="4" w:space="0"/>
            </w:tcBorders>
            <w:vAlign w:val="center"/>
          </w:tcPr>
          <w:p w14:paraId="3D1EEBB0">
            <w:pPr>
              <w:shd w:val="clear"/>
              <w:spacing w:line="360" w:lineRule="auto"/>
              <w:jc w:val="center"/>
              <w:rPr>
                <w:rFonts w:ascii="宋体" w:hAnsi="宋体"/>
                <w:color w:val="auto"/>
                <w:szCs w:val="21"/>
                <w:highlight w:val="none"/>
              </w:rPr>
            </w:pPr>
            <w:r>
              <w:rPr>
                <w:rFonts w:hint="eastAsia" w:ascii="宋体" w:hAnsi="宋体"/>
                <w:color w:val="auto"/>
                <w:szCs w:val="21"/>
                <w:highlight w:val="none"/>
              </w:rPr>
              <w:t>0.8%</w:t>
            </w:r>
          </w:p>
        </w:tc>
        <w:tc>
          <w:tcPr>
            <w:tcW w:w="2336" w:type="dxa"/>
            <w:tcBorders>
              <w:top w:val="single" w:color="auto" w:sz="4" w:space="0"/>
              <w:left w:val="single" w:color="auto" w:sz="4" w:space="0"/>
              <w:bottom w:val="single" w:color="auto" w:sz="4" w:space="0"/>
              <w:right w:val="single" w:color="auto" w:sz="4" w:space="0"/>
            </w:tcBorders>
            <w:vAlign w:val="center"/>
          </w:tcPr>
          <w:p w14:paraId="6644A3DD">
            <w:pPr>
              <w:shd w:val="clear"/>
              <w:spacing w:line="360" w:lineRule="auto"/>
              <w:jc w:val="center"/>
              <w:rPr>
                <w:rFonts w:ascii="宋体" w:hAnsi="宋体"/>
                <w:color w:val="auto"/>
                <w:szCs w:val="21"/>
                <w:highlight w:val="none"/>
              </w:rPr>
            </w:pPr>
            <w:r>
              <w:rPr>
                <w:rFonts w:hint="eastAsia" w:ascii="宋体" w:hAnsi="宋体"/>
                <w:color w:val="auto"/>
                <w:szCs w:val="21"/>
                <w:highlight w:val="none"/>
              </w:rPr>
              <w:t>0.7%</w:t>
            </w:r>
          </w:p>
        </w:tc>
      </w:tr>
      <w:tr w14:paraId="03560ABF">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66A9A3F0">
            <w:pPr>
              <w:shd w:val="clear"/>
              <w:spacing w:line="360" w:lineRule="auto"/>
              <w:jc w:val="center"/>
              <w:rPr>
                <w:rFonts w:ascii="宋体" w:hAnsi="宋体"/>
                <w:color w:val="auto"/>
                <w:szCs w:val="21"/>
                <w:highlight w:val="none"/>
              </w:rPr>
            </w:pPr>
            <w:r>
              <w:rPr>
                <w:rFonts w:hint="eastAsia" w:ascii="宋体" w:hAnsi="宋体"/>
                <w:color w:val="auto"/>
                <w:szCs w:val="21"/>
                <w:highlight w:val="none"/>
              </w:rPr>
              <w:t>500～1000万元</w:t>
            </w:r>
          </w:p>
        </w:tc>
        <w:tc>
          <w:tcPr>
            <w:tcW w:w="2336" w:type="dxa"/>
            <w:tcBorders>
              <w:top w:val="single" w:color="auto" w:sz="4" w:space="0"/>
              <w:left w:val="single" w:color="auto" w:sz="4" w:space="0"/>
              <w:bottom w:val="single" w:color="auto" w:sz="4" w:space="0"/>
              <w:right w:val="single" w:color="auto" w:sz="4" w:space="0"/>
            </w:tcBorders>
            <w:vAlign w:val="center"/>
          </w:tcPr>
          <w:p w14:paraId="15030D93">
            <w:pPr>
              <w:shd w:val="clear"/>
              <w:spacing w:line="360" w:lineRule="auto"/>
              <w:jc w:val="center"/>
              <w:rPr>
                <w:rFonts w:ascii="宋体" w:hAnsi="宋体"/>
                <w:color w:val="auto"/>
                <w:szCs w:val="21"/>
                <w:highlight w:val="none"/>
              </w:rPr>
            </w:pPr>
            <w:r>
              <w:rPr>
                <w:rFonts w:hint="eastAsia" w:ascii="宋体" w:hAnsi="宋体"/>
                <w:color w:val="auto"/>
                <w:szCs w:val="21"/>
                <w:highlight w:val="none"/>
              </w:rPr>
              <w:t>0.8%</w:t>
            </w:r>
          </w:p>
        </w:tc>
        <w:tc>
          <w:tcPr>
            <w:tcW w:w="2336" w:type="dxa"/>
            <w:tcBorders>
              <w:top w:val="single" w:color="auto" w:sz="4" w:space="0"/>
              <w:left w:val="single" w:color="auto" w:sz="4" w:space="0"/>
              <w:bottom w:val="single" w:color="auto" w:sz="4" w:space="0"/>
              <w:right w:val="single" w:color="auto" w:sz="4" w:space="0"/>
            </w:tcBorders>
            <w:vAlign w:val="center"/>
          </w:tcPr>
          <w:p w14:paraId="312C7CA5">
            <w:pPr>
              <w:shd w:val="clear"/>
              <w:spacing w:line="360" w:lineRule="auto"/>
              <w:jc w:val="center"/>
              <w:rPr>
                <w:rFonts w:ascii="宋体" w:hAnsi="宋体"/>
                <w:color w:val="auto"/>
                <w:szCs w:val="21"/>
                <w:highlight w:val="none"/>
              </w:rPr>
            </w:pPr>
            <w:r>
              <w:rPr>
                <w:rFonts w:hint="eastAsia" w:ascii="宋体" w:hAnsi="宋体"/>
                <w:color w:val="auto"/>
                <w:szCs w:val="21"/>
                <w:highlight w:val="none"/>
              </w:rPr>
              <w:t>0.45%</w:t>
            </w:r>
          </w:p>
        </w:tc>
        <w:tc>
          <w:tcPr>
            <w:tcW w:w="2336" w:type="dxa"/>
            <w:tcBorders>
              <w:top w:val="single" w:color="auto" w:sz="4" w:space="0"/>
              <w:left w:val="single" w:color="auto" w:sz="4" w:space="0"/>
              <w:bottom w:val="single" w:color="auto" w:sz="4" w:space="0"/>
              <w:right w:val="single" w:color="auto" w:sz="4" w:space="0"/>
            </w:tcBorders>
            <w:vAlign w:val="center"/>
          </w:tcPr>
          <w:p w14:paraId="12B6A148">
            <w:pPr>
              <w:shd w:val="clear"/>
              <w:spacing w:line="360" w:lineRule="auto"/>
              <w:jc w:val="center"/>
              <w:rPr>
                <w:rFonts w:ascii="宋体" w:hAnsi="宋体"/>
                <w:color w:val="auto"/>
                <w:szCs w:val="21"/>
                <w:highlight w:val="none"/>
              </w:rPr>
            </w:pPr>
            <w:r>
              <w:rPr>
                <w:rFonts w:hint="eastAsia" w:ascii="宋体" w:hAnsi="宋体"/>
                <w:color w:val="auto"/>
                <w:szCs w:val="21"/>
                <w:highlight w:val="none"/>
              </w:rPr>
              <w:t>0.55%</w:t>
            </w:r>
          </w:p>
        </w:tc>
      </w:tr>
      <w:tr w14:paraId="620225DE">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16E6EEB9">
            <w:pPr>
              <w:shd w:val="clear"/>
              <w:spacing w:line="360" w:lineRule="auto"/>
              <w:jc w:val="center"/>
              <w:rPr>
                <w:rFonts w:ascii="宋体" w:hAnsi="宋体"/>
                <w:color w:val="auto"/>
                <w:szCs w:val="21"/>
                <w:highlight w:val="none"/>
              </w:rPr>
            </w:pPr>
            <w:r>
              <w:rPr>
                <w:rFonts w:hint="eastAsia" w:ascii="宋体" w:hAnsi="宋体"/>
                <w:color w:val="auto"/>
                <w:szCs w:val="21"/>
                <w:highlight w:val="none"/>
              </w:rPr>
              <w:t>1000～5000万元</w:t>
            </w:r>
          </w:p>
        </w:tc>
        <w:tc>
          <w:tcPr>
            <w:tcW w:w="2336" w:type="dxa"/>
            <w:tcBorders>
              <w:top w:val="single" w:color="auto" w:sz="4" w:space="0"/>
              <w:left w:val="single" w:color="auto" w:sz="4" w:space="0"/>
              <w:bottom w:val="single" w:color="auto" w:sz="4" w:space="0"/>
              <w:right w:val="single" w:color="auto" w:sz="4" w:space="0"/>
            </w:tcBorders>
            <w:vAlign w:val="center"/>
          </w:tcPr>
          <w:p w14:paraId="3460DE90">
            <w:pPr>
              <w:shd w:val="clear"/>
              <w:spacing w:line="360" w:lineRule="auto"/>
              <w:jc w:val="center"/>
              <w:rPr>
                <w:rFonts w:ascii="宋体" w:hAnsi="宋体"/>
                <w:color w:val="auto"/>
                <w:szCs w:val="21"/>
                <w:highlight w:val="none"/>
              </w:rPr>
            </w:pPr>
            <w:r>
              <w:rPr>
                <w:rFonts w:hint="eastAsia" w:ascii="宋体" w:hAnsi="宋体"/>
                <w:color w:val="auto"/>
                <w:szCs w:val="21"/>
                <w:highlight w:val="none"/>
              </w:rPr>
              <w:t>0.5%</w:t>
            </w:r>
          </w:p>
        </w:tc>
        <w:tc>
          <w:tcPr>
            <w:tcW w:w="2336" w:type="dxa"/>
            <w:tcBorders>
              <w:top w:val="single" w:color="auto" w:sz="4" w:space="0"/>
              <w:left w:val="single" w:color="auto" w:sz="4" w:space="0"/>
              <w:bottom w:val="single" w:color="auto" w:sz="4" w:space="0"/>
              <w:right w:val="single" w:color="auto" w:sz="4" w:space="0"/>
            </w:tcBorders>
            <w:vAlign w:val="center"/>
          </w:tcPr>
          <w:p w14:paraId="03470C5D">
            <w:pPr>
              <w:shd w:val="clear"/>
              <w:spacing w:line="360" w:lineRule="auto"/>
              <w:jc w:val="center"/>
              <w:rPr>
                <w:rFonts w:ascii="宋体" w:hAnsi="宋体"/>
                <w:color w:val="auto"/>
                <w:szCs w:val="21"/>
                <w:highlight w:val="none"/>
              </w:rPr>
            </w:pPr>
            <w:r>
              <w:rPr>
                <w:rFonts w:hint="eastAsia" w:ascii="宋体" w:hAnsi="宋体"/>
                <w:color w:val="auto"/>
                <w:szCs w:val="21"/>
                <w:highlight w:val="none"/>
              </w:rPr>
              <w:t>0.25%</w:t>
            </w:r>
          </w:p>
        </w:tc>
        <w:tc>
          <w:tcPr>
            <w:tcW w:w="2336" w:type="dxa"/>
            <w:tcBorders>
              <w:top w:val="single" w:color="auto" w:sz="4" w:space="0"/>
              <w:left w:val="single" w:color="auto" w:sz="4" w:space="0"/>
              <w:bottom w:val="single" w:color="auto" w:sz="4" w:space="0"/>
              <w:right w:val="single" w:color="auto" w:sz="4" w:space="0"/>
            </w:tcBorders>
            <w:vAlign w:val="center"/>
          </w:tcPr>
          <w:p w14:paraId="57B1FB4A">
            <w:pPr>
              <w:shd w:val="clear"/>
              <w:spacing w:line="360" w:lineRule="auto"/>
              <w:jc w:val="center"/>
              <w:rPr>
                <w:rFonts w:ascii="宋体" w:hAnsi="宋体"/>
                <w:color w:val="auto"/>
                <w:szCs w:val="21"/>
                <w:highlight w:val="none"/>
              </w:rPr>
            </w:pPr>
            <w:r>
              <w:rPr>
                <w:rFonts w:hint="eastAsia" w:ascii="宋体" w:hAnsi="宋体"/>
                <w:color w:val="auto"/>
                <w:szCs w:val="21"/>
                <w:highlight w:val="none"/>
              </w:rPr>
              <w:t>0.35%</w:t>
            </w:r>
          </w:p>
        </w:tc>
      </w:tr>
      <w:tr w14:paraId="5503C3C1">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07739A48">
            <w:pPr>
              <w:shd w:val="clear"/>
              <w:spacing w:line="360" w:lineRule="auto"/>
              <w:jc w:val="center"/>
              <w:rPr>
                <w:rFonts w:ascii="宋体" w:hAnsi="宋体"/>
                <w:color w:val="auto"/>
                <w:szCs w:val="21"/>
                <w:highlight w:val="none"/>
              </w:rPr>
            </w:pPr>
            <w:r>
              <w:rPr>
                <w:rFonts w:hint="eastAsia" w:ascii="宋体" w:hAnsi="宋体"/>
                <w:color w:val="auto"/>
                <w:szCs w:val="21"/>
                <w:highlight w:val="none"/>
              </w:rPr>
              <w:t>5000万元～1亿元</w:t>
            </w:r>
          </w:p>
        </w:tc>
        <w:tc>
          <w:tcPr>
            <w:tcW w:w="2336" w:type="dxa"/>
            <w:tcBorders>
              <w:top w:val="single" w:color="auto" w:sz="4" w:space="0"/>
              <w:left w:val="single" w:color="auto" w:sz="4" w:space="0"/>
              <w:bottom w:val="single" w:color="auto" w:sz="4" w:space="0"/>
              <w:right w:val="single" w:color="auto" w:sz="4" w:space="0"/>
            </w:tcBorders>
            <w:vAlign w:val="center"/>
          </w:tcPr>
          <w:p w14:paraId="78F26D75">
            <w:pPr>
              <w:shd w:val="clear"/>
              <w:spacing w:line="360" w:lineRule="auto"/>
              <w:jc w:val="center"/>
              <w:rPr>
                <w:rFonts w:ascii="宋体" w:hAnsi="宋体"/>
                <w:color w:val="auto"/>
                <w:szCs w:val="21"/>
                <w:highlight w:val="none"/>
              </w:rPr>
            </w:pPr>
            <w:r>
              <w:rPr>
                <w:rFonts w:hint="eastAsia" w:ascii="宋体" w:hAnsi="宋体"/>
                <w:color w:val="auto"/>
                <w:szCs w:val="21"/>
                <w:highlight w:val="none"/>
              </w:rPr>
              <w:t>0.25%</w:t>
            </w:r>
          </w:p>
        </w:tc>
        <w:tc>
          <w:tcPr>
            <w:tcW w:w="2336" w:type="dxa"/>
            <w:tcBorders>
              <w:top w:val="single" w:color="auto" w:sz="4" w:space="0"/>
              <w:left w:val="single" w:color="auto" w:sz="4" w:space="0"/>
              <w:bottom w:val="single" w:color="auto" w:sz="4" w:space="0"/>
              <w:right w:val="single" w:color="auto" w:sz="4" w:space="0"/>
            </w:tcBorders>
            <w:vAlign w:val="center"/>
          </w:tcPr>
          <w:p w14:paraId="075E0F47">
            <w:pPr>
              <w:shd w:val="clear"/>
              <w:spacing w:line="360" w:lineRule="auto"/>
              <w:jc w:val="center"/>
              <w:rPr>
                <w:rFonts w:ascii="宋体" w:hAnsi="宋体"/>
                <w:color w:val="auto"/>
                <w:szCs w:val="21"/>
                <w:highlight w:val="none"/>
              </w:rPr>
            </w:pPr>
            <w:r>
              <w:rPr>
                <w:rFonts w:hint="eastAsia" w:ascii="宋体" w:hAnsi="宋体"/>
                <w:color w:val="auto"/>
                <w:szCs w:val="21"/>
                <w:highlight w:val="none"/>
              </w:rPr>
              <w:t>0.1%</w:t>
            </w:r>
          </w:p>
        </w:tc>
        <w:tc>
          <w:tcPr>
            <w:tcW w:w="2336" w:type="dxa"/>
            <w:tcBorders>
              <w:top w:val="single" w:color="auto" w:sz="4" w:space="0"/>
              <w:left w:val="single" w:color="auto" w:sz="4" w:space="0"/>
              <w:bottom w:val="single" w:color="auto" w:sz="4" w:space="0"/>
              <w:right w:val="single" w:color="auto" w:sz="4" w:space="0"/>
            </w:tcBorders>
            <w:vAlign w:val="center"/>
          </w:tcPr>
          <w:p w14:paraId="3E7CCE51">
            <w:pPr>
              <w:shd w:val="clear"/>
              <w:spacing w:line="360" w:lineRule="auto"/>
              <w:jc w:val="center"/>
              <w:rPr>
                <w:rFonts w:ascii="宋体" w:hAnsi="宋体"/>
                <w:color w:val="auto"/>
                <w:szCs w:val="21"/>
                <w:highlight w:val="none"/>
              </w:rPr>
            </w:pPr>
            <w:r>
              <w:rPr>
                <w:rFonts w:hint="eastAsia" w:ascii="宋体" w:hAnsi="宋体"/>
                <w:color w:val="auto"/>
                <w:szCs w:val="21"/>
                <w:highlight w:val="none"/>
              </w:rPr>
              <w:t>0.2%</w:t>
            </w:r>
          </w:p>
        </w:tc>
      </w:tr>
      <w:tr w14:paraId="32946153">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0C79A426">
            <w:pPr>
              <w:shd w:val="clear"/>
              <w:spacing w:line="360" w:lineRule="auto"/>
              <w:jc w:val="center"/>
              <w:rPr>
                <w:rFonts w:ascii="宋体" w:hAnsi="宋体"/>
                <w:color w:val="auto"/>
                <w:szCs w:val="21"/>
                <w:highlight w:val="none"/>
              </w:rPr>
            </w:pPr>
            <w:r>
              <w:rPr>
                <w:rFonts w:hint="eastAsia" w:ascii="宋体" w:hAnsi="宋体"/>
                <w:color w:val="auto"/>
                <w:szCs w:val="21"/>
                <w:highlight w:val="none"/>
              </w:rPr>
              <w:t>1～5亿元</w:t>
            </w:r>
          </w:p>
        </w:tc>
        <w:tc>
          <w:tcPr>
            <w:tcW w:w="2336" w:type="dxa"/>
            <w:tcBorders>
              <w:top w:val="single" w:color="auto" w:sz="4" w:space="0"/>
              <w:left w:val="single" w:color="auto" w:sz="4" w:space="0"/>
              <w:bottom w:val="single" w:color="auto" w:sz="4" w:space="0"/>
              <w:right w:val="single" w:color="auto" w:sz="4" w:space="0"/>
            </w:tcBorders>
            <w:vAlign w:val="center"/>
          </w:tcPr>
          <w:p w14:paraId="319B01E6">
            <w:pPr>
              <w:shd w:val="clear"/>
              <w:spacing w:line="360" w:lineRule="auto"/>
              <w:jc w:val="center"/>
              <w:rPr>
                <w:rFonts w:ascii="宋体" w:hAnsi="宋体"/>
                <w:color w:val="auto"/>
                <w:szCs w:val="21"/>
                <w:highlight w:val="none"/>
              </w:rPr>
            </w:pPr>
            <w:r>
              <w:rPr>
                <w:rFonts w:hint="eastAsia" w:ascii="宋体" w:hAnsi="宋体"/>
                <w:color w:val="auto"/>
                <w:szCs w:val="21"/>
                <w:highlight w:val="none"/>
              </w:rPr>
              <w:t>0.05%</w:t>
            </w:r>
          </w:p>
        </w:tc>
        <w:tc>
          <w:tcPr>
            <w:tcW w:w="2336" w:type="dxa"/>
            <w:tcBorders>
              <w:top w:val="single" w:color="auto" w:sz="4" w:space="0"/>
              <w:left w:val="single" w:color="auto" w:sz="4" w:space="0"/>
              <w:bottom w:val="single" w:color="auto" w:sz="4" w:space="0"/>
              <w:right w:val="single" w:color="auto" w:sz="4" w:space="0"/>
            </w:tcBorders>
            <w:vAlign w:val="center"/>
          </w:tcPr>
          <w:p w14:paraId="22A4A1F5">
            <w:pPr>
              <w:shd w:val="clear"/>
              <w:spacing w:line="360" w:lineRule="auto"/>
              <w:jc w:val="center"/>
              <w:rPr>
                <w:rFonts w:ascii="宋体" w:hAnsi="宋体"/>
                <w:color w:val="auto"/>
                <w:szCs w:val="21"/>
                <w:highlight w:val="none"/>
              </w:rPr>
            </w:pPr>
            <w:r>
              <w:rPr>
                <w:rFonts w:hint="eastAsia" w:ascii="宋体" w:hAnsi="宋体"/>
                <w:color w:val="auto"/>
                <w:szCs w:val="21"/>
                <w:highlight w:val="none"/>
              </w:rPr>
              <w:t>0.05%</w:t>
            </w:r>
          </w:p>
        </w:tc>
        <w:tc>
          <w:tcPr>
            <w:tcW w:w="2336" w:type="dxa"/>
            <w:tcBorders>
              <w:top w:val="single" w:color="auto" w:sz="4" w:space="0"/>
              <w:left w:val="single" w:color="auto" w:sz="4" w:space="0"/>
              <w:bottom w:val="single" w:color="auto" w:sz="4" w:space="0"/>
              <w:right w:val="single" w:color="auto" w:sz="4" w:space="0"/>
            </w:tcBorders>
            <w:vAlign w:val="center"/>
          </w:tcPr>
          <w:p w14:paraId="20E5FFD5">
            <w:pPr>
              <w:shd w:val="clear"/>
              <w:spacing w:line="360" w:lineRule="auto"/>
              <w:jc w:val="center"/>
              <w:rPr>
                <w:rFonts w:ascii="宋体" w:hAnsi="宋体"/>
                <w:color w:val="auto"/>
                <w:szCs w:val="21"/>
                <w:highlight w:val="none"/>
              </w:rPr>
            </w:pPr>
            <w:r>
              <w:rPr>
                <w:rFonts w:hint="eastAsia" w:ascii="宋体" w:hAnsi="宋体"/>
                <w:color w:val="auto"/>
                <w:szCs w:val="21"/>
                <w:highlight w:val="none"/>
              </w:rPr>
              <w:t>0.05%</w:t>
            </w:r>
          </w:p>
        </w:tc>
      </w:tr>
      <w:tr w14:paraId="385151AB">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016689EB">
            <w:pPr>
              <w:shd w:val="clear"/>
              <w:spacing w:line="360" w:lineRule="auto"/>
              <w:jc w:val="center"/>
              <w:rPr>
                <w:rFonts w:ascii="宋体" w:hAnsi="宋体"/>
                <w:color w:val="auto"/>
                <w:szCs w:val="21"/>
                <w:highlight w:val="none"/>
              </w:rPr>
            </w:pPr>
            <w:r>
              <w:rPr>
                <w:rFonts w:hint="eastAsia" w:ascii="宋体" w:hAnsi="宋体"/>
                <w:color w:val="auto"/>
                <w:szCs w:val="21"/>
                <w:highlight w:val="none"/>
              </w:rPr>
              <w:t>5～10亿元</w:t>
            </w:r>
          </w:p>
        </w:tc>
        <w:tc>
          <w:tcPr>
            <w:tcW w:w="2336" w:type="dxa"/>
            <w:tcBorders>
              <w:top w:val="single" w:color="auto" w:sz="4" w:space="0"/>
              <w:left w:val="single" w:color="auto" w:sz="4" w:space="0"/>
              <w:bottom w:val="single" w:color="auto" w:sz="4" w:space="0"/>
              <w:right w:val="single" w:color="auto" w:sz="4" w:space="0"/>
            </w:tcBorders>
            <w:vAlign w:val="center"/>
          </w:tcPr>
          <w:p w14:paraId="55C5AAE7">
            <w:pPr>
              <w:shd w:val="clear"/>
              <w:spacing w:line="360" w:lineRule="auto"/>
              <w:jc w:val="center"/>
              <w:rPr>
                <w:rFonts w:ascii="宋体" w:hAnsi="宋体"/>
                <w:color w:val="auto"/>
                <w:szCs w:val="21"/>
                <w:highlight w:val="none"/>
              </w:rPr>
            </w:pPr>
            <w:r>
              <w:rPr>
                <w:rFonts w:hint="eastAsia" w:ascii="宋体" w:hAnsi="宋体"/>
                <w:color w:val="auto"/>
                <w:szCs w:val="21"/>
                <w:highlight w:val="none"/>
              </w:rPr>
              <w:t>0.035%</w:t>
            </w:r>
          </w:p>
        </w:tc>
        <w:tc>
          <w:tcPr>
            <w:tcW w:w="2336" w:type="dxa"/>
            <w:tcBorders>
              <w:top w:val="single" w:color="auto" w:sz="4" w:space="0"/>
              <w:left w:val="single" w:color="auto" w:sz="4" w:space="0"/>
              <w:bottom w:val="single" w:color="auto" w:sz="4" w:space="0"/>
              <w:right w:val="single" w:color="auto" w:sz="4" w:space="0"/>
            </w:tcBorders>
            <w:vAlign w:val="center"/>
          </w:tcPr>
          <w:p w14:paraId="1B3A320B">
            <w:pPr>
              <w:shd w:val="clear"/>
              <w:spacing w:line="360" w:lineRule="auto"/>
              <w:jc w:val="center"/>
              <w:rPr>
                <w:rFonts w:ascii="宋体" w:hAnsi="宋体"/>
                <w:color w:val="auto"/>
                <w:szCs w:val="21"/>
                <w:highlight w:val="none"/>
              </w:rPr>
            </w:pPr>
            <w:r>
              <w:rPr>
                <w:rFonts w:hint="eastAsia" w:ascii="宋体" w:hAnsi="宋体"/>
                <w:color w:val="auto"/>
                <w:szCs w:val="21"/>
                <w:highlight w:val="none"/>
              </w:rPr>
              <w:t>0.035%</w:t>
            </w:r>
          </w:p>
        </w:tc>
        <w:tc>
          <w:tcPr>
            <w:tcW w:w="2336" w:type="dxa"/>
            <w:tcBorders>
              <w:top w:val="single" w:color="auto" w:sz="4" w:space="0"/>
              <w:left w:val="single" w:color="auto" w:sz="4" w:space="0"/>
              <w:bottom w:val="single" w:color="auto" w:sz="4" w:space="0"/>
              <w:right w:val="single" w:color="auto" w:sz="4" w:space="0"/>
            </w:tcBorders>
            <w:vAlign w:val="center"/>
          </w:tcPr>
          <w:p w14:paraId="229E91EF">
            <w:pPr>
              <w:shd w:val="clear"/>
              <w:spacing w:line="360" w:lineRule="auto"/>
              <w:jc w:val="center"/>
              <w:rPr>
                <w:rFonts w:ascii="宋体" w:hAnsi="宋体"/>
                <w:color w:val="auto"/>
                <w:szCs w:val="21"/>
                <w:highlight w:val="none"/>
              </w:rPr>
            </w:pPr>
            <w:r>
              <w:rPr>
                <w:rFonts w:hint="eastAsia" w:ascii="宋体" w:hAnsi="宋体"/>
                <w:color w:val="auto"/>
                <w:szCs w:val="21"/>
                <w:highlight w:val="none"/>
              </w:rPr>
              <w:t>0.035%</w:t>
            </w:r>
          </w:p>
        </w:tc>
      </w:tr>
      <w:tr w14:paraId="5CA20CDF">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22B6F0C7">
            <w:pPr>
              <w:shd w:val="clear"/>
              <w:spacing w:line="360" w:lineRule="auto"/>
              <w:jc w:val="center"/>
              <w:rPr>
                <w:rFonts w:ascii="宋体" w:hAnsi="宋体"/>
                <w:color w:val="auto"/>
                <w:szCs w:val="21"/>
                <w:highlight w:val="none"/>
              </w:rPr>
            </w:pPr>
            <w:r>
              <w:rPr>
                <w:rFonts w:hint="eastAsia" w:ascii="宋体" w:hAnsi="宋体"/>
                <w:color w:val="auto"/>
                <w:szCs w:val="21"/>
                <w:highlight w:val="none"/>
              </w:rPr>
              <w:t>10～50亿元</w:t>
            </w:r>
          </w:p>
        </w:tc>
        <w:tc>
          <w:tcPr>
            <w:tcW w:w="2336" w:type="dxa"/>
            <w:tcBorders>
              <w:top w:val="single" w:color="auto" w:sz="4" w:space="0"/>
              <w:left w:val="single" w:color="auto" w:sz="4" w:space="0"/>
              <w:bottom w:val="single" w:color="auto" w:sz="4" w:space="0"/>
              <w:right w:val="single" w:color="auto" w:sz="4" w:space="0"/>
            </w:tcBorders>
            <w:vAlign w:val="center"/>
          </w:tcPr>
          <w:p w14:paraId="5F3FCC19">
            <w:pPr>
              <w:shd w:val="clear"/>
              <w:spacing w:line="360" w:lineRule="auto"/>
              <w:jc w:val="center"/>
              <w:rPr>
                <w:rFonts w:ascii="宋体" w:hAnsi="宋体"/>
                <w:color w:val="auto"/>
                <w:szCs w:val="21"/>
                <w:highlight w:val="none"/>
              </w:rPr>
            </w:pPr>
            <w:r>
              <w:rPr>
                <w:rFonts w:hint="eastAsia" w:ascii="宋体" w:hAnsi="宋体"/>
                <w:color w:val="auto"/>
                <w:szCs w:val="21"/>
                <w:highlight w:val="none"/>
              </w:rPr>
              <w:t>0.008%</w:t>
            </w:r>
          </w:p>
        </w:tc>
        <w:tc>
          <w:tcPr>
            <w:tcW w:w="2336" w:type="dxa"/>
            <w:tcBorders>
              <w:top w:val="single" w:color="auto" w:sz="4" w:space="0"/>
              <w:left w:val="single" w:color="auto" w:sz="4" w:space="0"/>
              <w:bottom w:val="single" w:color="auto" w:sz="4" w:space="0"/>
              <w:right w:val="single" w:color="auto" w:sz="4" w:space="0"/>
            </w:tcBorders>
            <w:vAlign w:val="center"/>
          </w:tcPr>
          <w:p w14:paraId="2D85B1B3">
            <w:pPr>
              <w:shd w:val="clear"/>
              <w:spacing w:line="360" w:lineRule="auto"/>
              <w:jc w:val="center"/>
              <w:rPr>
                <w:rFonts w:ascii="宋体" w:hAnsi="宋体"/>
                <w:color w:val="auto"/>
                <w:szCs w:val="21"/>
                <w:highlight w:val="none"/>
              </w:rPr>
            </w:pPr>
            <w:r>
              <w:rPr>
                <w:rFonts w:hint="eastAsia" w:ascii="宋体" w:hAnsi="宋体"/>
                <w:color w:val="auto"/>
                <w:szCs w:val="21"/>
                <w:highlight w:val="none"/>
              </w:rPr>
              <w:t>0.008%</w:t>
            </w:r>
          </w:p>
        </w:tc>
        <w:tc>
          <w:tcPr>
            <w:tcW w:w="2336" w:type="dxa"/>
            <w:tcBorders>
              <w:top w:val="single" w:color="auto" w:sz="4" w:space="0"/>
              <w:left w:val="single" w:color="auto" w:sz="4" w:space="0"/>
              <w:bottom w:val="single" w:color="auto" w:sz="4" w:space="0"/>
              <w:right w:val="single" w:color="auto" w:sz="4" w:space="0"/>
            </w:tcBorders>
            <w:vAlign w:val="center"/>
          </w:tcPr>
          <w:p w14:paraId="7CFEF8F7">
            <w:pPr>
              <w:shd w:val="clear"/>
              <w:spacing w:line="360" w:lineRule="auto"/>
              <w:jc w:val="center"/>
              <w:rPr>
                <w:rFonts w:ascii="宋体" w:hAnsi="宋体"/>
                <w:color w:val="auto"/>
                <w:szCs w:val="21"/>
                <w:highlight w:val="none"/>
              </w:rPr>
            </w:pPr>
            <w:r>
              <w:rPr>
                <w:rFonts w:hint="eastAsia" w:ascii="宋体" w:hAnsi="宋体"/>
                <w:color w:val="auto"/>
                <w:szCs w:val="21"/>
                <w:highlight w:val="none"/>
              </w:rPr>
              <w:t>0.008%</w:t>
            </w:r>
          </w:p>
        </w:tc>
      </w:tr>
      <w:tr w14:paraId="0C5C7BD0">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4FD4ABA4">
            <w:pPr>
              <w:shd w:val="clear"/>
              <w:spacing w:line="360" w:lineRule="auto"/>
              <w:jc w:val="center"/>
              <w:rPr>
                <w:rFonts w:ascii="宋体" w:hAnsi="宋体"/>
                <w:color w:val="auto"/>
                <w:szCs w:val="21"/>
                <w:highlight w:val="none"/>
              </w:rPr>
            </w:pPr>
            <w:r>
              <w:rPr>
                <w:rFonts w:hint="eastAsia" w:ascii="宋体" w:hAnsi="宋体"/>
                <w:color w:val="auto"/>
                <w:szCs w:val="21"/>
                <w:highlight w:val="none"/>
              </w:rPr>
              <w:t>50～100亿元</w:t>
            </w:r>
          </w:p>
        </w:tc>
        <w:tc>
          <w:tcPr>
            <w:tcW w:w="2336" w:type="dxa"/>
            <w:tcBorders>
              <w:top w:val="single" w:color="auto" w:sz="4" w:space="0"/>
              <w:left w:val="single" w:color="auto" w:sz="4" w:space="0"/>
              <w:bottom w:val="single" w:color="auto" w:sz="4" w:space="0"/>
              <w:right w:val="single" w:color="auto" w:sz="4" w:space="0"/>
            </w:tcBorders>
            <w:vAlign w:val="center"/>
          </w:tcPr>
          <w:p w14:paraId="2CC98A3F">
            <w:pPr>
              <w:shd w:val="clear"/>
              <w:spacing w:line="360" w:lineRule="auto"/>
              <w:jc w:val="center"/>
              <w:rPr>
                <w:rFonts w:ascii="宋体" w:hAnsi="宋体"/>
                <w:color w:val="auto"/>
                <w:szCs w:val="21"/>
                <w:highlight w:val="none"/>
              </w:rPr>
            </w:pPr>
            <w:r>
              <w:rPr>
                <w:rFonts w:hint="eastAsia" w:ascii="宋体" w:hAnsi="宋体"/>
                <w:color w:val="auto"/>
                <w:szCs w:val="21"/>
                <w:highlight w:val="none"/>
              </w:rPr>
              <w:t>0.006%</w:t>
            </w:r>
          </w:p>
        </w:tc>
        <w:tc>
          <w:tcPr>
            <w:tcW w:w="2336" w:type="dxa"/>
            <w:tcBorders>
              <w:top w:val="single" w:color="auto" w:sz="4" w:space="0"/>
              <w:left w:val="single" w:color="auto" w:sz="4" w:space="0"/>
              <w:bottom w:val="single" w:color="auto" w:sz="4" w:space="0"/>
              <w:right w:val="single" w:color="auto" w:sz="4" w:space="0"/>
            </w:tcBorders>
            <w:vAlign w:val="center"/>
          </w:tcPr>
          <w:p w14:paraId="4AC95A4B">
            <w:pPr>
              <w:shd w:val="clear"/>
              <w:spacing w:line="360" w:lineRule="auto"/>
              <w:jc w:val="center"/>
              <w:rPr>
                <w:rFonts w:ascii="宋体" w:hAnsi="宋体"/>
                <w:color w:val="auto"/>
                <w:szCs w:val="21"/>
                <w:highlight w:val="none"/>
              </w:rPr>
            </w:pPr>
            <w:r>
              <w:rPr>
                <w:rFonts w:hint="eastAsia" w:ascii="宋体" w:hAnsi="宋体"/>
                <w:color w:val="auto"/>
                <w:szCs w:val="21"/>
                <w:highlight w:val="none"/>
              </w:rPr>
              <w:t>0.006%</w:t>
            </w:r>
          </w:p>
        </w:tc>
        <w:tc>
          <w:tcPr>
            <w:tcW w:w="2336" w:type="dxa"/>
            <w:tcBorders>
              <w:top w:val="single" w:color="auto" w:sz="4" w:space="0"/>
              <w:left w:val="single" w:color="auto" w:sz="4" w:space="0"/>
              <w:bottom w:val="single" w:color="auto" w:sz="4" w:space="0"/>
              <w:right w:val="single" w:color="auto" w:sz="4" w:space="0"/>
            </w:tcBorders>
            <w:vAlign w:val="center"/>
          </w:tcPr>
          <w:p w14:paraId="2999CD0F">
            <w:pPr>
              <w:shd w:val="clear"/>
              <w:spacing w:line="360" w:lineRule="auto"/>
              <w:jc w:val="center"/>
              <w:rPr>
                <w:rFonts w:ascii="宋体" w:hAnsi="宋体"/>
                <w:color w:val="auto"/>
                <w:szCs w:val="21"/>
                <w:highlight w:val="none"/>
              </w:rPr>
            </w:pPr>
            <w:r>
              <w:rPr>
                <w:rFonts w:hint="eastAsia" w:ascii="宋体" w:hAnsi="宋体"/>
                <w:color w:val="auto"/>
                <w:szCs w:val="21"/>
                <w:highlight w:val="none"/>
              </w:rPr>
              <w:t>0.006%</w:t>
            </w:r>
          </w:p>
        </w:tc>
      </w:tr>
      <w:tr w14:paraId="2AF35395">
        <w:tblPrEx>
          <w:tblCellMar>
            <w:top w:w="0" w:type="dxa"/>
            <w:left w:w="108" w:type="dxa"/>
            <w:bottom w:w="0" w:type="dxa"/>
            <w:right w:w="108" w:type="dxa"/>
          </w:tblCellMar>
        </w:tblPrEx>
        <w:trPr>
          <w:jc w:val="center"/>
        </w:trPr>
        <w:tc>
          <w:tcPr>
            <w:tcW w:w="2336" w:type="dxa"/>
            <w:tcBorders>
              <w:top w:val="single" w:color="auto" w:sz="4" w:space="0"/>
              <w:left w:val="single" w:color="auto" w:sz="4" w:space="0"/>
              <w:bottom w:val="single" w:color="auto" w:sz="4" w:space="0"/>
              <w:right w:val="single" w:color="auto" w:sz="4" w:space="0"/>
            </w:tcBorders>
            <w:vAlign w:val="center"/>
          </w:tcPr>
          <w:p w14:paraId="5306995A">
            <w:pPr>
              <w:shd w:val="clear"/>
              <w:spacing w:line="360" w:lineRule="auto"/>
              <w:jc w:val="center"/>
              <w:rPr>
                <w:rFonts w:ascii="宋体" w:hAnsi="宋体"/>
                <w:color w:val="auto"/>
                <w:szCs w:val="21"/>
                <w:highlight w:val="none"/>
              </w:rPr>
            </w:pPr>
            <w:r>
              <w:rPr>
                <w:rFonts w:hint="eastAsia" w:ascii="宋体" w:hAnsi="宋体"/>
                <w:color w:val="auto"/>
                <w:szCs w:val="21"/>
                <w:highlight w:val="none"/>
              </w:rPr>
              <w:t>100亿元以上</w:t>
            </w:r>
          </w:p>
        </w:tc>
        <w:tc>
          <w:tcPr>
            <w:tcW w:w="2336" w:type="dxa"/>
            <w:tcBorders>
              <w:top w:val="single" w:color="auto" w:sz="4" w:space="0"/>
              <w:left w:val="single" w:color="auto" w:sz="4" w:space="0"/>
              <w:bottom w:val="single" w:color="auto" w:sz="4" w:space="0"/>
              <w:right w:val="single" w:color="auto" w:sz="4" w:space="0"/>
            </w:tcBorders>
            <w:vAlign w:val="center"/>
          </w:tcPr>
          <w:p w14:paraId="3F35F3C7">
            <w:pPr>
              <w:shd w:val="clear"/>
              <w:spacing w:line="360" w:lineRule="auto"/>
              <w:jc w:val="center"/>
              <w:rPr>
                <w:rFonts w:ascii="宋体" w:hAnsi="宋体"/>
                <w:color w:val="auto"/>
                <w:szCs w:val="21"/>
                <w:highlight w:val="none"/>
              </w:rPr>
            </w:pPr>
            <w:r>
              <w:rPr>
                <w:rFonts w:hint="eastAsia" w:ascii="宋体" w:hAnsi="宋体"/>
                <w:color w:val="auto"/>
                <w:szCs w:val="21"/>
                <w:highlight w:val="none"/>
              </w:rPr>
              <w:t>0.004%</w:t>
            </w:r>
          </w:p>
        </w:tc>
        <w:tc>
          <w:tcPr>
            <w:tcW w:w="2336" w:type="dxa"/>
            <w:tcBorders>
              <w:top w:val="single" w:color="auto" w:sz="4" w:space="0"/>
              <w:left w:val="single" w:color="auto" w:sz="4" w:space="0"/>
              <w:bottom w:val="single" w:color="auto" w:sz="4" w:space="0"/>
              <w:right w:val="single" w:color="auto" w:sz="4" w:space="0"/>
            </w:tcBorders>
            <w:vAlign w:val="center"/>
          </w:tcPr>
          <w:p w14:paraId="13D5EA38">
            <w:pPr>
              <w:shd w:val="clear"/>
              <w:spacing w:line="360" w:lineRule="auto"/>
              <w:jc w:val="center"/>
              <w:rPr>
                <w:rFonts w:ascii="宋体" w:hAnsi="宋体"/>
                <w:color w:val="auto"/>
                <w:szCs w:val="21"/>
                <w:highlight w:val="none"/>
              </w:rPr>
            </w:pPr>
            <w:r>
              <w:rPr>
                <w:rFonts w:hint="eastAsia" w:ascii="宋体" w:hAnsi="宋体"/>
                <w:color w:val="auto"/>
                <w:szCs w:val="21"/>
                <w:highlight w:val="none"/>
              </w:rPr>
              <w:t>0.004%</w:t>
            </w:r>
          </w:p>
        </w:tc>
        <w:tc>
          <w:tcPr>
            <w:tcW w:w="2336" w:type="dxa"/>
            <w:tcBorders>
              <w:top w:val="single" w:color="auto" w:sz="4" w:space="0"/>
              <w:left w:val="single" w:color="auto" w:sz="4" w:space="0"/>
              <w:bottom w:val="single" w:color="auto" w:sz="4" w:space="0"/>
              <w:right w:val="single" w:color="auto" w:sz="4" w:space="0"/>
            </w:tcBorders>
            <w:vAlign w:val="center"/>
          </w:tcPr>
          <w:p w14:paraId="1087206B">
            <w:pPr>
              <w:shd w:val="clear"/>
              <w:spacing w:line="360" w:lineRule="auto"/>
              <w:jc w:val="center"/>
              <w:rPr>
                <w:rFonts w:ascii="宋体" w:hAnsi="宋体"/>
                <w:color w:val="auto"/>
                <w:szCs w:val="21"/>
                <w:highlight w:val="none"/>
              </w:rPr>
            </w:pPr>
            <w:r>
              <w:rPr>
                <w:rFonts w:hint="eastAsia" w:ascii="宋体" w:hAnsi="宋体"/>
                <w:color w:val="auto"/>
                <w:szCs w:val="21"/>
                <w:highlight w:val="none"/>
              </w:rPr>
              <w:t>0.004%</w:t>
            </w:r>
          </w:p>
        </w:tc>
      </w:tr>
    </w:tbl>
    <w:p w14:paraId="53DA432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w:t>
      </w:r>
    </w:p>
    <w:p w14:paraId="774E5E8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（1）按本表费率计算的收费为采购代理的收费基准价格；</w:t>
      </w:r>
    </w:p>
    <w:p w14:paraId="148DE99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（2）采购代理收费按差额定率累进法计算。</w:t>
      </w:r>
    </w:p>
    <w:p w14:paraId="2348144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例如：某工程项目采购代理业务成交金额为150万元，计算采购代理收费额如下：</w:t>
      </w:r>
    </w:p>
    <w:p w14:paraId="1F3E1B3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100万元×l.0%＝1.0万元</w:t>
      </w:r>
    </w:p>
    <w:p w14:paraId="2CA6F4C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（150-100）万元×0.7%＝0.35万元</w:t>
      </w:r>
    </w:p>
    <w:p w14:paraId="1C087FE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合计收费＝1.0+0.35＝1.35万元</w:t>
      </w:r>
    </w:p>
    <w:p w14:paraId="0D1FC16C">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33.需要补充的其他内容</w:t>
      </w:r>
    </w:p>
    <w:p w14:paraId="164C136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33.1本磋商文件解释规则详见“供应商须知前附表”。</w:t>
      </w:r>
    </w:p>
    <w:p w14:paraId="7F91B8C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33.2农民工工资保证金见“供应商须知前附表”。</w:t>
      </w:r>
    </w:p>
    <w:p w14:paraId="146A7A0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33.3其他事项详见“供应商须知前附表”。</w:t>
      </w:r>
    </w:p>
    <w:p w14:paraId="53D7CF7B">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33.4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193F8E5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（1）在货物采购项目中，货物由中小企业制造，即货物由中小企业生产且使用该中小企业商号或者注册商标，不对其中涉及的工程承建商和服务的承接商作出要求；</w:t>
      </w:r>
    </w:p>
    <w:p w14:paraId="364414E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（2）在工程采购项目中，工程由中小企业承建，即工程施工单位为中小企业，不对其中涉及的货物的制造商和服务的承接商作出要求；</w:t>
      </w:r>
    </w:p>
    <w:p w14:paraId="6CE249A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402FF81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0B4E3AC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依据本磋商文件规定享受扶持政策获得政府采购合同的，小微企业不得将合同分包给大中型企业，中型企业不得将合同分包给大型企业。</w:t>
      </w:r>
    </w:p>
    <w:p w14:paraId="53323172">
      <w:pPr>
        <w:shd w:val="clea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33.5</w:t>
      </w:r>
      <w:r>
        <w:rPr>
          <w:rFonts w:hint="eastAsia" w:ascii="宋体" w:hAnsi="宋体" w:eastAsia="宋体"/>
          <w:color w:val="auto"/>
          <w:szCs w:val="21"/>
          <w:highlight w:val="none"/>
        </w:rPr>
        <w:t>现场踏勘：见“供应商须知前附表”。</w:t>
      </w:r>
    </w:p>
    <w:p w14:paraId="479FC8FE">
      <w:pPr>
        <w:pStyle w:val="2"/>
        <w:shd w:val="clear"/>
        <w:jc w:val="center"/>
        <w:rPr>
          <w:rFonts w:ascii="宋体" w:hAnsi="宋体" w:eastAsia="宋体"/>
          <w:color w:val="auto"/>
          <w:highlight w:val="none"/>
        </w:rPr>
        <w:sectPr>
          <w:pgSz w:w="11906" w:h="16838"/>
          <w:pgMar w:top="1440" w:right="1134" w:bottom="1440" w:left="1418" w:header="851" w:footer="992" w:gutter="0"/>
          <w:cols w:space="425" w:num="1"/>
          <w:docGrid w:type="lines" w:linePitch="312" w:charSpace="0"/>
        </w:sectPr>
      </w:pPr>
    </w:p>
    <w:p w14:paraId="57EE854C">
      <w:pPr>
        <w:pStyle w:val="2"/>
        <w:shd w:val="clear"/>
        <w:jc w:val="center"/>
        <w:rPr>
          <w:rFonts w:ascii="宋体" w:hAnsi="宋体" w:eastAsia="宋体"/>
          <w:color w:val="auto"/>
          <w:highlight w:val="none"/>
        </w:rPr>
      </w:pPr>
      <w:bookmarkStart w:id="18" w:name="_Toc197530111"/>
      <w:r>
        <w:rPr>
          <w:rFonts w:hint="eastAsia" w:ascii="宋体" w:hAnsi="宋体" w:eastAsia="宋体"/>
          <w:color w:val="auto"/>
          <w:highlight w:val="none"/>
        </w:rPr>
        <w:t>第三</w:t>
      </w:r>
      <w:r>
        <w:rPr>
          <w:rFonts w:hint="eastAsia" w:ascii="宋体" w:hAnsi="宋体" w:eastAsia="宋体"/>
          <w:color w:val="auto"/>
          <w:spacing w:val="100"/>
          <w:highlight w:val="none"/>
        </w:rPr>
        <w:t>章</w:t>
      </w:r>
      <w:r>
        <w:rPr>
          <w:rFonts w:hint="eastAsia" w:ascii="宋体" w:hAnsi="宋体" w:eastAsia="宋体"/>
          <w:color w:val="auto"/>
          <w:highlight w:val="none"/>
        </w:rPr>
        <w:t>采购需求</w:t>
      </w:r>
      <w:bookmarkEnd w:id="18"/>
    </w:p>
    <w:p w14:paraId="747CAA5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说明：</w:t>
      </w:r>
    </w:p>
    <w:p w14:paraId="6D9EF35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1.“实质性要求”是指采购需求中带“▲”的条款或者不能负偏离的条款或者已经指明不满足按响应文件按无效处理的条款。</w:t>
      </w:r>
    </w:p>
    <w:p w14:paraId="05EA2BA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2.供应商必须自行为其竞标产品侵犯他人的知识产权或者专利成果的行为承担相应法律责任。</w:t>
      </w:r>
    </w:p>
    <w:p w14:paraId="0399271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3.项目需求一览表：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286"/>
        <w:gridCol w:w="664"/>
        <w:gridCol w:w="664"/>
        <w:gridCol w:w="5910"/>
      </w:tblGrid>
      <w:tr w14:paraId="404E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14:paraId="257D8881">
            <w:pPr>
              <w:shd w:val="clea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286" w:type="dxa"/>
            <w:vAlign w:val="center"/>
          </w:tcPr>
          <w:p w14:paraId="5BEA8CF6">
            <w:pPr>
              <w:shd w:val="clear"/>
              <w:spacing w:line="360" w:lineRule="auto"/>
              <w:jc w:val="center"/>
              <w:rPr>
                <w:rFonts w:ascii="宋体" w:hAnsi="宋体"/>
                <w:b/>
                <w:color w:val="auto"/>
                <w:szCs w:val="21"/>
                <w:highlight w:val="none"/>
              </w:rPr>
            </w:pPr>
            <w:r>
              <w:rPr>
                <w:rFonts w:hint="eastAsia" w:ascii="宋体" w:hAnsi="宋体"/>
                <w:b/>
                <w:color w:val="auto"/>
                <w:szCs w:val="21"/>
                <w:highlight w:val="none"/>
              </w:rPr>
              <w:t>标的名称</w:t>
            </w:r>
          </w:p>
        </w:tc>
        <w:tc>
          <w:tcPr>
            <w:tcW w:w="664" w:type="dxa"/>
            <w:vAlign w:val="center"/>
          </w:tcPr>
          <w:p w14:paraId="502E99E0">
            <w:pPr>
              <w:shd w:val="clear"/>
              <w:spacing w:line="360" w:lineRule="auto"/>
              <w:jc w:val="center"/>
              <w:rPr>
                <w:rFonts w:ascii="宋体" w:hAnsi="宋体"/>
                <w:b/>
                <w:color w:val="auto"/>
                <w:szCs w:val="21"/>
                <w:highlight w:val="none"/>
              </w:rPr>
            </w:pPr>
            <w:r>
              <w:rPr>
                <w:rFonts w:hint="eastAsia" w:ascii="宋体" w:hAnsi="宋体"/>
                <w:b/>
                <w:color w:val="auto"/>
                <w:szCs w:val="21"/>
                <w:highlight w:val="none"/>
              </w:rPr>
              <w:t>数量及单位</w:t>
            </w:r>
          </w:p>
        </w:tc>
        <w:tc>
          <w:tcPr>
            <w:tcW w:w="664" w:type="dxa"/>
            <w:vAlign w:val="center"/>
          </w:tcPr>
          <w:p w14:paraId="26D1FE6B">
            <w:pPr>
              <w:shd w:val="clear"/>
              <w:spacing w:line="360" w:lineRule="auto"/>
              <w:jc w:val="center"/>
              <w:rPr>
                <w:rFonts w:ascii="宋体" w:hAnsi="宋体"/>
                <w:b/>
                <w:color w:val="auto"/>
                <w:szCs w:val="21"/>
                <w:highlight w:val="none"/>
              </w:rPr>
            </w:pPr>
            <w:r>
              <w:rPr>
                <w:rFonts w:hint="eastAsia" w:ascii="宋体" w:hAnsi="宋体"/>
                <w:b/>
                <w:color w:val="auto"/>
                <w:szCs w:val="21"/>
                <w:highlight w:val="none"/>
              </w:rPr>
              <w:t>所属行业</w:t>
            </w:r>
          </w:p>
        </w:tc>
        <w:tc>
          <w:tcPr>
            <w:tcW w:w="5910" w:type="dxa"/>
            <w:vAlign w:val="center"/>
          </w:tcPr>
          <w:p w14:paraId="611A12C1">
            <w:pPr>
              <w:shd w:val="clear"/>
              <w:spacing w:line="360" w:lineRule="auto"/>
              <w:jc w:val="center"/>
              <w:rPr>
                <w:rFonts w:ascii="宋体" w:hAnsi="宋体"/>
                <w:b/>
                <w:color w:val="auto"/>
                <w:szCs w:val="21"/>
                <w:highlight w:val="none"/>
              </w:rPr>
            </w:pPr>
            <w:r>
              <w:rPr>
                <w:rFonts w:hint="eastAsia" w:ascii="宋体" w:hAnsi="宋体"/>
                <w:b/>
                <w:color w:val="auto"/>
                <w:szCs w:val="21"/>
                <w:highlight w:val="none"/>
              </w:rPr>
              <w:t>技术要求</w:t>
            </w:r>
          </w:p>
        </w:tc>
      </w:tr>
      <w:tr w14:paraId="7FDB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14:paraId="1A9FAFD0">
            <w:pPr>
              <w:shd w:val="clea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86" w:type="dxa"/>
            <w:vAlign w:val="center"/>
          </w:tcPr>
          <w:p w14:paraId="7B286BBE">
            <w:pPr>
              <w:shd w:val="clear"/>
              <w:spacing w:line="360" w:lineRule="auto"/>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lang w:eastAsia="zh-CN"/>
              </w:rPr>
              <w:t>学生公寓东14栋修缮项目</w:t>
            </w:r>
          </w:p>
        </w:tc>
        <w:tc>
          <w:tcPr>
            <w:tcW w:w="664" w:type="dxa"/>
            <w:vAlign w:val="center"/>
          </w:tcPr>
          <w:p w14:paraId="58BA462B">
            <w:pPr>
              <w:shd w:val="clear"/>
              <w:spacing w:line="360" w:lineRule="auto"/>
              <w:jc w:val="center"/>
              <w:rPr>
                <w:rFonts w:ascii="宋体" w:hAnsi="宋体"/>
                <w:color w:val="auto"/>
                <w:szCs w:val="21"/>
                <w:highlight w:val="none"/>
              </w:rPr>
            </w:pPr>
            <w:r>
              <w:rPr>
                <w:rFonts w:hint="eastAsia" w:ascii="宋体" w:hAnsi="宋体"/>
                <w:color w:val="auto"/>
                <w:szCs w:val="21"/>
                <w:highlight w:val="none"/>
              </w:rPr>
              <w:t>1项</w:t>
            </w:r>
          </w:p>
        </w:tc>
        <w:tc>
          <w:tcPr>
            <w:tcW w:w="664" w:type="dxa"/>
            <w:vAlign w:val="center"/>
          </w:tcPr>
          <w:p w14:paraId="7D22BA0E">
            <w:pPr>
              <w:shd w:val="clear"/>
              <w:spacing w:line="360" w:lineRule="auto"/>
              <w:jc w:val="center"/>
              <w:rPr>
                <w:rFonts w:ascii="宋体" w:hAnsi="宋体"/>
                <w:color w:val="auto"/>
                <w:szCs w:val="21"/>
                <w:highlight w:val="none"/>
              </w:rPr>
            </w:pPr>
            <w:r>
              <w:rPr>
                <w:rFonts w:hint="eastAsia" w:ascii="宋体" w:hAnsi="宋体"/>
                <w:color w:val="auto"/>
                <w:szCs w:val="21"/>
                <w:highlight w:val="none"/>
              </w:rPr>
              <w:t>建筑业</w:t>
            </w:r>
          </w:p>
        </w:tc>
        <w:tc>
          <w:tcPr>
            <w:tcW w:w="5910" w:type="dxa"/>
            <w:vAlign w:val="center"/>
          </w:tcPr>
          <w:p w14:paraId="3848B481">
            <w:pPr>
              <w:shd w:val="clear"/>
              <w:spacing w:line="360" w:lineRule="auto"/>
              <w:jc w:val="left"/>
              <w:rPr>
                <w:rFonts w:ascii="宋体" w:hAnsi="宋体"/>
                <w:color w:val="auto"/>
                <w:szCs w:val="21"/>
                <w:highlight w:val="none"/>
              </w:rPr>
            </w:pPr>
            <w:r>
              <w:rPr>
                <w:rFonts w:hint="eastAsia" w:ascii="宋体" w:hAnsi="宋体"/>
                <w:color w:val="auto"/>
                <w:szCs w:val="21"/>
                <w:highlight w:val="none"/>
              </w:rPr>
              <w:t>一、项目概况</w:t>
            </w:r>
          </w:p>
          <w:p w14:paraId="1F91AEFE">
            <w:pPr>
              <w:shd w:val="clear"/>
              <w:spacing w:line="400" w:lineRule="exact"/>
              <w:rPr>
                <w:rFonts w:hint="eastAsia" w:ascii="宋体" w:hAnsi="宋体" w:cs="宋体"/>
                <w:color w:val="auto"/>
                <w:szCs w:val="21"/>
                <w:highlight w:val="none"/>
              </w:rPr>
            </w:pPr>
            <w:r>
              <w:rPr>
                <w:rFonts w:hint="eastAsia" w:ascii="宋体" w:hAnsi="宋体" w:cs="宋体"/>
                <w:color w:val="auto"/>
                <w:szCs w:val="21"/>
                <w:highlight w:val="none"/>
              </w:rPr>
              <w:t>（一）项目名称：学生公寓东14栋修缮项目</w:t>
            </w:r>
          </w:p>
          <w:p w14:paraId="04476DFC">
            <w:pPr>
              <w:shd w:val="clear"/>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（二）建设地点：南宁市大学东路100号广西大学校园内。 </w:t>
            </w:r>
          </w:p>
          <w:p w14:paraId="6AAF8514">
            <w:pPr>
              <w:shd w:val="clear"/>
              <w:spacing w:line="400" w:lineRule="exact"/>
              <w:rPr>
                <w:rFonts w:hint="eastAsia" w:ascii="宋体" w:hAnsi="宋体" w:cs="宋体"/>
                <w:color w:val="auto"/>
                <w:szCs w:val="21"/>
                <w:highlight w:val="none"/>
                <w:lang w:eastAsia="zh-CN"/>
              </w:rPr>
            </w:pPr>
            <w:r>
              <w:rPr>
                <w:rFonts w:hint="eastAsia" w:ascii="宋体" w:hAnsi="宋体" w:cs="宋体"/>
                <w:color w:val="auto"/>
                <w:szCs w:val="21"/>
                <w:highlight w:val="none"/>
              </w:rPr>
              <w:t>（三）建设规模：学生公寓东14栋修缮项目共计有60间宿舍，可提供240个硕士新生床位，改造面积2994.24㎡，主要包括：拆除宿舍内天地墙原有饰面、墙体、水管、电线等；重新铺地砖、墙面刮腻子刷无机涂料（局部贴瓷砖）、天棚面刮腻子刷无机涂料、更换门窗、重装水电等</w:t>
            </w:r>
            <w:r>
              <w:rPr>
                <w:rFonts w:hint="eastAsia" w:ascii="宋体" w:hAnsi="宋体" w:cs="宋体"/>
                <w:color w:val="auto"/>
                <w:szCs w:val="21"/>
                <w:highlight w:val="none"/>
                <w:lang w:eastAsia="zh-CN"/>
              </w:rPr>
              <w:t>。</w:t>
            </w:r>
          </w:p>
          <w:p w14:paraId="44EF89C0">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主要建设内容为：</w:t>
            </w:r>
          </w:p>
          <w:p w14:paraId="44000C79">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1.拆除工程：拆除宿舍内4个水泥储物柜；拆除旧洗漱台及排污管；拆除卫生间冲水箱、供水管、排污管等。</w:t>
            </w:r>
          </w:p>
          <w:p w14:paraId="02E3CD12">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2.装饰工程：宿舍内外墙、天花板翻新；走廊通道墙面翻新；地面翻新等。施工时必须进行宿舍家具及电器保护。</w:t>
            </w:r>
          </w:p>
          <w:p w14:paraId="4103962E">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安装工程：安装入户门，安装楼道消防指示灯，安装宿舍内外灯具，新增纱窗，安装卫生间淋浴设施，安装排气扇，安装卫生间供水管、排污管、冲水箱；安装洗漱台，安装置物架及镜子，改造宿舍内配电线路；安装不锈钢窗；安装洗衣机给排水口及电路等。</w:t>
            </w:r>
          </w:p>
          <w:p w14:paraId="5FE6E489">
            <w:pPr>
              <w:shd w:val="clea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4.防水工程：漏水卫生间、生活阳台地面翻修等。</w:t>
            </w:r>
          </w:p>
          <w:p w14:paraId="1677AAF9">
            <w:pPr>
              <w:shd w:val="clear"/>
              <w:spacing w:line="360" w:lineRule="auto"/>
              <w:ind w:firstLine="420" w:firstLineChars="200"/>
              <w:jc w:val="left"/>
              <w:rPr>
                <w:rFonts w:ascii="宋体" w:hAnsi="宋体"/>
                <w:color w:val="auto"/>
                <w:szCs w:val="21"/>
                <w:highlight w:val="none"/>
              </w:rPr>
            </w:pPr>
            <w:r>
              <w:rPr>
                <w:rFonts w:hint="eastAsia" w:ascii="宋体" w:hAnsi="宋体" w:cs="宋体"/>
                <w:color w:val="auto"/>
                <w:szCs w:val="21"/>
                <w:highlight w:val="none"/>
              </w:rPr>
              <w:t>具体见</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发布的施工设计图纸、工程量清单及招标控制价。</w:t>
            </w:r>
          </w:p>
          <w:p w14:paraId="631CB4BE">
            <w:pPr>
              <w:shd w:val="clear"/>
              <w:spacing w:line="360" w:lineRule="auto"/>
              <w:jc w:val="left"/>
              <w:rPr>
                <w:rFonts w:ascii="宋体" w:hAnsi="宋体"/>
                <w:color w:val="auto"/>
                <w:szCs w:val="21"/>
                <w:highlight w:val="none"/>
              </w:rPr>
            </w:pPr>
            <w:r>
              <w:rPr>
                <w:rFonts w:hint="eastAsia" w:ascii="宋体" w:hAnsi="宋体"/>
                <w:color w:val="auto"/>
                <w:szCs w:val="21"/>
                <w:highlight w:val="none"/>
              </w:rPr>
              <w:t>（四）采购范围：</w:t>
            </w:r>
            <w:r>
              <w:rPr>
                <w:rFonts w:hint="eastAsia" w:ascii="宋体" w:hAnsi="宋体" w:cs="宋体"/>
                <w:color w:val="auto"/>
                <w:szCs w:val="21"/>
                <w:highlight w:val="none"/>
              </w:rPr>
              <w:t>拆除宿舍内天地墙原有饰面、墙体、水管、电线等；重新铺地砖、墙面刮腻子刷无机涂料（局部贴瓷砖）、天棚面刮腻子刷无机涂料、更换门窗、重装水电等。具体详见采购人发布的施工设计图纸、工程量清单及招标控制价。</w:t>
            </w:r>
          </w:p>
          <w:p w14:paraId="5F4EBB48">
            <w:pPr>
              <w:shd w:val="clea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（五）工程质量标准：合格。</w:t>
            </w:r>
          </w:p>
          <w:p w14:paraId="6A73A653">
            <w:pPr>
              <w:shd w:val="clear"/>
              <w:spacing w:line="360" w:lineRule="auto"/>
              <w:jc w:val="left"/>
              <w:rPr>
                <w:rFonts w:ascii="宋体" w:hAnsi="宋体"/>
                <w:color w:val="auto"/>
                <w:szCs w:val="21"/>
                <w:highlight w:val="none"/>
              </w:rPr>
            </w:pPr>
            <w:r>
              <w:rPr>
                <w:rFonts w:hint="eastAsia" w:ascii="宋体" w:hAnsi="宋体"/>
                <w:color w:val="auto"/>
                <w:szCs w:val="21"/>
                <w:highlight w:val="none"/>
              </w:rPr>
              <w:t>二、竞标人资质要求：</w:t>
            </w:r>
          </w:p>
          <w:p w14:paraId="71C0B0F1">
            <w:pPr>
              <w:shd w:val="clea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（一）单位资质：须具备建筑工程施工总承包三级（含）以上资质</w:t>
            </w:r>
            <w:r>
              <w:rPr>
                <w:rFonts w:hint="eastAsia" w:ascii="宋体" w:hAnsi="宋体"/>
                <w:color w:val="auto"/>
                <w:szCs w:val="21"/>
                <w:highlight w:val="none"/>
                <w:lang w:eastAsia="zh-CN"/>
              </w:rPr>
              <w:t>，同时具备有效的省级及以上建设行政主管部门颁发的安全生产许可证</w:t>
            </w:r>
            <w:r>
              <w:rPr>
                <w:rFonts w:hint="eastAsia" w:ascii="宋体" w:hAnsi="宋体"/>
                <w:color w:val="auto"/>
                <w:szCs w:val="21"/>
                <w:highlight w:val="none"/>
              </w:rPr>
              <w:t>；</w:t>
            </w:r>
          </w:p>
          <w:p w14:paraId="0850F1E2">
            <w:pPr>
              <w:shd w:val="clea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（二）项目经理：须具备建筑工程专业二级（含）以上注册建造师执业资格及有效的安全生产考核合格证书（B类）；</w:t>
            </w:r>
          </w:p>
          <w:p w14:paraId="245C26F9">
            <w:pPr>
              <w:shd w:val="clea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（三）安全员：须具备有效的安全生产考核合格证书（C类）；</w:t>
            </w:r>
          </w:p>
          <w:p w14:paraId="7E4FD6F3">
            <w:pPr>
              <w:shd w:val="clea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（四）施工员、质量员、材料员：须具备相应施工现场专业人员职业培训合格证书并在有效期内；</w:t>
            </w:r>
          </w:p>
          <w:p w14:paraId="57F626D5">
            <w:pPr>
              <w:shd w:val="clea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以上人员均需提供供应商为其依法缴纳竞标截止之日前半年内任意一个月社会保险凭证或劳动合同或用人单位工作证明复印件。</w:t>
            </w:r>
          </w:p>
          <w:p w14:paraId="40EEA633">
            <w:pPr>
              <w:shd w:val="clear"/>
              <w:spacing w:line="360" w:lineRule="auto"/>
              <w:jc w:val="left"/>
              <w:rPr>
                <w:rFonts w:ascii="宋体" w:hAnsi="宋体"/>
                <w:color w:val="auto"/>
                <w:szCs w:val="21"/>
                <w:highlight w:val="none"/>
              </w:rPr>
            </w:pPr>
            <w:r>
              <w:rPr>
                <w:rFonts w:hint="eastAsia" w:ascii="宋体" w:hAnsi="宋体" w:cs="宋体"/>
                <w:color w:val="auto"/>
                <w:szCs w:val="21"/>
                <w:highlight w:val="none"/>
              </w:rPr>
              <w:t>三、</w:t>
            </w:r>
            <w:r>
              <w:rPr>
                <w:rFonts w:hint="eastAsia" w:ascii="宋体" w:hAnsi="宋体"/>
                <w:color w:val="auto"/>
                <w:szCs w:val="21"/>
                <w:highlight w:val="none"/>
              </w:rPr>
              <w:t>开工日期：以签订合同后采购人通知为准。</w:t>
            </w:r>
          </w:p>
          <w:p w14:paraId="1E6ADA4E">
            <w:pPr>
              <w:shd w:val="clear"/>
              <w:spacing w:line="360" w:lineRule="auto"/>
              <w:jc w:val="left"/>
              <w:rPr>
                <w:rFonts w:ascii="宋体" w:hAnsi="宋体"/>
                <w:color w:val="auto"/>
                <w:szCs w:val="21"/>
                <w:highlight w:val="none"/>
              </w:rPr>
            </w:pPr>
            <w:r>
              <w:rPr>
                <w:rFonts w:hint="eastAsia" w:ascii="宋体" w:hAnsi="宋体"/>
                <w:color w:val="auto"/>
                <w:szCs w:val="21"/>
                <w:highlight w:val="none"/>
                <w:lang w:val="en-US" w:eastAsia="zh-CN"/>
              </w:rPr>
              <w:t>四</w:t>
            </w:r>
            <w:r>
              <w:rPr>
                <w:rFonts w:hint="eastAsia" w:ascii="宋体" w:hAnsi="宋体"/>
                <w:color w:val="auto"/>
                <w:szCs w:val="21"/>
                <w:highlight w:val="none"/>
              </w:rPr>
              <w:t>、开工前供应商应到采购人水电管理部门办理用水用电手续，签订施工用水用电协议，并以现金转账方式缴纳文明施工保证金，文明施工保证金为本工程合同价的3%（最高不超过50万元），采购人开通用水用电；现场施工用水、用电费用按月以实际计量收费（单价：以采购人水电部门核准为准）向采购人缴纳；项目竣工验收前，供应商应与采购人结算水电费用，待结算完成后，由供应商申请，发包人15个工作日内退还文明施工保证金（无息）。</w:t>
            </w:r>
          </w:p>
          <w:p w14:paraId="0445ABC5">
            <w:pPr>
              <w:shd w:val="clear"/>
              <w:spacing w:line="360" w:lineRule="auto"/>
              <w:jc w:val="left"/>
              <w:rPr>
                <w:rFonts w:ascii="宋体" w:hAnsi="宋体"/>
                <w:color w:val="auto"/>
                <w:szCs w:val="21"/>
                <w:highlight w:val="none"/>
              </w:rPr>
            </w:pPr>
            <w:r>
              <w:rPr>
                <w:rFonts w:hint="eastAsia" w:ascii="宋体" w:hAnsi="宋体"/>
                <w:color w:val="auto"/>
                <w:szCs w:val="21"/>
                <w:highlight w:val="none"/>
                <w:lang w:val="en-US" w:eastAsia="zh-CN"/>
              </w:rPr>
              <w:t>五</w:t>
            </w:r>
            <w:r>
              <w:rPr>
                <w:rFonts w:hint="eastAsia" w:ascii="宋体" w:hAnsi="宋体"/>
                <w:color w:val="auto"/>
                <w:szCs w:val="21"/>
                <w:highlight w:val="none"/>
              </w:rPr>
              <w:t>、供应商需按人社规（2022）5号文规定设立农民工工资账户。</w:t>
            </w:r>
          </w:p>
        </w:tc>
      </w:tr>
      <w:tr w14:paraId="495B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4" w:type="dxa"/>
            <w:gridSpan w:val="5"/>
            <w:vAlign w:val="center"/>
          </w:tcPr>
          <w:p w14:paraId="1CD8EF27">
            <w:pPr>
              <w:shd w:val="clear"/>
              <w:spacing w:line="360" w:lineRule="auto"/>
              <w:jc w:val="center"/>
              <w:rPr>
                <w:rFonts w:ascii="宋体" w:hAnsi="宋体"/>
                <w:b/>
                <w:color w:val="auto"/>
                <w:szCs w:val="21"/>
                <w:highlight w:val="none"/>
              </w:rPr>
            </w:pPr>
            <w:r>
              <w:rPr>
                <w:rFonts w:hint="eastAsia" w:ascii="宋体" w:hAnsi="宋体"/>
                <w:b/>
                <w:color w:val="auto"/>
                <w:szCs w:val="21"/>
                <w:highlight w:val="none"/>
              </w:rPr>
              <w:t>商务要求</w:t>
            </w:r>
          </w:p>
        </w:tc>
      </w:tr>
      <w:tr w14:paraId="1AC03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gridSpan w:val="2"/>
            <w:vAlign w:val="center"/>
          </w:tcPr>
          <w:p w14:paraId="54868C5E">
            <w:pPr>
              <w:shd w:val="clear"/>
              <w:spacing w:line="360" w:lineRule="auto"/>
              <w:jc w:val="center"/>
              <w:rPr>
                <w:rFonts w:ascii="宋体" w:hAnsi="宋体"/>
                <w:color w:val="auto"/>
                <w:szCs w:val="21"/>
                <w:highlight w:val="none"/>
              </w:rPr>
            </w:pPr>
            <w:r>
              <w:rPr>
                <w:rFonts w:hint="eastAsia" w:ascii="宋体" w:hAnsi="宋体"/>
                <w:color w:val="auto"/>
                <w:szCs w:val="21"/>
                <w:highlight w:val="none"/>
              </w:rPr>
              <w:t>施工工期</w:t>
            </w:r>
          </w:p>
        </w:tc>
        <w:tc>
          <w:tcPr>
            <w:tcW w:w="7238" w:type="dxa"/>
            <w:gridSpan w:val="3"/>
            <w:vAlign w:val="center"/>
          </w:tcPr>
          <w:p w14:paraId="48C3CDEF">
            <w:pPr>
              <w:shd w:val="clear"/>
              <w:spacing w:line="360" w:lineRule="auto"/>
              <w:jc w:val="left"/>
              <w:rPr>
                <w:rFonts w:ascii="宋体" w:hAnsi="宋体"/>
                <w:color w:val="auto"/>
                <w:szCs w:val="21"/>
                <w:highlight w:val="none"/>
              </w:rPr>
            </w:pPr>
            <w:r>
              <w:rPr>
                <w:rFonts w:hint="eastAsia" w:ascii="宋体" w:hAnsi="宋体"/>
                <w:color w:val="auto"/>
                <w:szCs w:val="21"/>
                <w:highlight w:val="none"/>
                <w:lang w:val="en-US" w:eastAsia="zh-CN"/>
              </w:rPr>
              <w:t>55</w:t>
            </w:r>
            <w:r>
              <w:rPr>
                <w:rFonts w:hint="eastAsia" w:ascii="宋体" w:hAnsi="宋体"/>
                <w:color w:val="auto"/>
                <w:szCs w:val="21"/>
                <w:highlight w:val="none"/>
              </w:rPr>
              <w:t>日历天</w:t>
            </w:r>
            <w:r>
              <w:rPr>
                <w:rFonts w:hint="eastAsia" w:asciiTheme="minorEastAsia" w:hAnsiTheme="minorEastAsia" w:cstheme="minorEastAsia"/>
                <w:color w:val="auto"/>
                <w:szCs w:val="21"/>
                <w:highlight w:val="none"/>
              </w:rPr>
              <w:t>（竣工日期以预验收日期为准）</w:t>
            </w:r>
            <w:r>
              <w:rPr>
                <w:rFonts w:ascii="宋体" w:hAnsi="宋体"/>
                <w:color w:val="auto"/>
                <w:szCs w:val="21"/>
                <w:highlight w:val="none"/>
              </w:rPr>
              <w:t>。</w:t>
            </w:r>
          </w:p>
        </w:tc>
      </w:tr>
      <w:tr w14:paraId="1736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gridSpan w:val="2"/>
            <w:shd w:val="clear" w:color="auto" w:fill="auto"/>
            <w:vAlign w:val="center"/>
          </w:tcPr>
          <w:p w14:paraId="7C2E0C5C">
            <w:pPr>
              <w:shd w:val="clear"/>
              <w:spacing w:line="360" w:lineRule="auto"/>
              <w:jc w:val="center"/>
              <w:rPr>
                <w:rFonts w:ascii="宋体" w:hAnsi="宋体"/>
                <w:color w:val="auto"/>
                <w:szCs w:val="21"/>
                <w:highlight w:val="none"/>
              </w:rPr>
            </w:pPr>
            <w:r>
              <w:rPr>
                <w:rFonts w:hint="eastAsia" w:ascii="宋体" w:hAnsi="宋体"/>
                <w:color w:val="auto"/>
                <w:szCs w:val="21"/>
                <w:highlight w:val="none"/>
              </w:rPr>
              <w:t>合同签订时间</w:t>
            </w:r>
          </w:p>
        </w:tc>
        <w:tc>
          <w:tcPr>
            <w:tcW w:w="7238" w:type="dxa"/>
            <w:gridSpan w:val="3"/>
            <w:shd w:val="clear" w:color="auto" w:fill="auto"/>
            <w:vAlign w:val="center"/>
          </w:tcPr>
          <w:p w14:paraId="7B6D0844">
            <w:pPr>
              <w:shd w:val="clear"/>
              <w:spacing w:line="360" w:lineRule="auto"/>
              <w:jc w:val="left"/>
              <w:rPr>
                <w:rFonts w:ascii="宋体" w:hAnsi="宋体"/>
                <w:color w:val="auto"/>
                <w:szCs w:val="21"/>
                <w:highlight w:val="none"/>
              </w:rPr>
            </w:pPr>
            <w:r>
              <w:rPr>
                <w:rFonts w:hint="eastAsia" w:ascii="宋体" w:hAnsi="宋体"/>
                <w:color w:val="auto"/>
                <w:szCs w:val="21"/>
                <w:highlight w:val="none"/>
              </w:rPr>
              <w:t>自成交通知书发出之日起</w:t>
            </w:r>
            <w:r>
              <w:rPr>
                <w:rFonts w:ascii="宋体" w:hAnsi="宋体"/>
                <w:color w:val="auto"/>
                <w:szCs w:val="21"/>
                <w:highlight w:val="none"/>
              </w:rPr>
              <w:t>15</w:t>
            </w:r>
            <w:r>
              <w:rPr>
                <w:rFonts w:hint="eastAsia" w:ascii="宋体" w:hAnsi="宋体"/>
                <w:color w:val="auto"/>
                <w:szCs w:val="21"/>
                <w:highlight w:val="none"/>
              </w:rPr>
              <w:t>日内。</w:t>
            </w:r>
          </w:p>
        </w:tc>
      </w:tr>
      <w:tr w14:paraId="610A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gridSpan w:val="2"/>
            <w:vAlign w:val="center"/>
          </w:tcPr>
          <w:p w14:paraId="41C665CC">
            <w:pPr>
              <w:shd w:val="clear"/>
              <w:spacing w:line="360" w:lineRule="auto"/>
              <w:jc w:val="center"/>
              <w:rPr>
                <w:rFonts w:ascii="宋体" w:hAnsi="宋体"/>
                <w:color w:val="auto"/>
                <w:szCs w:val="21"/>
                <w:highlight w:val="none"/>
              </w:rPr>
            </w:pPr>
            <w:r>
              <w:rPr>
                <w:rFonts w:hint="eastAsia" w:ascii="宋体" w:hAnsi="宋体"/>
                <w:color w:val="auto"/>
                <w:szCs w:val="21"/>
                <w:highlight w:val="none"/>
              </w:rPr>
              <w:t>报价要求</w:t>
            </w:r>
          </w:p>
        </w:tc>
        <w:tc>
          <w:tcPr>
            <w:tcW w:w="7238" w:type="dxa"/>
            <w:gridSpan w:val="3"/>
            <w:vAlign w:val="center"/>
          </w:tcPr>
          <w:p w14:paraId="1F6483BA">
            <w:pPr>
              <w:shd w:val="clea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1.竞争性磋商报价采用下浮系数报价（报价范围：0≤下浮系数</w:t>
            </w:r>
            <w:r>
              <w:rPr>
                <w:rFonts w:hint="eastAsia" w:ascii="宋体" w:hAnsi="宋体" w:eastAsia="宋体"/>
                <w:color w:val="auto"/>
                <w:szCs w:val="21"/>
                <w:highlight w:val="none"/>
                <w:lang w:val="en-US" w:eastAsia="zh-CN"/>
              </w:rPr>
              <w:t>＜</w:t>
            </w:r>
            <w:r>
              <w:rPr>
                <w:rFonts w:hint="eastAsia" w:ascii="宋体" w:hAnsi="宋体" w:eastAsia="宋体"/>
                <w:color w:val="auto"/>
                <w:szCs w:val="21"/>
                <w:highlight w:val="none"/>
              </w:rPr>
              <w:t>100%），供应商应认真阅读已经采购人审定的最高限价（招标控制价），参与磋商即表示认可最高限价（招标控制价）及单价，成交后依据合同的固定综合单价【固定综合单价=采购预算价（招标控制价）公布的相应的清单项目的单价×（1-下浮系数）】进行结算，供应商不得对采购人的采购预算价（招标控制价）中的综合单价进行修改，合同总价为暂定合同价【暂定合同价=采购预算价（招标控制价）公布的总金额×（1-下浮系数）】。</w:t>
            </w:r>
          </w:p>
          <w:p w14:paraId="6E1E34C2">
            <w:pPr>
              <w:shd w:val="clea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2.竞标报价包括了为实施和完成合同工程所需的劳务、材料、机械、质检（自检）、安装、缺陷修复、管理、保险、税费、利润等费用，以及合同明示或暗示的所有责任、义务和一般风险。</w:t>
            </w:r>
          </w:p>
          <w:p w14:paraId="44D792BC">
            <w:pPr>
              <w:shd w:val="clea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3.本项目采用固定综合单价合同，工程量按实际结算，供应商工程量清单中项目的工程量无论增减，均按原单价结算。本工程最终结算价以采购人或采购人选定的第三方工程咨询单位审定金额为准。</w:t>
            </w:r>
          </w:p>
          <w:p w14:paraId="733C07F7">
            <w:pPr>
              <w:shd w:val="clear"/>
              <w:spacing w:line="360" w:lineRule="auto"/>
              <w:jc w:val="left"/>
              <w:rPr>
                <w:rFonts w:ascii="宋体" w:hAnsi="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铝合金门窗、防盗网、钢筋晾衣杆、金属变形缝盖板、金属栏杆、不锈钢水箱、钢防盗门等</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如有）</w:t>
            </w:r>
            <w:r>
              <w:rPr>
                <w:rFonts w:hint="eastAsia" w:ascii="宋体" w:hAnsi="宋体" w:eastAsia="宋体"/>
                <w:color w:val="auto"/>
                <w:szCs w:val="21"/>
                <w:highlight w:val="none"/>
              </w:rPr>
              <w:t>拆除按以料抵工计取，不另计拆除费用。</w:t>
            </w:r>
          </w:p>
        </w:tc>
      </w:tr>
      <w:tr w14:paraId="5834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gridSpan w:val="2"/>
            <w:vAlign w:val="center"/>
          </w:tcPr>
          <w:p w14:paraId="534DBCD1">
            <w:pPr>
              <w:shd w:val="clear"/>
              <w:spacing w:line="360" w:lineRule="auto"/>
              <w:jc w:val="center"/>
              <w:rPr>
                <w:rFonts w:ascii="宋体" w:hAnsi="宋体"/>
                <w:color w:val="auto"/>
                <w:szCs w:val="21"/>
                <w:highlight w:val="none"/>
              </w:rPr>
            </w:pPr>
            <w:r>
              <w:rPr>
                <w:rFonts w:hint="eastAsia" w:ascii="宋体" w:hAnsi="宋体"/>
                <w:color w:val="auto"/>
                <w:szCs w:val="21"/>
                <w:highlight w:val="none"/>
              </w:rPr>
              <w:t>履约保证金</w:t>
            </w:r>
          </w:p>
        </w:tc>
        <w:tc>
          <w:tcPr>
            <w:tcW w:w="7238" w:type="dxa"/>
            <w:gridSpan w:val="3"/>
            <w:vAlign w:val="center"/>
          </w:tcPr>
          <w:p w14:paraId="297D4220">
            <w:pPr>
              <w:shd w:val="clea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1.履约保证金金额：按签约合同价扣除发包人材料设备价款、暂估专业工程、暂列金额后的2%。在收到成交通知书或任务委托书后须在10日历天内交至指定账户，否则视同放弃成交（履约保证金缴纳时须备注项目名称+项目编号。）</w:t>
            </w:r>
          </w:p>
          <w:p w14:paraId="69FEC351">
            <w:pPr>
              <w:shd w:val="clea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2.履约保证金缴纳方式：</w:t>
            </w:r>
            <w:r>
              <w:rPr>
                <w:rFonts w:hint="eastAsia" w:ascii="宋体" w:hAnsi="宋体"/>
                <w:color w:val="auto"/>
                <w:szCs w:val="21"/>
                <w:highlight w:val="none"/>
              </w:rPr>
              <w:t>银行转账或者银行出具的无条件保函非现金方式（无息）</w:t>
            </w:r>
            <w:r>
              <w:rPr>
                <w:rFonts w:hint="eastAsia" w:ascii="宋体" w:hAnsi="宋体" w:eastAsia="宋体"/>
                <w:color w:val="auto"/>
                <w:szCs w:val="21"/>
                <w:highlight w:val="none"/>
              </w:rPr>
              <w:t>。</w:t>
            </w:r>
          </w:p>
          <w:p w14:paraId="1E8070A8">
            <w:pPr>
              <w:shd w:val="clea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3.履约保证金退还方式、时间及条件：履约保证金在工程竣工验收合格并对验收发现的问题完成整改后的7个日历天内，退付履约金的50%；成交供应商向采购人完成（施工）竣工资料移交手续后并提交完整的竣工结算资料，</w:t>
            </w:r>
            <w:r>
              <w:rPr>
                <w:rFonts w:hint="eastAsia" w:ascii="宋体" w:hAnsi="宋体" w:cs="宋体"/>
                <w:color w:val="auto"/>
                <w:szCs w:val="21"/>
                <w:highlight w:val="none"/>
              </w:rPr>
              <w:t>竣工结算审核完成，双方在竣工结算审定单签字盖章后1</w:t>
            </w:r>
            <w:r>
              <w:rPr>
                <w:rFonts w:ascii="宋体" w:hAnsi="宋体" w:cs="宋体"/>
                <w:color w:val="auto"/>
                <w:szCs w:val="21"/>
                <w:highlight w:val="none"/>
              </w:rPr>
              <w:t>4</w:t>
            </w:r>
            <w:r>
              <w:rPr>
                <w:rFonts w:hint="eastAsia" w:ascii="宋体" w:hAnsi="宋体" w:cs="宋体"/>
                <w:color w:val="auto"/>
                <w:szCs w:val="21"/>
                <w:highlight w:val="none"/>
              </w:rPr>
              <w:t>天</w:t>
            </w:r>
            <w:r>
              <w:rPr>
                <w:rFonts w:hint="eastAsia" w:ascii="宋体" w:hAnsi="宋体" w:eastAsia="宋体"/>
                <w:color w:val="auto"/>
                <w:szCs w:val="21"/>
                <w:highlight w:val="none"/>
              </w:rPr>
              <w:t>可向采购人申请退还剩余的履约保证金，采购人应在收到申请之日起5个工作日内扣减成交供应商赔偿金和其他应从成交供应商扣回的款项后，将履约保证金的余额退还给成交供应商（无息）。</w:t>
            </w:r>
          </w:p>
          <w:p w14:paraId="3B9E8D2B">
            <w:pPr>
              <w:shd w:val="clear"/>
              <w:spacing w:line="360" w:lineRule="auto"/>
              <w:jc w:val="left"/>
              <w:rPr>
                <w:rFonts w:ascii="宋体" w:hAnsi="宋体" w:eastAsia="宋体"/>
                <w:color w:val="auto"/>
                <w:szCs w:val="21"/>
                <w:highlight w:val="none"/>
              </w:rPr>
            </w:pPr>
            <w:r>
              <w:rPr>
                <w:rFonts w:ascii="宋体" w:hAnsi="宋体" w:eastAsia="宋体"/>
                <w:color w:val="auto"/>
                <w:szCs w:val="21"/>
                <w:highlight w:val="none"/>
              </w:rPr>
              <w:t>4.</w:t>
            </w:r>
            <w:r>
              <w:rPr>
                <w:rFonts w:hint="eastAsia" w:ascii="宋体" w:hAnsi="宋体" w:eastAsia="宋体"/>
                <w:color w:val="auto"/>
                <w:szCs w:val="21"/>
                <w:highlight w:val="none"/>
              </w:rPr>
              <w:t>履约保证金指定账户：</w:t>
            </w:r>
          </w:p>
          <w:p w14:paraId="727D517A">
            <w:pPr>
              <w:shd w:val="clea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统一社会信用代码：124500004985009929</w:t>
            </w:r>
          </w:p>
          <w:p w14:paraId="0206DC82">
            <w:pPr>
              <w:shd w:val="clea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户名：广西大学</w:t>
            </w:r>
          </w:p>
          <w:p w14:paraId="5E4D0C0E">
            <w:pPr>
              <w:shd w:val="clea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开户行：中国银行广西南宁市西大支行</w:t>
            </w:r>
          </w:p>
          <w:p w14:paraId="05339620">
            <w:pPr>
              <w:shd w:val="clea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账号：618457484938</w:t>
            </w:r>
          </w:p>
          <w:p w14:paraId="70766F71">
            <w:pPr>
              <w:shd w:val="clea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注：其他要求</w:t>
            </w:r>
          </w:p>
          <w:p w14:paraId="7D5F9B75">
            <w:pPr>
              <w:shd w:val="clea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1）根据《广西壮族自治区财政厅关于持续优化政府采购营商环境推动高质量发展的通知》（桂财采〔2024〕55号），采购文件要求成交供应商缴纳履约保证金的，履约保证金数额不得超过政府采购合同金额的5%，对中小企业收取的履约保证金数额不得超过政府采购合同金额的2%。</w:t>
            </w:r>
          </w:p>
          <w:p w14:paraId="61911ACF">
            <w:pPr>
              <w:shd w:val="clea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（2）履约保证金必须足额缴纳，或出具的保函额度必须足额且保函有效期不能低于合同履行期限（即签订采购合同之日起至履行完合同约定的权利及义务之日止），否则视为无效履约保证金。</w:t>
            </w:r>
          </w:p>
          <w:p w14:paraId="195CCAC8">
            <w:pPr>
              <w:shd w:val="clea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（3）采用保函的，必须为无条件保函，否则视为无效履约保证金。</w:t>
            </w:r>
          </w:p>
        </w:tc>
      </w:tr>
      <w:tr w14:paraId="5681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gridSpan w:val="2"/>
            <w:vAlign w:val="center"/>
          </w:tcPr>
          <w:p w14:paraId="7A90D8E6">
            <w:pPr>
              <w:shd w:val="clear"/>
              <w:spacing w:line="360" w:lineRule="auto"/>
              <w:jc w:val="center"/>
              <w:rPr>
                <w:rFonts w:ascii="宋体" w:hAnsi="宋体"/>
                <w:color w:val="auto"/>
                <w:szCs w:val="21"/>
                <w:highlight w:val="none"/>
              </w:rPr>
            </w:pPr>
            <w:r>
              <w:rPr>
                <w:rFonts w:hint="eastAsia" w:ascii="宋体" w:hAnsi="宋体"/>
                <w:color w:val="auto"/>
                <w:szCs w:val="21"/>
                <w:highlight w:val="none"/>
              </w:rPr>
              <w:t>工程款（预付款、进度款）支付</w:t>
            </w:r>
          </w:p>
        </w:tc>
        <w:tc>
          <w:tcPr>
            <w:tcW w:w="7238" w:type="dxa"/>
            <w:gridSpan w:val="3"/>
            <w:vAlign w:val="center"/>
          </w:tcPr>
          <w:p w14:paraId="4D8CA6CB">
            <w:pPr>
              <w:pStyle w:val="63"/>
              <w:shd w:val="clear"/>
              <w:spacing w:line="360" w:lineRule="auto"/>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预付款：无预付款。</w:t>
            </w:r>
          </w:p>
          <w:p w14:paraId="19FD9D2D">
            <w:pPr>
              <w:pStyle w:val="63"/>
              <w:shd w:val="clear"/>
              <w:spacing w:line="360" w:lineRule="auto"/>
              <w:rPr>
                <w:rFonts w:ascii="宋体" w:hAnsi="宋体"/>
                <w:color w:val="auto"/>
                <w:szCs w:val="21"/>
                <w:highlight w:val="none"/>
              </w:rPr>
            </w:pPr>
            <w:r>
              <w:rPr>
                <w:rFonts w:hint="eastAsia" w:ascii="宋体" w:hAnsi="宋体"/>
                <w:color w:val="auto"/>
                <w:szCs w:val="21"/>
                <w:highlight w:val="none"/>
              </w:rPr>
              <w:t>2.工程款原则上按月支付，在确保不影响工程结算工作顺利开展的前提下，合同内进度款支付限额为已完成工程量的70%，工程变更部分无进度款，待工程竣工验收合格后3个月内，成交人按要求递交结算报告及全部结算资料，经采购人检查完整合格，双方在《工程项目竣工结算送审资料表》签字确认后,采购人按照递交的结算价与签约合同价（扣除发包人材料价款、暂估专业工程、暂列金额）二者的低价，拨付工程进度款至已完成工程量的70%。采购人按经审定的每期工程进度款的20%的比例拨付到成交人设立的农民工工资专用账户；其它工程进度款转入成交人指定账户。成交人在申请支付工程进度款时，必须提供上月关于农民工工资已按实发放的书面承诺书。因成交人原因造成工程资料与工程进度不同步，或者资料不真实，采购人暂停支付工程进度款，另按（人民币）1000元/次的标准计收违约金。</w:t>
            </w:r>
          </w:p>
          <w:p w14:paraId="3183998C">
            <w:pPr>
              <w:shd w:val="clea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3</w:t>
            </w:r>
            <w:r>
              <w:rPr>
                <w:rFonts w:ascii="宋体" w:hAnsi="宋体" w:eastAsia="宋体"/>
                <w:color w:val="auto"/>
                <w:szCs w:val="21"/>
                <w:highlight w:val="none"/>
              </w:rPr>
              <w:t>.</w:t>
            </w:r>
            <w:r>
              <w:rPr>
                <w:rFonts w:hint="eastAsia" w:ascii="宋体" w:hAnsi="宋体" w:eastAsia="宋体"/>
                <w:color w:val="auto"/>
                <w:szCs w:val="21"/>
                <w:highlight w:val="none"/>
              </w:rPr>
              <w:t>付款申请注意事项</w:t>
            </w:r>
          </w:p>
          <w:p w14:paraId="20A64D4E">
            <w:pPr>
              <w:shd w:val="clea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（1）进度付款申请单的份数：一式伍份。</w:t>
            </w:r>
          </w:p>
          <w:p w14:paraId="26F05AB7">
            <w:pPr>
              <w:shd w:val="clea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（2）进度付款申请单的内容：本次已完成工程的价款、累计已完成的工程价款、累计已支付的工程价款、增加和扣减的其他金额等。</w:t>
            </w:r>
          </w:p>
          <w:p w14:paraId="6DD4ECDA">
            <w:pPr>
              <w:shd w:val="clea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3）为保证进度款申请额的准确性，双方约定，供应商报送的工程进度款（以下简称送审款），与采购人最终审定的工程进度款（以下简称审定款）相比，应保证其误差率≤5％，如误差率＞5％，供应商应承担违约责任并支付违约金；误差率为5％—10％（含）的，违约金＝（送审款-审定款）×5%×50％；误差率大于10％的，违约金=（送审款-审定款）×5%，违约金由采购人从供应商工程结算款中扣除。</w:t>
            </w:r>
          </w:p>
          <w:p w14:paraId="4478C60F">
            <w:pPr>
              <w:shd w:val="clea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注：误差率=（送审款-审定款）/送审款×100%</w:t>
            </w:r>
          </w:p>
          <w:p w14:paraId="6853160C">
            <w:pPr>
              <w:shd w:val="clear"/>
              <w:spacing w:line="360" w:lineRule="auto"/>
              <w:jc w:val="left"/>
              <w:rPr>
                <w:rFonts w:ascii="宋体" w:hAnsi="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）供应商应及时开具发票，未开具发票给采购人的，采购人不予支付工程进度款。</w:t>
            </w:r>
          </w:p>
        </w:tc>
      </w:tr>
      <w:tr w14:paraId="0BFB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6" w:type="dxa"/>
            <w:gridSpan w:val="2"/>
            <w:vAlign w:val="center"/>
          </w:tcPr>
          <w:p w14:paraId="4FD1E9A4">
            <w:pPr>
              <w:shd w:val="clear"/>
              <w:spacing w:line="360" w:lineRule="auto"/>
              <w:jc w:val="center"/>
              <w:rPr>
                <w:rFonts w:ascii="宋体" w:hAnsi="宋体"/>
                <w:color w:val="auto"/>
                <w:szCs w:val="21"/>
                <w:highlight w:val="none"/>
              </w:rPr>
            </w:pPr>
            <w:r>
              <w:rPr>
                <w:rFonts w:hint="eastAsia" w:ascii="宋体" w:hAnsi="宋体"/>
                <w:color w:val="auto"/>
                <w:szCs w:val="21"/>
                <w:highlight w:val="none"/>
              </w:rPr>
              <w:t>验收标准</w:t>
            </w:r>
          </w:p>
        </w:tc>
        <w:tc>
          <w:tcPr>
            <w:tcW w:w="7238" w:type="dxa"/>
            <w:gridSpan w:val="3"/>
            <w:vAlign w:val="center"/>
          </w:tcPr>
          <w:p w14:paraId="19F7F639">
            <w:pPr>
              <w:shd w:val="clea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必须达到国家、自治区相关的施工验收规范合格标准。</w:t>
            </w:r>
          </w:p>
        </w:tc>
      </w:tr>
    </w:tbl>
    <w:p w14:paraId="5A4C2010">
      <w:pPr>
        <w:shd w:val="clear"/>
        <w:spacing w:line="360" w:lineRule="auto"/>
        <w:ind w:firstLine="420" w:firstLineChars="200"/>
        <w:rPr>
          <w:rFonts w:ascii="宋体" w:hAnsi="宋体" w:eastAsia="宋体"/>
          <w:color w:val="auto"/>
          <w:szCs w:val="21"/>
          <w:highlight w:val="none"/>
        </w:rPr>
      </w:pPr>
    </w:p>
    <w:p w14:paraId="56C26811">
      <w:pPr>
        <w:shd w:val="clea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7B1F2C5D">
      <w:pPr>
        <w:shd w:val="clear"/>
        <w:spacing w:line="360" w:lineRule="auto"/>
        <w:ind w:firstLine="640" w:firstLineChars="200"/>
        <w:rPr>
          <w:rFonts w:ascii="微软雅黑" w:hAnsi="微软雅黑" w:eastAsia="微软雅黑"/>
          <w:color w:val="auto"/>
          <w:sz w:val="32"/>
          <w:szCs w:val="32"/>
          <w:highlight w:val="none"/>
        </w:rPr>
      </w:pPr>
      <w:r>
        <w:rPr>
          <w:rFonts w:hint="eastAsia" w:ascii="微软雅黑" w:hAnsi="微软雅黑" w:eastAsia="微软雅黑"/>
          <w:color w:val="auto"/>
          <w:sz w:val="32"/>
          <w:szCs w:val="32"/>
          <w:highlight w:val="none"/>
        </w:rPr>
        <w:t>附件：</w:t>
      </w:r>
    </w:p>
    <w:p w14:paraId="75F5E3F8">
      <w:pPr>
        <w:shd w:val="clear"/>
        <w:spacing w:line="360" w:lineRule="auto"/>
        <w:jc w:val="center"/>
        <w:rPr>
          <w:rFonts w:ascii="微软雅黑" w:hAnsi="微软雅黑" w:eastAsia="微软雅黑"/>
          <w:color w:val="auto"/>
          <w:sz w:val="40"/>
          <w:szCs w:val="40"/>
          <w:highlight w:val="none"/>
        </w:rPr>
      </w:pPr>
      <w:r>
        <w:rPr>
          <w:rFonts w:hint="eastAsia" w:ascii="微软雅黑" w:hAnsi="微软雅黑" w:eastAsia="微软雅黑"/>
          <w:color w:val="auto"/>
          <w:sz w:val="40"/>
          <w:szCs w:val="40"/>
          <w:highlight w:val="none"/>
        </w:rPr>
        <w:t>中小微企业划型标准</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1546"/>
        <w:gridCol w:w="1642"/>
        <w:gridCol w:w="1642"/>
        <w:gridCol w:w="1642"/>
        <w:gridCol w:w="1636"/>
      </w:tblGrid>
      <w:tr w14:paraId="6135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882" w:type="pct"/>
            <w:vAlign w:val="center"/>
          </w:tcPr>
          <w:p w14:paraId="7537886B">
            <w:pPr>
              <w:shd w:val="clea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行业名称</w:t>
            </w:r>
          </w:p>
        </w:tc>
        <w:tc>
          <w:tcPr>
            <w:tcW w:w="785" w:type="pct"/>
            <w:vAlign w:val="center"/>
          </w:tcPr>
          <w:p w14:paraId="6E795D4A">
            <w:pPr>
              <w:shd w:val="clea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指标名称</w:t>
            </w:r>
          </w:p>
        </w:tc>
        <w:tc>
          <w:tcPr>
            <w:tcW w:w="834" w:type="pct"/>
            <w:vAlign w:val="center"/>
          </w:tcPr>
          <w:p w14:paraId="40FCD9CB">
            <w:pPr>
              <w:shd w:val="clea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计量单位</w:t>
            </w:r>
          </w:p>
        </w:tc>
        <w:tc>
          <w:tcPr>
            <w:tcW w:w="834" w:type="pct"/>
            <w:vAlign w:val="center"/>
          </w:tcPr>
          <w:p w14:paraId="3F3C089A">
            <w:pPr>
              <w:shd w:val="clea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中型</w:t>
            </w:r>
          </w:p>
        </w:tc>
        <w:tc>
          <w:tcPr>
            <w:tcW w:w="834" w:type="pct"/>
            <w:vAlign w:val="center"/>
          </w:tcPr>
          <w:p w14:paraId="7D22DD33">
            <w:pPr>
              <w:shd w:val="clea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小型</w:t>
            </w:r>
          </w:p>
        </w:tc>
        <w:tc>
          <w:tcPr>
            <w:tcW w:w="831" w:type="pct"/>
            <w:vAlign w:val="center"/>
          </w:tcPr>
          <w:p w14:paraId="3D8CE4E3">
            <w:pPr>
              <w:shd w:val="clear"/>
              <w:jc w:val="center"/>
              <w:rPr>
                <w:rFonts w:ascii="仿宋" w:hAnsi="仿宋" w:eastAsia="仿宋"/>
                <w:b/>
                <w:color w:val="auto"/>
                <w:sz w:val="24"/>
                <w:szCs w:val="24"/>
                <w:highlight w:val="none"/>
              </w:rPr>
            </w:pPr>
            <w:r>
              <w:rPr>
                <w:rFonts w:hint="eastAsia" w:ascii="仿宋" w:hAnsi="仿宋" w:eastAsia="仿宋"/>
                <w:b/>
                <w:color w:val="auto"/>
                <w:sz w:val="24"/>
                <w:szCs w:val="24"/>
                <w:highlight w:val="none"/>
              </w:rPr>
              <w:t>微型</w:t>
            </w:r>
          </w:p>
        </w:tc>
      </w:tr>
      <w:tr w14:paraId="6782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66115478">
            <w:pPr>
              <w:shd w:val="clear"/>
              <w:jc w:val="center"/>
              <w:rPr>
                <w:rFonts w:ascii="宋体" w:hAnsi="宋体"/>
                <w:b/>
                <w:color w:val="auto"/>
                <w:sz w:val="18"/>
                <w:szCs w:val="18"/>
                <w:highlight w:val="none"/>
              </w:rPr>
            </w:pPr>
            <w:r>
              <w:rPr>
                <w:rFonts w:hint="eastAsia" w:ascii="宋体" w:hAnsi="宋体"/>
                <w:b/>
                <w:color w:val="auto"/>
                <w:sz w:val="18"/>
                <w:szCs w:val="18"/>
                <w:highlight w:val="none"/>
              </w:rPr>
              <w:t>农、林、牧、渔</w:t>
            </w:r>
          </w:p>
        </w:tc>
        <w:tc>
          <w:tcPr>
            <w:tcW w:w="785" w:type="pct"/>
            <w:vAlign w:val="center"/>
          </w:tcPr>
          <w:p w14:paraId="41E26A38">
            <w:pPr>
              <w:shd w:val="clear"/>
              <w:jc w:val="center"/>
              <w:rPr>
                <w:rFonts w:ascii="宋体" w:hAnsi="宋体"/>
                <w:color w:val="auto"/>
                <w:sz w:val="18"/>
                <w:szCs w:val="18"/>
                <w:highlight w:val="none"/>
              </w:rPr>
            </w:pPr>
            <w:r>
              <w:rPr>
                <w:rFonts w:hint="eastAsia" w:ascii="宋体" w:hAnsi="宋体"/>
                <w:color w:val="auto"/>
                <w:sz w:val="18"/>
                <w:szCs w:val="18"/>
                <w:highlight w:val="none"/>
              </w:rPr>
              <w:t>营业收入（Y）</w:t>
            </w:r>
          </w:p>
        </w:tc>
        <w:tc>
          <w:tcPr>
            <w:tcW w:w="834" w:type="pct"/>
            <w:vAlign w:val="center"/>
          </w:tcPr>
          <w:p w14:paraId="2611AC07">
            <w:pPr>
              <w:shd w:val="clear"/>
              <w:jc w:val="center"/>
              <w:rPr>
                <w:rFonts w:ascii="宋体" w:hAnsi="宋体"/>
                <w:color w:val="auto"/>
                <w:sz w:val="18"/>
                <w:szCs w:val="18"/>
                <w:highlight w:val="none"/>
              </w:rPr>
            </w:pPr>
            <w:r>
              <w:rPr>
                <w:rFonts w:hint="eastAsia" w:ascii="宋体" w:hAnsi="宋体"/>
                <w:color w:val="auto"/>
                <w:sz w:val="18"/>
                <w:szCs w:val="18"/>
                <w:highlight w:val="none"/>
              </w:rPr>
              <w:t>万元</w:t>
            </w:r>
          </w:p>
        </w:tc>
        <w:tc>
          <w:tcPr>
            <w:tcW w:w="834" w:type="pct"/>
            <w:vAlign w:val="center"/>
          </w:tcPr>
          <w:p w14:paraId="0F015F8A">
            <w:pPr>
              <w:shd w:val="clear"/>
              <w:jc w:val="center"/>
              <w:rPr>
                <w:rFonts w:ascii="宋体" w:hAnsi="宋体"/>
                <w:color w:val="auto"/>
                <w:sz w:val="18"/>
                <w:szCs w:val="18"/>
                <w:highlight w:val="none"/>
              </w:rPr>
            </w:pPr>
            <w:r>
              <w:rPr>
                <w:rFonts w:hint="eastAsia" w:ascii="宋体" w:hAnsi="宋体"/>
                <w:color w:val="auto"/>
                <w:sz w:val="18"/>
                <w:szCs w:val="18"/>
                <w:highlight w:val="none"/>
              </w:rPr>
              <w:t>500≤Y＜20000</w:t>
            </w:r>
          </w:p>
        </w:tc>
        <w:tc>
          <w:tcPr>
            <w:tcW w:w="834" w:type="pct"/>
            <w:vAlign w:val="center"/>
          </w:tcPr>
          <w:p w14:paraId="42BAE030">
            <w:pPr>
              <w:shd w:val="clear"/>
              <w:jc w:val="center"/>
              <w:rPr>
                <w:rFonts w:ascii="宋体" w:hAnsi="宋体"/>
                <w:color w:val="auto"/>
                <w:sz w:val="18"/>
                <w:szCs w:val="18"/>
                <w:highlight w:val="none"/>
              </w:rPr>
            </w:pPr>
            <w:r>
              <w:rPr>
                <w:rFonts w:hint="eastAsia" w:ascii="宋体" w:hAnsi="宋体"/>
                <w:color w:val="auto"/>
                <w:sz w:val="18"/>
                <w:szCs w:val="18"/>
                <w:highlight w:val="none"/>
              </w:rPr>
              <w:t>50≤Y＜500</w:t>
            </w:r>
          </w:p>
        </w:tc>
        <w:tc>
          <w:tcPr>
            <w:tcW w:w="831" w:type="pct"/>
            <w:vAlign w:val="center"/>
          </w:tcPr>
          <w:p w14:paraId="16376DFA">
            <w:pPr>
              <w:shd w:val="clear"/>
              <w:jc w:val="center"/>
              <w:rPr>
                <w:rFonts w:ascii="宋体" w:hAnsi="宋体"/>
                <w:color w:val="auto"/>
                <w:sz w:val="18"/>
                <w:szCs w:val="18"/>
                <w:highlight w:val="none"/>
              </w:rPr>
            </w:pPr>
            <w:r>
              <w:rPr>
                <w:rFonts w:hint="eastAsia" w:ascii="宋体" w:hAnsi="宋体"/>
                <w:color w:val="auto"/>
                <w:sz w:val="18"/>
                <w:szCs w:val="18"/>
                <w:highlight w:val="none"/>
              </w:rPr>
              <w:t>Y＜50</w:t>
            </w:r>
          </w:p>
        </w:tc>
      </w:tr>
      <w:tr w14:paraId="7B28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206B16B0">
            <w:pPr>
              <w:shd w:val="clear"/>
              <w:jc w:val="center"/>
              <w:rPr>
                <w:rFonts w:ascii="宋体" w:hAnsi="宋体"/>
                <w:b/>
                <w:color w:val="auto"/>
                <w:sz w:val="18"/>
                <w:szCs w:val="18"/>
                <w:highlight w:val="none"/>
              </w:rPr>
            </w:pPr>
            <w:r>
              <w:rPr>
                <w:rFonts w:hint="eastAsia" w:ascii="宋体" w:hAnsi="宋体"/>
                <w:b/>
                <w:color w:val="auto"/>
                <w:sz w:val="18"/>
                <w:szCs w:val="18"/>
                <w:highlight w:val="none"/>
              </w:rPr>
              <w:t>工业</w:t>
            </w:r>
          </w:p>
        </w:tc>
        <w:tc>
          <w:tcPr>
            <w:tcW w:w="785" w:type="pct"/>
            <w:vAlign w:val="center"/>
          </w:tcPr>
          <w:p w14:paraId="47521349">
            <w:pPr>
              <w:shd w:val="clear"/>
              <w:jc w:val="center"/>
              <w:rPr>
                <w:rFonts w:ascii="宋体" w:hAnsi="宋体"/>
                <w:color w:val="auto"/>
                <w:sz w:val="18"/>
                <w:szCs w:val="18"/>
                <w:highlight w:val="none"/>
              </w:rPr>
            </w:pPr>
            <w:r>
              <w:rPr>
                <w:rFonts w:hint="eastAsia" w:ascii="宋体" w:hAnsi="宋体"/>
                <w:color w:val="auto"/>
                <w:sz w:val="18"/>
                <w:szCs w:val="18"/>
                <w:highlight w:val="none"/>
              </w:rPr>
              <w:t>从业人员（X）</w:t>
            </w:r>
          </w:p>
        </w:tc>
        <w:tc>
          <w:tcPr>
            <w:tcW w:w="834" w:type="pct"/>
            <w:vAlign w:val="center"/>
          </w:tcPr>
          <w:p w14:paraId="32BABDF3">
            <w:pPr>
              <w:shd w:val="clear"/>
              <w:jc w:val="center"/>
              <w:rPr>
                <w:rFonts w:ascii="宋体" w:hAnsi="宋体"/>
                <w:color w:val="auto"/>
                <w:sz w:val="18"/>
                <w:szCs w:val="18"/>
                <w:highlight w:val="none"/>
              </w:rPr>
            </w:pPr>
            <w:r>
              <w:rPr>
                <w:rFonts w:hint="eastAsia" w:ascii="宋体" w:hAnsi="宋体"/>
                <w:color w:val="auto"/>
                <w:sz w:val="18"/>
                <w:szCs w:val="18"/>
                <w:highlight w:val="none"/>
              </w:rPr>
              <w:t>人</w:t>
            </w:r>
          </w:p>
        </w:tc>
        <w:tc>
          <w:tcPr>
            <w:tcW w:w="834" w:type="pct"/>
            <w:vAlign w:val="center"/>
          </w:tcPr>
          <w:p w14:paraId="4115D25E">
            <w:pPr>
              <w:shd w:val="clear"/>
              <w:jc w:val="center"/>
              <w:rPr>
                <w:rFonts w:ascii="宋体" w:hAnsi="宋体"/>
                <w:color w:val="auto"/>
                <w:sz w:val="18"/>
                <w:szCs w:val="18"/>
                <w:highlight w:val="none"/>
              </w:rPr>
            </w:pPr>
            <w:r>
              <w:rPr>
                <w:rFonts w:hint="eastAsia" w:ascii="宋体" w:hAnsi="宋体"/>
                <w:color w:val="auto"/>
                <w:sz w:val="18"/>
                <w:szCs w:val="18"/>
                <w:highlight w:val="none"/>
              </w:rPr>
              <w:t>300≤X＜1000</w:t>
            </w:r>
          </w:p>
        </w:tc>
        <w:tc>
          <w:tcPr>
            <w:tcW w:w="834" w:type="pct"/>
            <w:vAlign w:val="center"/>
          </w:tcPr>
          <w:p w14:paraId="7D3437BC">
            <w:pPr>
              <w:shd w:val="clear"/>
              <w:jc w:val="center"/>
              <w:rPr>
                <w:rFonts w:ascii="宋体" w:hAnsi="宋体"/>
                <w:color w:val="auto"/>
                <w:sz w:val="18"/>
                <w:szCs w:val="18"/>
                <w:highlight w:val="none"/>
              </w:rPr>
            </w:pPr>
            <w:r>
              <w:rPr>
                <w:rFonts w:hint="eastAsia" w:ascii="宋体" w:hAnsi="宋体"/>
                <w:color w:val="auto"/>
                <w:sz w:val="18"/>
                <w:szCs w:val="18"/>
                <w:highlight w:val="none"/>
              </w:rPr>
              <w:t>20≤X＜300</w:t>
            </w:r>
          </w:p>
        </w:tc>
        <w:tc>
          <w:tcPr>
            <w:tcW w:w="831" w:type="pct"/>
            <w:vAlign w:val="center"/>
          </w:tcPr>
          <w:p w14:paraId="574B3476">
            <w:pPr>
              <w:shd w:val="clear"/>
              <w:jc w:val="center"/>
              <w:rPr>
                <w:rFonts w:ascii="宋体" w:hAnsi="宋体"/>
                <w:color w:val="auto"/>
                <w:sz w:val="18"/>
                <w:szCs w:val="18"/>
                <w:highlight w:val="none"/>
              </w:rPr>
            </w:pPr>
            <w:r>
              <w:rPr>
                <w:rFonts w:hint="eastAsia" w:ascii="宋体" w:hAnsi="宋体"/>
                <w:color w:val="auto"/>
                <w:sz w:val="18"/>
                <w:szCs w:val="18"/>
                <w:highlight w:val="none"/>
              </w:rPr>
              <w:t>X＜20</w:t>
            </w:r>
          </w:p>
        </w:tc>
      </w:tr>
      <w:tr w14:paraId="00B6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5A159F75">
            <w:pPr>
              <w:shd w:val="clear"/>
              <w:jc w:val="center"/>
              <w:rPr>
                <w:rFonts w:ascii="宋体" w:hAnsi="宋体"/>
                <w:b/>
                <w:color w:val="auto"/>
                <w:sz w:val="18"/>
                <w:szCs w:val="18"/>
                <w:highlight w:val="none"/>
              </w:rPr>
            </w:pPr>
          </w:p>
        </w:tc>
        <w:tc>
          <w:tcPr>
            <w:tcW w:w="785" w:type="pct"/>
            <w:vAlign w:val="center"/>
          </w:tcPr>
          <w:p w14:paraId="0A933455">
            <w:pPr>
              <w:shd w:val="clear"/>
              <w:jc w:val="center"/>
              <w:rPr>
                <w:rFonts w:ascii="宋体" w:hAnsi="宋体"/>
                <w:color w:val="auto"/>
                <w:sz w:val="18"/>
                <w:szCs w:val="18"/>
                <w:highlight w:val="none"/>
              </w:rPr>
            </w:pPr>
            <w:r>
              <w:rPr>
                <w:rFonts w:hint="eastAsia" w:ascii="宋体" w:hAnsi="宋体"/>
                <w:color w:val="auto"/>
                <w:sz w:val="18"/>
                <w:szCs w:val="18"/>
                <w:highlight w:val="none"/>
              </w:rPr>
              <w:t>营业收入（Y）</w:t>
            </w:r>
          </w:p>
        </w:tc>
        <w:tc>
          <w:tcPr>
            <w:tcW w:w="834" w:type="pct"/>
            <w:vAlign w:val="center"/>
          </w:tcPr>
          <w:p w14:paraId="4C4B58C6">
            <w:pPr>
              <w:shd w:val="clear"/>
              <w:jc w:val="center"/>
              <w:rPr>
                <w:rFonts w:ascii="宋体" w:hAnsi="宋体"/>
                <w:color w:val="auto"/>
                <w:sz w:val="18"/>
                <w:szCs w:val="18"/>
                <w:highlight w:val="none"/>
              </w:rPr>
            </w:pPr>
            <w:r>
              <w:rPr>
                <w:rFonts w:hint="eastAsia" w:ascii="宋体" w:hAnsi="宋体"/>
                <w:color w:val="auto"/>
                <w:sz w:val="18"/>
                <w:szCs w:val="18"/>
                <w:highlight w:val="none"/>
              </w:rPr>
              <w:t>万元</w:t>
            </w:r>
          </w:p>
        </w:tc>
        <w:tc>
          <w:tcPr>
            <w:tcW w:w="834" w:type="pct"/>
            <w:vAlign w:val="center"/>
          </w:tcPr>
          <w:p w14:paraId="0199911B">
            <w:pPr>
              <w:shd w:val="clear"/>
              <w:jc w:val="center"/>
              <w:rPr>
                <w:rFonts w:ascii="宋体" w:hAnsi="宋体"/>
                <w:color w:val="auto"/>
                <w:sz w:val="18"/>
                <w:szCs w:val="18"/>
                <w:highlight w:val="none"/>
              </w:rPr>
            </w:pPr>
            <w:r>
              <w:rPr>
                <w:rFonts w:hint="eastAsia" w:ascii="宋体" w:hAnsi="宋体"/>
                <w:color w:val="auto"/>
                <w:sz w:val="18"/>
                <w:szCs w:val="18"/>
                <w:highlight w:val="none"/>
              </w:rPr>
              <w:t>2000≤Y＜40000</w:t>
            </w:r>
          </w:p>
        </w:tc>
        <w:tc>
          <w:tcPr>
            <w:tcW w:w="834" w:type="pct"/>
            <w:vAlign w:val="center"/>
          </w:tcPr>
          <w:p w14:paraId="7B605EDE">
            <w:pPr>
              <w:shd w:val="clear"/>
              <w:jc w:val="center"/>
              <w:rPr>
                <w:rFonts w:ascii="宋体" w:hAnsi="宋体"/>
                <w:color w:val="auto"/>
                <w:sz w:val="18"/>
                <w:szCs w:val="18"/>
                <w:highlight w:val="none"/>
              </w:rPr>
            </w:pPr>
            <w:r>
              <w:rPr>
                <w:rFonts w:hint="eastAsia" w:ascii="宋体" w:hAnsi="宋体"/>
                <w:color w:val="auto"/>
                <w:sz w:val="18"/>
                <w:szCs w:val="18"/>
                <w:highlight w:val="none"/>
              </w:rPr>
              <w:t>300≤Y＜2000</w:t>
            </w:r>
          </w:p>
        </w:tc>
        <w:tc>
          <w:tcPr>
            <w:tcW w:w="831" w:type="pct"/>
            <w:vAlign w:val="center"/>
          </w:tcPr>
          <w:p w14:paraId="3B247558">
            <w:pPr>
              <w:shd w:val="clear"/>
              <w:jc w:val="center"/>
              <w:rPr>
                <w:rFonts w:ascii="宋体" w:hAnsi="宋体"/>
                <w:color w:val="auto"/>
                <w:sz w:val="18"/>
                <w:szCs w:val="18"/>
                <w:highlight w:val="none"/>
              </w:rPr>
            </w:pPr>
            <w:r>
              <w:rPr>
                <w:rFonts w:hint="eastAsia" w:ascii="宋体" w:hAnsi="宋体"/>
                <w:color w:val="auto"/>
                <w:sz w:val="18"/>
                <w:szCs w:val="18"/>
                <w:highlight w:val="none"/>
              </w:rPr>
              <w:t>Y＜300</w:t>
            </w:r>
          </w:p>
        </w:tc>
      </w:tr>
      <w:tr w14:paraId="2E948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7334D8AF">
            <w:pPr>
              <w:shd w:val="clear"/>
              <w:jc w:val="center"/>
              <w:rPr>
                <w:rFonts w:ascii="宋体" w:hAnsi="宋体"/>
                <w:b/>
                <w:color w:val="auto"/>
                <w:sz w:val="18"/>
                <w:szCs w:val="18"/>
                <w:highlight w:val="none"/>
              </w:rPr>
            </w:pPr>
            <w:r>
              <w:rPr>
                <w:rFonts w:hint="eastAsia" w:ascii="宋体" w:hAnsi="宋体"/>
                <w:b/>
                <w:color w:val="auto"/>
                <w:sz w:val="18"/>
                <w:szCs w:val="18"/>
                <w:highlight w:val="none"/>
              </w:rPr>
              <w:t>建筑业</w:t>
            </w:r>
          </w:p>
        </w:tc>
        <w:tc>
          <w:tcPr>
            <w:tcW w:w="785" w:type="pct"/>
            <w:vAlign w:val="center"/>
          </w:tcPr>
          <w:p w14:paraId="4D699B4C">
            <w:pPr>
              <w:shd w:val="clear"/>
              <w:jc w:val="center"/>
              <w:rPr>
                <w:rFonts w:ascii="宋体" w:hAnsi="宋体"/>
                <w:color w:val="auto"/>
                <w:sz w:val="18"/>
                <w:szCs w:val="18"/>
                <w:highlight w:val="none"/>
              </w:rPr>
            </w:pPr>
            <w:r>
              <w:rPr>
                <w:rFonts w:hint="eastAsia" w:ascii="宋体" w:hAnsi="宋体"/>
                <w:color w:val="auto"/>
                <w:sz w:val="18"/>
                <w:szCs w:val="18"/>
                <w:highlight w:val="none"/>
              </w:rPr>
              <w:t>营业收入（Y）</w:t>
            </w:r>
          </w:p>
        </w:tc>
        <w:tc>
          <w:tcPr>
            <w:tcW w:w="834" w:type="pct"/>
            <w:vAlign w:val="center"/>
          </w:tcPr>
          <w:p w14:paraId="6777A360">
            <w:pPr>
              <w:shd w:val="clear"/>
              <w:jc w:val="center"/>
              <w:rPr>
                <w:rFonts w:ascii="宋体" w:hAnsi="宋体"/>
                <w:color w:val="auto"/>
                <w:sz w:val="18"/>
                <w:szCs w:val="18"/>
                <w:highlight w:val="none"/>
              </w:rPr>
            </w:pPr>
            <w:r>
              <w:rPr>
                <w:rFonts w:hint="eastAsia" w:ascii="宋体" w:hAnsi="宋体"/>
                <w:color w:val="auto"/>
                <w:sz w:val="18"/>
                <w:szCs w:val="18"/>
                <w:highlight w:val="none"/>
              </w:rPr>
              <w:t>万元</w:t>
            </w:r>
          </w:p>
        </w:tc>
        <w:tc>
          <w:tcPr>
            <w:tcW w:w="834" w:type="pct"/>
            <w:vAlign w:val="center"/>
          </w:tcPr>
          <w:p w14:paraId="73C381DF">
            <w:pPr>
              <w:shd w:val="clear"/>
              <w:jc w:val="center"/>
              <w:rPr>
                <w:rFonts w:ascii="宋体" w:hAnsi="宋体"/>
                <w:color w:val="auto"/>
                <w:sz w:val="18"/>
                <w:szCs w:val="18"/>
                <w:highlight w:val="none"/>
              </w:rPr>
            </w:pPr>
            <w:r>
              <w:rPr>
                <w:rFonts w:hint="eastAsia" w:ascii="宋体" w:hAnsi="宋体"/>
                <w:color w:val="auto"/>
                <w:sz w:val="18"/>
                <w:szCs w:val="18"/>
                <w:highlight w:val="none"/>
              </w:rPr>
              <w:t>6000≤Y＜80000</w:t>
            </w:r>
          </w:p>
        </w:tc>
        <w:tc>
          <w:tcPr>
            <w:tcW w:w="834" w:type="pct"/>
            <w:vAlign w:val="center"/>
          </w:tcPr>
          <w:p w14:paraId="2E5A4CB6">
            <w:pPr>
              <w:shd w:val="clear"/>
              <w:jc w:val="center"/>
              <w:rPr>
                <w:rFonts w:ascii="宋体" w:hAnsi="宋体"/>
                <w:color w:val="auto"/>
                <w:sz w:val="18"/>
                <w:szCs w:val="18"/>
                <w:highlight w:val="none"/>
              </w:rPr>
            </w:pPr>
            <w:r>
              <w:rPr>
                <w:rFonts w:hint="eastAsia" w:ascii="宋体" w:hAnsi="宋体"/>
                <w:color w:val="auto"/>
                <w:sz w:val="18"/>
                <w:szCs w:val="18"/>
                <w:highlight w:val="none"/>
              </w:rPr>
              <w:t>300≤Y＜6000</w:t>
            </w:r>
          </w:p>
        </w:tc>
        <w:tc>
          <w:tcPr>
            <w:tcW w:w="831" w:type="pct"/>
            <w:vAlign w:val="center"/>
          </w:tcPr>
          <w:p w14:paraId="593DAFF7">
            <w:pPr>
              <w:shd w:val="clear"/>
              <w:jc w:val="center"/>
              <w:rPr>
                <w:rFonts w:ascii="宋体" w:hAnsi="宋体"/>
                <w:color w:val="auto"/>
                <w:sz w:val="18"/>
                <w:szCs w:val="18"/>
                <w:highlight w:val="none"/>
              </w:rPr>
            </w:pPr>
            <w:r>
              <w:rPr>
                <w:rFonts w:hint="eastAsia" w:ascii="宋体" w:hAnsi="宋体"/>
                <w:color w:val="auto"/>
                <w:sz w:val="18"/>
                <w:szCs w:val="18"/>
                <w:highlight w:val="none"/>
              </w:rPr>
              <w:t>Y＜300</w:t>
            </w:r>
          </w:p>
        </w:tc>
      </w:tr>
      <w:tr w14:paraId="6D921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13D9D2BC">
            <w:pPr>
              <w:shd w:val="clear"/>
              <w:jc w:val="center"/>
              <w:rPr>
                <w:rFonts w:ascii="宋体" w:hAnsi="宋体"/>
                <w:b/>
                <w:color w:val="auto"/>
                <w:sz w:val="18"/>
                <w:szCs w:val="18"/>
                <w:highlight w:val="none"/>
              </w:rPr>
            </w:pPr>
          </w:p>
        </w:tc>
        <w:tc>
          <w:tcPr>
            <w:tcW w:w="785" w:type="pct"/>
            <w:vAlign w:val="center"/>
          </w:tcPr>
          <w:p w14:paraId="26762EF2">
            <w:pPr>
              <w:shd w:val="clear"/>
              <w:jc w:val="center"/>
              <w:rPr>
                <w:rFonts w:ascii="宋体" w:hAnsi="宋体"/>
                <w:color w:val="auto"/>
                <w:sz w:val="18"/>
                <w:szCs w:val="18"/>
                <w:highlight w:val="none"/>
              </w:rPr>
            </w:pPr>
            <w:r>
              <w:rPr>
                <w:rFonts w:hint="eastAsia" w:ascii="宋体" w:hAnsi="宋体"/>
                <w:color w:val="auto"/>
                <w:sz w:val="18"/>
                <w:szCs w:val="18"/>
                <w:highlight w:val="none"/>
              </w:rPr>
              <w:t>资产总额（Z）</w:t>
            </w:r>
          </w:p>
        </w:tc>
        <w:tc>
          <w:tcPr>
            <w:tcW w:w="834" w:type="pct"/>
            <w:vAlign w:val="center"/>
          </w:tcPr>
          <w:p w14:paraId="1EF3B9AE">
            <w:pPr>
              <w:shd w:val="clear"/>
              <w:jc w:val="center"/>
              <w:rPr>
                <w:rFonts w:ascii="宋体" w:hAnsi="宋体"/>
                <w:color w:val="auto"/>
                <w:sz w:val="18"/>
                <w:szCs w:val="18"/>
                <w:highlight w:val="none"/>
              </w:rPr>
            </w:pPr>
            <w:r>
              <w:rPr>
                <w:rFonts w:hint="eastAsia" w:ascii="宋体" w:hAnsi="宋体"/>
                <w:color w:val="auto"/>
                <w:sz w:val="18"/>
                <w:szCs w:val="18"/>
                <w:highlight w:val="none"/>
              </w:rPr>
              <w:t>万元</w:t>
            </w:r>
          </w:p>
        </w:tc>
        <w:tc>
          <w:tcPr>
            <w:tcW w:w="834" w:type="pct"/>
            <w:vAlign w:val="center"/>
          </w:tcPr>
          <w:p w14:paraId="072711CB">
            <w:pPr>
              <w:shd w:val="clear"/>
              <w:jc w:val="center"/>
              <w:rPr>
                <w:rFonts w:ascii="宋体" w:hAnsi="宋体"/>
                <w:color w:val="auto"/>
                <w:sz w:val="18"/>
                <w:szCs w:val="18"/>
                <w:highlight w:val="none"/>
              </w:rPr>
            </w:pPr>
            <w:r>
              <w:rPr>
                <w:rFonts w:hint="eastAsia" w:ascii="宋体" w:hAnsi="宋体"/>
                <w:color w:val="auto"/>
                <w:sz w:val="18"/>
                <w:szCs w:val="18"/>
                <w:highlight w:val="none"/>
              </w:rPr>
              <w:t>5000≤Z＜80000</w:t>
            </w:r>
          </w:p>
        </w:tc>
        <w:tc>
          <w:tcPr>
            <w:tcW w:w="834" w:type="pct"/>
            <w:vAlign w:val="center"/>
          </w:tcPr>
          <w:p w14:paraId="00E25A76">
            <w:pPr>
              <w:shd w:val="clear"/>
              <w:jc w:val="center"/>
              <w:rPr>
                <w:rFonts w:ascii="宋体" w:hAnsi="宋体"/>
                <w:color w:val="auto"/>
                <w:sz w:val="18"/>
                <w:szCs w:val="18"/>
                <w:highlight w:val="none"/>
              </w:rPr>
            </w:pPr>
            <w:r>
              <w:rPr>
                <w:rFonts w:hint="eastAsia" w:ascii="宋体" w:hAnsi="宋体"/>
                <w:color w:val="auto"/>
                <w:sz w:val="18"/>
                <w:szCs w:val="18"/>
                <w:highlight w:val="none"/>
              </w:rPr>
              <w:t>300≤Z＜5000</w:t>
            </w:r>
          </w:p>
        </w:tc>
        <w:tc>
          <w:tcPr>
            <w:tcW w:w="831" w:type="pct"/>
            <w:vAlign w:val="center"/>
          </w:tcPr>
          <w:p w14:paraId="06B51FD0">
            <w:pPr>
              <w:shd w:val="clear"/>
              <w:jc w:val="center"/>
              <w:rPr>
                <w:rFonts w:ascii="宋体" w:hAnsi="宋体"/>
                <w:color w:val="auto"/>
                <w:sz w:val="18"/>
                <w:szCs w:val="18"/>
                <w:highlight w:val="none"/>
              </w:rPr>
            </w:pPr>
            <w:r>
              <w:rPr>
                <w:rFonts w:hint="eastAsia" w:ascii="宋体" w:hAnsi="宋体"/>
                <w:color w:val="auto"/>
                <w:sz w:val="18"/>
                <w:szCs w:val="18"/>
                <w:highlight w:val="none"/>
              </w:rPr>
              <w:t>Z＜300</w:t>
            </w:r>
          </w:p>
        </w:tc>
      </w:tr>
      <w:tr w14:paraId="2DCD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17C3D2BE">
            <w:pPr>
              <w:shd w:val="clear"/>
              <w:jc w:val="center"/>
              <w:rPr>
                <w:rFonts w:ascii="宋体" w:hAnsi="宋体"/>
                <w:b/>
                <w:color w:val="auto"/>
                <w:sz w:val="18"/>
                <w:szCs w:val="18"/>
                <w:highlight w:val="none"/>
              </w:rPr>
            </w:pPr>
            <w:r>
              <w:rPr>
                <w:rFonts w:hint="eastAsia" w:ascii="宋体" w:hAnsi="宋体"/>
                <w:b/>
                <w:color w:val="auto"/>
                <w:sz w:val="18"/>
                <w:szCs w:val="18"/>
                <w:highlight w:val="none"/>
              </w:rPr>
              <w:t>批发业</w:t>
            </w:r>
          </w:p>
        </w:tc>
        <w:tc>
          <w:tcPr>
            <w:tcW w:w="785" w:type="pct"/>
            <w:vAlign w:val="center"/>
          </w:tcPr>
          <w:p w14:paraId="4E788C87">
            <w:pPr>
              <w:shd w:val="clear"/>
              <w:jc w:val="center"/>
              <w:rPr>
                <w:rFonts w:ascii="宋体" w:hAnsi="宋体"/>
                <w:color w:val="auto"/>
                <w:sz w:val="18"/>
                <w:szCs w:val="18"/>
                <w:highlight w:val="none"/>
              </w:rPr>
            </w:pPr>
            <w:r>
              <w:rPr>
                <w:rFonts w:hint="eastAsia" w:ascii="宋体" w:hAnsi="宋体"/>
                <w:color w:val="auto"/>
                <w:sz w:val="18"/>
                <w:szCs w:val="18"/>
                <w:highlight w:val="none"/>
              </w:rPr>
              <w:t>从业人员（X）</w:t>
            </w:r>
          </w:p>
        </w:tc>
        <w:tc>
          <w:tcPr>
            <w:tcW w:w="834" w:type="pct"/>
            <w:vAlign w:val="center"/>
          </w:tcPr>
          <w:p w14:paraId="01B3F827">
            <w:pPr>
              <w:shd w:val="clear"/>
              <w:jc w:val="center"/>
              <w:rPr>
                <w:rFonts w:ascii="宋体" w:hAnsi="宋体"/>
                <w:color w:val="auto"/>
                <w:sz w:val="18"/>
                <w:szCs w:val="18"/>
                <w:highlight w:val="none"/>
              </w:rPr>
            </w:pPr>
            <w:r>
              <w:rPr>
                <w:rFonts w:hint="eastAsia" w:ascii="宋体" w:hAnsi="宋体"/>
                <w:color w:val="auto"/>
                <w:sz w:val="18"/>
                <w:szCs w:val="18"/>
                <w:highlight w:val="none"/>
              </w:rPr>
              <w:t>人</w:t>
            </w:r>
          </w:p>
        </w:tc>
        <w:tc>
          <w:tcPr>
            <w:tcW w:w="834" w:type="pct"/>
            <w:vAlign w:val="center"/>
          </w:tcPr>
          <w:p w14:paraId="7043B33A">
            <w:pPr>
              <w:shd w:val="clear"/>
              <w:jc w:val="center"/>
              <w:rPr>
                <w:rFonts w:ascii="宋体" w:hAnsi="宋体"/>
                <w:color w:val="auto"/>
                <w:sz w:val="18"/>
                <w:szCs w:val="18"/>
                <w:highlight w:val="none"/>
              </w:rPr>
            </w:pPr>
            <w:r>
              <w:rPr>
                <w:rFonts w:hint="eastAsia" w:ascii="宋体" w:hAnsi="宋体"/>
                <w:color w:val="auto"/>
                <w:sz w:val="18"/>
                <w:szCs w:val="18"/>
                <w:highlight w:val="none"/>
              </w:rPr>
              <w:t>20≤X＜200</w:t>
            </w:r>
          </w:p>
        </w:tc>
        <w:tc>
          <w:tcPr>
            <w:tcW w:w="834" w:type="pct"/>
            <w:vAlign w:val="center"/>
          </w:tcPr>
          <w:p w14:paraId="703FA7B7">
            <w:pPr>
              <w:shd w:val="clear"/>
              <w:jc w:val="center"/>
              <w:rPr>
                <w:rFonts w:ascii="宋体" w:hAnsi="宋体"/>
                <w:color w:val="auto"/>
                <w:sz w:val="18"/>
                <w:szCs w:val="18"/>
                <w:highlight w:val="none"/>
              </w:rPr>
            </w:pPr>
            <w:r>
              <w:rPr>
                <w:rFonts w:hint="eastAsia" w:ascii="宋体" w:hAnsi="宋体"/>
                <w:color w:val="auto"/>
                <w:sz w:val="18"/>
                <w:szCs w:val="18"/>
                <w:highlight w:val="none"/>
              </w:rPr>
              <w:t>5≤X＜20</w:t>
            </w:r>
          </w:p>
        </w:tc>
        <w:tc>
          <w:tcPr>
            <w:tcW w:w="831" w:type="pct"/>
            <w:vAlign w:val="center"/>
          </w:tcPr>
          <w:p w14:paraId="5511FAC2">
            <w:pPr>
              <w:shd w:val="clear"/>
              <w:jc w:val="center"/>
              <w:rPr>
                <w:rFonts w:ascii="宋体" w:hAnsi="宋体"/>
                <w:color w:val="auto"/>
                <w:sz w:val="18"/>
                <w:szCs w:val="18"/>
                <w:highlight w:val="none"/>
              </w:rPr>
            </w:pPr>
            <w:r>
              <w:rPr>
                <w:rFonts w:hint="eastAsia" w:ascii="宋体" w:hAnsi="宋体"/>
                <w:color w:val="auto"/>
                <w:sz w:val="18"/>
                <w:szCs w:val="18"/>
                <w:highlight w:val="none"/>
              </w:rPr>
              <w:t>X＜5</w:t>
            </w:r>
          </w:p>
        </w:tc>
      </w:tr>
      <w:tr w14:paraId="2E3B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4CED8E5A">
            <w:pPr>
              <w:shd w:val="clear"/>
              <w:jc w:val="center"/>
              <w:rPr>
                <w:rFonts w:ascii="宋体" w:hAnsi="宋体"/>
                <w:b/>
                <w:color w:val="auto"/>
                <w:sz w:val="18"/>
                <w:szCs w:val="18"/>
                <w:highlight w:val="none"/>
              </w:rPr>
            </w:pPr>
          </w:p>
        </w:tc>
        <w:tc>
          <w:tcPr>
            <w:tcW w:w="785" w:type="pct"/>
            <w:vAlign w:val="center"/>
          </w:tcPr>
          <w:p w14:paraId="507AE5A4">
            <w:pPr>
              <w:shd w:val="clear"/>
              <w:jc w:val="center"/>
              <w:rPr>
                <w:rFonts w:ascii="宋体" w:hAnsi="宋体"/>
                <w:color w:val="auto"/>
                <w:sz w:val="18"/>
                <w:szCs w:val="18"/>
                <w:highlight w:val="none"/>
              </w:rPr>
            </w:pPr>
            <w:r>
              <w:rPr>
                <w:rFonts w:hint="eastAsia" w:ascii="宋体" w:hAnsi="宋体"/>
                <w:color w:val="auto"/>
                <w:sz w:val="18"/>
                <w:szCs w:val="18"/>
                <w:highlight w:val="none"/>
              </w:rPr>
              <w:t>营业收入（Y）</w:t>
            </w:r>
          </w:p>
        </w:tc>
        <w:tc>
          <w:tcPr>
            <w:tcW w:w="834" w:type="pct"/>
            <w:vAlign w:val="center"/>
          </w:tcPr>
          <w:p w14:paraId="15C8A158">
            <w:pPr>
              <w:shd w:val="clear"/>
              <w:jc w:val="center"/>
              <w:rPr>
                <w:rFonts w:ascii="宋体" w:hAnsi="宋体"/>
                <w:color w:val="auto"/>
                <w:sz w:val="18"/>
                <w:szCs w:val="18"/>
                <w:highlight w:val="none"/>
              </w:rPr>
            </w:pPr>
            <w:r>
              <w:rPr>
                <w:rFonts w:hint="eastAsia" w:ascii="宋体" w:hAnsi="宋体"/>
                <w:color w:val="auto"/>
                <w:sz w:val="18"/>
                <w:szCs w:val="18"/>
                <w:highlight w:val="none"/>
              </w:rPr>
              <w:t>万元</w:t>
            </w:r>
          </w:p>
        </w:tc>
        <w:tc>
          <w:tcPr>
            <w:tcW w:w="834" w:type="pct"/>
            <w:vAlign w:val="center"/>
          </w:tcPr>
          <w:p w14:paraId="4CE25B80">
            <w:pPr>
              <w:shd w:val="clear"/>
              <w:jc w:val="center"/>
              <w:rPr>
                <w:rFonts w:ascii="宋体" w:hAnsi="宋体"/>
                <w:color w:val="auto"/>
                <w:sz w:val="18"/>
                <w:szCs w:val="18"/>
                <w:highlight w:val="none"/>
              </w:rPr>
            </w:pPr>
            <w:r>
              <w:rPr>
                <w:rFonts w:hint="eastAsia" w:ascii="宋体" w:hAnsi="宋体"/>
                <w:color w:val="auto"/>
                <w:sz w:val="18"/>
                <w:szCs w:val="18"/>
                <w:highlight w:val="none"/>
              </w:rPr>
              <w:t>5000≤Y＜40000</w:t>
            </w:r>
          </w:p>
        </w:tc>
        <w:tc>
          <w:tcPr>
            <w:tcW w:w="834" w:type="pct"/>
            <w:vAlign w:val="center"/>
          </w:tcPr>
          <w:p w14:paraId="22DD0FA0">
            <w:pPr>
              <w:shd w:val="clear"/>
              <w:jc w:val="center"/>
              <w:rPr>
                <w:rFonts w:ascii="宋体" w:hAnsi="宋体"/>
                <w:color w:val="auto"/>
                <w:sz w:val="18"/>
                <w:szCs w:val="18"/>
                <w:highlight w:val="none"/>
              </w:rPr>
            </w:pPr>
            <w:r>
              <w:rPr>
                <w:rFonts w:hint="eastAsia" w:ascii="宋体" w:hAnsi="宋体"/>
                <w:color w:val="auto"/>
                <w:sz w:val="18"/>
                <w:szCs w:val="18"/>
                <w:highlight w:val="none"/>
              </w:rPr>
              <w:t>1000≤Y＜5000</w:t>
            </w:r>
          </w:p>
        </w:tc>
        <w:tc>
          <w:tcPr>
            <w:tcW w:w="831" w:type="pct"/>
            <w:vAlign w:val="center"/>
          </w:tcPr>
          <w:p w14:paraId="15AD239A">
            <w:pPr>
              <w:shd w:val="clear"/>
              <w:jc w:val="center"/>
              <w:rPr>
                <w:rFonts w:ascii="宋体" w:hAnsi="宋体"/>
                <w:color w:val="auto"/>
                <w:sz w:val="18"/>
                <w:szCs w:val="18"/>
                <w:highlight w:val="none"/>
              </w:rPr>
            </w:pPr>
            <w:r>
              <w:rPr>
                <w:rFonts w:hint="eastAsia" w:ascii="宋体" w:hAnsi="宋体"/>
                <w:color w:val="auto"/>
                <w:sz w:val="18"/>
                <w:szCs w:val="18"/>
                <w:highlight w:val="none"/>
              </w:rPr>
              <w:t>Y＜1000</w:t>
            </w:r>
          </w:p>
        </w:tc>
      </w:tr>
      <w:tr w14:paraId="6D7C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3BBB636A">
            <w:pPr>
              <w:shd w:val="clear"/>
              <w:jc w:val="center"/>
              <w:rPr>
                <w:rFonts w:ascii="宋体" w:hAnsi="宋体"/>
                <w:b/>
                <w:color w:val="auto"/>
                <w:sz w:val="18"/>
                <w:szCs w:val="18"/>
                <w:highlight w:val="none"/>
              </w:rPr>
            </w:pPr>
            <w:r>
              <w:rPr>
                <w:rFonts w:hint="eastAsia" w:ascii="宋体" w:hAnsi="宋体"/>
                <w:b/>
                <w:color w:val="auto"/>
                <w:sz w:val="18"/>
                <w:szCs w:val="18"/>
                <w:highlight w:val="none"/>
              </w:rPr>
              <w:t>零售业</w:t>
            </w:r>
          </w:p>
        </w:tc>
        <w:tc>
          <w:tcPr>
            <w:tcW w:w="785" w:type="pct"/>
            <w:vAlign w:val="center"/>
          </w:tcPr>
          <w:p w14:paraId="1EE1B6B9">
            <w:pPr>
              <w:shd w:val="clear"/>
              <w:jc w:val="center"/>
              <w:rPr>
                <w:rFonts w:ascii="宋体" w:hAnsi="宋体"/>
                <w:color w:val="auto"/>
                <w:sz w:val="18"/>
                <w:szCs w:val="18"/>
                <w:highlight w:val="none"/>
              </w:rPr>
            </w:pPr>
            <w:r>
              <w:rPr>
                <w:rFonts w:hint="eastAsia" w:ascii="宋体" w:hAnsi="宋体"/>
                <w:color w:val="auto"/>
                <w:sz w:val="18"/>
                <w:szCs w:val="18"/>
                <w:highlight w:val="none"/>
              </w:rPr>
              <w:t>从业人员（X）</w:t>
            </w:r>
          </w:p>
        </w:tc>
        <w:tc>
          <w:tcPr>
            <w:tcW w:w="834" w:type="pct"/>
            <w:vAlign w:val="center"/>
          </w:tcPr>
          <w:p w14:paraId="542B892F">
            <w:pPr>
              <w:shd w:val="clear"/>
              <w:jc w:val="center"/>
              <w:rPr>
                <w:rFonts w:ascii="宋体" w:hAnsi="宋体"/>
                <w:color w:val="auto"/>
                <w:sz w:val="18"/>
                <w:szCs w:val="18"/>
                <w:highlight w:val="none"/>
              </w:rPr>
            </w:pPr>
            <w:r>
              <w:rPr>
                <w:rFonts w:hint="eastAsia" w:ascii="宋体" w:hAnsi="宋体"/>
                <w:color w:val="auto"/>
                <w:sz w:val="18"/>
                <w:szCs w:val="18"/>
                <w:highlight w:val="none"/>
              </w:rPr>
              <w:t>人</w:t>
            </w:r>
          </w:p>
        </w:tc>
        <w:tc>
          <w:tcPr>
            <w:tcW w:w="834" w:type="pct"/>
            <w:vAlign w:val="center"/>
          </w:tcPr>
          <w:p w14:paraId="253AAFD6">
            <w:pPr>
              <w:shd w:val="clear"/>
              <w:jc w:val="center"/>
              <w:rPr>
                <w:rFonts w:ascii="宋体" w:hAnsi="宋体"/>
                <w:color w:val="auto"/>
                <w:sz w:val="18"/>
                <w:szCs w:val="18"/>
                <w:highlight w:val="none"/>
              </w:rPr>
            </w:pPr>
            <w:r>
              <w:rPr>
                <w:rFonts w:hint="eastAsia" w:ascii="宋体" w:hAnsi="宋体"/>
                <w:color w:val="auto"/>
                <w:sz w:val="18"/>
                <w:szCs w:val="18"/>
                <w:highlight w:val="none"/>
              </w:rPr>
              <w:t>50≤X＜300</w:t>
            </w:r>
          </w:p>
        </w:tc>
        <w:tc>
          <w:tcPr>
            <w:tcW w:w="834" w:type="pct"/>
            <w:vAlign w:val="center"/>
          </w:tcPr>
          <w:p w14:paraId="57785D76">
            <w:pPr>
              <w:shd w:val="clear"/>
              <w:jc w:val="center"/>
              <w:rPr>
                <w:rFonts w:ascii="宋体" w:hAnsi="宋体"/>
                <w:color w:val="auto"/>
                <w:sz w:val="18"/>
                <w:szCs w:val="18"/>
                <w:highlight w:val="none"/>
              </w:rPr>
            </w:pPr>
            <w:r>
              <w:rPr>
                <w:rFonts w:hint="eastAsia" w:ascii="宋体" w:hAnsi="宋体"/>
                <w:color w:val="auto"/>
                <w:sz w:val="18"/>
                <w:szCs w:val="18"/>
                <w:highlight w:val="none"/>
              </w:rPr>
              <w:t>10≤X＜50</w:t>
            </w:r>
          </w:p>
        </w:tc>
        <w:tc>
          <w:tcPr>
            <w:tcW w:w="831" w:type="pct"/>
            <w:vAlign w:val="center"/>
          </w:tcPr>
          <w:p w14:paraId="3FA664F7">
            <w:pPr>
              <w:shd w:val="clear"/>
              <w:jc w:val="center"/>
              <w:rPr>
                <w:rFonts w:ascii="宋体" w:hAnsi="宋体"/>
                <w:color w:val="auto"/>
                <w:sz w:val="18"/>
                <w:szCs w:val="18"/>
                <w:highlight w:val="none"/>
              </w:rPr>
            </w:pPr>
            <w:r>
              <w:rPr>
                <w:rFonts w:hint="eastAsia" w:ascii="宋体" w:hAnsi="宋体"/>
                <w:color w:val="auto"/>
                <w:sz w:val="18"/>
                <w:szCs w:val="18"/>
                <w:highlight w:val="none"/>
              </w:rPr>
              <w:t>X＜10</w:t>
            </w:r>
          </w:p>
        </w:tc>
      </w:tr>
      <w:tr w14:paraId="2391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4D78A2E3">
            <w:pPr>
              <w:shd w:val="clear"/>
              <w:jc w:val="center"/>
              <w:rPr>
                <w:rFonts w:ascii="宋体" w:hAnsi="宋体"/>
                <w:b/>
                <w:color w:val="auto"/>
                <w:sz w:val="18"/>
                <w:szCs w:val="18"/>
                <w:highlight w:val="none"/>
              </w:rPr>
            </w:pPr>
          </w:p>
        </w:tc>
        <w:tc>
          <w:tcPr>
            <w:tcW w:w="785" w:type="pct"/>
            <w:vAlign w:val="center"/>
          </w:tcPr>
          <w:p w14:paraId="280DC066">
            <w:pPr>
              <w:shd w:val="clear"/>
              <w:jc w:val="center"/>
              <w:rPr>
                <w:rFonts w:ascii="宋体" w:hAnsi="宋体"/>
                <w:color w:val="auto"/>
                <w:sz w:val="18"/>
                <w:szCs w:val="18"/>
                <w:highlight w:val="none"/>
              </w:rPr>
            </w:pPr>
            <w:r>
              <w:rPr>
                <w:rFonts w:hint="eastAsia" w:ascii="宋体" w:hAnsi="宋体"/>
                <w:color w:val="auto"/>
                <w:sz w:val="18"/>
                <w:szCs w:val="18"/>
                <w:highlight w:val="none"/>
              </w:rPr>
              <w:t>营业收入（Y）</w:t>
            </w:r>
          </w:p>
        </w:tc>
        <w:tc>
          <w:tcPr>
            <w:tcW w:w="834" w:type="pct"/>
            <w:vAlign w:val="center"/>
          </w:tcPr>
          <w:p w14:paraId="329ACC0B">
            <w:pPr>
              <w:shd w:val="clear"/>
              <w:jc w:val="center"/>
              <w:rPr>
                <w:rFonts w:ascii="宋体" w:hAnsi="宋体"/>
                <w:color w:val="auto"/>
                <w:sz w:val="18"/>
                <w:szCs w:val="18"/>
                <w:highlight w:val="none"/>
              </w:rPr>
            </w:pPr>
            <w:r>
              <w:rPr>
                <w:rFonts w:hint="eastAsia" w:ascii="宋体" w:hAnsi="宋体"/>
                <w:color w:val="auto"/>
                <w:sz w:val="18"/>
                <w:szCs w:val="18"/>
                <w:highlight w:val="none"/>
              </w:rPr>
              <w:t>万元</w:t>
            </w:r>
          </w:p>
        </w:tc>
        <w:tc>
          <w:tcPr>
            <w:tcW w:w="834" w:type="pct"/>
            <w:vAlign w:val="center"/>
          </w:tcPr>
          <w:p w14:paraId="7792844E">
            <w:pPr>
              <w:shd w:val="clear"/>
              <w:jc w:val="center"/>
              <w:rPr>
                <w:rFonts w:ascii="宋体" w:hAnsi="宋体"/>
                <w:color w:val="auto"/>
                <w:sz w:val="18"/>
                <w:szCs w:val="18"/>
                <w:highlight w:val="none"/>
              </w:rPr>
            </w:pPr>
            <w:r>
              <w:rPr>
                <w:rFonts w:hint="eastAsia" w:ascii="宋体" w:hAnsi="宋体"/>
                <w:color w:val="auto"/>
                <w:sz w:val="18"/>
                <w:szCs w:val="18"/>
                <w:highlight w:val="none"/>
              </w:rPr>
              <w:t>500≤Y＜20000</w:t>
            </w:r>
          </w:p>
        </w:tc>
        <w:tc>
          <w:tcPr>
            <w:tcW w:w="834" w:type="pct"/>
            <w:vAlign w:val="center"/>
          </w:tcPr>
          <w:p w14:paraId="4AEA9B06">
            <w:pPr>
              <w:shd w:val="clear"/>
              <w:jc w:val="center"/>
              <w:rPr>
                <w:rFonts w:ascii="宋体" w:hAnsi="宋体"/>
                <w:color w:val="auto"/>
                <w:sz w:val="18"/>
                <w:szCs w:val="18"/>
                <w:highlight w:val="none"/>
              </w:rPr>
            </w:pPr>
            <w:r>
              <w:rPr>
                <w:rFonts w:hint="eastAsia" w:ascii="宋体" w:hAnsi="宋体"/>
                <w:color w:val="auto"/>
                <w:sz w:val="18"/>
                <w:szCs w:val="18"/>
                <w:highlight w:val="none"/>
              </w:rPr>
              <w:t>100≤Y＜500</w:t>
            </w:r>
          </w:p>
        </w:tc>
        <w:tc>
          <w:tcPr>
            <w:tcW w:w="831" w:type="pct"/>
            <w:vAlign w:val="center"/>
          </w:tcPr>
          <w:p w14:paraId="254A043B">
            <w:pPr>
              <w:shd w:val="clear"/>
              <w:jc w:val="center"/>
              <w:rPr>
                <w:rFonts w:ascii="宋体" w:hAnsi="宋体"/>
                <w:color w:val="auto"/>
                <w:sz w:val="18"/>
                <w:szCs w:val="18"/>
                <w:highlight w:val="none"/>
              </w:rPr>
            </w:pPr>
            <w:r>
              <w:rPr>
                <w:rFonts w:hint="eastAsia" w:ascii="宋体" w:hAnsi="宋体"/>
                <w:color w:val="auto"/>
                <w:sz w:val="18"/>
                <w:szCs w:val="18"/>
                <w:highlight w:val="none"/>
              </w:rPr>
              <w:t>Y＜100</w:t>
            </w:r>
          </w:p>
        </w:tc>
      </w:tr>
      <w:tr w14:paraId="5A52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1030788C">
            <w:pPr>
              <w:shd w:val="clear"/>
              <w:jc w:val="center"/>
              <w:rPr>
                <w:rFonts w:ascii="宋体" w:hAnsi="宋体"/>
                <w:b/>
                <w:color w:val="auto"/>
                <w:sz w:val="18"/>
                <w:szCs w:val="18"/>
                <w:highlight w:val="none"/>
              </w:rPr>
            </w:pPr>
            <w:r>
              <w:rPr>
                <w:rFonts w:hint="eastAsia" w:ascii="宋体" w:hAnsi="宋体"/>
                <w:b/>
                <w:color w:val="auto"/>
                <w:sz w:val="18"/>
                <w:szCs w:val="18"/>
                <w:highlight w:val="none"/>
              </w:rPr>
              <w:t>交通运输业</w:t>
            </w:r>
          </w:p>
        </w:tc>
        <w:tc>
          <w:tcPr>
            <w:tcW w:w="785" w:type="pct"/>
            <w:vAlign w:val="center"/>
          </w:tcPr>
          <w:p w14:paraId="2E8D5180">
            <w:pPr>
              <w:shd w:val="clear"/>
              <w:jc w:val="center"/>
              <w:rPr>
                <w:rFonts w:ascii="宋体" w:hAnsi="宋体"/>
                <w:color w:val="auto"/>
                <w:sz w:val="18"/>
                <w:szCs w:val="18"/>
                <w:highlight w:val="none"/>
              </w:rPr>
            </w:pPr>
            <w:r>
              <w:rPr>
                <w:rFonts w:hint="eastAsia" w:ascii="宋体" w:hAnsi="宋体"/>
                <w:color w:val="auto"/>
                <w:sz w:val="18"/>
                <w:szCs w:val="18"/>
                <w:highlight w:val="none"/>
              </w:rPr>
              <w:t>从业人员（X）</w:t>
            </w:r>
          </w:p>
        </w:tc>
        <w:tc>
          <w:tcPr>
            <w:tcW w:w="834" w:type="pct"/>
            <w:vAlign w:val="center"/>
          </w:tcPr>
          <w:p w14:paraId="7E7C6FA4">
            <w:pPr>
              <w:shd w:val="clear"/>
              <w:jc w:val="center"/>
              <w:rPr>
                <w:rFonts w:ascii="宋体" w:hAnsi="宋体"/>
                <w:color w:val="auto"/>
                <w:sz w:val="18"/>
                <w:szCs w:val="18"/>
                <w:highlight w:val="none"/>
              </w:rPr>
            </w:pPr>
            <w:r>
              <w:rPr>
                <w:rFonts w:hint="eastAsia" w:ascii="宋体" w:hAnsi="宋体"/>
                <w:color w:val="auto"/>
                <w:sz w:val="18"/>
                <w:szCs w:val="18"/>
                <w:highlight w:val="none"/>
              </w:rPr>
              <w:t>人</w:t>
            </w:r>
          </w:p>
        </w:tc>
        <w:tc>
          <w:tcPr>
            <w:tcW w:w="834" w:type="pct"/>
            <w:vAlign w:val="center"/>
          </w:tcPr>
          <w:p w14:paraId="06D3E61C">
            <w:pPr>
              <w:shd w:val="clear"/>
              <w:jc w:val="center"/>
              <w:rPr>
                <w:rFonts w:ascii="宋体" w:hAnsi="宋体"/>
                <w:color w:val="auto"/>
                <w:sz w:val="18"/>
                <w:szCs w:val="18"/>
                <w:highlight w:val="none"/>
              </w:rPr>
            </w:pPr>
            <w:r>
              <w:rPr>
                <w:rFonts w:hint="eastAsia" w:ascii="宋体" w:hAnsi="宋体"/>
                <w:color w:val="auto"/>
                <w:sz w:val="18"/>
                <w:szCs w:val="18"/>
                <w:highlight w:val="none"/>
              </w:rPr>
              <w:t>300≤X＜1000</w:t>
            </w:r>
          </w:p>
        </w:tc>
        <w:tc>
          <w:tcPr>
            <w:tcW w:w="834" w:type="pct"/>
            <w:vAlign w:val="center"/>
          </w:tcPr>
          <w:p w14:paraId="0A2F79A5">
            <w:pPr>
              <w:shd w:val="clear"/>
              <w:jc w:val="center"/>
              <w:rPr>
                <w:rFonts w:ascii="宋体" w:hAnsi="宋体"/>
                <w:color w:val="auto"/>
                <w:sz w:val="18"/>
                <w:szCs w:val="18"/>
                <w:highlight w:val="none"/>
              </w:rPr>
            </w:pPr>
            <w:r>
              <w:rPr>
                <w:rFonts w:hint="eastAsia" w:ascii="宋体" w:hAnsi="宋体"/>
                <w:color w:val="auto"/>
                <w:sz w:val="18"/>
                <w:szCs w:val="18"/>
                <w:highlight w:val="none"/>
              </w:rPr>
              <w:t>20≤X＜300</w:t>
            </w:r>
          </w:p>
        </w:tc>
        <w:tc>
          <w:tcPr>
            <w:tcW w:w="831" w:type="pct"/>
            <w:vAlign w:val="center"/>
          </w:tcPr>
          <w:p w14:paraId="5A5A6EA1">
            <w:pPr>
              <w:shd w:val="clear"/>
              <w:jc w:val="center"/>
              <w:rPr>
                <w:rFonts w:ascii="宋体" w:hAnsi="宋体"/>
                <w:color w:val="auto"/>
                <w:sz w:val="18"/>
                <w:szCs w:val="18"/>
                <w:highlight w:val="none"/>
              </w:rPr>
            </w:pPr>
            <w:r>
              <w:rPr>
                <w:rFonts w:hint="eastAsia" w:ascii="宋体" w:hAnsi="宋体"/>
                <w:color w:val="auto"/>
                <w:sz w:val="18"/>
                <w:szCs w:val="18"/>
                <w:highlight w:val="none"/>
              </w:rPr>
              <w:t>X＜20</w:t>
            </w:r>
          </w:p>
        </w:tc>
      </w:tr>
      <w:tr w14:paraId="39DE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3D1F3E10">
            <w:pPr>
              <w:shd w:val="clear"/>
              <w:jc w:val="center"/>
              <w:rPr>
                <w:rFonts w:ascii="宋体" w:hAnsi="宋体"/>
                <w:b/>
                <w:color w:val="auto"/>
                <w:sz w:val="18"/>
                <w:szCs w:val="18"/>
                <w:highlight w:val="none"/>
              </w:rPr>
            </w:pPr>
          </w:p>
        </w:tc>
        <w:tc>
          <w:tcPr>
            <w:tcW w:w="785" w:type="pct"/>
            <w:vAlign w:val="center"/>
          </w:tcPr>
          <w:p w14:paraId="729CD0BD">
            <w:pPr>
              <w:shd w:val="clear"/>
              <w:jc w:val="center"/>
              <w:rPr>
                <w:rFonts w:ascii="宋体" w:hAnsi="宋体"/>
                <w:color w:val="auto"/>
                <w:sz w:val="18"/>
                <w:szCs w:val="18"/>
                <w:highlight w:val="none"/>
              </w:rPr>
            </w:pPr>
            <w:r>
              <w:rPr>
                <w:rFonts w:hint="eastAsia" w:ascii="宋体" w:hAnsi="宋体"/>
                <w:color w:val="auto"/>
                <w:sz w:val="18"/>
                <w:szCs w:val="18"/>
                <w:highlight w:val="none"/>
              </w:rPr>
              <w:t>营业收入（Y）</w:t>
            </w:r>
          </w:p>
        </w:tc>
        <w:tc>
          <w:tcPr>
            <w:tcW w:w="834" w:type="pct"/>
            <w:vAlign w:val="center"/>
          </w:tcPr>
          <w:p w14:paraId="0500D634">
            <w:pPr>
              <w:shd w:val="clear"/>
              <w:jc w:val="center"/>
              <w:rPr>
                <w:rFonts w:ascii="宋体" w:hAnsi="宋体"/>
                <w:color w:val="auto"/>
                <w:sz w:val="18"/>
                <w:szCs w:val="18"/>
                <w:highlight w:val="none"/>
              </w:rPr>
            </w:pPr>
            <w:r>
              <w:rPr>
                <w:rFonts w:hint="eastAsia" w:ascii="宋体" w:hAnsi="宋体"/>
                <w:color w:val="auto"/>
                <w:sz w:val="18"/>
                <w:szCs w:val="18"/>
                <w:highlight w:val="none"/>
              </w:rPr>
              <w:t>万元</w:t>
            </w:r>
          </w:p>
        </w:tc>
        <w:tc>
          <w:tcPr>
            <w:tcW w:w="834" w:type="pct"/>
            <w:vAlign w:val="center"/>
          </w:tcPr>
          <w:p w14:paraId="0C263FF7">
            <w:pPr>
              <w:shd w:val="clear"/>
              <w:jc w:val="center"/>
              <w:rPr>
                <w:rFonts w:ascii="宋体" w:hAnsi="宋体"/>
                <w:color w:val="auto"/>
                <w:sz w:val="18"/>
                <w:szCs w:val="18"/>
                <w:highlight w:val="none"/>
              </w:rPr>
            </w:pPr>
            <w:r>
              <w:rPr>
                <w:rFonts w:hint="eastAsia" w:ascii="宋体" w:hAnsi="宋体"/>
                <w:color w:val="auto"/>
                <w:sz w:val="18"/>
                <w:szCs w:val="18"/>
                <w:highlight w:val="none"/>
              </w:rPr>
              <w:t>3000≤Y＜30000</w:t>
            </w:r>
          </w:p>
        </w:tc>
        <w:tc>
          <w:tcPr>
            <w:tcW w:w="834" w:type="pct"/>
            <w:vAlign w:val="center"/>
          </w:tcPr>
          <w:p w14:paraId="3270AD9D">
            <w:pPr>
              <w:shd w:val="clear"/>
              <w:jc w:val="center"/>
              <w:rPr>
                <w:rFonts w:ascii="宋体" w:hAnsi="宋体"/>
                <w:color w:val="auto"/>
                <w:sz w:val="18"/>
                <w:szCs w:val="18"/>
                <w:highlight w:val="none"/>
              </w:rPr>
            </w:pPr>
            <w:r>
              <w:rPr>
                <w:rFonts w:hint="eastAsia" w:ascii="宋体" w:hAnsi="宋体"/>
                <w:color w:val="auto"/>
                <w:sz w:val="18"/>
                <w:szCs w:val="18"/>
                <w:highlight w:val="none"/>
              </w:rPr>
              <w:t>200≤Y＜3000</w:t>
            </w:r>
          </w:p>
        </w:tc>
        <w:tc>
          <w:tcPr>
            <w:tcW w:w="831" w:type="pct"/>
            <w:vAlign w:val="center"/>
          </w:tcPr>
          <w:p w14:paraId="27C1336F">
            <w:pPr>
              <w:shd w:val="clear"/>
              <w:jc w:val="center"/>
              <w:rPr>
                <w:rFonts w:ascii="宋体" w:hAnsi="宋体"/>
                <w:color w:val="auto"/>
                <w:sz w:val="18"/>
                <w:szCs w:val="18"/>
                <w:highlight w:val="none"/>
              </w:rPr>
            </w:pPr>
            <w:r>
              <w:rPr>
                <w:rFonts w:hint="eastAsia" w:ascii="宋体" w:hAnsi="宋体"/>
                <w:color w:val="auto"/>
                <w:sz w:val="18"/>
                <w:szCs w:val="18"/>
                <w:highlight w:val="none"/>
              </w:rPr>
              <w:t>Y＜200</w:t>
            </w:r>
          </w:p>
        </w:tc>
      </w:tr>
      <w:tr w14:paraId="0712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36BDCB27">
            <w:pPr>
              <w:shd w:val="clear"/>
              <w:jc w:val="center"/>
              <w:rPr>
                <w:rFonts w:ascii="宋体" w:hAnsi="宋体"/>
                <w:b/>
                <w:color w:val="auto"/>
                <w:sz w:val="18"/>
                <w:szCs w:val="18"/>
                <w:highlight w:val="none"/>
              </w:rPr>
            </w:pPr>
            <w:r>
              <w:rPr>
                <w:rFonts w:hint="eastAsia" w:ascii="宋体" w:hAnsi="宋体"/>
                <w:b/>
                <w:color w:val="auto"/>
                <w:sz w:val="18"/>
                <w:szCs w:val="18"/>
                <w:highlight w:val="none"/>
              </w:rPr>
              <w:t>仓储业</w:t>
            </w:r>
          </w:p>
        </w:tc>
        <w:tc>
          <w:tcPr>
            <w:tcW w:w="785" w:type="pct"/>
            <w:vAlign w:val="center"/>
          </w:tcPr>
          <w:p w14:paraId="2A276B8A">
            <w:pPr>
              <w:shd w:val="clear"/>
              <w:jc w:val="center"/>
              <w:rPr>
                <w:rFonts w:ascii="宋体" w:hAnsi="宋体"/>
                <w:color w:val="auto"/>
                <w:sz w:val="18"/>
                <w:szCs w:val="18"/>
                <w:highlight w:val="none"/>
              </w:rPr>
            </w:pPr>
            <w:r>
              <w:rPr>
                <w:rFonts w:hint="eastAsia" w:ascii="宋体" w:hAnsi="宋体"/>
                <w:color w:val="auto"/>
                <w:sz w:val="18"/>
                <w:szCs w:val="18"/>
                <w:highlight w:val="none"/>
              </w:rPr>
              <w:t>从业人员（X）</w:t>
            </w:r>
          </w:p>
        </w:tc>
        <w:tc>
          <w:tcPr>
            <w:tcW w:w="834" w:type="pct"/>
            <w:vAlign w:val="center"/>
          </w:tcPr>
          <w:p w14:paraId="455554D7">
            <w:pPr>
              <w:shd w:val="clear"/>
              <w:jc w:val="center"/>
              <w:rPr>
                <w:rFonts w:ascii="宋体" w:hAnsi="宋体"/>
                <w:color w:val="auto"/>
                <w:sz w:val="18"/>
                <w:szCs w:val="18"/>
                <w:highlight w:val="none"/>
              </w:rPr>
            </w:pPr>
            <w:r>
              <w:rPr>
                <w:rFonts w:hint="eastAsia" w:ascii="宋体" w:hAnsi="宋体"/>
                <w:color w:val="auto"/>
                <w:sz w:val="18"/>
                <w:szCs w:val="18"/>
                <w:highlight w:val="none"/>
              </w:rPr>
              <w:t>人</w:t>
            </w:r>
          </w:p>
        </w:tc>
        <w:tc>
          <w:tcPr>
            <w:tcW w:w="834" w:type="pct"/>
            <w:vAlign w:val="center"/>
          </w:tcPr>
          <w:p w14:paraId="75A48F6C">
            <w:pPr>
              <w:shd w:val="clear"/>
              <w:jc w:val="center"/>
              <w:rPr>
                <w:rFonts w:ascii="宋体" w:hAnsi="宋体"/>
                <w:color w:val="auto"/>
                <w:sz w:val="18"/>
                <w:szCs w:val="18"/>
                <w:highlight w:val="none"/>
              </w:rPr>
            </w:pPr>
            <w:r>
              <w:rPr>
                <w:rFonts w:hint="eastAsia" w:ascii="宋体" w:hAnsi="宋体"/>
                <w:color w:val="auto"/>
                <w:sz w:val="18"/>
                <w:szCs w:val="18"/>
                <w:highlight w:val="none"/>
              </w:rPr>
              <w:t>100≤X＜200</w:t>
            </w:r>
          </w:p>
        </w:tc>
        <w:tc>
          <w:tcPr>
            <w:tcW w:w="834" w:type="pct"/>
            <w:vAlign w:val="center"/>
          </w:tcPr>
          <w:p w14:paraId="451F21D6">
            <w:pPr>
              <w:shd w:val="clear"/>
              <w:jc w:val="center"/>
              <w:rPr>
                <w:rFonts w:ascii="宋体" w:hAnsi="宋体"/>
                <w:color w:val="auto"/>
                <w:sz w:val="18"/>
                <w:szCs w:val="18"/>
                <w:highlight w:val="none"/>
              </w:rPr>
            </w:pPr>
            <w:r>
              <w:rPr>
                <w:rFonts w:hint="eastAsia" w:ascii="宋体" w:hAnsi="宋体"/>
                <w:color w:val="auto"/>
                <w:sz w:val="18"/>
                <w:szCs w:val="18"/>
                <w:highlight w:val="none"/>
              </w:rPr>
              <w:t>20≤X＜100</w:t>
            </w:r>
          </w:p>
        </w:tc>
        <w:tc>
          <w:tcPr>
            <w:tcW w:w="831" w:type="pct"/>
            <w:vAlign w:val="center"/>
          </w:tcPr>
          <w:p w14:paraId="5661F578">
            <w:pPr>
              <w:shd w:val="clear"/>
              <w:jc w:val="center"/>
              <w:rPr>
                <w:rFonts w:ascii="宋体" w:hAnsi="宋体"/>
                <w:color w:val="auto"/>
                <w:sz w:val="18"/>
                <w:szCs w:val="18"/>
                <w:highlight w:val="none"/>
              </w:rPr>
            </w:pPr>
            <w:r>
              <w:rPr>
                <w:rFonts w:hint="eastAsia" w:ascii="宋体" w:hAnsi="宋体"/>
                <w:color w:val="auto"/>
                <w:sz w:val="18"/>
                <w:szCs w:val="18"/>
                <w:highlight w:val="none"/>
              </w:rPr>
              <w:t>X＜20</w:t>
            </w:r>
          </w:p>
        </w:tc>
      </w:tr>
      <w:tr w14:paraId="2313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78E4500E">
            <w:pPr>
              <w:shd w:val="clear"/>
              <w:jc w:val="center"/>
              <w:rPr>
                <w:rFonts w:ascii="宋体" w:hAnsi="宋体"/>
                <w:b/>
                <w:color w:val="auto"/>
                <w:sz w:val="18"/>
                <w:szCs w:val="18"/>
                <w:highlight w:val="none"/>
              </w:rPr>
            </w:pPr>
          </w:p>
        </w:tc>
        <w:tc>
          <w:tcPr>
            <w:tcW w:w="785" w:type="pct"/>
            <w:vAlign w:val="center"/>
          </w:tcPr>
          <w:p w14:paraId="69E01162">
            <w:pPr>
              <w:shd w:val="clear"/>
              <w:jc w:val="center"/>
              <w:rPr>
                <w:rFonts w:ascii="宋体" w:hAnsi="宋体"/>
                <w:color w:val="auto"/>
                <w:sz w:val="18"/>
                <w:szCs w:val="18"/>
                <w:highlight w:val="none"/>
              </w:rPr>
            </w:pPr>
            <w:r>
              <w:rPr>
                <w:rFonts w:hint="eastAsia" w:ascii="宋体" w:hAnsi="宋体"/>
                <w:color w:val="auto"/>
                <w:sz w:val="18"/>
                <w:szCs w:val="18"/>
                <w:highlight w:val="none"/>
              </w:rPr>
              <w:t>营业收入（Y）</w:t>
            </w:r>
          </w:p>
        </w:tc>
        <w:tc>
          <w:tcPr>
            <w:tcW w:w="834" w:type="pct"/>
            <w:vAlign w:val="center"/>
          </w:tcPr>
          <w:p w14:paraId="5407D6CF">
            <w:pPr>
              <w:shd w:val="clear"/>
              <w:jc w:val="center"/>
              <w:rPr>
                <w:rFonts w:ascii="宋体" w:hAnsi="宋体"/>
                <w:color w:val="auto"/>
                <w:sz w:val="18"/>
                <w:szCs w:val="18"/>
                <w:highlight w:val="none"/>
              </w:rPr>
            </w:pPr>
            <w:r>
              <w:rPr>
                <w:rFonts w:hint="eastAsia" w:ascii="宋体" w:hAnsi="宋体"/>
                <w:color w:val="auto"/>
                <w:sz w:val="18"/>
                <w:szCs w:val="18"/>
                <w:highlight w:val="none"/>
              </w:rPr>
              <w:t>万元</w:t>
            </w:r>
          </w:p>
        </w:tc>
        <w:tc>
          <w:tcPr>
            <w:tcW w:w="834" w:type="pct"/>
            <w:vAlign w:val="center"/>
          </w:tcPr>
          <w:p w14:paraId="4BC8A6DA">
            <w:pPr>
              <w:shd w:val="clear"/>
              <w:jc w:val="center"/>
              <w:rPr>
                <w:rFonts w:ascii="宋体" w:hAnsi="宋体"/>
                <w:color w:val="auto"/>
                <w:sz w:val="18"/>
                <w:szCs w:val="18"/>
                <w:highlight w:val="none"/>
              </w:rPr>
            </w:pPr>
            <w:r>
              <w:rPr>
                <w:rFonts w:hint="eastAsia" w:ascii="宋体" w:hAnsi="宋体"/>
                <w:color w:val="auto"/>
                <w:sz w:val="18"/>
                <w:szCs w:val="18"/>
                <w:highlight w:val="none"/>
              </w:rPr>
              <w:t>1000≤Y＜30000</w:t>
            </w:r>
          </w:p>
        </w:tc>
        <w:tc>
          <w:tcPr>
            <w:tcW w:w="834" w:type="pct"/>
            <w:vAlign w:val="center"/>
          </w:tcPr>
          <w:p w14:paraId="6BB5E95C">
            <w:pPr>
              <w:shd w:val="clear"/>
              <w:jc w:val="center"/>
              <w:rPr>
                <w:rFonts w:ascii="宋体" w:hAnsi="宋体"/>
                <w:color w:val="auto"/>
                <w:sz w:val="18"/>
                <w:szCs w:val="18"/>
                <w:highlight w:val="none"/>
              </w:rPr>
            </w:pPr>
            <w:r>
              <w:rPr>
                <w:rFonts w:hint="eastAsia" w:ascii="宋体" w:hAnsi="宋体"/>
                <w:color w:val="auto"/>
                <w:sz w:val="18"/>
                <w:szCs w:val="18"/>
                <w:highlight w:val="none"/>
              </w:rPr>
              <w:t>100≤Y＜1000</w:t>
            </w:r>
          </w:p>
        </w:tc>
        <w:tc>
          <w:tcPr>
            <w:tcW w:w="831" w:type="pct"/>
            <w:vAlign w:val="center"/>
          </w:tcPr>
          <w:p w14:paraId="3CC66B67">
            <w:pPr>
              <w:shd w:val="clear"/>
              <w:jc w:val="center"/>
              <w:rPr>
                <w:rFonts w:ascii="宋体" w:hAnsi="宋体"/>
                <w:color w:val="auto"/>
                <w:sz w:val="18"/>
                <w:szCs w:val="18"/>
                <w:highlight w:val="none"/>
              </w:rPr>
            </w:pPr>
            <w:r>
              <w:rPr>
                <w:rFonts w:hint="eastAsia" w:ascii="宋体" w:hAnsi="宋体"/>
                <w:color w:val="auto"/>
                <w:sz w:val="18"/>
                <w:szCs w:val="18"/>
                <w:highlight w:val="none"/>
              </w:rPr>
              <w:t>Y＜100</w:t>
            </w:r>
          </w:p>
        </w:tc>
      </w:tr>
      <w:tr w14:paraId="5232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30D9BF34">
            <w:pPr>
              <w:shd w:val="clear"/>
              <w:jc w:val="center"/>
              <w:rPr>
                <w:rFonts w:ascii="宋体" w:hAnsi="宋体"/>
                <w:b/>
                <w:color w:val="auto"/>
                <w:sz w:val="18"/>
                <w:szCs w:val="18"/>
                <w:highlight w:val="none"/>
              </w:rPr>
            </w:pPr>
            <w:r>
              <w:rPr>
                <w:rFonts w:hint="eastAsia" w:ascii="宋体" w:hAnsi="宋体"/>
                <w:b/>
                <w:color w:val="auto"/>
                <w:sz w:val="18"/>
                <w:szCs w:val="18"/>
                <w:highlight w:val="none"/>
              </w:rPr>
              <w:t>邮政业</w:t>
            </w:r>
          </w:p>
        </w:tc>
        <w:tc>
          <w:tcPr>
            <w:tcW w:w="785" w:type="pct"/>
            <w:vAlign w:val="center"/>
          </w:tcPr>
          <w:p w14:paraId="2C88EC02">
            <w:pPr>
              <w:shd w:val="clear"/>
              <w:jc w:val="center"/>
              <w:rPr>
                <w:rFonts w:ascii="宋体" w:hAnsi="宋体"/>
                <w:color w:val="auto"/>
                <w:sz w:val="18"/>
                <w:szCs w:val="18"/>
                <w:highlight w:val="none"/>
              </w:rPr>
            </w:pPr>
            <w:r>
              <w:rPr>
                <w:rFonts w:hint="eastAsia" w:ascii="宋体" w:hAnsi="宋体"/>
                <w:color w:val="auto"/>
                <w:sz w:val="18"/>
                <w:szCs w:val="18"/>
                <w:highlight w:val="none"/>
              </w:rPr>
              <w:t>从业人员（X）</w:t>
            </w:r>
          </w:p>
        </w:tc>
        <w:tc>
          <w:tcPr>
            <w:tcW w:w="834" w:type="pct"/>
            <w:vAlign w:val="center"/>
          </w:tcPr>
          <w:p w14:paraId="1BD2D275">
            <w:pPr>
              <w:shd w:val="clear"/>
              <w:jc w:val="center"/>
              <w:rPr>
                <w:rFonts w:ascii="宋体" w:hAnsi="宋体"/>
                <w:color w:val="auto"/>
                <w:sz w:val="18"/>
                <w:szCs w:val="18"/>
                <w:highlight w:val="none"/>
              </w:rPr>
            </w:pPr>
            <w:r>
              <w:rPr>
                <w:rFonts w:hint="eastAsia" w:ascii="宋体" w:hAnsi="宋体"/>
                <w:color w:val="auto"/>
                <w:sz w:val="18"/>
                <w:szCs w:val="18"/>
                <w:highlight w:val="none"/>
              </w:rPr>
              <w:t>人</w:t>
            </w:r>
          </w:p>
        </w:tc>
        <w:tc>
          <w:tcPr>
            <w:tcW w:w="834" w:type="pct"/>
            <w:vAlign w:val="center"/>
          </w:tcPr>
          <w:p w14:paraId="01E0A228">
            <w:pPr>
              <w:shd w:val="clear"/>
              <w:jc w:val="center"/>
              <w:rPr>
                <w:rFonts w:ascii="宋体" w:hAnsi="宋体"/>
                <w:color w:val="auto"/>
                <w:sz w:val="18"/>
                <w:szCs w:val="18"/>
                <w:highlight w:val="none"/>
              </w:rPr>
            </w:pPr>
            <w:r>
              <w:rPr>
                <w:rFonts w:hint="eastAsia" w:ascii="宋体" w:hAnsi="宋体"/>
                <w:color w:val="auto"/>
                <w:sz w:val="18"/>
                <w:szCs w:val="18"/>
                <w:highlight w:val="none"/>
              </w:rPr>
              <w:t>300≤X＜1000</w:t>
            </w:r>
          </w:p>
        </w:tc>
        <w:tc>
          <w:tcPr>
            <w:tcW w:w="834" w:type="pct"/>
            <w:vAlign w:val="center"/>
          </w:tcPr>
          <w:p w14:paraId="21B98F3B">
            <w:pPr>
              <w:shd w:val="clear"/>
              <w:jc w:val="center"/>
              <w:rPr>
                <w:rFonts w:ascii="宋体" w:hAnsi="宋体"/>
                <w:color w:val="auto"/>
                <w:sz w:val="18"/>
                <w:szCs w:val="18"/>
                <w:highlight w:val="none"/>
              </w:rPr>
            </w:pPr>
            <w:r>
              <w:rPr>
                <w:rFonts w:hint="eastAsia" w:ascii="宋体" w:hAnsi="宋体"/>
                <w:color w:val="auto"/>
                <w:sz w:val="18"/>
                <w:szCs w:val="18"/>
                <w:highlight w:val="none"/>
              </w:rPr>
              <w:t>20≤X＜300</w:t>
            </w:r>
          </w:p>
        </w:tc>
        <w:tc>
          <w:tcPr>
            <w:tcW w:w="831" w:type="pct"/>
            <w:vAlign w:val="center"/>
          </w:tcPr>
          <w:p w14:paraId="66B894D6">
            <w:pPr>
              <w:shd w:val="clear"/>
              <w:jc w:val="center"/>
              <w:rPr>
                <w:rFonts w:ascii="宋体" w:hAnsi="宋体"/>
                <w:color w:val="auto"/>
                <w:sz w:val="18"/>
                <w:szCs w:val="18"/>
                <w:highlight w:val="none"/>
              </w:rPr>
            </w:pPr>
            <w:r>
              <w:rPr>
                <w:rFonts w:hint="eastAsia" w:ascii="宋体" w:hAnsi="宋体"/>
                <w:color w:val="auto"/>
                <w:sz w:val="18"/>
                <w:szCs w:val="18"/>
                <w:highlight w:val="none"/>
              </w:rPr>
              <w:t>X＜20</w:t>
            </w:r>
          </w:p>
        </w:tc>
      </w:tr>
      <w:tr w14:paraId="46AA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031878A9">
            <w:pPr>
              <w:shd w:val="clear"/>
              <w:jc w:val="center"/>
              <w:rPr>
                <w:rFonts w:ascii="宋体" w:hAnsi="宋体"/>
                <w:b/>
                <w:color w:val="auto"/>
                <w:sz w:val="18"/>
                <w:szCs w:val="18"/>
                <w:highlight w:val="none"/>
              </w:rPr>
            </w:pPr>
          </w:p>
        </w:tc>
        <w:tc>
          <w:tcPr>
            <w:tcW w:w="785" w:type="pct"/>
            <w:vAlign w:val="center"/>
          </w:tcPr>
          <w:p w14:paraId="5CD993A1">
            <w:pPr>
              <w:shd w:val="clear"/>
              <w:jc w:val="center"/>
              <w:rPr>
                <w:rFonts w:ascii="宋体" w:hAnsi="宋体"/>
                <w:color w:val="auto"/>
                <w:sz w:val="18"/>
                <w:szCs w:val="18"/>
                <w:highlight w:val="none"/>
              </w:rPr>
            </w:pPr>
            <w:r>
              <w:rPr>
                <w:rFonts w:hint="eastAsia" w:ascii="宋体" w:hAnsi="宋体"/>
                <w:color w:val="auto"/>
                <w:sz w:val="18"/>
                <w:szCs w:val="18"/>
                <w:highlight w:val="none"/>
              </w:rPr>
              <w:t>营业收入（Y）</w:t>
            </w:r>
          </w:p>
        </w:tc>
        <w:tc>
          <w:tcPr>
            <w:tcW w:w="834" w:type="pct"/>
            <w:vAlign w:val="center"/>
          </w:tcPr>
          <w:p w14:paraId="22017616">
            <w:pPr>
              <w:shd w:val="clear"/>
              <w:jc w:val="center"/>
              <w:rPr>
                <w:rFonts w:ascii="宋体" w:hAnsi="宋体"/>
                <w:color w:val="auto"/>
                <w:sz w:val="18"/>
                <w:szCs w:val="18"/>
                <w:highlight w:val="none"/>
              </w:rPr>
            </w:pPr>
            <w:r>
              <w:rPr>
                <w:rFonts w:hint="eastAsia" w:ascii="宋体" w:hAnsi="宋体"/>
                <w:color w:val="auto"/>
                <w:sz w:val="18"/>
                <w:szCs w:val="18"/>
                <w:highlight w:val="none"/>
              </w:rPr>
              <w:t>万元</w:t>
            </w:r>
          </w:p>
        </w:tc>
        <w:tc>
          <w:tcPr>
            <w:tcW w:w="834" w:type="pct"/>
            <w:vAlign w:val="center"/>
          </w:tcPr>
          <w:p w14:paraId="2D1BF85E">
            <w:pPr>
              <w:shd w:val="clear"/>
              <w:jc w:val="center"/>
              <w:rPr>
                <w:rFonts w:ascii="宋体" w:hAnsi="宋体"/>
                <w:color w:val="auto"/>
                <w:sz w:val="18"/>
                <w:szCs w:val="18"/>
                <w:highlight w:val="none"/>
              </w:rPr>
            </w:pPr>
            <w:r>
              <w:rPr>
                <w:rFonts w:hint="eastAsia" w:ascii="宋体" w:hAnsi="宋体"/>
                <w:color w:val="auto"/>
                <w:sz w:val="18"/>
                <w:szCs w:val="18"/>
                <w:highlight w:val="none"/>
              </w:rPr>
              <w:t>2000≤Y＜30000</w:t>
            </w:r>
          </w:p>
        </w:tc>
        <w:tc>
          <w:tcPr>
            <w:tcW w:w="834" w:type="pct"/>
            <w:vAlign w:val="center"/>
          </w:tcPr>
          <w:p w14:paraId="251407D7">
            <w:pPr>
              <w:shd w:val="clear"/>
              <w:jc w:val="center"/>
              <w:rPr>
                <w:rFonts w:ascii="宋体" w:hAnsi="宋体"/>
                <w:color w:val="auto"/>
                <w:sz w:val="18"/>
                <w:szCs w:val="18"/>
                <w:highlight w:val="none"/>
              </w:rPr>
            </w:pPr>
            <w:r>
              <w:rPr>
                <w:rFonts w:hint="eastAsia" w:ascii="宋体" w:hAnsi="宋体"/>
                <w:color w:val="auto"/>
                <w:sz w:val="18"/>
                <w:szCs w:val="18"/>
                <w:highlight w:val="none"/>
              </w:rPr>
              <w:t>100≤Y＜2000</w:t>
            </w:r>
          </w:p>
        </w:tc>
        <w:tc>
          <w:tcPr>
            <w:tcW w:w="831" w:type="pct"/>
            <w:vAlign w:val="center"/>
          </w:tcPr>
          <w:p w14:paraId="0C7D86D8">
            <w:pPr>
              <w:shd w:val="clear"/>
              <w:jc w:val="center"/>
              <w:rPr>
                <w:rFonts w:ascii="宋体" w:hAnsi="宋体"/>
                <w:color w:val="auto"/>
                <w:sz w:val="18"/>
                <w:szCs w:val="18"/>
                <w:highlight w:val="none"/>
              </w:rPr>
            </w:pPr>
            <w:r>
              <w:rPr>
                <w:rFonts w:hint="eastAsia" w:ascii="宋体" w:hAnsi="宋体"/>
                <w:color w:val="auto"/>
                <w:sz w:val="18"/>
                <w:szCs w:val="18"/>
                <w:highlight w:val="none"/>
              </w:rPr>
              <w:t>Y＜100</w:t>
            </w:r>
          </w:p>
        </w:tc>
      </w:tr>
      <w:tr w14:paraId="1243A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20BD6B23">
            <w:pPr>
              <w:shd w:val="clear"/>
              <w:jc w:val="center"/>
              <w:rPr>
                <w:rFonts w:ascii="宋体" w:hAnsi="宋体"/>
                <w:b/>
                <w:color w:val="auto"/>
                <w:sz w:val="18"/>
                <w:szCs w:val="18"/>
                <w:highlight w:val="none"/>
              </w:rPr>
            </w:pPr>
            <w:r>
              <w:rPr>
                <w:rFonts w:hint="eastAsia" w:ascii="宋体" w:hAnsi="宋体"/>
                <w:b/>
                <w:color w:val="auto"/>
                <w:sz w:val="18"/>
                <w:szCs w:val="18"/>
                <w:highlight w:val="none"/>
              </w:rPr>
              <w:t>住宿业</w:t>
            </w:r>
          </w:p>
        </w:tc>
        <w:tc>
          <w:tcPr>
            <w:tcW w:w="785" w:type="pct"/>
            <w:vAlign w:val="center"/>
          </w:tcPr>
          <w:p w14:paraId="1DC3F083">
            <w:pPr>
              <w:shd w:val="clear"/>
              <w:jc w:val="center"/>
              <w:rPr>
                <w:rFonts w:ascii="宋体" w:hAnsi="宋体"/>
                <w:color w:val="auto"/>
                <w:sz w:val="18"/>
                <w:szCs w:val="18"/>
                <w:highlight w:val="none"/>
              </w:rPr>
            </w:pPr>
            <w:r>
              <w:rPr>
                <w:rFonts w:hint="eastAsia" w:ascii="宋体" w:hAnsi="宋体"/>
                <w:color w:val="auto"/>
                <w:sz w:val="18"/>
                <w:szCs w:val="18"/>
                <w:highlight w:val="none"/>
              </w:rPr>
              <w:t>从业人员（X）</w:t>
            </w:r>
          </w:p>
        </w:tc>
        <w:tc>
          <w:tcPr>
            <w:tcW w:w="834" w:type="pct"/>
            <w:vAlign w:val="center"/>
          </w:tcPr>
          <w:p w14:paraId="00EEA06B">
            <w:pPr>
              <w:shd w:val="clear"/>
              <w:jc w:val="center"/>
              <w:rPr>
                <w:rFonts w:ascii="宋体" w:hAnsi="宋体"/>
                <w:color w:val="auto"/>
                <w:sz w:val="18"/>
                <w:szCs w:val="18"/>
                <w:highlight w:val="none"/>
              </w:rPr>
            </w:pPr>
            <w:r>
              <w:rPr>
                <w:rFonts w:hint="eastAsia" w:ascii="宋体" w:hAnsi="宋体"/>
                <w:color w:val="auto"/>
                <w:sz w:val="18"/>
                <w:szCs w:val="18"/>
                <w:highlight w:val="none"/>
              </w:rPr>
              <w:t>人</w:t>
            </w:r>
          </w:p>
        </w:tc>
        <w:tc>
          <w:tcPr>
            <w:tcW w:w="834" w:type="pct"/>
            <w:vAlign w:val="center"/>
          </w:tcPr>
          <w:p w14:paraId="5D8CDFA4">
            <w:pPr>
              <w:shd w:val="clear"/>
              <w:jc w:val="center"/>
              <w:rPr>
                <w:rFonts w:ascii="宋体" w:hAnsi="宋体"/>
                <w:color w:val="auto"/>
                <w:sz w:val="18"/>
                <w:szCs w:val="18"/>
                <w:highlight w:val="none"/>
              </w:rPr>
            </w:pPr>
            <w:r>
              <w:rPr>
                <w:rFonts w:hint="eastAsia" w:ascii="宋体" w:hAnsi="宋体"/>
                <w:color w:val="auto"/>
                <w:sz w:val="18"/>
                <w:szCs w:val="18"/>
                <w:highlight w:val="none"/>
              </w:rPr>
              <w:t>100≤X＜300</w:t>
            </w:r>
          </w:p>
        </w:tc>
        <w:tc>
          <w:tcPr>
            <w:tcW w:w="834" w:type="pct"/>
            <w:vAlign w:val="center"/>
          </w:tcPr>
          <w:p w14:paraId="006C8E52">
            <w:pPr>
              <w:shd w:val="clear"/>
              <w:jc w:val="center"/>
              <w:rPr>
                <w:rFonts w:ascii="宋体" w:hAnsi="宋体"/>
                <w:color w:val="auto"/>
                <w:sz w:val="18"/>
                <w:szCs w:val="18"/>
                <w:highlight w:val="none"/>
              </w:rPr>
            </w:pPr>
            <w:r>
              <w:rPr>
                <w:rFonts w:hint="eastAsia" w:ascii="宋体" w:hAnsi="宋体"/>
                <w:color w:val="auto"/>
                <w:sz w:val="18"/>
                <w:szCs w:val="18"/>
                <w:highlight w:val="none"/>
              </w:rPr>
              <w:t>10≤X＜100</w:t>
            </w:r>
          </w:p>
        </w:tc>
        <w:tc>
          <w:tcPr>
            <w:tcW w:w="831" w:type="pct"/>
            <w:vAlign w:val="center"/>
          </w:tcPr>
          <w:p w14:paraId="5F9C8268">
            <w:pPr>
              <w:shd w:val="clear"/>
              <w:jc w:val="center"/>
              <w:rPr>
                <w:rFonts w:ascii="宋体" w:hAnsi="宋体"/>
                <w:color w:val="auto"/>
                <w:sz w:val="18"/>
                <w:szCs w:val="18"/>
                <w:highlight w:val="none"/>
              </w:rPr>
            </w:pPr>
            <w:r>
              <w:rPr>
                <w:rFonts w:hint="eastAsia" w:ascii="宋体" w:hAnsi="宋体"/>
                <w:color w:val="auto"/>
                <w:sz w:val="18"/>
                <w:szCs w:val="18"/>
                <w:highlight w:val="none"/>
              </w:rPr>
              <w:t>X＜10</w:t>
            </w:r>
          </w:p>
        </w:tc>
      </w:tr>
      <w:tr w14:paraId="4029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48565B54">
            <w:pPr>
              <w:shd w:val="clear"/>
              <w:jc w:val="center"/>
              <w:rPr>
                <w:rFonts w:ascii="宋体" w:hAnsi="宋体"/>
                <w:b/>
                <w:color w:val="auto"/>
                <w:sz w:val="18"/>
                <w:szCs w:val="18"/>
                <w:highlight w:val="none"/>
              </w:rPr>
            </w:pPr>
          </w:p>
        </w:tc>
        <w:tc>
          <w:tcPr>
            <w:tcW w:w="785" w:type="pct"/>
            <w:vAlign w:val="center"/>
          </w:tcPr>
          <w:p w14:paraId="33FA8A85">
            <w:pPr>
              <w:shd w:val="clear"/>
              <w:jc w:val="center"/>
              <w:rPr>
                <w:rFonts w:ascii="宋体" w:hAnsi="宋体"/>
                <w:color w:val="auto"/>
                <w:sz w:val="18"/>
                <w:szCs w:val="18"/>
                <w:highlight w:val="none"/>
              </w:rPr>
            </w:pPr>
            <w:r>
              <w:rPr>
                <w:rFonts w:hint="eastAsia" w:ascii="宋体" w:hAnsi="宋体"/>
                <w:color w:val="auto"/>
                <w:sz w:val="18"/>
                <w:szCs w:val="18"/>
                <w:highlight w:val="none"/>
              </w:rPr>
              <w:t>营业收入（Y）</w:t>
            </w:r>
          </w:p>
        </w:tc>
        <w:tc>
          <w:tcPr>
            <w:tcW w:w="834" w:type="pct"/>
            <w:vAlign w:val="center"/>
          </w:tcPr>
          <w:p w14:paraId="2DA0E476">
            <w:pPr>
              <w:shd w:val="clear"/>
              <w:jc w:val="center"/>
              <w:rPr>
                <w:rFonts w:ascii="宋体" w:hAnsi="宋体"/>
                <w:color w:val="auto"/>
                <w:sz w:val="18"/>
                <w:szCs w:val="18"/>
                <w:highlight w:val="none"/>
              </w:rPr>
            </w:pPr>
            <w:r>
              <w:rPr>
                <w:rFonts w:hint="eastAsia" w:ascii="宋体" w:hAnsi="宋体"/>
                <w:color w:val="auto"/>
                <w:sz w:val="18"/>
                <w:szCs w:val="18"/>
                <w:highlight w:val="none"/>
              </w:rPr>
              <w:t>万元</w:t>
            </w:r>
          </w:p>
        </w:tc>
        <w:tc>
          <w:tcPr>
            <w:tcW w:w="834" w:type="pct"/>
            <w:vAlign w:val="center"/>
          </w:tcPr>
          <w:p w14:paraId="10695C09">
            <w:pPr>
              <w:shd w:val="clear"/>
              <w:jc w:val="center"/>
              <w:rPr>
                <w:rFonts w:ascii="宋体" w:hAnsi="宋体"/>
                <w:color w:val="auto"/>
                <w:sz w:val="18"/>
                <w:szCs w:val="18"/>
                <w:highlight w:val="none"/>
              </w:rPr>
            </w:pPr>
            <w:r>
              <w:rPr>
                <w:rFonts w:hint="eastAsia" w:ascii="宋体" w:hAnsi="宋体"/>
                <w:color w:val="auto"/>
                <w:sz w:val="18"/>
                <w:szCs w:val="18"/>
                <w:highlight w:val="none"/>
              </w:rPr>
              <w:t>2000≤Y＜10000</w:t>
            </w:r>
          </w:p>
        </w:tc>
        <w:tc>
          <w:tcPr>
            <w:tcW w:w="834" w:type="pct"/>
            <w:vAlign w:val="center"/>
          </w:tcPr>
          <w:p w14:paraId="34FC7E97">
            <w:pPr>
              <w:shd w:val="clear"/>
              <w:jc w:val="center"/>
              <w:rPr>
                <w:rFonts w:ascii="宋体" w:hAnsi="宋体"/>
                <w:color w:val="auto"/>
                <w:sz w:val="18"/>
                <w:szCs w:val="18"/>
                <w:highlight w:val="none"/>
              </w:rPr>
            </w:pPr>
            <w:r>
              <w:rPr>
                <w:rFonts w:hint="eastAsia" w:ascii="宋体" w:hAnsi="宋体"/>
                <w:color w:val="auto"/>
                <w:sz w:val="18"/>
                <w:szCs w:val="18"/>
                <w:highlight w:val="none"/>
              </w:rPr>
              <w:t>100≤Y＜2000</w:t>
            </w:r>
          </w:p>
        </w:tc>
        <w:tc>
          <w:tcPr>
            <w:tcW w:w="831" w:type="pct"/>
            <w:vAlign w:val="center"/>
          </w:tcPr>
          <w:p w14:paraId="55913EF8">
            <w:pPr>
              <w:shd w:val="clear"/>
              <w:jc w:val="center"/>
              <w:rPr>
                <w:rFonts w:ascii="宋体" w:hAnsi="宋体"/>
                <w:color w:val="auto"/>
                <w:sz w:val="18"/>
                <w:szCs w:val="18"/>
                <w:highlight w:val="none"/>
              </w:rPr>
            </w:pPr>
            <w:r>
              <w:rPr>
                <w:rFonts w:hint="eastAsia" w:ascii="宋体" w:hAnsi="宋体"/>
                <w:color w:val="auto"/>
                <w:sz w:val="18"/>
                <w:szCs w:val="18"/>
                <w:highlight w:val="none"/>
              </w:rPr>
              <w:t>Y＜100</w:t>
            </w:r>
          </w:p>
        </w:tc>
      </w:tr>
      <w:tr w14:paraId="16CA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181E3F26">
            <w:pPr>
              <w:shd w:val="clear"/>
              <w:jc w:val="center"/>
              <w:rPr>
                <w:rFonts w:ascii="宋体" w:hAnsi="宋体"/>
                <w:b/>
                <w:color w:val="auto"/>
                <w:sz w:val="18"/>
                <w:szCs w:val="18"/>
                <w:highlight w:val="none"/>
              </w:rPr>
            </w:pPr>
            <w:r>
              <w:rPr>
                <w:rFonts w:hint="eastAsia" w:ascii="宋体" w:hAnsi="宋体"/>
                <w:b/>
                <w:color w:val="auto"/>
                <w:sz w:val="18"/>
                <w:szCs w:val="18"/>
                <w:highlight w:val="none"/>
              </w:rPr>
              <w:t>餐饮业</w:t>
            </w:r>
          </w:p>
        </w:tc>
        <w:tc>
          <w:tcPr>
            <w:tcW w:w="785" w:type="pct"/>
            <w:vAlign w:val="center"/>
          </w:tcPr>
          <w:p w14:paraId="5B695A69">
            <w:pPr>
              <w:shd w:val="clear"/>
              <w:jc w:val="center"/>
              <w:rPr>
                <w:rFonts w:ascii="宋体" w:hAnsi="宋体"/>
                <w:color w:val="auto"/>
                <w:sz w:val="18"/>
                <w:szCs w:val="18"/>
                <w:highlight w:val="none"/>
              </w:rPr>
            </w:pPr>
            <w:r>
              <w:rPr>
                <w:rFonts w:hint="eastAsia" w:ascii="宋体" w:hAnsi="宋体"/>
                <w:color w:val="auto"/>
                <w:sz w:val="18"/>
                <w:szCs w:val="18"/>
                <w:highlight w:val="none"/>
              </w:rPr>
              <w:t>从业人员（X）</w:t>
            </w:r>
          </w:p>
        </w:tc>
        <w:tc>
          <w:tcPr>
            <w:tcW w:w="834" w:type="pct"/>
            <w:vAlign w:val="center"/>
          </w:tcPr>
          <w:p w14:paraId="73BE6487">
            <w:pPr>
              <w:shd w:val="clear"/>
              <w:jc w:val="center"/>
              <w:rPr>
                <w:rFonts w:ascii="宋体" w:hAnsi="宋体"/>
                <w:color w:val="auto"/>
                <w:sz w:val="18"/>
                <w:szCs w:val="18"/>
                <w:highlight w:val="none"/>
              </w:rPr>
            </w:pPr>
            <w:r>
              <w:rPr>
                <w:rFonts w:hint="eastAsia" w:ascii="宋体" w:hAnsi="宋体"/>
                <w:color w:val="auto"/>
                <w:sz w:val="18"/>
                <w:szCs w:val="18"/>
                <w:highlight w:val="none"/>
              </w:rPr>
              <w:t>人</w:t>
            </w:r>
          </w:p>
        </w:tc>
        <w:tc>
          <w:tcPr>
            <w:tcW w:w="834" w:type="pct"/>
            <w:vAlign w:val="center"/>
          </w:tcPr>
          <w:p w14:paraId="6A238EF1">
            <w:pPr>
              <w:shd w:val="clear"/>
              <w:jc w:val="center"/>
              <w:rPr>
                <w:rFonts w:ascii="宋体" w:hAnsi="宋体"/>
                <w:color w:val="auto"/>
                <w:sz w:val="18"/>
                <w:szCs w:val="18"/>
                <w:highlight w:val="none"/>
              </w:rPr>
            </w:pPr>
            <w:r>
              <w:rPr>
                <w:rFonts w:hint="eastAsia" w:ascii="宋体" w:hAnsi="宋体"/>
                <w:color w:val="auto"/>
                <w:sz w:val="18"/>
                <w:szCs w:val="18"/>
                <w:highlight w:val="none"/>
              </w:rPr>
              <w:t>100≤X＜300</w:t>
            </w:r>
          </w:p>
        </w:tc>
        <w:tc>
          <w:tcPr>
            <w:tcW w:w="834" w:type="pct"/>
            <w:vAlign w:val="center"/>
          </w:tcPr>
          <w:p w14:paraId="712FB626">
            <w:pPr>
              <w:shd w:val="clear"/>
              <w:jc w:val="center"/>
              <w:rPr>
                <w:rFonts w:ascii="宋体" w:hAnsi="宋体"/>
                <w:color w:val="auto"/>
                <w:sz w:val="18"/>
                <w:szCs w:val="18"/>
                <w:highlight w:val="none"/>
              </w:rPr>
            </w:pPr>
            <w:r>
              <w:rPr>
                <w:rFonts w:hint="eastAsia" w:ascii="宋体" w:hAnsi="宋体"/>
                <w:color w:val="auto"/>
                <w:sz w:val="18"/>
                <w:szCs w:val="18"/>
                <w:highlight w:val="none"/>
              </w:rPr>
              <w:t>10≤X＜100</w:t>
            </w:r>
          </w:p>
        </w:tc>
        <w:tc>
          <w:tcPr>
            <w:tcW w:w="831" w:type="pct"/>
            <w:vAlign w:val="center"/>
          </w:tcPr>
          <w:p w14:paraId="4E6BC0A5">
            <w:pPr>
              <w:shd w:val="clear"/>
              <w:jc w:val="center"/>
              <w:rPr>
                <w:rFonts w:ascii="宋体" w:hAnsi="宋体"/>
                <w:color w:val="auto"/>
                <w:sz w:val="18"/>
                <w:szCs w:val="18"/>
                <w:highlight w:val="none"/>
              </w:rPr>
            </w:pPr>
            <w:r>
              <w:rPr>
                <w:rFonts w:hint="eastAsia" w:ascii="宋体" w:hAnsi="宋体"/>
                <w:color w:val="auto"/>
                <w:sz w:val="18"/>
                <w:szCs w:val="18"/>
                <w:highlight w:val="none"/>
              </w:rPr>
              <w:t>X＜10</w:t>
            </w:r>
          </w:p>
        </w:tc>
      </w:tr>
      <w:tr w14:paraId="6068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6E2D4C99">
            <w:pPr>
              <w:shd w:val="clear"/>
              <w:jc w:val="center"/>
              <w:rPr>
                <w:rFonts w:ascii="宋体" w:hAnsi="宋体"/>
                <w:b/>
                <w:color w:val="auto"/>
                <w:sz w:val="18"/>
                <w:szCs w:val="18"/>
                <w:highlight w:val="none"/>
              </w:rPr>
            </w:pPr>
          </w:p>
        </w:tc>
        <w:tc>
          <w:tcPr>
            <w:tcW w:w="785" w:type="pct"/>
            <w:vAlign w:val="center"/>
          </w:tcPr>
          <w:p w14:paraId="5AE075DA">
            <w:pPr>
              <w:shd w:val="clear"/>
              <w:jc w:val="center"/>
              <w:rPr>
                <w:rFonts w:ascii="宋体" w:hAnsi="宋体"/>
                <w:color w:val="auto"/>
                <w:sz w:val="18"/>
                <w:szCs w:val="18"/>
                <w:highlight w:val="none"/>
              </w:rPr>
            </w:pPr>
            <w:r>
              <w:rPr>
                <w:rFonts w:hint="eastAsia" w:ascii="宋体" w:hAnsi="宋体"/>
                <w:color w:val="auto"/>
                <w:sz w:val="18"/>
                <w:szCs w:val="18"/>
                <w:highlight w:val="none"/>
              </w:rPr>
              <w:t>营业收入（Y）</w:t>
            </w:r>
          </w:p>
        </w:tc>
        <w:tc>
          <w:tcPr>
            <w:tcW w:w="834" w:type="pct"/>
            <w:vAlign w:val="center"/>
          </w:tcPr>
          <w:p w14:paraId="7016182A">
            <w:pPr>
              <w:shd w:val="clear"/>
              <w:jc w:val="center"/>
              <w:rPr>
                <w:rFonts w:ascii="宋体" w:hAnsi="宋体"/>
                <w:color w:val="auto"/>
                <w:sz w:val="18"/>
                <w:szCs w:val="18"/>
                <w:highlight w:val="none"/>
              </w:rPr>
            </w:pPr>
            <w:r>
              <w:rPr>
                <w:rFonts w:hint="eastAsia" w:ascii="宋体" w:hAnsi="宋体"/>
                <w:color w:val="auto"/>
                <w:sz w:val="18"/>
                <w:szCs w:val="18"/>
                <w:highlight w:val="none"/>
              </w:rPr>
              <w:t>万元</w:t>
            </w:r>
          </w:p>
        </w:tc>
        <w:tc>
          <w:tcPr>
            <w:tcW w:w="834" w:type="pct"/>
            <w:vAlign w:val="center"/>
          </w:tcPr>
          <w:p w14:paraId="1AA9F9A6">
            <w:pPr>
              <w:shd w:val="clear"/>
              <w:jc w:val="center"/>
              <w:rPr>
                <w:rFonts w:ascii="宋体" w:hAnsi="宋体"/>
                <w:color w:val="auto"/>
                <w:sz w:val="18"/>
                <w:szCs w:val="18"/>
                <w:highlight w:val="none"/>
              </w:rPr>
            </w:pPr>
            <w:r>
              <w:rPr>
                <w:rFonts w:hint="eastAsia" w:ascii="宋体" w:hAnsi="宋体"/>
                <w:color w:val="auto"/>
                <w:sz w:val="18"/>
                <w:szCs w:val="18"/>
                <w:highlight w:val="none"/>
              </w:rPr>
              <w:t>2000≤Y＜10000</w:t>
            </w:r>
          </w:p>
        </w:tc>
        <w:tc>
          <w:tcPr>
            <w:tcW w:w="834" w:type="pct"/>
            <w:vAlign w:val="center"/>
          </w:tcPr>
          <w:p w14:paraId="05DB087C">
            <w:pPr>
              <w:shd w:val="clear"/>
              <w:jc w:val="center"/>
              <w:rPr>
                <w:rFonts w:ascii="宋体" w:hAnsi="宋体"/>
                <w:color w:val="auto"/>
                <w:sz w:val="18"/>
                <w:szCs w:val="18"/>
                <w:highlight w:val="none"/>
              </w:rPr>
            </w:pPr>
            <w:r>
              <w:rPr>
                <w:rFonts w:hint="eastAsia" w:ascii="宋体" w:hAnsi="宋体"/>
                <w:color w:val="auto"/>
                <w:sz w:val="18"/>
                <w:szCs w:val="18"/>
                <w:highlight w:val="none"/>
              </w:rPr>
              <w:t>100≤Y＜2000</w:t>
            </w:r>
          </w:p>
        </w:tc>
        <w:tc>
          <w:tcPr>
            <w:tcW w:w="831" w:type="pct"/>
            <w:vAlign w:val="center"/>
          </w:tcPr>
          <w:p w14:paraId="3EE132D9">
            <w:pPr>
              <w:shd w:val="clear"/>
              <w:jc w:val="center"/>
              <w:rPr>
                <w:rFonts w:ascii="宋体" w:hAnsi="宋体"/>
                <w:color w:val="auto"/>
                <w:sz w:val="18"/>
                <w:szCs w:val="18"/>
                <w:highlight w:val="none"/>
              </w:rPr>
            </w:pPr>
            <w:r>
              <w:rPr>
                <w:rFonts w:hint="eastAsia" w:ascii="宋体" w:hAnsi="宋体"/>
                <w:color w:val="auto"/>
                <w:sz w:val="18"/>
                <w:szCs w:val="18"/>
                <w:highlight w:val="none"/>
              </w:rPr>
              <w:t>Y＜100</w:t>
            </w:r>
          </w:p>
        </w:tc>
      </w:tr>
      <w:tr w14:paraId="0671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21F766B3">
            <w:pPr>
              <w:shd w:val="clear"/>
              <w:jc w:val="center"/>
              <w:rPr>
                <w:rFonts w:ascii="宋体" w:hAnsi="宋体"/>
                <w:b/>
                <w:color w:val="auto"/>
                <w:sz w:val="18"/>
                <w:szCs w:val="18"/>
                <w:highlight w:val="none"/>
              </w:rPr>
            </w:pPr>
            <w:r>
              <w:rPr>
                <w:rFonts w:hint="eastAsia" w:ascii="宋体" w:hAnsi="宋体"/>
                <w:b/>
                <w:color w:val="auto"/>
                <w:sz w:val="18"/>
                <w:szCs w:val="18"/>
                <w:highlight w:val="none"/>
              </w:rPr>
              <w:t>信息传输业</w:t>
            </w:r>
          </w:p>
        </w:tc>
        <w:tc>
          <w:tcPr>
            <w:tcW w:w="785" w:type="pct"/>
            <w:vAlign w:val="center"/>
          </w:tcPr>
          <w:p w14:paraId="2B2B9481">
            <w:pPr>
              <w:shd w:val="clear"/>
              <w:jc w:val="center"/>
              <w:rPr>
                <w:rFonts w:ascii="宋体" w:hAnsi="宋体"/>
                <w:color w:val="auto"/>
                <w:sz w:val="18"/>
                <w:szCs w:val="18"/>
                <w:highlight w:val="none"/>
              </w:rPr>
            </w:pPr>
            <w:r>
              <w:rPr>
                <w:rFonts w:hint="eastAsia" w:ascii="宋体" w:hAnsi="宋体"/>
                <w:color w:val="auto"/>
                <w:sz w:val="18"/>
                <w:szCs w:val="18"/>
                <w:highlight w:val="none"/>
              </w:rPr>
              <w:t>从业人员（X）</w:t>
            </w:r>
          </w:p>
        </w:tc>
        <w:tc>
          <w:tcPr>
            <w:tcW w:w="834" w:type="pct"/>
            <w:vAlign w:val="center"/>
          </w:tcPr>
          <w:p w14:paraId="41ECEA89">
            <w:pPr>
              <w:shd w:val="clear"/>
              <w:jc w:val="center"/>
              <w:rPr>
                <w:rFonts w:ascii="宋体" w:hAnsi="宋体"/>
                <w:color w:val="auto"/>
                <w:sz w:val="18"/>
                <w:szCs w:val="18"/>
                <w:highlight w:val="none"/>
              </w:rPr>
            </w:pPr>
            <w:r>
              <w:rPr>
                <w:rFonts w:hint="eastAsia" w:ascii="宋体" w:hAnsi="宋体"/>
                <w:color w:val="auto"/>
                <w:sz w:val="18"/>
                <w:szCs w:val="18"/>
                <w:highlight w:val="none"/>
              </w:rPr>
              <w:t>人</w:t>
            </w:r>
          </w:p>
        </w:tc>
        <w:tc>
          <w:tcPr>
            <w:tcW w:w="834" w:type="pct"/>
            <w:vAlign w:val="center"/>
          </w:tcPr>
          <w:p w14:paraId="38EE6329">
            <w:pPr>
              <w:shd w:val="clear"/>
              <w:jc w:val="center"/>
              <w:rPr>
                <w:rFonts w:ascii="宋体" w:hAnsi="宋体"/>
                <w:color w:val="auto"/>
                <w:sz w:val="18"/>
                <w:szCs w:val="18"/>
                <w:highlight w:val="none"/>
              </w:rPr>
            </w:pPr>
            <w:r>
              <w:rPr>
                <w:rFonts w:hint="eastAsia" w:ascii="宋体" w:hAnsi="宋体"/>
                <w:color w:val="auto"/>
                <w:sz w:val="18"/>
                <w:szCs w:val="18"/>
                <w:highlight w:val="none"/>
              </w:rPr>
              <w:t>100≤X＜2000</w:t>
            </w:r>
          </w:p>
        </w:tc>
        <w:tc>
          <w:tcPr>
            <w:tcW w:w="834" w:type="pct"/>
            <w:vAlign w:val="center"/>
          </w:tcPr>
          <w:p w14:paraId="2C5EEA1F">
            <w:pPr>
              <w:shd w:val="clear"/>
              <w:jc w:val="center"/>
              <w:rPr>
                <w:rFonts w:ascii="宋体" w:hAnsi="宋体"/>
                <w:color w:val="auto"/>
                <w:sz w:val="18"/>
                <w:szCs w:val="18"/>
                <w:highlight w:val="none"/>
              </w:rPr>
            </w:pPr>
            <w:r>
              <w:rPr>
                <w:rFonts w:hint="eastAsia" w:ascii="宋体" w:hAnsi="宋体"/>
                <w:color w:val="auto"/>
                <w:sz w:val="18"/>
                <w:szCs w:val="18"/>
                <w:highlight w:val="none"/>
              </w:rPr>
              <w:t>10≤X＜100</w:t>
            </w:r>
          </w:p>
        </w:tc>
        <w:tc>
          <w:tcPr>
            <w:tcW w:w="831" w:type="pct"/>
            <w:vAlign w:val="center"/>
          </w:tcPr>
          <w:p w14:paraId="50487303">
            <w:pPr>
              <w:shd w:val="clear"/>
              <w:jc w:val="center"/>
              <w:rPr>
                <w:rFonts w:ascii="宋体" w:hAnsi="宋体"/>
                <w:color w:val="auto"/>
                <w:sz w:val="18"/>
                <w:szCs w:val="18"/>
                <w:highlight w:val="none"/>
              </w:rPr>
            </w:pPr>
            <w:r>
              <w:rPr>
                <w:rFonts w:hint="eastAsia" w:ascii="宋体" w:hAnsi="宋体"/>
                <w:color w:val="auto"/>
                <w:sz w:val="18"/>
                <w:szCs w:val="18"/>
                <w:highlight w:val="none"/>
              </w:rPr>
              <w:t>X＜10</w:t>
            </w:r>
          </w:p>
        </w:tc>
      </w:tr>
      <w:tr w14:paraId="3C63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3EC258D8">
            <w:pPr>
              <w:shd w:val="clear"/>
              <w:jc w:val="center"/>
              <w:rPr>
                <w:rFonts w:ascii="宋体" w:hAnsi="宋体"/>
                <w:b/>
                <w:color w:val="auto"/>
                <w:sz w:val="18"/>
                <w:szCs w:val="18"/>
                <w:highlight w:val="none"/>
              </w:rPr>
            </w:pPr>
          </w:p>
        </w:tc>
        <w:tc>
          <w:tcPr>
            <w:tcW w:w="785" w:type="pct"/>
            <w:vAlign w:val="center"/>
          </w:tcPr>
          <w:p w14:paraId="40D72AFD">
            <w:pPr>
              <w:shd w:val="clear"/>
              <w:jc w:val="center"/>
              <w:rPr>
                <w:rFonts w:ascii="宋体" w:hAnsi="宋体"/>
                <w:color w:val="auto"/>
                <w:sz w:val="18"/>
                <w:szCs w:val="18"/>
                <w:highlight w:val="none"/>
              </w:rPr>
            </w:pPr>
            <w:r>
              <w:rPr>
                <w:rFonts w:hint="eastAsia" w:ascii="宋体" w:hAnsi="宋体"/>
                <w:color w:val="auto"/>
                <w:sz w:val="18"/>
                <w:szCs w:val="18"/>
                <w:highlight w:val="none"/>
              </w:rPr>
              <w:t>营业收入（Y）</w:t>
            </w:r>
          </w:p>
        </w:tc>
        <w:tc>
          <w:tcPr>
            <w:tcW w:w="834" w:type="pct"/>
            <w:vAlign w:val="center"/>
          </w:tcPr>
          <w:p w14:paraId="1999018E">
            <w:pPr>
              <w:shd w:val="clear"/>
              <w:jc w:val="center"/>
              <w:rPr>
                <w:rFonts w:ascii="宋体" w:hAnsi="宋体"/>
                <w:color w:val="auto"/>
                <w:sz w:val="18"/>
                <w:szCs w:val="18"/>
                <w:highlight w:val="none"/>
              </w:rPr>
            </w:pPr>
            <w:r>
              <w:rPr>
                <w:rFonts w:hint="eastAsia" w:ascii="宋体" w:hAnsi="宋体"/>
                <w:color w:val="auto"/>
                <w:sz w:val="18"/>
                <w:szCs w:val="18"/>
                <w:highlight w:val="none"/>
              </w:rPr>
              <w:t>万元</w:t>
            </w:r>
          </w:p>
        </w:tc>
        <w:tc>
          <w:tcPr>
            <w:tcW w:w="834" w:type="pct"/>
            <w:vAlign w:val="center"/>
          </w:tcPr>
          <w:p w14:paraId="1DDD6FAB">
            <w:pPr>
              <w:shd w:val="clear"/>
              <w:jc w:val="center"/>
              <w:rPr>
                <w:rFonts w:ascii="宋体" w:hAnsi="宋体"/>
                <w:color w:val="auto"/>
                <w:sz w:val="18"/>
                <w:szCs w:val="18"/>
                <w:highlight w:val="none"/>
              </w:rPr>
            </w:pPr>
            <w:r>
              <w:rPr>
                <w:rFonts w:hint="eastAsia" w:ascii="宋体" w:hAnsi="宋体"/>
                <w:color w:val="auto"/>
                <w:sz w:val="18"/>
                <w:szCs w:val="18"/>
                <w:highlight w:val="none"/>
              </w:rPr>
              <w:t>1000≤Y＜100000</w:t>
            </w:r>
          </w:p>
        </w:tc>
        <w:tc>
          <w:tcPr>
            <w:tcW w:w="834" w:type="pct"/>
            <w:vAlign w:val="center"/>
          </w:tcPr>
          <w:p w14:paraId="5311A6BF">
            <w:pPr>
              <w:shd w:val="clear"/>
              <w:jc w:val="center"/>
              <w:rPr>
                <w:rFonts w:ascii="宋体" w:hAnsi="宋体"/>
                <w:color w:val="auto"/>
                <w:sz w:val="18"/>
                <w:szCs w:val="18"/>
                <w:highlight w:val="none"/>
              </w:rPr>
            </w:pPr>
            <w:r>
              <w:rPr>
                <w:rFonts w:hint="eastAsia" w:ascii="宋体" w:hAnsi="宋体"/>
                <w:color w:val="auto"/>
                <w:sz w:val="18"/>
                <w:szCs w:val="18"/>
                <w:highlight w:val="none"/>
              </w:rPr>
              <w:t>100≤Y＜1000</w:t>
            </w:r>
          </w:p>
        </w:tc>
        <w:tc>
          <w:tcPr>
            <w:tcW w:w="831" w:type="pct"/>
            <w:vAlign w:val="center"/>
          </w:tcPr>
          <w:p w14:paraId="6736CCFE">
            <w:pPr>
              <w:shd w:val="clear"/>
              <w:jc w:val="center"/>
              <w:rPr>
                <w:rFonts w:ascii="宋体" w:hAnsi="宋体"/>
                <w:color w:val="auto"/>
                <w:sz w:val="18"/>
                <w:szCs w:val="18"/>
                <w:highlight w:val="none"/>
              </w:rPr>
            </w:pPr>
            <w:r>
              <w:rPr>
                <w:rFonts w:hint="eastAsia" w:ascii="宋体" w:hAnsi="宋体"/>
                <w:color w:val="auto"/>
                <w:sz w:val="18"/>
                <w:szCs w:val="18"/>
                <w:highlight w:val="none"/>
              </w:rPr>
              <w:t>Y＜100</w:t>
            </w:r>
          </w:p>
        </w:tc>
      </w:tr>
      <w:tr w14:paraId="2CB2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4260A4FE">
            <w:pPr>
              <w:shd w:val="clear"/>
              <w:jc w:val="center"/>
              <w:rPr>
                <w:rFonts w:ascii="宋体" w:hAnsi="宋体"/>
                <w:b/>
                <w:color w:val="auto"/>
                <w:sz w:val="18"/>
                <w:szCs w:val="18"/>
                <w:highlight w:val="none"/>
              </w:rPr>
            </w:pPr>
            <w:r>
              <w:rPr>
                <w:rFonts w:hint="eastAsia" w:ascii="宋体" w:hAnsi="宋体"/>
                <w:b/>
                <w:color w:val="auto"/>
                <w:sz w:val="18"/>
                <w:szCs w:val="18"/>
                <w:highlight w:val="none"/>
              </w:rPr>
              <w:t>软件和信息技术服务业</w:t>
            </w:r>
          </w:p>
        </w:tc>
        <w:tc>
          <w:tcPr>
            <w:tcW w:w="785" w:type="pct"/>
            <w:vAlign w:val="center"/>
          </w:tcPr>
          <w:p w14:paraId="10A68F59">
            <w:pPr>
              <w:shd w:val="clear"/>
              <w:jc w:val="center"/>
              <w:rPr>
                <w:rFonts w:ascii="宋体" w:hAnsi="宋体"/>
                <w:color w:val="auto"/>
                <w:sz w:val="18"/>
                <w:szCs w:val="18"/>
                <w:highlight w:val="none"/>
              </w:rPr>
            </w:pPr>
            <w:r>
              <w:rPr>
                <w:rFonts w:hint="eastAsia" w:ascii="宋体" w:hAnsi="宋体"/>
                <w:color w:val="auto"/>
                <w:sz w:val="18"/>
                <w:szCs w:val="18"/>
                <w:highlight w:val="none"/>
              </w:rPr>
              <w:t>从业人员（X）</w:t>
            </w:r>
          </w:p>
        </w:tc>
        <w:tc>
          <w:tcPr>
            <w:tcW w:w="834" w:type="pct"/>
            <w:vAlign w:val="center"/>
          </w:tcPr>
          <w:p w14:paraId="60D61276">
            <w:pPr>
              <w:shd w:val="clear"/>
              <w:jc w:val="center"/>
              <w:rPr>
                <w:rFonts w:ascii="宋体" w:hAnsi="宋体"/>
                <w:color w:val="auto"/>
                <w:sz w:val="18"/>
                <w:szCs w:val="18"/>
                <w:highlight w:val="none"/>
              </w:rPr>
            </w:pPr>
            <w:r>
              <w:rPr>
                <w:rFonts w:hint="eastAsia" w:ascii="宋体" w:hAnsi="宋体"/>
                <w:color w:val="auto"/>
                <w:sz w:val="18"/>
                <w:szCs w:val="18"/>
                <w:highlight w:val="none"/>
              </w:rPr>
              <w:t>人</w:t>
            </w:r>
          </w:p>
        </w:tc>
        <w:tc>
          <w:tcPr>
            <w:tcW w:w="834" w:type="pct"/>
            <w:vAlign w:val="center"/>
          </w:tcPr>
          <w:p w14:paraId="0F8F1D80">
            <w:pPr>
              <w:shd w:val="clear"/>
              <w:jc w:val="center"/>
              <w:rPr>
                <w:rFonts w:ascii="宋体" w:hAnsi="宋体"/>
                <w:color w:val="auto"/>
                <w:sz w:val="18"/>
                <w:szCs w:val="18"/>
                <w:highlight w:val="none"/>
              </w:rPr>
            </w:pPr>
            <w:r>
              <w:rPr>
                <w:rFonts w:hint="eastAsia" w:ascii="宋体" w:hAnsi="宋体"/>
                <w:color w:val="auto"/>
                <w:sz w:val="18"/>
                <w:szCs w:val="18"/>
                <w:highlight w:val="none"/>
              </w:rPr>
              <w:t>100≤X＜300</w:t>
            </w:r>
          </w:p>
        </w:tc>
        <w:tc>
          <w:tcPr>
            <w:tcW w:w="834" w:type="pct"/>
            <w:vAlign w:val="center"/>
          </w:tcPr>
          <w:p w14:paraId="006B68CF">
            <w:pPr>
              <w:shd w:val="clear"/>
              <w:jc w:val="center"/>
              <w:rPr>
                <w:rFonts w:ascii="宋体" w:hAnsi="宋体"/>
                <w:color w:val="auto"/>
                <w:sz w:val="18"/>
                <w:szCs w:val="18"/>
                <w:highlight w:val="none"/>
              </w:rPr>
            </w:pPr>
            <w:r>
              <w:rPr>
                <w:rFonts w:hint="eastAsia" w:ascii="宋体" w:hAnsi="宋体"/>
                <w:color w:val="auto"/>
                <w:sz w:val="18"/>
                <w:szCs w:val="18"/>
                <w:highlight w:val="none"/>
              </w:rPr>
              <w:t>10≤X＜100</w:t>
            </w:r>
          </w:p>
        </w:tc>
        <w:tc>
          <w:tcPr>
            <w:tcW w:w="831" w:type="pct"/>
            <w:vAlign w:val="center"/>
          </w:tcPr>
          <w:p w14:paraId="33A06E3E">
            <w:pPr>
              <w:shd w:val="clear"/>
              <w:jc w:val="center"/>
              <w:rPr>
                <w:rFonts w:ascii="宋体" w:hAnsi="宋体"/>
                <w:color w:val="auto"/>
                <w:sz w:val="18"/>
                <w:szCs w:val="18"/>
                <w:highlight w:val="none"/>
              </w:rPr>
            </w:pPr>
            <w:r>
              <w:rPr>
                <w:rFonts w:hint="eastAsia" w:ascii="宋体" w:hAnsi="宋体"/>
                <w:color w:val="auto"/>
                <w:sz w:val="18"/>
                <w:szCs w:val="18"/>
                <w:highlight w:val="none"/>
              </w:rPr>
              <w:t>X＜10</w:t>
            </w:r>
          </w:p>
        </w:tc>
      </w:tr>
      <w:tr w14:paraId="620EA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4842981B">
            <w:pPr>
              <w:shd w:val="clear"/>
              <w:jc w:val="center"/>
              <w:rPr>
                <w:rFonts w:ascii="宋体" w:hAnsi="宋体"/>
                <w:b/>
                <w:color w:val="auto"/>
                <w:sz w:val="18"/>
                <w:szCs w:val="18"/>
                <w:highlight w:val="none"/>
              </w:rPr>
            </w:pPr>
          </w:p>
        </w:tc>
        <w:tc>
          <w:tcPr>
            <w:tcW w:w="785" w:type="pct"/>
            <w:vAlign w:val="center"/>
          </w:tcPr>
          <w:p w14:paraId="3DD2113F">
            <w:pPr>
              <w:shd w:val="clear"/>
              <w:jc w:val="center"/>
              <w:rPr>
                <w:rFonts w:ascii="宋体" w:hAnsi="宋体"/>
                <w:color w:val="auto"/>
                <w:sz w:val="18"/>
                <w:szCs w:val="18"/>
                <w:highlight w:val="none"/>
              </w:rPr>
            </w:pPr>
            <w:r>
              <w:rPr>
                <w:rFonts w:hint="eastAsia" w:ascii="宋体" w:hAnsi="宋体"/>
                <w:color w:val="auto"/>
                <w:sz w:val="18"/>
                <w:szCs w:val="18"/>
                <w:highlight w:val="none"/>
              </w:rPr>
              <w:t>营业收入（Y）</w:t>
            </w:r>
          </w:p>
        </w:tc>
        <w:tc>
          <w:tcPr>
            <w:tcW w:w="834" w:type="pct"/>
            <w:vAlign w:val="center"/>
          </w:tcPr>
          <w:p w14:paraId="3EEC8058">
            <w:pPr>
              <w:shd w:val="clear"/>
              <w:jc w:val="center"/>
              <w:rPr>
                <w:rFonts w:ascii="宋体" w:hAnsi="宋体"/>
                <w:color w:val="auto"/>
                <w:sz w:val="18"/>
                <w:szCs w:val="18"/>
                <w:highlight w:val="none"/>
              </w:rPr>
            </w:pPr>
            <w:r>
              <w:rPr>
                <w:rFonts w:hint="eastAsia" w:ascii="宋体" w:hAnsi="宋体"/>
                <w:color w:val="auto"/>
                <w:sz w:val="18"/>
                <w:szCs w:val="18"/>
                <w:highlight w:val="none"/>
              </w:rPr>
              <w:t>万元</w:t>
            </w:r>
          </w:p>
        </w:tc>
        <w:tc>
          <w:tcPr>
            <w:tcW w:w="834" w:type="pct"/>
            <w:vAlign w:val="center"/>
          </w:tcPr>
          <w:p w14:paraId="12047D5F">
            <w:pPr>
              <w:shd w:val="clear"/>
              <w:jc w:val="center"/>
              <w:rPr>
                <w:rFonts w:ascii="宋体" w:hAnsi="宋体"/>
                <w:color w:val="auto"/>
                <w:sz w:val="18"/>
                <w:szCs w:val="18"/>
                <w:highlight w:val="none"/>
              </w:rPr>
            </w:pPr>
            <w:r>
              <w:rPr>
                <w:rFonts w:hint="eastAsia" w:ascii="宋体" w:hAnsi="宋体"/>
                <w:color w:val="auto"/>
                <w:sz w:val="18"/>
                <w:szCs w:val="18"/>
                <w:highlight w:val="none"/>
              </w:rPr>
              <w:t>1000≤Y＜10000</w:t>
            </w:r>
          </w:p>
        </w:tc>
        <w:tc>
          <w:tcPr>
            <w:tcW w:w="834" w:type="pct"/>
            <w:vAlign w:val="center"/>
          </w:tcPr>
          <w:p w14:paraId="514A7157">
            <w:pPr>
              <w:shd w:val="clear"/>
              <w:jc w:val="center"/>
              <w:rPr>
                <w:rFonts w:ascii="宋体" w:hAnsi="宋体"/>
                <w:color w:val="auto"/>
                <w:sz w:val="18"/>
                <w:szCs w:val="18"/>
                <w:highlight w:val="none"/>
              </w:rPr>
            </w:pPr>
            <w:r>
              <w:rPr>
                <w:rFonts w:hint="eastAsia" w:ascii="宋体" w:hAnsi="宋体"/>
                <w:color w:val="auto"/>
                <w:sz w:val="18"/>
                <w:szCs w:val="18"/>
                <w:highlight w:val="none"/>
              </w:rPr>
              <w:t>50≤Y＜1000</w:t>
            </w:r>
          </w:p>
        </w:tc>
        <w:tc>
          <w:tcPr>
            <w:tcW w:w="831" w:type="pct"/>
            <w:vAlign w:val="center"/>
          </w:tcPr>
          <w:p w14:paraId="2FEAE98D">
            <w:pPr>
              <w:shd w:val="clear"/>
              <w:jc w:val="center"/>
              <w:rPr>
                <w:rFonts w:ascii="宋体" w:hAnsi="宋体"/>
                <w:color w:val="auto"/>
                <w:sz w:val="18"/>
                <w:szCs w:val="18"/>
                <w:highlight w:val="none"/>
              </w:rPr>
            </w:pPr>
            <w:r>
              <w:rPr>
                <w:rFonts w:hint="eastAsia" w:ascii="宋体" w:hAnsi="宋体"/>
                <w:color w:val="auto"/>
                <w:sz w:val="18"/>
                <w:szCs w:val="18"/>
                <w:highlight w:val="none"/>
              </w:rPr>
              <w:t>Y＜50</w:t>
            </w:r>
          </w:p>
        </w:tc>
      </w:tr>
      <w:tr w14:paraId="6FEB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668F7270">
            <w:pPr>
              <w:shd w:val="clear"/>
              <w:jc w:val="center"/>
              <w:rPr>
                <w:rFonts w:ascii="宋体" w:hAnsi="宋体"/>
                <w:b/>
                <w:color w:val="auto"/>
                <w:sz w:val="18"/>
                <w:szCs w:val="18"/>
                <w:highlight w:val="none"/>
              </w:rPr>
            </w:pPr>
            <w:r>
              <w:rPr>
                <w:rFonts w:hint="eastAsia" w:ascii="宋体" w:hAnsi="宋体"/>
                <w:b/>
                <w:color w:val="auto"/>
                <w:sz w:val="18"/>
                <w:szCs w:val="18"/>
                <w:highlight w:val="none"/>
              </w:rPr>
              <w:t>房地产开发经营</w:t>
            </w:r>
          </w:p>
        </w:tc>
        <w:tc>
          <w:tcPr>
            <w:tcW w:w="785" w:type="pct"/>
            <w:vAlign w:val="center"/>
          </w:tcPr>
          <w:p w14:paraId="28262B2D">
            <w:pPr>
              <w:shd w:val="clear"/>
              <w:jc w:val="center"/>
              <w:rPr>
                <w:rFonts w:ascii="宋体" w:hAnsi="宋体"/>
                <w:color w:val="auto"/>
                <w:sz w:val="18"/>
                <w:szCs w:val="18"/>
                <w:highlight w:val="none"/>
              </w:rPr>
            </w:pPr>
            <w:r>
              <w:rPr>
                <w:rFonts w:hint="eastAsia" w:ascii="宋体" w:hAnsi="宋体"/>
                <w:color w:val="auto"/>
                <w:sz w:val="18"/>
                <w:szCs w:val="18"/>
                <w:highlight w:val="none"/>
              </w:rPr>
              <w:t>营业收入（Y）</w:t>
            </w:r>
          </w:p>
        </w:tc>
        <w:tc>
          <w:tcPr>
            <w:tcW w:w="834" w:type="pct"/>
            <w:vAlign w:val="center"/>
          </w:tcPr>
          <w:p w14:paraId="5B5313D2">
            <w:pPr>
              <w:shd w:val="clear"/>
              <w:jc w:val="center"/>
              <w:rPr>
                <w:rFonts w:ascii="宋体" w:hAnsi="宋体"/>
                <w:color w:val="auto"/>
                <w:sz w:val="18"/>
                <w:szCs w:val="18"/>
                <w:highlight w:val="none"/>
              </w:rPr>
            </w:pPr>
            <w:r>
              <w:rPr>
                <w:rFonts w:hint="eastAsia" w:ascii="宋体" w:hAnsi="宋体"/>
                <w:color w:val="auto"/>
                <w:sz w:val="18"/>
                <w:szCs w:val="18"/>
                <w:highlight w:val="none"/>
              </w:rPr>
              <w:t>万元</w:t>
            </w:r>
          </w:p>
        </w:tc>
        <w:tc>
          <w:tcPr>
            <w:tcW w:w="834" w:type="pct"/>
            <w:vAlign w:val="center"/>
          </w:tcPr>
          <w:p w14:paraId="1D2C3B27">
            <w:pPr>
              <w:shd w:val="clear"/>
              <w:jc w:val="center"/>
              <w:rPr>
                <w:rFonts w:ascii="宋体" w:hAnsi="宋体"/>
                <w:color w:val="auto"/>
                <w:sz w:val="18"/>
                <w:szCs w:val="18"/>
                <w:highlight w:val="none"/>
              </w:rPr>
            </w:pPr>
            <w:r>
              <w:rPr>
                <w:rFonts w:hint="eastAsia" w:ascii="宋体" w:hAnsi="宋体"/>
                <w:color w:val="auto"/>
                <w:sz w:val="18"/>
                <w:szCs w:val="18"/>
                <w:highlight w:val="none"/>
              </w:rPr>
              <w:t>1000≤Y＜200000</w:t>
            </w:r>
          </w:p>
        </w:tc>
        <w:tc>
          <w:tcPr>
            <w:tcW w:w="834" w:type="pct"/>
            <w:vAlign w:val="center"/>
          </w:tcPr>
          <w:p w14:paraId="44E6152B">
            <w:pPr>
              <w:shd w:val="clear"/>
              <w:jc w:val="center"/>
              <w:rPr>
                <w:rFonts w:ascii="宋体" w:hAnsi="宋体"/>
                <w:color w:val="auto"/>
                <w:sz w:val="18"/>
                <w:szCs w:val="18"/>
                <w:highlight w:val="none"/>
              </w:rPr>
            </w:pPr>
            <w:r>
              <w:rPr>
                <w:rFonts w:hint="eastAsia" w:ascii="宋体" w:hAnsi="宋体"/>
                <w:color w:val="auto"/>
                <w:sz w:val="18"/>
                <w:szCs w:val="18"/>
                <w:highlight w:val="none"/>
              </w:rPr>
              <w:t>100≤X＜1000</w:t>
            </w:r>
          </w:p>
        </w:tc>
        <w:tc>
          <w:tcPr>
            <w:tcW w:w="831" w:type="pct"/>
            <w:vAlign w:val="center"/>
          </w:tcPr>
          <w:p w14:paraId="49C6EFD5">
            <w:pPr>
              <w:shd w:val="clear"/>
              <w:jc w:val="center"/>
              <w:rPr>
                <w:rFonts w:ascii="宋体" w:hAnsi="宋体"/>
                <w:color w:val="auto"/>
                <w:sz w:val="18"/>
                <w:szCs w:val="18"/>
                <w:highlight w:val="none"/>
              </w:rPr>
            </w:pPr>
            <w:r>
              <w:rPr>
                <w:rFonts w:hint="eastAsia" w:ascii="宋体" w:hAnsi="宋体"/>
                <w:color w:val="auto"/>
                <w:sz w:val="18"/>
                <w:szCs w:val="18"/>
                <w:highlight w:val="none"/>
              </w:rPr>
              <w:t>X＜100</w:t>
            </w:r>
          </w:p>
        </w:tc>
      </w:tr>
      <w:tr w14:paraId="03CF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3C01F09A">
            <w:pPr>
              <w:shd w:val="clear"/>
              <w:jc w:val="center"/>
              <w:rPr>
                <w:rFonts w:ascii="宋体" w:hAnsi="宋体"/>
                <w:b/>
                <w:color w:val="auto"/>
                <w:sz w:val="18"/>
                <w:szCs w:val="18"/>
                <w:highlight w:val="none"/>
              </w:rPr>
            </w:pPr>
          </w:p>
        </w:tc>
        <w:tc>
          <w:tcPr>
            <w:tcW w:w="785" w:type="pct"/>
            <w:vAlign w:val="center"/>
          </w:tcPr>
          <w:p w14:paraId="3178232E">
            <w:pPr>
              <w:shd w:val="clear"/>
              <w:jc w:val="center"/>
              <w:rPr>
                <w:rFonts w:ascii="宋体" w:hAnsi="宋体"/>
                <w:color w:val="auto"/>
                <w:sz w:val="18"/>
                <w:szCs w:val="18"/>
                <w:highlight w:val="none"/>
              </w:rPr>
            </w:pPr>
            <w:r>
              <w:rPr>
                <w:rFonts w:hint="eastAsia" w:ascii="宋体" w:hAnsi="宋体"/>
                <w:color w:val="auto"/>
                <w:sz w:val="18"/>
                <w:szCs w:val="18"/>
                <w:highlight w:val="none"/>
              </w:rPr>
              <w:t>资产总额（Z）</w:t>
            </w:r>
          </w:p>
        </w:tc>
        <w:tc>
          <w:tcPr>
            <w:tcW w:w="834" w:type="pct"/>
            <w:vAlign w:val="center"/>
          </w:tcPr>
          <w:p w14:paraId="68EA7061">
            <w:pPr>
              <w:shd w:val="clear"/>
              <w:jc w:val="center"/>
              <w:rPr>
                <w:rFonts w:ascii="宋体" w:hAnsi="宋体"/>
                <w:color w:val="auto"/>
                <w:sz w:val="18"/>
                <w:szCs w:val="18"/>
                <w:highlight w:val="none"/>
              </w:rPr>
            </w:pPr>
            <w:r>
              <w:rPr>
                <w:rFonts w:hint="eastAsia" w:ascii="宋体" w:hAnsi="宋体"/>
                <w:color w:val="auto"/>
                <w:sz w:val="18"/>
                <w:szCs w:val="18"/>
                <w:highlight w:val="none"/>
              </w:rPr>
              <w:t>万元</w:t>
            </w:r>
          </w:p>
        </w:tc>
        <w:tc>
          <w:tcPr>
            <w:tcW w:w="834" w:type="pct"/>
            <w:vAlign w:val="center"/>
          </w:tcPr>
          <w:p w14:paraId="04E61CD2">
            <w:pPr>
              <w:shd w:val="clear"/>
              <w:jc w:val="center"/>
              <w:rPr>
                <w:rFonts w:ascii="宋体" w:hAnsi="宋体"/>
                <w:color w:val="auto"/>
                <w:sz w:val="18"/>
                <w:szCs w:val="18"/>
                <w:highlight w:val="none"/>
              </w:rPr>
            </w:pPr>
            <w:r>
              <w:rPr>
                <w:rFonts w:hint="eastAsia" w:ascii="宋体" w:hAnsi="宋体"/>
                <w:color w:val="auto"/>
                <w:sz w:val="18"/>
                <w:szCs w:val="18"/>
                <w:highlight w:val="none"/>
              </w:rPr>
              <w:t>5000≤Z＜10000</w:t>
            </w:r>
          </w:p>
        </w:tc>
        <w:tc>
          <w:tcPr>
            <w:tcW w:w="834" w:type="pct"/>
            <w:vAlign w:val="center"/>
          </w:tcPr>
          <w:p w14:paraId="0AEC6721">
            <w:pPr>
              <w:shd w:val="clear"/>
              <w:jc w:val="center"/>
              <w:rPr>
                <w:rFonts w:ascii="宋体" w:hAnsi="宋体"/>
                <w:color w:val="auto"/>
                <w:sz w:val="18"/>
                <w:szCs w:val="18"/>
                <w:highlight w:val="none"/>
              </w:rPr>
            </w:pPr>
            <w:r>
              <w:rPr>
                <w:rFonts w:hint="eastAsia" w:ascii="宋体" w:hAnsi="宋体"/>
                <w:color w:val="auto"/>
                <w:sz w:val="18"/>
                <w:szCs w:val="18"/>
                <w:highlight w:val="none"/>
              </w:rPr>
              <w:t>2000≤Y＜5000</w:t>
            </w:r>
          </w:p>
        </w:tc>
        <w:tc>
          <w:tcPr>
            <w:tcW w:w="831" w:type="pct"/>
            <w:vAlign w:val="center"/>
          </w:tcPr>
          <w:p w14:paraId="2A3D115D">
            <w:pPr>
              <w:shd w:val="clear"/>
              <w:jc w:val="center"/>
              <w:rPr>
                <w:rFonts w:ascii="宋体" w:hAnsi="宋体"/>
                <w:color w:val="auto"/>
                <w:sz w:val="18"/>
                <w:szCs w:val="18"/>
                <w:highlight w:val="none"/>
              </w:rPr>
            </w:pPr>
            <w:r>
              <w:rPr>
                <w:rFonts w:hint="eastAsia" w:ascii="宋体" w:hAnsi="宋体"/>
                <w:color w:val="auto"/>
                <w:sz w:val="18"/>
                <w:szCs w:val="18"/>
                <w:highlight w:val="none"/>
              </w:rPr>
              <w:t>Y＜2000</w:t>
            </w:r>
          </w:p>
        </w:tc>
      </w:tr>
      <w:tr w14:paraId="279D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5C044BFE">
            <w:pPr>
              <w:shd w:val="clear"/>
              <w:jc w:val="center"/>
              <w:rPr>
                <w:rFonts w:ascii="宋体" w:hAnsi="宋体"/>
                <w:b/>
                <w:color w:val="auto"/>
                <w:sz w:val="18"/>
                <w:szCs w:val="18"/>
                <w:highlight w:val="none"/>
              </w:rPr>
            </w:pPr>
            <w:r>
              <w:rPr>
                <w:rFonts w:hint="eastAsia" w:ascii="宋体" w:hAnsi="宋体"/>
                <w:b/>
                <w:color w:val="auto"/>
                <w:sz w:val="18"/>
                <w:szCs w:val="18"/>
                <w:highlight w:val="none"/>
              </w:rPr>
              <w:t>物业管理</w:t>
            </w:r>
          </w:p>
        </w:tc>
        <w:tc>
          <w:tcPr>
            <w:tcW w:w="785" w:type="pct"/>
            <w:vAlign w:val="center"/>
          </w:tcPr>
          <w:p w14:paraId="2BE4485C">
            <w:pPr>
              <w:shd w:val="clear"/>
              <w:jc w:val="center"/>
              <w:rPr>
                <w:rFonts w:ascii="宋体" w:hAnsi="宋体"/>
                <w:color w:val="auto"/>
                <w:sz w:val="18"/>
                <w:szCs w:val="18"/>
                <w:highlight w:val="none"/>
              </w:rPr>
            </w:pPr>
            <w:r>
              <w:rPr>
                <w:rFonts w:hint="eastAsia" w:ascii="宋体" w:hAnsi="宋体"/>
                <w:color w:val="auto"/>
                <w:sz w:val="18"/>
                <w:szCs w:val="18"/>
                <w:highlight w:val="none"/>
              </w:rPr>
              <w:t>从业人员（X）</w:t>
            </w:r>
          </w:p>
        </w:tc>
        <w:tc>
          <w:tcPr>
            <w:tcW w:w="834" w:type="pct"/>
            <w:vAlign w:val="center"/>
          </w:tcPr>
          <w:p w14:paraId="6FB8B947">
            <w:pPr>
              <w:shd w:val="clear"/>
              <w:jc w:val="center"/>
              <w:rPr>
                <w:rFonts w:ascii="宋体" w:hAnsi="宋体"/>
                <w:color w:val="auto"/>
                <w:sz w:val="18"/>
                <w:szCs w:val="18"/>
                <w:highlight w:val="none"/>
              </w:rPr>
            </w:pPr>
            <w:r>
              <w:rPr>
                <w:rFonts w:hint="eastAsia" w:ascii="宋体" w:hAnsi="宋体"/>
                <w:color w:val="auto"/>
                <w:sz w:val="18"/>
                <w:szCs w:val="18"/>
                <w:highlight w:val="none"/>
              </w:rPr>
              <w:t>人</w:t>
            </w:r>
          </w:p>
        </w:tc>
        <w:tc>
          <w:tcPr>
            <w:tcW w:w="834" w:type="pct"/>
            <w:vAlign w:val="center"/>
          </w:tcPr>
          <w:p w14:paraId="1CA8BA0D">
            <w:pPr>
              <w:shd w:val="clear"/>
              <w:jc w:val="center"/>
              <w:rPr>
                <w:rFonts w:ascii="宋体" w:hAnsi="宋体"/>
                <w:color w:val="auto"/>
                <w:sz w:val="18"/>
                <w:szCs w:val="18"/>
                <w:highlight w:val="none"/>
              </w:rPr>
            </w:pPr>
            <w:r>
              <w:rPr>
                <w:rFonts w:hint="eastAsia" w:ascii="宋体" w:hAnsi="宋体"/>
                <w:color w:val="auto"/>
                <w:sz w:val="18"/>
                <w:szCs w:val="18"/>
                <w:highlight w:val="none"/>
              </w:rPr>
              <w:t>300≤X＜1000</w:t>
            </w:r>
          </w:p>
        </w:tc>
        <w:tc>
          <w:tcPr>
            <w:tcW w:w="834" w:type="pct"/>
            <w:vAlign w:val="center"/>
          </w:tcPr>
          <w:p w14:paraId="0FF655E0">
            <w:pPr>
              <w:shd w:val="clear"/>
              <w:jc w:val="center"/>
              <w:rPr>
                <w:rFonts w:ascii="宋体" w:hAnsi="宋体"/>
                <w:color w:val="auto"/>
                <w:sz w:val="18"/>
                <w:szCs w:val="18"/>
                <w:highlight w:val="none"/>
              </w:rPr>
            </w:pPr>
            <w:r>
              <w:rPr>
                <w:rFonts w:hint="eastAsia" w:ascii="宋体" w:hAnsi="宋体"/>
                <w:color w:val="auto"/>
                <w:sz w:val="18"/>
                <w:szCs w:val="18"/>
                <w:highlight w:val="none"/>
              </w:rPr>
              <w:t>100≤X＜300</w:t>
            </w:r>
          </w:p>
        </w:tc>
        <w:tc>
          <w:tcPr>
            <w:tcW w:w="831" w:type="pct"/>
            <w:vAlign w:val="center"/>
          </w:tcPr>
          <w:p w14:paraId="78491AFC">
            <w:pPr>
              <w:shd w:val="clear"/>
              <w:jc w:val="center"/>
              <w:rPr>
                <w:rFonts w:ascii="宋体" w:hAnsi="宋体"/>
                <w:color w:val="auto"/>
                <w:sz w:val="18"/>
                <w:szCs w:val="18"/>
                <w:highlight w:val="none"/>
              </w:rPr>
            </w:pPr>
            <w:r>
              <w:rPr>
                <w:rFonts w:hint="eastAsia" w:ascii="宋体" w:hAnsi="宋体"/>
                <w:color w:val="auto"/>
                <w:sz w:val="18"/>
                <w:szCs w:val="18"/>
                <w:highlight w:val="none"/>
              </w:rPr>
              <w:t>X＜100</w:t>
            </w:r>
          </w:p>
        </w:tc>
      </w:tr>
      <w:tr w14:paraId="093C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51F93CF7">
            <w:pPr>
              <w:shd w:val="clear"/>
              <w:jc w:val="center"/>
              <w:rPr>
                <w:rFonts w:ascii="宋体" w:hAnsi="宋体"/>
                <w:b/>
                <w:color w:val="auto"/>
                <w:sz w:val="18"/>
                <w:szCs w:val="18"/>
                <w:highlight w:val="none"/>
              </w:rPr>
            </w:pPr>
          </w:p>
        </w:tc>
        <w:tc>
          <w:tcPr>
            <w:tcW w:w="785" w:type="pct"/>
            <w:vAlign w:val="center"/>
          </w:tcPr>
          <w:p w14:paraId="61A4BB53">
            <w:pPr>
              <w:shd w:val="clear"/>
              <w:jc w:val="center"/>
              <w:rPr>
                <w:rFonts w:ascii="宋体" w:hAnsi="宋体"/>
                <w:color w:val="auto"/>
                <w:sz w:val="18"/>
                <w:szCs w:val="18"/>
                <w:highlight w:val="none"/>
              </w:rPr>
            </w:pPr>
            <w:r>
              <w:rPr>
                <w:rFonts w:hint="eastAsia" w:ascii="宋体" w:hAnsi="宋体"/>
                <w:color w:val="auto"/>
                <w:sz w:val="18"/>
                <w:szCs w:val="18"/>
                <w:highlight w:val="none"/>
              </w:rPr>
              <w:t>营业收入（Y）</w:t>
            </w:r>
          </w:p>
        </w:tc>
        <w:tc>
          <w:tcPr>
            <w:tcW w:w="834" w:type="pct"/>
            <w:vAlign w:val="center"/>
          </w:tcPr>
          <w:p w14:paraId="07B35910">
            <w:pPr>
              <w:shd w:val="clear"/>
              <w:jc w:val="center"/>
              <w:rPr>
                <w:rFonts w:ascii="宋体" w:hAnsi="宋体"/>
                <w:color w:val="auto"/>
                <w:sz w:val="18"/>
                <w:szCs w:val="18"/>
                <w:highlight w:val="none"/>
              </w:rPr>
            </w:pPr>
            <w:r>
              <w:rPr>
                <w:rFonts w:hint="eastAsia" w:ascii="宋体" w:hAnsi="宋体"/>
                <w:color w:val="auto"/>
                <w:sz w:val="18"/>
                <w:szCs w:val="18"/>
                <w:highlight w:val="none"/>
              </w:rPr>
              <w:t>万元</w:t>
            </w:r>
          </w:p>
        </w:tc>
        <w:tc>
          <w:tcPr>
            <w:tcW w:w="834" w:type="pct"/>
            <w:vAlign w:val="center"/>
          </w:tcPr>
          <w:p w14:paraId="066C8299">
            <w:pPr>
              <w:shd w:val="clear"/>
              <w:jc w:val="center"/>
              <w:rPr>
                <w:rFonts w:ascii="宋体" w:hAnsi="宋体"/>
                <w:color w:val="auto"/>
                <w:sz w:val="18"/>
                <w:szCs w:val="18"/>
                <w:highlight w:val="none"/>
              </w:rPr>
            </w:pPr>
            <w:r>
              <w:rPr>
                <w:rFonts w:hint="eastAsia" w:ascii="宋体" w:hAnsi="宋体"/>
                <w:color w:val="auto"/>
                <w:sz w:val="18"/>
                <w:szCs w:val="18"/>
                <w:highlight w:val="none"/>
              </w:rPr>
              <w:t>1000≤Y＜5000</w:t>
            </w:r>
          </w:p>
        </w:tc>
        <w:tc>
          <w:tcPr>
            <w:tcW w:w="834" w:type="pct"/>
            <w:vAlign w:val="center"/>
          </w:tcPr>
          <w:p w14:paraId="0BDADB83">
            <w:pPr>
              <w:shd w:val="clear"/>
              <w:jc w:val="center"/>
              <w:rPr>
                <w:rFonts w:ascii="宋体" w:hAnsi="宋体"/>
                <w:color w:val="auto"/>
                <w:sz w:val="18"/>
                <w:szCs w:val="18"/>
                <w:highlight w:val="none"/>
              </w:rPr>
            </w:pPr>
            <w:r>
              <w:rPr>
                <w:rFonts w:hint="eastAsia" w:ascii="宋体" w:hAnsi="宋体"/>
                <w:color w:val="auto"/>
                <w:sz w:val="18"/>
                <w:szCs w:val="18"/>
                <w:highlight w:val="none"/>
              </w:rPr>
              <w:t>500≤Y＜1000</w:t>
            </w:r>
          </w:p>
        </w:tc>
        <w:tc>
          <w:tcPr>
            <w:tcW w:w="831" w:type="pct"/>
            <w:vAlign w:val="center"/>
          </w:tcPr>
          <w:p w14:paraId="6623DF58">
            <w:pPr>
              <w:shd w:val="clear"/>
              <w:jc w:val="center"/>
              <w:rPr>
                <w:rFonts w:ascii="宋体" w:hAnsi="宋体"/>
                <w:color w:val="auto"/>
                <w:sz w:val="18"/>
                <w:szCs w:val="18"/>
                <w:highlight w:val="none"/>
              </w:rPr>
            </w:pPr>
            <w:r>
              <w:rPr>
                <w:rFonts w:hint="eastAsia" w:ascii="宋体" w:hAnsi="宋体"/>
                <w:color w:val="auto"/>
                <w:sz w:val="18"/>
                <w:szCs w:val="18"/>
                <w:highlight w:val="none"/>
              </w:rPr>
              <w:t>Y＜500</w:t>
            </w:r>
          </w:p>
        </w:tc>
      </w:tr>
      <w:tr w14:paraId="3B5E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restart"/>
            <w:vAlign w:val="center"/>
          </w:tcPr>
          <w:p w14:paraId="61BE1C1C">
            <w:pPr>
              <w:shd w:val="clear"/>
              <w:jc w:val="center"/>
              <w:rPr>
                <w:rFonts w:ascii="宋体" w:hAnsi="宋体"/>
                <w:b/>
                <w:color w:val="auto"/>
                <w:sz w:val="18"/>
                <w:szCs w:val="18"/>
                <w:highlight w:val="none"/>
              </w:rPr>
            </w:pPr>
            <w:r>
              <w:rPr>
                <w:rFonts w:hint="eastAsia" w:ascii="宋体" w:hAnsi="宋体"/>
                <w:b/>
                <w:color w:val="auto"/>
                <w:sz w:val="18"/>
                <w:szCs w:val="18"/>
                <w:highlight w:val="none"/>
              </w:rPr>
              <w:t>租赁和商务服务业</w:t>
            </w:r>
          </w:p>
        </w:tc>
        <w:tc>
          <w:tcPr>
            <w:tcW w:w="785" w:type="pct"/>
            <w:vAlign w:val="center"/>
          </w:tcPr>
          <w:p w14:paraId="55493B28">
            <w:pPr>
              <w:shd w:val="clear"/>
              <w:jc w:val="center"/>
              <w:rPr>
                <w:rFonts w:ascii="宋体" w:hAnsi="宋体"/>
                <w:color w:val="auto"/>
                <w:sz w:val="18"/>
                <w:szCs w:val="18"/>
                <w:highlight w:val="none"/>
              </w:rPr>
            </w:pPr>
            <w:r>
              <w:rPr>
                <w:rFonts w:hint="eastAsia" w:ascii="宋体" w:hAnsi="宋体"/>
                <w:color w:val="auto"/>
                <w:sz w:val="18"/>
                <w:szCs w:val="18"/>
                <w:highlight w:val="none"/>
              </w:rPr>
              <w:t>从业人员（X）</w:t>
            </w:r>
          </w:p>
        </w:tc>
        <w:tc>
          <w:tcPr>
            <w:tcW w:w="834" w:type="pct"/>
            <w:vAlign w:val="center"/>
          </w:tcPr>
          <w:p w14:paraId="756F5754">
            <w:pPr>
              <w:shd w:val="clear"/>
              <w:jc w:val="center"/>
              <w:rPr>
                <w:rFonts w:ascii="宋体" w:hAnsi="宋体"/>
                <w:color w:val="auto"/>
                <w:sz w:val="18"/>
                <w:szCs w:val="18"/>
                <w:highlight w:val="none"/>
              </w:rPr>
            </w:pPr>
            <w:r>
              <w:rPr>
                <w:rFonts w:hint="eastAsia" w:ascii="宋体" w:hAnsi="宋体"/>
                <w:color w:val="auto"/>
                <w:sz w:val="18"/>
                <w:szCs w:val="18"/>
                <w:highlight w:val="none"/>
              </w:rPr>
              <w:t>人</w:t>
            </w:r>
          </w:p>
        </w:tc>
        <w:tc>
          <w:tcPr>
            <w:tcW w:w="834" w:type="pct"/>
            <w:vAlign w:val="center"/>
          </w:tcPr>
          <w:p w14:paraId="4B761DA3">
            <w:pPr>
              <w:shd w:val="clear"/>
              <w:jc w:val="center"/>
              <w:rPr>
                <w:rFonts w:ascii="宋体" w:hAnsi="宋体"/>
                <w:color w:val="auto"/>
                <w:sz w:val="18"/>
                <w:szCs w:val="18"/>
                <w:highlight w:val="none"/>
              </w:rPr>
            </w:pPr>
            <w:r>
              <w:rPr>
                <w:rFonts w:hint="eastAsia" w:ascii="宋体" w:hAnsi="宋体"/>
                <w:color w:val="auto"/>
                <w:sz w:val="18"/>
                <w:szCs w:val="18"/>
                <w:highlight w:val="none"/>
              </w:rPr>
              <w:t>100≤X＜300</w:t>
            </w:r>
          </w:p>
        </w:tc>
        <w:tc>
          <w:tcPr>
            <w:tcW w:w="834" w:type="pct"/>
            <w:vAlign w:val="center"/>
          </w:tcPr>
          <w:p w14:paraId="0D5BD441">
            <w:pPr>
              <w:shd w:val="clear"/>
              <w:jc w:val="center"/>
              <w:rPr>
                <w:rFonts w:ascii="宋体" w:hAnsi="宋体"/>
                <w:color w:val="auto"/>
                <w:sz w:val="18"/>
                <w:szCs w:val="18"/>
                <w:highlight w:val="none"/>
              </w:rPr>
            </w:pPr>
            <w:r>
              <w:rPr>
                <w:rFonts w:hint="eastAsia" w:ascii="宋体" w:hAnsi="宋体"/>
                <w:color w:val="auto"/>
                <w:sz w:val="18"/>
                <w:szCs w:val="18"/>
                <w:highlight w:val="none"/>
              </w:rPr>
              <w:t>10≤X＜100</w:t>
            </w:r>
          </w:p>
        </w:tc>
        <w:tc>
          <w:tcPr>
            <w:tcW w:w="831" w:type="pct"/>
            <w:vAlign w:val="center"/>
          </w:tcPr>
          <w:p w14:paraId="16EA7385">
            <w:pPr>
              <w:shd w:val="clear"/>
              <w:jc w:val="center"/>
              <w:rPr>
                <w:rFonts w:ascii="宋体" w:hAnsi="宋体"/>
                <w:color w:val="auto"/>
                <w:sz w:val="18"/>
                <w:szCs w:val="18"/>
                <w:highlight w:val="none"/>
              </w:rPr>
            </w:pPr>
            <w:r>
              <w:rPr>
                <w:rFonts w:hint="eastAsia" w:ascii="宋体" w:hAnsi="宋体"/>
                <w:color w:val="auto"/>
                <w:sz w:val="18"/>
                <w:szCs w:val="18"/>
                <w:highlight w:val="none"/>
              </w:rPr>
              <w:t>X＜10</w:t>
            </w:r>
          </w:p>
        </w:tc>
      </w:tr>
      <w:tr w14:paraId="16F0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Merge w:val="continue"/>
            <w:vAlign w:val="center"/>
          </w:tcPr>
          <w:p w14:paraId="2FBEC73B">
            <w:pPr>
              <w:shd w:val="clear"/>
              <w:jc w:val="center"/>
              <w:rPr>
                <w:rFonts w:ascii="宋体" w:hAnsi="宋体"/>
                <w:b/>
                <w:color w:val="auto"/>
                <w:sz w:val="18"/>
                <w:szCs w:val="18"/>
                <w:highlight w:val="none"/>
              </w:rPr>
            </w:pPr>
          </w:p>
        </w:tc>
        <w:tc>
          <w:tcPr>
            <w:tcW w:w="785" w:type="pct"/>
            <w:vAlign w:val="center"/>
          </w:tcPr>
          <w:p w14:paraId="44EDE8CB">
            <w:pPr>
              <w:shd w:val="clear"/>
              <w:jc w:val="center"/>
              <w:rPr>
                <w:rFonts w:ascii="宋体" w:hAnsi="宋体"/>
                <w:color w:val="auto"/>
                <w:sz w:val="18"/>
                <w:szCs w:val="18"/>
                <w:highlight w:val="none"/>
              </w:rPr>
            </w:pPr>
            <w:r>
              <w:rPr>
                <w:rFonts w:hint="eastAsia" w:ascii="宋体" w:hAnsi="宋体"/>
                <w:color w:val="auto"/>
                <w:sz w:val="18"/>
                <w:szCs w:val="18"/>
                <w:highlight w:val="none"/>
              </w:rPr>
              <w:t>资产总额（Z）</w:t>
            </w:r>
          </w:p>
        </w:tc>
        <w:tc>
          <w:tcPr>
            <w:tcW w:w="834" w:type="pct"/>
            <w:vAlign w:val="center"/>
          </w:tcPr>
          <w:p w14:paraId="76087CB9">
            <w:pPr>
              <w:shd w:val="clear"/>
              <w:jc w:val="center"/>
              <w:rPr>
                <w:rFonts w:ascii="宋体" w:hAnsi="宋体"/>
                <w:color w:val="auto"/>
                <w:sz w:val="18"/>
                <w:szCs w:val="18"/>
                <w:highlight w:val="none"/>
              </w:rPr>
            </w:pPr>
            <w:r>
              <w:rPr>
                <w:rFonts w:hint="eastAsia" w:ascii="宋体" w:hAnsi="宋体"/>
                <w:color w:val="auto"/>
                <w:sz w:val="18"/>
                <w:szCs w:val="18"/>
                <w:highlight w:val="none"/>
              </w:rPr>
              <w:t>万元</w:t>
            </w:r>
          </w:p>
        </w:tc>
        <w:tc>
          <w:tcPr>
            <w:tcW w:w="834" w:type="pct"/>
            <w:vAlign w:val="center"/>
          </w:tcPr>
          <w:p w14:paraId="3EA5C243">
            <w:pPr>
              <w:shd w:val="clear"/>
              <w:jc w:val="center"/>
              <w:rPr>
                <w:rFonts w:ascii="宋体" w:hAnsi="宋体"/>
                <w:color w:val="auto"/>
                <w:sz w:val="18"/>
                <w:szCs w:val="18"/>
                <w:highlight w:val="none"/>
              </w:rPr>
            </w:pPr>
            <w:r>
              <w:rPr>
                <w:rFonts w:hint="eastAsia" w:ascii="宋体" w:hAnsi="宋体"/>
                <w:color w:val="auto"/>
                <w:sz w:val="18"/>
                <w:szCs w:val="18"/>
                <w:highlight w:val="none"/>
              </w:rPr>
              <w:t>8000≤Z＜120000</w:t>
            </w:r>
          </w:p>
        </w:tc>
        <w:tc>
          <w:tcPr>
            <w:tcW w:w="834" w:type="pct"/>
            <w:vAlign w:val="center"/>
          </w:tcPr>
          <w:p w14:paraId="781A6452">
            <w:pPr>
              <w:shd w:val="clear"/>
              <w:jc w:val="center"/>
              <w:rPr>
                <w:rFonts w:ascii="宋体" w:hAnsi="宋体"/>
                <w:color w:val="auto"/>
                <w:sz w:val="18"/>
                <w:szCs w:val="18"/>
                <w:highlight w:val="none"/>
              </w:rPr>
            </w:pPr>
            <w:r>
              <w:rPr>
                <w:rFonts w:hint="eastAsia" w:ascii="宋体" w:hAnsi="宋体"/>
                <w:color w:val="auto"/>
                <w:sz w:val="18"/>
                <w:szCs w:val="18"/>
                <w:highlight w:val="none"/>
              </w:rPr>
              <w:t>100≤Z＜8000</w:t>
            </w:r>
          </w:p>
        </w:tc>
        <w:tc>
          <w:tcPr>
            <w:tcW w:w="831" w:type="pct"/>
            <w:vAlign w:val="center"/>
          </w:tcPr>
          <w:p w14:paraId="278791C8">
            <w:pPr>
              <w:shd w:val="clear"/>
              <w:jc w:val="center"/>
              <w:rPr>
                <w:rFonts w:ascii="宋体" w:hAnsi="宋体"/>
                <w:color w:val="auto"/>
                <w:sz w:val="18"/>
                <w:szCs w:val="18"/>
                <w:highlight w:val="none"/>
              </w:rPr>
            </w:pPr>
            <w:r>
              <w:rPr>
                <w:rFonts w:hint="eastAsia" w:ascii="宋体" w:hAnsi="宋体"/>
                <w:color w:val="auto"/>
                <w:sz w:val="18"/>
                <w:szCs w:val="18"/>
                <w:highlight w:val="none"/>
              </w:rPr>
              <w:t>Y＜100</w:t>
            </w:r>
          </w:p>
        </w:tc>
      </w:tr>
      <w:tr w14:paraId="63CB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82" w:type="pct"/>
            <w:vAlign w:val="center"/>
          </w:tcPr>
          <w:p w14:paraId="1EA0B321">
            <w:pPr>
              <w:shd w:val="clear"/>
              <w:jc w:val="center"/>
              <w:rPr>
                <w:rFonts w:ascii="宋体" w:hAnsi="宋体"/>
                <w:b/>
                <w:color w:val="auto"/>
                <w:sz w:val="18"/>
                <w:szCs w:val="18"/>
                <w:highlight w:val="none"/>
              </w:rPr>
            </w:pPr>
            <w:r>
              <w:rPr>
                <w:rFonts w:hint="eastAsia" w:ascii="宋体" w:hAnsi="宋体"/>
                <w:b/>
                <w:color w:val="auto"/>
                <w:sz w:val="18"/>
                <w:szCs w:val="18"/>
                <w:highlight w:val="none"/>
              </w:rPr>
              <w:t>其他未列明行业</w:t>
            </w:r>
          </w:p>
        </w:tc>
        <w:tc>
          <w:tcPr>
            <w:tcW w:w="785" w:type="pct"/>
            <w:vAlign w:val="center"/>
          </w:tcPr>
          <w:p w14:paraId="1604B083">
            <w:pPr>
              <w:shd w:val="clear"/>
              <w:jc w:val="center"/>
              <w:rPr>
                <w:rFonts w:ascii="宋体" w:hAnsi="宋体"/>
                <w:color w:val="auto"/>
                <w:sz w:val="18"/>
                <w:szCs w:val="18"/>
                <w:highlight w:val="none"/>
              </w:rPr>
            </w:pPr>
            <w:r>
              <w:rPr>
                <w:rFonts w:hint="eastAsia" w:ascii="宋体" w:hAnsi="宋体"/>
                <w:color w:val="auto"/>
                <w:sz w:val="18"/>
                <w:szCs w:val="18"/>
                <w:highlight w:val="none"/>
              </w:rPr>
              <w:t>从业人员（X）</w:t>
            </w:r>
          </w:p>
        </w:tc>
        <w:tc>
          <w:tcPr>
            <w:tcW w:w="834" w:type="pct"/>
            <w:vAlign w:val="center"/>
          </w:tcPr>
          <w:p w14:paraId="4CF45BEB">
            <w:pPr>
              <w:shd w:val="clear"/>
              <w:jc w:val="center"/>
              <w:rPr>
                <w:rFonts w:ascii="宋体" w:hAnsi="宋体"/>
                <w:color w:val="auto"/>
                <w:sz w:val="18"/>
                <w:szCs w:val="18"/>
                <w:highlight w:val="none"/>
              </w:rPr>
            </w:pPr>
            <w:r>
              <w:rPr>
                <w:rFonts w:hint="eastAsia" w:ascii="宋体" w:hAnsi="宋体"/>
                <w:color w:val="auto"/>
                <w:sz w:val="18"/>
                <w:szCs w:val="18"/>
                <w:highlight w:val="none"/>
              </w:rPr>
              <w:t>人</w:t>
            </w:r>
          </w:p>
        </w:tc>
        <w:tc>
          <w:tcPr>
            <w:tcW w:w="834" w:type="pct"/>
            <w:vAlign w:val="center"/>
          </w:tcPr>
          <w:p w14:paraId="55772767">
            <w:pPr>
              <w:shd w:val="clear"/>
              <w:jc w:val="center"/>
              <w:rPr>
                <w:rFonts w:ascii="宋体" w:hAnsi="宋体"/>
                <w:color w:val="auto"/>
                <w:sz w:val="18"/>
                <w:szCs w:val="18"/>
                <w:highlight w:val="none"/>
              </w:rPr>
            </w:pPr>
            <w:r>
              <w:rPr>
                <w:rFonts w:hint="eastAsia" w:ascii="宋体" w:hAnsi="宋体"/>
                <w:color w:val="auto"/>
                <w:sz w:val="18"/>
                <w:szCs w:val="18"/>
                <w:highlight w:val="none"/>
              </w:rPr>
              <w:t>100≤X＜300</w:t>
            </w:r>
          </w:p>
        </w:tc>
        <w:tc>
          <w:tcPr>
            <w:tcW w:w="834" w:type="pct"/>
            <w:vAlign w:val="center"/>
          </w:tcPr>
          <w:p w14:paraId="572F7CDF">
            <w:pPr>
              <w:shd w:val="clear"/>
              <w:jc w:val="center"/>
              <w:rPr>
                <w:rFonts w:ascii="宋体" w:hAnsi="宋体"/>
                <w:color w:val="auto"/>
                <w:sz w:val="18"/>
                <w:szCs w:val="18"/>
                <w:highlight w:val="none"/>
              </w:rPr>
            </w:pPr>
            <w:r>
              <w:rPr>
                <w:rFonts w:hint="eastAsia" w:ascii="宋体" w:hAnsi="宋体"/>
                <w:color w:val="auto"/>
                <w:sz w:val="18"/>
                <w:szCs w:val="18"/>
                <w:highlight w:val="none"/>
              </w:rPr>
              <w:t>10≤X＜100</w:t>
            </w:r>
          </w:p>
        </w:tc>
        <w:tc>
          <w:tcPr>
            <w:tcW w:w="831" w:type="pct"/>
            <w:vAlign w:val="center"/>
          </w:tcPr>
          <w:p w14:paraId="53D66AC6">
            <w:pPr>
              <w:shd w:val="clear"/>
              <w:jc w:val="center"/>
              <w:rPr>
                <w:rFonts w:ascii="宋体" w:hAnsi="宋体"/>
                <w:color w:val="auto"/>
                <w:sz w:val="18"/>
                <w:szCs w:val="18"/>
                <w:highlight w:val="none"/>
              </w:rPr>
            </w:pPr>
            <w:r>
              <w:rPr>
                <w:rFonts w:hint="eastAsia" w:ascii="宋体" w:hAnsi="宋体"/>
                <w:color w:val="auto"/>
                <w:sz w:val="18"/>
                <w:szCs w:val="18"/>
                <w:highlight w:val="none"/>
              </w:rPr>
              <w:t>X＜10</w:t>
            </w:r>
          </w:p>
        </w:tc>
      </w:tr>
    </w:tbl>
    <w:p w14:paraId="029C1836">
      <w:pPr>
        <w:shd w:val="clear"/>
        <w:spacing w:line="360" w:lineRule="auto"/>
        <w:rPr>
          <w:rFonts w:ascii="宋体" w:hAnsi="宋体" w:eastAsia="宋体"/>
          <w:color w:val="auto"/>
          <w:szCs w:val="21"/>
          <w:highlight w:val="none"/>
        </w:rPr>
      </w:pPr>
      <w:r>
        <w:rPr>
          <w:rFonts w:hint="eastAsia" w:ascii="宋体" w:hAnsi="宋体" w:eastAsia="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9598604">
      <w:pPr>
        <w:pStyle w:val="2"/>
        <w:shd w:val="clear"/>
        <w:jc w:val="center"/>
        <w:rPr>
          <w:rFonts w:ascii="宋体" w:hAnsi="宋体" w:eastAsia="宋体"/>
          <w:color w:val="auto"/>
          <w:highlight w:val="none"/>
        </w:rPr>
        <w:sectPr>
          <w:pgSz w:w="11906" w:h="16838"/>
          <w:pgMar w:top="1134" w:right="1134" w:bottom="1134" w:left="1134" w:header="851" w:footer="992" w:gutter="0"/>
          <w:cols w:space="425" w:num="1"/>
          <w:docGrid w:type="lines" w:linePitch="312" w:charSpace="0"/>
        </w:sectPr>
      </w:pPr>
    </w:p>
    <w:p w14:paraId="3A771C5A">
      <w:pPr>
        <w:pStyle w:val="2"/>
        <w:shd w:val="clear"/>
        <w:jc w:val="center"/>
        <w:rPr>
          <w:rFonts w:ascii="宋体" w:hAnsi="宋体" w:eastAsia="宋体"/>
          <w:color w:val="auto"/>
          <w:highlight w:val="none"/>
        </w:rPr>
      </w:pPr>
      <w:bookmarkStart w:id="19" w:name="_Toc197530112"/>
      <w:r>
        <w:rPr>
          <w:rFonts w:hint="eastAsia" w:ascii="宋体" w:hAnsi="宋体" w:eastAsia="宋体"/>
          <w:color w:val="auto"/>
          <w:highlight w:val="none"/>
        </w:rPr>
        <w:t>第四</w:t>
      </w:r>
      <w:r>
        <w:rPr>
          <w:rFonts w:hint="eastAsia" w:ascii="宋体" w:hAnsi="宋体" w:eastAsia="宋体"/>
          <w:color w:val="auto"/>
          <w:spacing w:val="100"/>
          <w:highlight w:val="none"/>
        </w:rPr>
        <w:t>章</w:t>
      </w:r>
      <w:r>
        <w:rPr>
          <w:rFonts w:hint="eastAsia" w:ascii="宋体" w:hAnsi="宋体" w:eastAsia="宋体"/>
          <w:color w:val="auto"/>
          <w:highlight w:val="none"/>
        </w:rPr>
        <w:t>评审程序、评审方法和评审标准</w:t>
      </w:r>
      <w:bookmarkEnd w:id="19"/>
    </w:p>
    <w:p w14:paraId="06876B76">
      <w:pPr>
        <w:pStyle w:val="3"/>
        <w:shd w:val="clear"/>
        <w:jc w:val="center"/>
        <w:rPr>
          <w:color w:val="auto"/>
          <w:highlight w:val="none"/>
        </w:rPr>
      </w:pPr>
      <w:bookmarkStart w:id="20" w:name="_Toc197530113"/>
      <w:r>
        <w:rPr>
          <w:rFonts w:hint="eastAsia"/>
          <w:color w:val="auto"/>
          <w:highlight w:val="none"/>
        </w:rPr>
        <w:t>一、评审程序和评审方法</w:t>
      </w:r>
      <w:bookmarkEnd w:id="20"/>
    </w:p>
    <w:p w14:paraId="14323B47">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1.资格审查</w:t>
      </w:r>
    </w:p>
    <w:p w14:paraId="6618C91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1.1响应文件开启后，磋商小组依法对供应商的资格证明文件进行审查。</w:t>
      </w:r>
    </w:p>
    <w:p w14:paraId="5FE851D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注：磋商小组在资格审查结束前，对供应商进行信用查询。</w:t>
      </w:r>
    </w:p>
    <w:p w14:paraId="6E97E1E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（1）查询渠道：广西政府采购云平台“信用中国”网站（www.creditchina.gov.cn）、中国政府采购网（www.ccgp.gov.cn）链接入口。</w:t>
      </w:r>
    </w:p>
    <w:p w14:paraId="53C1EAA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（2）信用查询截止时点：资格审查结束前。</w:t>
      </w:r>
    </w:p>
    <w:p w14:paraId="5153E83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（3）查询记录和证据留存方式：在查询网站中直接查询，截图另存为电子文档作为评审资料保存。</w:t>
      </w:r>
    </w:p>
    <w:p w14:paraId="1AFFDD1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64D0CEA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1.2资格审查标准为本磋商文件中载明对供应商资格要求的条件。资格审查采用合格制，凡符合磋商文件规定的供应商资格要求的响应文件均通过资格审查。</w:t>
      </w:r>
    </w:p>
    <w:p w14:paraId="3994078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1.3供应商有下列情形之一的，资格审查不通过，其响应文件按无效处理：</w:t>
      </w:r>
    </w:p>
    <w:p w14:paraId="7EF278D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（1）不具备磋商文件中规定的资格要求的；</w:t>
      </w:r>
    </w:p>
    <w:p w14:paraId="3713FC3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（2）未按磋商文件规定的方式获取本磋商文件的；</w:t>
      </w:r>
    </w:p>
    <w:p w14:paraId="14C0D2D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（3）响应文件的资格证明文件缺少任一项“供应商须知前附表”资格证明文件规定的“必须提供”的文件资料的；</w:t>
      </w:r>
    </w:p>
    <w:p w14:paraId="4464F5F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（4）响应文件中的资格证明文件出现任一项不符合“供应商须知前附表”资格证明文件规定的“必须提供”的文件资料要求或者无效的；</w:t>
      </w:r>
    </w:p>
    <w:p w14:paraId="703CF49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（5）同一合同项下的不同供应商，单位负责人为同一人或者存在直接控股、管理关系的；为本项目提供过整体设计、规范编制或者项目管理、监理、检测等服务的供应商，再参加该采购项目的其他采购活动的。</w:t>
      </w:r>
    </w:p>
    <w:p w14:paraId="6D8072B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1.4通过资格审查的合格供应商不足3家的，不得进入符合性审查环节，应当重新开展采购活动。</w:t>
      </w:r>
    </w:p>
    <w:p w14:paraId="73BCB35C">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2.符合性审查</w:t>
      </w:r>
    </w:p>
    <w:p w14:paraId="2939C02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2.1磋商小组对通过资格审查的合格供应商的响应文件的竞争性磋商报价、商务、技术等实质性要求进行符合性审查，以确定其是否满足磋商文件的实质性要求。</w:t>
      </w:r>
    </w:p>
    <w:p w14:paraId="278CF85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61F5A6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p>
    <w:p w14:paraId="5BDCCC0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408B3C5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2.4首次响应文件报价出现前后不一致的，按照下列规定修正：</w:t>
      </w:r>
    </w:p>
    <w:p w14:paraId="3896F11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（1）响应文件中报价表内容与响应文件中相应内容不一致的，以报价表为准；</w:t>
      </w:r>
    </w:p>
    <w:p w14:paraId="11AB88C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（2）大写金额和小写金额不一致的，以大写金额为准；</w:t>
      </w:r>
    </w:p>
    <w:p w14:paraId="7CABCF9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（3）单价金额小数点或者百分比有明显错位的，以报价表的总价为准，并修改单价；</w:t>
      </w:r>
    </w:p>
    <w:p w14:paraId="66482A7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（4）总价金额与按单价汇总金额不一致的，以单价金额计算结果为准。</w:t>
      </w:r>
    </w:p>
    <w:p w14:paraId="7991600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同时出现两种以上不一致的，按照以上（1）-（4）规定的顺序逐条进行修正。修正后的报价经供应商确认后产生约束力，供应商不确认的，其响应文件按无效处理。</w:t>
      </w:r>
    </w:p>
    <w:p w14:paraId="591D0B9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2.5商务技术报价评审</w:t>
      </w:r>
    </w:p>
    <w:p w14:paraId="4A5251D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在评审时，如发现下列情形之一的，将被视为响应文件无效处理：</w:t>
      </w:r>
    </w:p>
    <w:p w14:paraId="531A382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（1）商务技术评审</w:t>
      </w:r>
    </w:p>
    <w:p w14:paraId="2FE875C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1）响应文件未按磋商文件要求签署、盖章的；</w:t>
      </w:r>
    </w:p>
    <w:p w14:paraId="03FC003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2）委托代理人未能出具有效身份证或者出具的身份证与授权委托书中的信息不符的；</w:t>
      </w:r>
    </w:p>
    <w:p w14:paraId="75A0B6B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3）缴纳的磋商保证金无效的或者未按照磋商文件的规定缴纳磋商保证金的；</w:t>
      </w:r>
    </w:p>
    <w:p w14:paraId="318E4C9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的。</w:t>
      </w:r>
    </w:p>
    <w:p w14:paraId="3B1C389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5）商务要求允许负偏离的条款数超过“供应商须知前附表”规定项数的；</w:t>
      </w:r>
    </w:p>
    <w:p w14:paraId="44B47BA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6）未对竞争性磋商有效期作出响应或者响应文件承诺的竞争性磋商有效期不满足磋商文件要求的；</w:t>
      </w:r>
    </w:p>
    <w:p w14:paraId="5AF8C4B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7）响应文件的实质性内容未使用中文表述、使用计量单位不符合磋商文件要求的；</w:t>
      </w:r>
    </w:p>
    <w:p w14:paraId="149F241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8）响应文件中的文件资料因填写不齐全或者内容虚假或者出现其他情形而导致被磋商小组认定无效的；</w:t>
      </w:r>
    </w:p>
    <w:p w14:paraId="3837E25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9）响应文件含有采购人不能接受的附加条件的；</w:t>
      </w:r>
    </w:p>
    <w:p w14:paraId="52F2091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10）属于“供应商须知正文”第7.5条供应商相互串通参加竞争性磋商情形的；</w:t>
      </w:r>
    </w:p>
    <w:p w14:paraId="2A5415D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11）技术要求允许负偏离的条款数超过“供应商须知前附表”规定项数的；</w:t>
      </w:r>
    </w:p>
    <w:p w14:paraId="76D5D7E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12）虚假竞争性磋商，或者出现其他情形而导致被磋商小组认定无效的；</w:t>
      </w:r>
    </w:p>
    <w:p w14:paraId="04C9999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13）磋商文件未载明允许提供备选（替代）竞争性磋商方案或明确不允许提供备选（替代）竞争性磋商方案时，供应商提供了备选（替代）竞争性磋商方案的；</w:t>
      </w:r>
    </w:p>
    <w:p w14:paraId="4516A88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14）响应文件标注的项目名称或者项目编号与磋商文件标注的项目名称或者项目编号不一致的；</w:t>
      </w:r>
    </w:p>
    <w:p w14:paraId="114CE98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15）竞争性磋商文件明确不允许分包，响应文件拟分包的；</w:t>
      </w:r>
    </w:p>
    <w:p w14:paraId="4EA71A9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16）未响应磋商文件实质性要求的；</w:t>
      </w:r>
    </w:p>
    <w:p w14:paraId="7BB3B7B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17）法律、法规和磋商文件规定的其他无效情形。</w:t>
      </w:r>
    </w:p>
    <w:p w14:paraId="389BF5C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（2）报价评审</w:t>
      </w:r>
    </w:p>
    <w:p w14:paraId="52305E0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1）响应文件未提供“供应商须知前附表”报价文件中规定的“竞争性磋商报价表”；</w:t>
      </w:r>
    </w:p>
    <w:p w14:paraId="24934B9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2）未采用人民币报价或者未按照磋商文件标明的币种报价；</w:t>
      </w:r>
    </w:p>
    <w:p w14:paraId="41C7CA0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供应商未就所参加竞争性磋商分标进行报价或者存在漏项报价；供应商未就所参加竞争性磋商分标的单项内容作唯一报价；供应商未就所参加竞争性磋商分标的全部内容作完整唯一报价；供应商响应文件中存在有选择、有条件报价的（磋商文件允许有备选方案或者其他约定的除外）；</w:t>
      </w:r>
    </w:p>
    <w:p w14:paraId="289E572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竞争性磋商报价（包含首次报价、最后报价）超过所参加竞争性磋商分标规定的采购预算金额或者最高限价的（如本项目公布了最高限价）；竞争性磋商报价（包含首次报价、最后报价）超过磋商文件分项采购预算金额或者最高限价的（如本项目公布了最高限价）；</w:t>
      </w:r>
    </w:p>
    <w:p w14:paraId="5D81EFC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修正后的报价，供应商不确认的；或者经供应商确认修正后的竞争性磋商报价（包含首次报价、最后报价）超过所参加竞争性磋商分标规定的采购预算金额或者最高限价（如本项目公布了最高限价）；或者经供应商确认修正后竞争性磋商报价（包含首次报价、最后报价）超过磋商文件分项采购预算金额或者最高限价的（如本项目公布了最高限价）。</w:t>
      </w:r>
    </w:p>
    <w:p w14:paraId="5CD9384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6）响应文件响应的标的数量及单位与竞争性磋商采购文件要求实质性不一致的。</w:t>
      </w:r>
    </w:p>
    <w:p w14:paraId="1450ED7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2.6磋商小组对响应文件进行评审，未实质性响应磋商文件的响应文件按无效处理，磋商小组应当将资格和符合性不通过的情况告知有关供应商。</w:t>
      </w:r>
    </w:p>
    <w:p w14:paraId="7FB2906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2.7通过符合性审查的合格供应商不足3家的，不得进入磋商环节，应当重新开展采购活动。</w:t>
      </w:r>
    </w:p>
    <w:p w14:paraId="005A6C4E">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3.磋商程序</w:t>
      </w:r>
    </w:p>
    <w:p w14:paraId="27F9985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磋商小组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处理。</w:t>
      </w:r>
    </w:p>
    <w:p w14:paraId="2D554D2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C7E488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3.3对磋商文件作出的实质性变动是磋商文件的有效组成部分，由磋商小组及时以电子澄清函形式同时通知所有参加磋商的供应商。</w:t>
      </w:r>
    </w:p>
    <w:p w14:paraId="53B06D8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3.4供应商必须按照磋商文件的变动情况和磋商小组的要求以回函的形式重新提交响应文件，并加盖电子签章。参加磋商的供应商未在规定时间内重新提交响应文件的，视同退出磋商，其响应文件按无效处理。</w:t>
      </w:r>
    </w:p>
    <w:p w14:paraId="3267C19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3.5磋商中，磋商的任何一方不得透露与磋商有关的其他供应商的技术资料、价格和其他信息。</w:t>
      </w:r>
    </w:p>
    <w:p w14:paraId="517BACD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3.6采购代理机构对磋商过程和磋商内容进行记录。</w:t>
      </w:r>
    </w:p>
    <w:p w14:paraId="10A31AF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3.7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C4E1B3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3.8除本章第3.7条规定的情形外，对磋商过程提交的响应文件进行有效性、完整性和响应程度审查，通过审查的合格供应商不足3家的，应当重新开展采购活动。</w:t>
      </w:r>
    </w:p>
    <w:p w14:paraId="3B76201C">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4.最后报价</w:t>
      </w:r>
    </w:p>
    <w:p w14:paraId="3DBAAEE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4.1磋商文件能够详细列明采购标的的技术、服务要求的，磋商结束后，磋商小组应当要求所有继续参加磋商的供应商在规定时间内在广西政府采购云平台开标大厅提交加盖供应商电子签章的最后报价，除本章第3.7、4.3条规定的情形外，提交最后报价的供应商不得少于3家，否则应当重新开展采购活动。</w:t>
      </w:r>
    </w:p>
    <w:p w14:paraId="3DD5DBB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4.2磋商文件不能详细列明采购标的的技术、服务要求，需经磋商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505AF3F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4.3最后报价是供应商响应文件的有效组成部分。</w:t>
      </w:r>
    </w:p>
    <w:p w14:paraId="4C4E279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符合《政府采购竞争性磋商采购方式管理暂行办法》（财库〔2014〕214号）第三条第四项“市场竞争不充分的科研项目，以及需要扶持的科技成果转化项目”和本章第3.7条规定情形的，提交最后报价的供应商可以为2家。</w:t>
      </w:r>
    </w:p>
    <w:p w14:paraId="6D50C18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4.4已经提交响应文件的供应商，在提交最后报价之前，可以根据磋商情况退出磋商，退出磋商的供应商的响应文件按无效处理。采购人、采购代理机构将退还退出磋商的供应商的保证金。</w:t>
      </w:r>
    </w:p>
    <w:p w14:paraId="4E1D992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4.5供应商未在规定时间内提交最后报价的，视同退出磋商，其响应文件按无效处理。</w:t>
      </w:r>
    </w:p>
    <w:p w14:paraId="60888AA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4.6最后报价统一开启后，磋商小组对最后报价进行有效性、完整性和响应程度的审查。</w:t>
      </w:r>
    </w:p>
    <w:p w14:paraId="713B6E8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4.7最后报价出现前后不一致的，按照本章第2.4条的规定修正。</w:t>
      </w:r>
    </w:p>
    <w:p w14:paraId="100BE65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4.8修正后的报价出现下列情形的，按无效响应处理：</w:t>
      </w:r>
    </w:p>
    <w:p w14:paraId="338F90F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（1）供应商不确认的（全流程电子化评标采取在线确认）；</w:t>
      </w:r>
    </w:p>
    <w:p w14:paraId="25B8F78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（2）经供应商确认修正后的竞争性磋商报价（包含首次报价、最后报价）超过所参加竞争性磋商分标规定的采购预算金额或者最高限价的（如本项目公布了最高限价）；</w:t>
      </w:r>
    </w:p>
    <w:p w14:paraId="43FD88F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4.9经供应商确认修正后的最后报价作为评审及签订合同的依据。</w:t>
      </w:r>
    </w:p>
    <w:p w14:paraId="707BE35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4.10供应商出现最后报价按无效响应处理或者响应文件按无效处理时，磋商小组应当告知有关供应商。</w:t>
      </w:r>
    </w:p>
    <w:p w14:paraId="5BCD4D4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4.11最后报价结束后，磋商小组不得再与供应商进行任何形式的商谈。</w:t>
      </w:r>
    </w:p>
    <w:p w14:paraId="6E19AFEB">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5.比较与评价</w:t>
      </w:r>
    </w:p>
    <w:p w14:paraId="6A7ECD7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5.1评审方法：综合评分法。</w:t>
      </w:r>
    </w:p>
    <w:p w14:paraId="1D9E562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5.2经磋商确定最终采购需求和提交最后报价的供应商后，由磋商小组采用综合评分法对提交最后报价的供应商的响应文件和最后报价进行综合评分。</w:t>
      </w:r>
    </w:p>
    <w:p w14:paraId="5E5D02C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磋商小组认为供应商的报价明显低于其他通过符合性审查供应商的报价，有可能影响产品质量或者不能诚信履约的，应当要求其在评审现场合理的时间内线上或线下提供书面说明，必要时提交相关证明材料；供应商不能证明其报价合理性的，磋商小组将其作为无效响应处理。</w:t>
      </w:r>
    </w:p>
    <w:p w14:paraId="3140142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5.3评审时，磋商小组各成员应当独立对每个有效响应的文件进行评价、打分，然后汇总每个供应商每项评分因素的得分。</w:t>
      </w:r>
    </w:p>
    <w:p w14:paraId="0252458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（1）磋商小组按照磋商文件中规定的评审标准计算各供应商的报价得分。项目评审过程中，不得去掉最后报价中的最高报价和最低报价。</w:t>
      </w:r>
    </w:p>
    <w:p w14:paraId="2941532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（2）各供应商的得分为磋商小组所有成员的有效评分的算术平均数。</w:t>
      </w:r>
    </w:p>
    <w:p w14:paraId="4A210C7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5.4评审报价为供应商的最后报价进行政策性扣除后的价格，评审报价只是作为评审时使用。最终成交供应商的成交金额等于最后报价（如有修正，以确认修正后的最后报价为准）。</w:t>
      </w:r>
    </w:p>
    <w:p w14:paraId="70E717C6">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6.成交供应商推荐原则</w:t>
      </w:r>
    </w:p>
    <w:p w14:paraId="6C88072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6.1由磋商小组根据综合评分情况，按照评审得分由高到低顺序推荐3名以上成交候选供应商，并编写评审报告，评审报告通过电子交易平台向采购人、采购代理机构提交。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商务得分由高到低排序）。评审得分、最后报价（不计算价格折扣）、技术得分、商务得分均相同的，由磋商小组随机抽取推荐。</w:t>
      </w:r>
    </w:p>
    <w:p w14:paraId="3986751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6472083">
      <w:pPr>
        <w:pStyle w:val="3"/>
        <w:shd w:val="clear"/>
        <w:jc w:val="center"/>
        <w:rPr>
          <w:color w:val="auto"/>
          <w:highlight w:val="none"/>
        </w:rPr>
      </w:pPr>
      <w:bookmarkStart w:id="21" w:name="_Toc197530114"/>
      <w:r>
        <w:rPr>
          <w:rFonts w:hint="eastAsia"/>
          <w:color w:val="auto"/>
          <w:highlight w:val="none"/>
        </w:rPr>
        <w:t>二、评审标准</w:t>
      </w:r>
      <w:bookmarkEnd w:id="21"/>
    </w:p>
    <w:p w14:paraId="21B73907">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7.评审依据：磋商小组以磋商响应文件为评审依据，对供应商的报价、技术、商务等方面内容按百分制打分。（计分方法按四舍五入取至百分位）</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60"/>
        <w:gridCol w:w="7648"/>
      </w:tblGrid>
      <w:tr w14:paraId="085F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14:paraId="0D1389B4">
            <w:pPr>
              <w:shd w:val="clea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060" w:type="dxa"/>
            <w:vAlign w:val="center"/>
          </w:tcPr>
          <w:p w14:paraId="41966ECB">
            <w:pPr>
              <w:shd w:val="clear"/>
              <w:spacing w:line="360" w:lineRule="auto"/>
              <w:jc w:val="center"/>
              <w:rPr>
                <w:rFonts w:ascii="宋体" w:hAnsi="宋体"/>
                <w:b/>
                <w:color w:val="auto"/>
                <w:szCs w:val="21"/>
                <w:highlight w:val="none"/>
              </w:rPr>
            </w:pPr>
            <w:r>
              <w:rPr>
                <w:rFonts w:hint="eastAsia" w:ascii="宋体" w:hAnsi="宋体"/>
                <w:b/>
                <w:color w:val="auto"/>
                <w:szCs w:val="21"/>
                <w:highlight w:val="none"/>
              </w:rPr>
              <w:t>评审因素</w:t>
            </w:r>
          </w:p>
        </w:tc>
        <w:tc>
          <w:tcPr>
            <w:tcW w:w="7648" w:type="dxa"/>
            <w:vAlign w:val="center"/>
          </w:tcPr>
          <w:p w14:paraId="4325489F">
            <w:pPr>
              <w:shd w:val="clear"/>
              <w:spacing w:line="360" w:lineRule="auto"/>
              <w:jc w:val="center"/>
              <w:rPr>
                <w:rFonts w:ascii="宋体" w:hAnsi="宋体"/>
                <w:b/>
                <w:color w:val="auto"/>
                <w:szCs w:val="21"/>
                <w:highlight w:val="none"/>
              </w:rPr>
            </w:pPr>
            <w:r>
              <w:rPr>
                <w:rFonts w:hint="eastAsia" w:ascii="宋体" w:hAnsi="宋体"/>
                <w:b/>
                <w:color w:val="auto"/>
                <w:szCs w:val="21"/>
                <w:highlight w:val="none"/>
              </w:rPr>
              <w:t>评审标准</w:t>
            </w:r>
          </w:p>
        </w:tc>
      </w:tr>
      <w:tr w14:paraId="75C1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14:paraId="61D40C9F">
            <w:pPr>
              <w:shd w:val="clea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060" w:type="dxa"/>
            <w:vAlign w:val="center"/>
          </w:tcPr>
          <w:p w14:paraId="1EF518D0">
            <w:pPr>
              <w:shd w:val="clear"/>
              <w:spacing w:line="360" w:lineRule="auto"/>
              <w:jc w:val="center"/>
              <w:rPr>
                <w:rFonts w:ascii="宋体" w:hAnsi="宋体"/>
                <w:color w:val="auto"/>
                <w:szCs w:val="21"/>
                <w:highlight w:val="none"/>
              </w:rPr>
            </w:pPr>
            <w:r>
              <w:rPr>
                <w:rFonts w:hint="eastAsia" w:ascii="宋体" w:hAnsi="宋体" w:eastAsia="宋体"/>
                <w:color w:val="auto"/>
                <w:szCs w:val="21"/>
                <w:highlight w:val="none"/>
              </w:rPr>
              <w:t>价格分（</w:t>
            </w:r>
            <w:r>
              <w:rPr>
                <w:rFonts w:hint="eastAsia" w:ascii="宋体" w:hAnsi="宋体" w:eastAsia="宋体"/>
                <w:color w:val="auto"/>
                <w:szCs w:val="21"/>
                <w:highlight w:val="none"/>
                <w:lang w:val="en-US" w:eastAsia="zh-CN"/>
              </w:rPr>
              <w:t>50</w:t>
            </w:r>
            <w:r>
              <w:rPr>
                <w:rFonts w:hint="eastAsia" w:ascii="宋体" w:hAnsi="宋体" w:eastAsia="宋体"/>
                <w:color w:val="auto"/>
                <w:szCs w:val="21"/>
                <w:highlight w:val="none"/>
              </w:rPr>
              <w:t>分）</w:t>
            </w:r>
          </w:p>
        </w:tc>
        <w:tc>
          <w:tcPr>
            <w:tcW w:w="7648" w:type="dxa"/>
            <w:vAlign w:val="center"/>
          </w:tcPr>
          <w:p w14:paraId="3BC5B05D">
            <w:pPr>
              <w:shd w:val="clear"/>
              <w:spacing w:line="360" w:lineRule="auto"/>
              <w:jc w:val="left"/>
              <w:rPr>
                <w:rFonts w:ascii="宋体" w:hAnsi="宋体" w:eastAsia="宋体"/>
                <w:color w:val="auto"/>
                <w:szCs w:val="21"/>
                <w:highlight w:val="none"/>
              </w:rPr>
            </w:pPr>
            <w:bookmarkStart w:id="22" w:name="OLE_LINK4"/>
            <w:bookmarkStart w:id="23" w:name="OLE_LINK3"/>
            <w:bookmarkStart w:id="24" w:name="OLE_LINK17"/>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报价范围：0≤下浮系数＜100%。</w:t>
            </w:r>
          </w:p>
          <w:p w14:paraId="2A0BC098">
            <w:pPr>
              <w:shd w:val="clear"/>
              <w:spacing w:line="360" w:lineRule="auto"/>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评审报价为供应商的（1-最后报价下浮系数）进行政策性扣除后的价格，评审报价只是作为评审时使用。最终成交供应商的成交下浮系数等于最后报价下浮系数（如有修正，以确认修正后的最后报价下浮系数为准）。</w:t>
            </w:r>
          </w:p>
          <w:p w14:paraId="1FE854C6">
            <w:pPr>
              <w:shd w:val="clear"/>
              <w:spacing w:line="360" w:lineRule="auto"/>
              <w:jc w:val="left"/>
              <w:rPr>
                <w:rFonts w:ascii="宋体" w:hAnsi="宋体" w:eastAsia="宋体"/>
                <w:color w:val="auto"/>
                <w:szCs w:val="21"/>
                <w:highlight w:val="none"/>
              </w:rPr>
            </w:pPr>
            <w:r>
              <w:rPr>
                <w:rFonts w:ascii="宋体" w:hAnsi="宋体" w:eastAsia="宋体"/>
                <w:color w:val="auto"/>
                <w:szCs w:val="21"/>
                <w:highlight w:val="none"/>
              </w:rPr>
              <w:t>3</w:t>
            </w:r>
            <w:r>
              <w:rPr>
                <w:rFonts w:hint="eastAsia" w:ascii="宋体" w:hAnsi="宋体" w:eastAsia="宋体"/>
                <w:color w:val="auto"/>
                <w:szCs w:val="21"/>
                <w:highlight w:val="none"/>
              </w:rPr>
              <w:t>.政府采购政策性扣除计算方法：</w:t>
            </w:r>
          </w:p>
          <w:p w14:paraId="2F08E355">
            <w:pPr>
              <w:shd w:val="clea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1）按照《政府采购促进中小企业发展管理办法》（财库〔2020〕46号）的规定，供应商在其响应文件中提供《中小企业声明函》，且工程全部由符合政策要求的小型、微型企业承接的，对其评审报价给予5%的扣除。（以供应商按第六章“响应文件格式”要求提供的《中小企业声明函》为评审依据）</w:t>
            </w:r>
          </w:p>
          <w:p w14:paraId="0305FE96">
            <w:pPr>
              <w:shd w:val="clea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180477A4">
            <w:pPr>
              <w:shd w:val="clea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7E6E9C6D">
            <w:pPr>
              <w:shd w:val="clea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（4）政策性扣除计算方法。</w:t>
            </w:r>
          </w:p>
          <w:p w14:paraId="74740E3C">
            <w:pPr>
              <w:shd w:val="clea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工程全部由符合政策要求的小型、微型企业承接的，扣除后的价格为评审报价，即评审报价=（1-最后报价下浮系数）×（1</w:t>
            </w:r>
            <w:r>
              <w:rPr>
                <w:rFonts w:ascii="宋体" w:hAnsi="宋体" w:eastAsia="宋体"/>
                <w:color w:val="auto"/>
                <w:szCs w:val="21"/>
                <w:highlight w:val="none"/>
              </w:rPr>
              <w:t>-</w:t>
            </w:r>
            <w:r>
              <w:rPr>
                <w:rFonts w:hint="eastAsia" w:ascii="宋体" w:hAnsi="宋体" w:eastAsia="宋体"/>
                <w:color w:val="auto"/>
                <w:szCs w:val="21"/>
                <w:highlight w:val="none"/>
              </w:rPr>
              <w:t>5%）。除上述情况外，评审报价=（1</w:t>
            </w:r>
            <w:r>
              <w:rPr>
                <w:rFonts w:ascii="宋体" w:hAnsi="宋体" w:eastAsia="宋体"/>
                <w:color w:val="auto"/>
                <w:szCs w:val="21"/>
                <w:highlight w:val="none"/>
              </w:rPr>
              <w:t>-</w:t>
            </w:r>
            <w:r>
              <w:rPr>
                <w:rFonts w:hint="eastAsia" w:ascii="宋体" w:hAnsi="宋体" w:eastAsia="宋体"/>
                <w:color w:val="auto"/>
                <w:szCs w:val="21"/>
                <w:highlight w:val="none"/>
              </w:rPr>
              <w:t>最后报价下浮系数）。</w:t>
            </w:r>
          </w:p>
          <w:p w14:paraId="235311C1">
            <w:pPr>
              <w:shd w:val="clea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（5）以进入比较与评价环节的最低的评审报价为基准报价，基准报价得分为满分</w:t>
            </w:r>
            <w:r>
              <w:rPr>
                <w:rFonts w:hint="eastAsia" w:ascii="宋体" w:hAnsi="宋体" w:eastAsia="宋体"/>
                <w:color w:val="auto"/>
                <w:szCs w:val="21"/>
                <w:highlight w:val="none"/>
                <w:lang w:val="en-US" w:eastAsia="zh-CN"/>
              </w:rPr>
              <w:t>50</w:t>
            </w:r>
            <w:r>
              <w:rPr>
                <w:rFonts w:hint="eastAsia" w:ascii="宋体" w:hAnsi="宋体" w:eastAsia="宋体"/>
                <w:color w:val="auto"/>
                <w:szCs w:val="21"/>
                <w:highlight w:val="none"/>
              </w:rPr>
              <w:t>分。</w:t>
            </w:r>
          </w:p>
          <w:p w14:paraId="44DCD9A0">
            <w:pPr>
              <w:shd w:val="clea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（6）价格分计算公式：</w:t>
            </w:r>
          </w:p>
          <w:p w14:paraId="6795B806">
            <w:pPr>
              <w:shd w:val="clear"/>
              <w:spacing w:line="360" w:lineRule="auto"/>
              <w:jc w:val="left"/>
              <w:rPr>
                <w:rFonts w:ascii="宋体" w:hAnsi="宋体"/>
                <w:color w:val="auto"/>
                <w:szCs w:val="21"/>
                <w:highlight w:val="none"/>
              </w:rPr>
            </w:pPr>
            <w:r>
              <w:rPr>
                <w:rFonts w:hint="eastAsia" w:ascii="宋体" w:hAnsi="宋体" w:eastAsia="宋体"/>
                <w:color w:val="auto"/>
                <w:szCs w:val="21"/>
                <w:highlight w:val="none"/>
              </w:rPr>
              <w:t>某供应商价格分=基准报价/评审报价×</w:t>
            </w:r>
            <w:r>
              <w:rPr>
                <w:rFonts w:hint="eastAsia" w:ascii="宋体" w:hAnsi="宋体" w:eastAsia="宋体"/>
                <w:color w:val="auto"/>
                <w:szCs w:val="21"/>
                <w:highlight w:val="none"/>
                <w:lang w:val="en-US" w:eastAsia="zh-CN"/>
              </w:rPr>
              <w:t>50</w:t>
            </w:r>
            <w:r>
              <w:rPr>
                <w:rFonts w:hint="eastAsia" w:ascii="宋体" w:hAnsi="宋体" w:eastAsia="宋体"/>
                <w:color w:val="auto"/>
                <w:szCs w:val="21"/>
                <w:highlight w:val="none"/>
              </w:rPr>
              <w:t>分</w:t>
            </w:r>
            <w:bookmarkEnd w:id="22"/>
            <w:bookmarkEnd w:id="23"/>
            <w:bookmarkEnd w:id="24"/>
          </w:p>
        </w:tc>
      </w:tr>
      <w:tr w14:paraId="6EB8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14:paraId="20A6B5D5">
            <w:pPr>
              <w:shd w:val="clear"/>
              <w:spacing w:line="360" w:lineRule="auto"/>
              <w:jc w:val="center"/>
              <w:rPr>
                <w:rFonts w:ascii="宋体" w:hAnsi="宋体"/>
                <w:b/>
                <w:color w:val="auto"/>
                <w:szCs w:val="21"/>
                <w:highlight w:val="none"/>
              </w:rPr>
            </w:pPr>
            <w:r>
              <w:rPr>
                <w:rFonts w:hint="eastAsia" w:ascii="宋体" w:hAnsi="宋体"/>
                <w:b/>
                <w:color w:val="auto"/>
                <w:szCs w:val="21"/>
                <w:highlight w:val="none"/>
              </w:rPr>
              <w:t>2</w:t>
            </w:r>
          </w:p>
        </w:tc>
        <w:tc>
          <w:tcPr>
            <w:tcW w:w="1060" w:type="dxa"/>
            <w:vAlign w:val="center"/>
          </w:tcPr>
          <w:p w14:paraId="369A7955">
            <w:pPr>
              <w:shd w:val="clear"/>
              <w:spacing w:line="360" w:lineRule="auto"/>
              <w:jc w:val="center"/>
              <w:rPr>
                <w:rFonts w:ascii="宋体" w:hAnsi="宋体"/>
                <w:b/>
                <w:color w:val="auto"/>
                <w:szCs w:val="21"/>
                <w:highlight w:val="none"/>
              </w:rPr>
            </w:pPr>
            <w:r>
              <w:rPr>
                <w:rFonts w:hint="eastAsia" w:ascii="宋体" w:hAnsi="宋体"/>
                <w:b/>
                <w:color w:val="auto"/>
                <w:szCs w:val="21"/>
                <w:highlight w:val="none"/>
              </w:rPr>
              <w:t>技术分（35分）</w:t>
            </w:r>
          </w:p>
        </w:tc>
        <w:tc>
          <w:tcPr>
            <w:tcW w:w="7648" w:type="dxa"/>
            <w:vAlign w:val="center"/>
          </w:tcPr>
          <w:p w14:paraId="5F2D7A42">
            <w:pPr>
              <w:shd w:val="clear"/>
              <w:spacing w:line="360" w:lineRule="auto"/>
              <w:jc w:val="center"/>
              <w:rPr>
                <w:rFonts w:ascii="宋体" w:hAnsi="宋体"/>
                <w:b/>
                <w:color w:val="auto"/>
                <w:szCs w:val="21"/>
                <w:highlight w:val="none"/>
              </w:rPr>
            </w:pPr>
            <w:r>
              <w:rPr>
                <w:rFonts w:hint="eastAsia" w:ascii="宋体" w:hAnsi="宋体"/>
                <w:b/>
                <w:color w:val="auto"/>
                <w:szCs w:val="21"/>
                <w:highlight w:val="none"/>
              </w:rPr>
              <w:t>评审标准（技术分中未提供相应资料的，该部分分值不得分）</w:t>
            </w:r>
          </w:p>
        </w:tc>
      </w:tr>
      <w:tr w14:paraId="254B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14:paraId="21D62989">
            <w:pPr>
              <w:shd w:val="clear"/>
              <w:spacing w:line="360" w:lineRule="auto"/>
              <w:jc w:val="cente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p>
        </w:tc>
        <w:tc>
          <w:tcPr>
            <w:tcW w:w="1060" w:type="dxa"/>
            <w:vAlign w:val="center"/>
          </w:tcPr>
          <w:p w14:paraId="3004336E">
            <w:pPr>
              <w:shd w:val="clear"/>
              <w:spacing w:line="360" w:lineRule="auto"/>
              <w:jc w:val="center"/>
              <w:rPr>
                <w:rFonts w:ascii="宋体" w:hAnsi="宋体"/>
                <w:color w:val="auto"/>
                <w:szCs w:val="21"/>
                <w:highlight w:val="none"/>
              </w:rPr>
            </w:pPr>
            <w:r>
              <w:rPr>
                <w:rFonts w:hint="eastAsia" w:ascii="宋体" w:hAnsi="宋体"/>
                <w:color w:val="auto"/>
                <w:szCs w:val="21"/>
                <w:highlight w:val="none"/>
              </w:rPr>
              <w:t>项目经理（项目负责人）情况（</w:t>
            </w:r>
            <w:r>
              <w:rPr>
                <w:rFonts w:hint="eastAsia" w:ascii="宋体" w:hAnsi="宋体"/>
                <w:color w:val="auto"/>
                <w:szCs w:val="21"/>
                <w:highlight w:val="none"/>
                <w:lang w:val="en-US" w:eastAsia="zh-CN"/>
              </w:rPr>
              <w:t>4</w:t>
            </w:r>
            <w:r>
              <w:rPr>
                <w:rFonts w:hint="eastAsia" w:ascii="宋体" w:hAnsi="宋体"/>
                <w:color w:val="auto"/>
                <w:szCs w:val="21"/>
                <w:highlight w:val="none"/>
              </w:rPr>
              <w:t>分）</w:t>
            </w:r>
          </w:p>
        </w:tc>
        <w:tc>
          <w:tcPr>
            <w:tcW w:w="7648" w:type="dxa"/>
            <w:vAlign w:val="center"/>
          </w:tcPr>
          <w:p w14:paraId="0D800FEC">
            <w:pPr>
              <w:shd w:val="clear"/>
              <w:spacing w:line="360" w:lineRule="auto"/>
              <w:jc w:val="left"/>
              <w:rPr>
                <w:rFonts w:ascii="宋体" w:hAnsi="宋体"/>
                <w:color w:val="auto"/>
                <w:szCs w:val="21"/>
                <w:highlight w:val="none"/>
              </w:rPr>
            </w:pPr>
            <w:r>
              <w:rPr>
                <w:rFonts w:hint="eastAsia" w:ascii="宋体" w:hAnsi="宋体"/>
                <w:color w:val="auto"/>
                <w:szCs w:val="21"/>
                <w:highlight w:val="none"/>
              </w:rPr>
              <w:t>（1）拟投入的项目经理（项目负责人）具有建筑工程类专业中级工程师职称的，得1分，具有建筑工程类专业高级工程师及以上职称的，得2分。满分2分。</w:t>
            </w:r>
          </w:p>
          <w:p w14:paraId="04EF952F">
            <w:pPr>
              <w:shd w:val="clear"/>
              <w:spacing w:line="360" w:lineRule="auto"/>
              <w:jc w:val="left"/>
              <w:rPr>
                <w:rFonts w:ascii="宋体" w:hAnsi="宋体"/>
                <w:color w:val="auto"/>
                <w:szCs w:val="21"/>
                <w:highlight w:val="none"/>
              </w:rPr>
            </w:pPr>
            <w:r>
              <w:rPr>
                <w:rFonts w:hint="eastAsia" w:ascii="宋体" w:hAnsi="宋体"/>
                <w:color w:val="auto"/>
                <w:szCs w:val="21"/>
                <w:highlight w:val="none"/>
              </w:rPr>
              <w:t>（2）拟投入项目经理（项目负责人）自2022年5月1日（以竣工验收时间为准）以来担任过已完成的质量合格的房屋修缮工程项目经理（或项目负责人）职务的，得</w:t>
            </w:r>
            <w:r>
              <w:rPr>
                <w:rFonts w:hint="eastAsia" w:ascii="宋体" w:hAnsi="宋体"/>
                <w:color w:val="auto"/>
                <w:szCs w:val="21"/>
                <w:highlight w:val="none"/>
                <w:lang w:val="en-US" w:eastAsia="zh-CN"/>
              </w:rPr>
              <w:t>2</w:t>
            </w:r>
            <w:r>
              <w:rPr>
                <w:rFonts w:hint="eastAsia" w:ascii="宋体" w:hAnsi="宋体"/>
                <w:color w:val="auto"/>
                <w:szCs w:val="21"/>
                <w:highlight w:val="none"/>
              </w:rPr>
              <w:t>分。满分</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14:paraId="472BDA1F">
            <w:pPr>
              <w:shd w:val="clear"/>
              <w:spacing w:line="360" w:lineRule="auto"/>
              <w:jc w:val="left"/>
              <w:rPr>
                <w:rFonts w:ascii="宋体" w:hAnsi="宋体"/>
                <w:color w:val="auto"/>
                <w:szCs w:val="21"/>
                <w:highlight w:val="none"/>
              </w:rPr>
            </w:pPr>
            <w:r>
              <w:rPr>
                <w:rFonts w:hint="eastAsia" w:ascii="宋体" w:hAnsi="宋体"/>
                <w:color w:val="auto"/>
                <w:szCs w:val="21"/>
                <w:highlight w:val="none"/>
              </w:rPr>
              <w:t>注：供应商应在响应文件中提供职称证书、劳动合同、业绩合同及竣工验收证明材料复印件并加盖供应商单位电子公章，供应商提供虚假材料谋取成交的，取消成交资格，并依法承担相应责任。不提供或不按以上要求提供的不予以计分。</w:t>
            </w:r>
          </w:p>
          <w:p w14:paraId="2C35C174">
            <w:pPr>
              <w:shd w:val="clear"/>
              <w:spacing w:line="360" w:lineRule="auto"/>
              <w:jc w:val="left"/>
              <w:rPr>
                <w:rFonts w:ascii="宋体" w:hAnsi="宋体"/>
                <w:color w:val="auto"/>
                <w:szCs w:val="21"/>
                <w:highlight w:val="none"/>
              </w:rPr>
            </w:pPr>
            <w:r>
              <w:rPr>
                <w:rFonts w:hint="eastAsia" w:ascii="宋体" w:hAnsi="宋体"/>
                <w:color w:val="auto"/>
                <w:szCs w:val="21"/>
                <w:highlight w:val="none"/>
              </w:rPr>
              <w:t>响应文件中拟投入的人员须如实投入到项目实施中并按时到岗，未经采购人同意不允许更换相关人员，否则将视为供应商违约。</w:t>
            </w:r>
          </w:p>
        </w:tc>
      </w:tr>
      <w:tr w14:paraId="2EF6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14:paraId="07BA9EA6">
            <w:pPr>
              <w:shd w:val="clear"/>
              <w:spacing w:line="360" w:lineRule="auto"/>
              <w:jc w:val="cente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.2</w:t>
            </w:r>
          </w:p>
        </w:tc>
        <w:tc>
          <w:tcPr>
            <w:tcW w:w="1060" w:type="dxa"/>
            <w:vAlign w:val="center"/>
          </w:tcPr>
          <w:p w14:paraId="1D64F836">
            <w:pPr>
              <w:shd w:val="clear"/>
              <w:spacing w:line="360" w:lineRule="auto"/>
              <w:jc w:val="center"/>
              <w:rPr>
                <w:rFonts w:ascii="宋体" w:hAnsi="宋体"/>
                <w:color w:val="auto"/>
                <w:szCs w:val="21"/>
                <w:highlight w:val="none"/>
              </w:rPr>
            </w:pPr>
            <w:r>
              <w:rPr>
                <w:rFonts w:hint="eastAsia" w:ascii="宋体" w:hAnsi="宋体"/>
                <w:color w:val="auto"/>
                <w:szCs w:val="21"/>
                <w:highlight w:val="none"/>
              </w:rPr>
              <w:t>技术负责人情况（3分）</w:t>
            </w:r>
          </w:p>
        </w:tc>
        <w:tc>
          <w:tcPr>
            <w:tcW w:w="7648" w:type="dxa"/>
            <w:vAlign w:val="center"/>
          </w:tcPr>
          <w:p w14:paraId="5AFE33AC">
            <w:pPr>
              <w:shd w:val="clear"/>
              <w:spacing w:line="360" w:lineRule="auto"/>
              <w:rPr>
                <w:rFonts w:ascii="宋体" w:hAnsi="宋体"/>
                <w:color w:val="auto"/>
                <w:szCs w:val="21"/>
                <w:highlight w:val="none"/>
              </w:rPr>
            </w:pPr>
            <w:r>
              <w:rPr>
                <w:rFonts w:hint="eastAsia" w:ascii="宋体" w:hAnsi="宋体"/>
                <w:color w:val="auto"/>
                <w:szCs w:val="21"/>
                <w:highlight w:val="none"/>
              </w:rPr>
              <w:t>（1）拟投入的技术负责人具有建筑工程类专业中级工程师职称的，得1分，具有建筑工程类专业高级工程师及以上职称的，得2分。满分2分。</w:t>
            </w:r>
          </w:p>
          <w:p w14:paraId="65113795">
            <w:pPr>
              <w:shd w:val="clear"/>
              <w:spacing w:line="360" w:lineRule="auto"/>
              <w:rPr>
                <w:rFonts w:ascii="宋体" w:hAnsi="宋体"/>
                <w:color w:val="auto"/>
                <w:szCs w:val="21"/>
                <w:highlight w:val="none"/>
              </w:rPr>
            </w:pPr>
            <w:r>
              <w:rPr>
                <w:rFonts w:hint="eastAsia" w:ascii="宋体" w:hAnsi="宋体"/>
                <w:color w:val="auto"/>
                <w:szCs w:val="21"/>
                <w:highlight w:val="none"/>
              </w:rPr>
              <w:t>（2）拟投入技术负责人自2022年5月1日（以竣工验收时间为准）以来担任过已完成的质量合格的房屋修缮工程技术负责人（或项目经理）职务的，得1分，满分1分。</w:t>
            </w:r>
          </w:p>
          <w:p w14:paraId="072EA5F2">
            <w:pPr>
              <w:shd w:val="clear"/>
              <w:spacing w:line="360" w:lineRule="auto"/>
              <w:rPr>
                <w:rFonts w:ascii="宋体" w:hAnsi="宋体"/>
                <w:color w:val="auto"/>
                <w:szCs w:val="21"/>
                <w:highlight w:val="none"/>
              </w:rPr>
            </w:pPr>
            <w:r>
              <w:rPr>
                <w:rFonts w:hint="eastAsia" w:ascii="宋体" w:hAnsi="宋体"/>
                <w:color w:val="auto"/>
                <w:szCs w:val="21"/>
                <w:highlight w:val="none"/>
              </w:rPr>
              <w:t>注：供应商应在响应文件中提供职称证书、劳动合同、业绩合同及竣工验收证明材料复印件并加盖供应商单位电子公章，供应商提供虚假材料谋取成交的，取消成交资格，并依法承担相应责任。不提供或不按以上要求提供的不予以计分。</w:t>
            </w:r>
          </w:p>
          <w:p w14:paraId="4592E20B">
            <w:pPr>
              <w:shd w:val="clear"/>
              <w:spacing w:line="360" w:lineRule="auto"/>
              <w:rPr>
                <w:rFonts w:ascii="宋体" w:hAnsi="宋体"/>
                <w:color w:val="auto"/>
                <w:szCs w:val="21"/>
                <w:highlight w:val="none"/>
              </w:rPr>
            </w:pPr>
            <w:r>
              <w:rPr>
                <w:rFonts w:hint="eastAsia" w:ascii="宋体" w:hAnsi="宋体"/>
                <w:color w:val="auto"/>
                <w:szCs w:val="21"/>
                <w:highlight w:val="none"/>
              </w:rPr>
              <w:t>响应文件中拟投入的人员须如实投入到项目实施中并按时到岗，未经采购人同意不允许更换相关人员，否则将视为供应商违约。</w:t>
            </w:r>
          </w:p>
        </w:tc>
      </w:tr>
      <w:tr w14:paraId="0E09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14:paraId="4EF06FD9">
            <w:pPr>
              <w:shd w:val="clear"/>
              <w:spacing w:line="360" w:lineRule="auto"/>
              <w:jc w:val="cente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.3</w:t>
            </w:r>
          </w:p>
        </w:tc>
        <w:tc>
          <w:tcPr>
            <w:tcW w:w="1060" w:type="dxa"/>
            <w:vAlign w:val="center"/>
          </w:tcPr>
          <w:p w14:paraId="78FFB005">
            <w:pPr>
              <w:shd w:val="clear"/>
              <w:spacing w:line="360" w:lineRule="auto"/>
              <w:jc w:val="center"/>
              <w:rPr>
                <w:rFonts w:ascii="宋体" w:hAnsi="宋体"/>
                <w:color w:val="auto"/>
                <w:szCs w:val="21"/>
                <w:highlight w:val="none"/>
              </w:rPr>
            </w:pPr>
            <w:r>
              <w:rPr>
                <w:rFonts w:hint="eastAsia" w:ascii="宋体" w:hAnsi="宋体"/>
                <w:color w:val="auto"/>
                <w:szCs w:val="21"/>
                <w:highlight w:val="none"/>
              </w:rPr>
              <w:t>项目组成员（</w:t>
            </w:r>
            <w:r>
              <w:rPr>
                <w:rFonts w:ascii="宋体" w:hAnsi="宋体"/>
                <w:color w:val="auto"/>
                <w:szCs w:val="21"/>
                <w:highlight w:val="none"/>
              </w:rPr>
              <w:t>4</w:t>
            </w:r>
            <w:r>
              <w:rPr>
                <w:rFonts w:hint="eastAsia" w:ascii="宋体" w:hAnsi="宋体"/>
                <w:color w:val="auto"/>
                <w:szCs w:val="21"/>
                <w:highlight w:val="none"/>
              </w:rPr>
              <w:t>分）</w:t>
            </w:r>
          </w:p>
        </w:tc>
        <w:tc>
          <w:tcPr>
            <w:tcW w:w="7648" w:type="dxa"/>
            <w:vAlign w:val="center"/>
          </w:tcPr>
          <w:p w14:paraId="602872FC">
            <w:pPr>
              <w:shd w:val="clear"/>
              <w:spacing w:line="360" w:lineRule="auto"/>
              <w:rPr>
                <w:rFonts w:ascii="宋体" w:hAnsi="宋体"/>
                <w:color w:val="auto"/>
                <w:szCs w:val="21"/>
                <w:highlight w:val="none"/>
              </w:rPr>
            </w:pPr>
            <w:r>
              <w:rPr>
                <w:rFonts w:hint="eastAsia" w:ascii="宋体" w:hAnsi="宋体"/>
                <w:color w:val="auto"/>
                <w:szCs w:val="21"/>
                <w:highlight w:val="none"/>
              </w:rPr>
              <w:t>基本要求：人员齐备，且具备相关施工现场专业人员职业培训合格证书（施工员、质量员、材料员应具有有效的相应施工现场专业人员职业培训合格证书，专职安全生产管理人员需具有有效建筑施工企业三类人员C证，且拟投入的项目管理人员符合国家及广西壮族自治区的规定）。</w:t>
            </w:r>
          </w:p>
          <w:p w14:paraId="0AD0060A">
            <w:pPr>
              <w:shd w:val="clear"/>
              <w:spacing w:line="360" w:lineRule="auto"/>
              <w:rPr>
                <w:rFonts w:ascii="宋体" w:hAnsi="宋体"/>
                <w:color w:val="auto"/>
                <w:szCs w:val="21"/>
                <w:highlight w:val="none"/>
              </w:rPr>
            </w:pPr>
            <w:r>
              <w:rPr>
                <w:rFonts w:hint="eastAsia" w:ascii="宋体" w:hAnsi="宋体"/>
                <w:color w:val="auto"/>
                <w:szCs w:val="21"/>
                <w:highlight w:val="none"/>
              </w:rPr>
              <w:t>优（</w:t>
            </w:r>
            <w:r>
              <w:rPr>
                <w:rFonts w:ascii="宋体" w:hAnsi="宋体"/>
                <w:color w:val="auto"/>
                <w:szCs w:val="21"/>
                <w:highlight w:val="none"/>
              </w:rPr>
              <w:t>4</w:t>
            </w:r>
            <w:r>
              <w:rPr>
                <w:rFonts w:hint="eastAsia" w:ascii="宋体" w:hAnsi="宋体"/>
                <w:color w:val="auto"/>
                <w:szCs w:val="21"/>
                <w:highlight w:val="none"/>
              </w:rPr>
              <w:t>分）：专业配套的人员具备相关岗位证书，拟派安全员（不少于1人）须具备安全生产考核合格证，且拟投入的项目管理人员符合国家及广西壮族自治区的规定。其中：配备的施工员2名及以上；配备的质量员2名及以上；配备的材料员1名及以上，配备的注册二级（及以上）造价师1名及以上。</w:t>
            </w:r>
          </w:p>
          <w:p w14:paraId="698474F6">
            <w:pPr>
              <w:shd w:val="clear"/>
              <w:spacing w:line="360" w:lineRule="auto"/>
              <w:rPr>
                <w:rFonts w:ascii="宋体" w:hAnsi="宋体"/>
                <w:color w:val="auto"/>
                <w:szCs w:val="21"/>
                <w:highlight w:val="none"/>
              </w:rPr>
            </w:pPr>
            <w:r>
              <w:rPr>
                <w:rFonts w:hint="eastAsia" w:ascii="宋体" w:hAnsi="宋体"/>
                <w:color w:val="auto"/>
                <w:szCs w:val="21"/>
                <w:highlight w:val="none"/>
              </w:rPr>
              <w:t>良（</w:t>
            </w:r>
            <w:r>
              <w:rPr>
                <w:rFonts w:ascii="宋体" w:hAnsi="宋体"/>
                <w:color w:val="auto"/>
                <w:szCs w:val="21"/>
                <w:highlight w:val="none"/>
              </w:rPr>
              <w:t>3</w:t>
            </w:r>
            <w:r>
              <w:rPr>
                <w:rFonts w:hint="eastAsia" w:ascii="宋体" w:hAnsi="宋体"/>
                <w:color w:val="auto"/>
                <w:szCs w:val="21"/>
                <w:highlight w:val="none"/>
              </w:rPr>
              <w:t>分）：专业配套的人员具备相关岗位证书，拟派安全员（不少于1人）须具备安全生产考核合格证，且拟投入的项目管理人员符合国家及广西壮族自治区的规定。其中：配备的施工员2名及以上；配备的质量员2名及以上；配备的材料员1名及以上。</w:t>
            </w:r>
          </w:p>
          <w:p w14:paraId="1987FE93">
            <w:pPr>
              <w:shd w:val="clear"/>
              <w:spacing w:line="360" w:lineRule="auto"/>
              <w:rPr>
                <w:rFonts w:ascii="宋体" w:hAnsi="宋体"/>
                <w:color w:val="auto"/>
                <w:szCs w:val="21"/>
                <w:highlight w:val="none"/>
              </w:rPr>
            </w:pPr>
            <w:r>
              <w:rPr>
                <w:rFonts w:hint="eastAsia" w:ascii="宋体" w:hAnsi="宋体"/>
                <w:color w:val="auto"/>
                <w:szCs w:val="21"/>
                <w:highlight w:val="none"/>
              </w:rPr>
              <w:t>中（</w:t>
            </w:r>
            <w:r>
              <w:rPr>
                <w:rFonts w:ascii="宋体" w:hAnsi="宋体"/>
                <w:color w:val="auto"/>
                <w:szCs w:val="21"/>
                <w:highlight w:val="none"/>
              </w:rPr>
              <w:t>2</w:t>
            </w:r>
            <w:r>
              <w:rPr>
                <w:rFonts w:hint="eastAsia" w:ascii="宋体" w:hAnsi="宋体"/>
                <w:color w:val="auto"/>
                <w:szCs w:val="21"/>
                <w:highlight w:val="none"/>
              </w:rPr>
              <w:t>分）：专业配套的人员具备相关岗位证书，拟派安全员（不少于1人）须具备安全生产考核合格证，且拟投入的项目管理人员符合国家及广西壮族自治区的规定。其中：配备的施工员2名及以上；配备的质量员1名及以上；配备的材料员1名及以上。</w:t>
            </w:r>
          </w:p>
          <w:p w14:paraId="113E14E3">
            <w:pPr>
              <w:shd w:val="clear"/>
              <w:spacing w:line="360" w:lineRule="auto"/>
              <w:rPr>
                <w:rFonts w:ascii="宋体" w:hAnsi="宋体"/>
                <w:color w:val="auto"/>
                <w:szCs w:val="21"/>
                <w:highlight w:val="none"/>
              </w:rPr>
            </w:pPr>
            <w:r>
              <w:rPr>
                <w:rFonts w:hint="eastAsia" w:ascii="宋体" w:hAnsi="宋体"/>
                <w:color w:val="auto"/>
                <w:szCs w:val="21"/>
                <w:highlight w:val="none"/>
              </w:rPr>
              <w:t>一般（</w:t>
            </w:r>
            <w:r>
              <w:rPr>
                <w:rFonts w:ascii="宋体" w:hAnsi="宋体"/>
                <w:color w:val="auto"/>
                <w:szCs w:val="21"/>
                <w:highlight w:val="none"/>
              </w:rPr>
              <w:t>1</w:t>
            </w:r>
            <w:r>
              <w:rPr>
                <w:rFonts w:hint="eastAsia" w:ascii="宋体" w:hAnsi="宋体"/>
                <w:color w:val="auto"/>
                <w:szCs w:val="21"/>
                <w:highlight w:val="none"/>
              </w:rPr>
              <w:t>分）：专业配套的人员具备相关岗位证书，拟派安全员（不少于1人）须具备安全生产考核合格证，且拟投入的项目管理人员符合国家及广西壮族自治区的规定。其中：配备的施工员1名及以上；配备的质量员1名及以上；配备的材料员1名及以上。</w:t>
            </w:r>
          </w:p>
          <w:p w14:paraId="15B406E2">
            <w:pPr>
              <w:shd w:val="clear"/>
              <w:spacing w:line="360" w:lineRule="auto"/>
              <w:rPr>
                <w:rFonts w:ascii="宋体" w:hAnsi="宋体"/>
                <w:color w:val="auto"/>
                <w:szCs w:val="21"/>
                <w:highlight w:val="none"/>
              </w:rPr>
            </w:pPr>
            <w:r>
              <w:rPr>
                <w:rFonts w:hint="eastAsia" w:ascii="宋体" w:hAnsi="宋体"/>
                <w:color w:val="auto"/>
                <w:szCs w:val="21"/>
                <w:highlight w:val="none"/>
              </w:rPr>
              <w:t>差（0分）：人员配备不满足本项评审内容的“一般”档次要求。</w:t>
            </w:r>
          </w:p>
          <w:p w14:paraId="0410A801">
            <w:pPr>
              <w:shd w:val="clear"/>
              <w:spacing w:line="360" w:lineRule="auto"/>
              <w:rPr>
                <w:rFonts w:ascii="宋体" w:hAnsi="宋体"/>
                <w:color w:val="auto"/>
                <w:szCs w:val="21"/>
                <w:highlight w:val="none"/>
              </w:rPr>
            </w:pPr>
            <w:r>
              <w:rPr>
                <w:rFonts w:hint="eastAsia" w:ascii="宋体" w:hAnsi="宋体"/>
                <w:color w:val="auto"/>
                <w:szCs w:val="21"/>
                <w:highlight w:val="none"/>
              </w:rPr>
              <w:t>注：供应商应在响应文件中提供上述人员的证书、劳动合同复印件并加盖供应商单位电子公章，供应商提供虚假材料谋取成交的，取消成交资格，并依法承担相应责任。不提供或不按以上要求提供的不予以计分。</w:t>
            </w:r>
          </w:p>
        </w:tc>
      </w:tr>
      <w:tr w14:paraId="0735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14:paraId="624BF46E">
            <w:pPr>
              <w:shd w:val="clear"/>
              <w:spacing w:line="360" w:lineRule="auto"/>
              <w:jc w:val="cente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.4</w:t>
            </w:r>
          </w:p>
        </w:tc>
        <w:tc>
          <w:tcPr>
            <w:tcW w:w="1060" w:type="dxa"/>
            <w:vAlign w:val="center"/>
          </w:tcPr>
          <w:p w14:paraId="16ED124E">
            <w:pPr>
              <w:shd w:val="clear"/>
              <w:spacing w:line="360" w:lineRule="auto"/>
              <w:jc w:val="center"/>
              <w:rPr>
                <w:rFonts w:ascii="宋体" w:hAnsi="宋体"/>
                <w:color w:val="auto"/>
                <w:szCs w:val="21"/>
                <w:highlight w:val="none"/>
              </w:rPr>
            </w:pPr>
            <w:r>
              <w:rPr>
                <w:rFonts w:hint="eastAsia" w:ascii="宋体" w:hAnsi="宋体"/>
                <w:color w:val="auto"/>
                <w:szCs w:val="21"/>
                <w:highlight w:val="none"/>
              </w:rPr>
              <w:t>主要施工方法（</w:t>
            </w: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7648" w:type="dxa"/>
            <w:vAlign w:val="center"/>
          </w:tcPr>
          <w:p w14:paraId="68A8CB07">
            <w:pPr>
              <w:shd w:val="clear"/>
              <w:spacing w:line="360" w:lineRule="auto"/>
              <w:rPr>
                <w:rFonts w:ascii="宋体" w:hAnsi="宋体"/>
                <w:color w:val="auto"/>
                <w:szCs w:val="21"/>
                <w:highlight w:val="none"/>
              </w:rPr>
            </w:pPr>
            <w:r>
              <w:rPr>
                <w:rFonts w:hint="eastAsia" w:ascii="宋体" w:hAnsi="宋体"/>
                <w:color w:val="auto"/>
                <w:szCs w:val="21"/>
                <w:highlight w:val="none"/>
              </w:rPr>
              <w:t>针对供应商提供的主要施工方法【（1）工程施工：①拆除工程②装饰工程③安装工程④防水工程；（2）主要物资计划；（3）项目的重点难点；（4）供应商针对本项目特点提出的其它施工方法】按以下标准计分：</w:t>
            </w:r>
          </w:p>
          <w:p w14:paraId="2E81AE90">
            <w:pPr>
              <w:shd w:val="clear"/>
              <w:spacing w:line="360" w:lineRule="auto"/>
              <w:rPr>
                <w:rFonts w:ascii="宋体" w:hAnsi="宋体"/>
                <w:color w:val="auto"/>
                <w:szCs w:val="21"/>
                <w:highlight w:val="none"/>
              </w:rPr>
            </w:pPr>
            <w:r>
              <w:rPr>
                <w:rFonts w:hint="eastAsia" w:ascii="宋体" w:hAnsi="宋体"/>
                <w:color w:val="auto"/>
                <w:szCs w:val="21"/>
                <w:highlight w:val="none"/>
              </w:rPr>
              <w:t>优（</w:t>
            </w:r>
            <w:r>
              <w:rPr>
                <w:rFonts w:hint="eastAsia" w:ascii="宋体" w:hAnsi="宋体"/>
                <w:color w:val="auto"/>
                <w:szCs w:val="21"/>
                <w:highlight w:val="none"/>
                <w:lang w:val="en-US" w:eastAsia="zh-CN"/>
              </w:rPr>
              <w:t>6</w:t>
            </w:r>
            <w:r>
              <w:rPr>
                <w:rFonts w:hint="eastAsia" w:ascii="宋体" w:hAnsi="宋体"/>
                <w:color w:val="auto"/>
                <w:szCs w:val="21"/>
                <w:highlight w:val="none"/>
              </w:rPr>
              <w:t>分）：对各主要分部施工工程分别进行了具体的施工技术方案的阐述，提供的各主要分部施工方法符合项目实际，能指导具体施工并确保施工质量和施工安全。有主要建筑材料（</w:t>
            </w:r>
            <w:r>
              <w:rPr>
                <w:rFonts w:hint="eastAsia" w:ascii="宋体" w:hAnsi="宋体" w:cs="宋体"/>
                <w:color w:val="auto"/>
                <w:szCs w:val="21"/>
                <w:highlight w:val="none"/>
                <w:lang w:val="en-US" w:eastAsia="zh-CN"/>
              </w:rPr>
              <w:t>钢制防盗门、铝合金窗、墙地砖等</w:t>
            </w:r>
            <w:r>
              <w:rPr>
                <w:rFonts w:hint="eastAsia" w:ascii="宋体" w:hAnsi="宋体"/>
                <w:color w:val="auto"/>
                <w:szCs w:val="21"/>
                <w:highlight w:val="none"/>
              </w:rPr>
              <w:t>）的资源稳定供应的保证措施，完全满足施工需要。针对本工程的特点，阐述本工程的重点和难点，解决重点和难点问题的方法和措施科学合理。</w:t>
            </w:r>
          </w:p>
          <w:p w14:paraId="40129265">
            <w:pPr>
              <w:shd w:val="clear"/>
              <w:spacing w:line="360" w:lineRule="auto"/>
              <w:rPr>
                <w:rFonts w:ascii="宋体" w:hAnsi="宋体"/>
                <w:color w:val="auto"/>
                <w:szCs w:val="21"/>
                <w:highlight w:val="none"/>
              </w:rPr>
            </w:pPr>
            <w:r>
              <w:rPr>
                <w:rFonts w:hint="eastAsia" w:ascii="宋体" w:hAnsi="宋体"/>
                <w:color w:val="auto"/>
                <w:szCs w:val="21"/>
                <w:highlight w:val="none"/>
              </w:rPr>
              <w:t>良（</w:t>
            </w:r>
            <w:r>
              <w:rPr>
                <w:rFonts w:hint="eastAsia" w:ascii="宋体" w:hAnsi="宋体"/>
                <w:color w:val="auto"/>
                <w:szCs w:val="21"/>
                <w:highlight w:val="none"/>
                <w:lang w:val="en-US" w:eastAsia="zh-CN"/>
              </w:rPr>
              <w:t>4</w:t>
            </w:r>
            <w:r>
              <w:rPr>
                <w:rFonts w:hint="eastAsia" w:ascii="宋体" w:hAnsi="宋体"/>
                <w:color w:val="auto"/>
                <w:szCs w:val="21"/>
                <w:highlight w:val="none"/>
              </w:rPr>
              <w:t>分）：对各主要分部施工工程分别进行了具体的施工技术方案的阐述，提供的各主要分部施工方法符合项目实际，能指导具体施工并确保施工质量和施工安全。有主要建筑材料（</w:t>
            </w:r>
            <w:r>
              <w:rPr>
                <w:rFonts w:hint="eastAsia" w:ascii="宋体" w:hAnsi="宋体"/>
                <w:color w:val="auto"/>
                <w:szCs w:val="21"/>
                <w:highlight w:val="none"/>
                <w:lang w:eastAsia="zh-CN"/>
              </w:rPr>
              <w:t>钢制防盗门、铝合金窗、墙地砖等</w:t>
            </w:r>
            <w:r>
              <w:rPr>
                <w:rFonts w:hint="eastAsia" w:ascii="宋体" w:hAnsi="宋体"/>
                <w:color w:val="auto"/>
                <w:szCs w:val="21"/>
                <w:highlight w:val="none"/>
              </w:rPr>
              <w:t>）稳定供应的保证措施，满足施工需要。</w:t>
            </w:r>
          </w:p>
          <w:p w14:paraId="2386FC7E">
            <w:pPr>
              <w:shd w:val="clear"/>
              <w:spacing w:line="360" w:lineRule="auto"/>
              <w:rPr>
                <w:rFonts w:ascii="宋体" w:hAnsi="宋体"/>
                <w:color w:val="auto"/>
                <w:szCs w:val="21"/>
                <w:highlight w:val="none"/>
              </w:rPr>
            </w:pPr>
            <w:r>
              <w:rPr>
                <w:rFonts w:hint="eastAsia" w:ascii="宋体" w:hAnsi="宋体"/>
                <w:color w:val="auto"/>
                <w:szCs w:val="21"/>
                <w:highlight w:val="none"/>
              </w:rPr>
              <w:t>中（</w:t>
            </w:r>
            <w:r>
              <w:rPr>
                <w:rFonts w:ascii="宋体" w:hAnsi="宋体"/>
                <w:color w:val="auto"/>
                <w:szCs w:val="21"/>
                <w:highlight w:val="none"/>
              </w:rPr>
              <w:t>2</w:t>
            </w:r>
            <w:r>
              <w:rPr>
                <w:rFonts w:hint="eastAsia" w:ascii="宋体" w:hAnsi="宋体"/>
                <w:color w:val="auto"/>
                <w:szCs w:val="21"/>
                <w:highlight w:val="none"/>
              </w:rPr>
              <w:t>分）：对各主要分部施工工程分别进行了具体的施工技术方案的阐述，提供的各主要分部施工方法符合项目实际，能指导具体施工并确保施工质量和施工安全。</w:t>
            </w:r>
          </w:p>
          <w:p w14:paraId="0C913269">
            <w:pPr>
              <w:shd w:val="clear"/>
              <w:spacing w:line="360" w:lineRule="auto"/>
              <w:rPr>
                <w:rFonts w:ascii="宋体" w:hAnsi="宋体"/>
                <w:color w:val="auto"/>
                <w:szCs w:val="21"/>
                <w:highlight w:val="none"/>
              </w:rPr>
            </w:pPr>
            <w:r>
              <w:rPr>
                <w:rFonts w:hint="eastAsia" w:ascii="宋体" w:hAnsi="宋体"/>
                <w:color w:val="auto"/>
                <w:szCs w:val="21"/>
                <w:highlight w:val="none"/>
              </w:rPr>
              <w:t>一般（</w:t>
            </w:r>
            <w:r>
              <w:rPr>
                <w:rFonts w:ascii="宋体" w:hAnsi="宋体"/>
                <w:color w:val="auto"/>
                <w:szCs w:val="21"/>
                <w:highlight w:val="none"/>
              </w:rPr>
              <w:t>1</w:t>
            </w:r>
            <w:r>
              <w:rPr>
                <w:rFonts w:hint="eastAsia" w:ascii="宋体" w:hAnsi="宋体"/>
                <w:color w:val="auto"/>
                <w:szCs w:val="21"/>
                <w:highlight w:val="none"/>
              </w:rPr>
              <w:t>分）：提供的主要施工方法符合项目实际，但未能针对各主要分部施工配有全面的施工技术方案。</w:t>
            </w:r>
          </w:p>
          <w:p w14:paraId="1FE3F4DB">
            <w:pPr>
              <w:shd w:val="clear"/>
              <w:spacing w:line="360" w:lineRule="auto"/>
              <w:rPr>
                <w:rFonts w:ascii="宋体" w:hAnsi="宋体"/>
                <w:color w:val="auto"/>
                <w:szCs w:val="21"/>
                <w:highlight w:val="none"/>
              </w:rPr>
            </w:pPr>
            <w:r>
              <w:rPr>
                <w:rFonts w:hint="eastAsia" w:ascii="宋体" w:hAnsi="宋体"/>
                <w:color w:val="auto"/>
                <w:szCs w:val="21"/>
                <w:highlight w:val="none"/>
              </w:rPr>
              <w:t>差（0分）：未提供此项内容，或提供的方案不能满足施工的需要。</w:t>
            </w:r>
          </w:p>
        </w:tc>
      </w:tr>
      <w:tr w14:paraId="05FC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14:paraId="44A7C127">
            <w:pPr>
              <w:shd w:val="clear"/>
              <w:spacing w:line="360" w:lineRule="auto"/>
              <w:jc w:val="cente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.5</w:t>
            </w:r>
          </w:p>
        </w:tc>
        <w:tc>
          <w:tcPr>
            <w:tcW w:w="1060" w:type="dxa"/>
            <w:vAlign w:val="center"/>
          </w:tcPr>
          <w:p w14:paraId="72A9D97F">
            <w:pPr>
              <w:shd w:val="clear"/>
              <w:spacing w:line="360" w:lineRule="auto"/>
              <w:jc w:val="center"/>
              <w:rPr>
                <w:rFonts w:ascii="宋体" w:hAnsi="宋体"/>
                <w:color w:val="auto"/>
                <w:szCs w:val="21"/>
                <w:highlight w:val="none"/>
              </w:rPr>
            </w:pPr>
            <w:r>
              <w:rPr>
                <w:rFonts w:hint="eastAsia" w:ascii="宋体" w:hAnsi="宋体"/>
                <w:color w:val="auto"/>
                <w:szCs w:val="21"/>
                <w:highlight w:val="none"/>
              </w:rPr>
              <w:t>质量保证措施（</w:t>
            </w: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7648" w:type="dxa"/>
            <w:vAlign w:val="center"/>
          </w:tcPr>
          <w:p w14:paraId="68EB0599">
            <w:pPr>
              <w:shd w:val="clear"/>
              <w:spacing w:line="360" w:lineRule="auto"/>
              <w:rPr>
                <w:rFonts w:ascii="宋体" w:hAnsi="宋体"/>
                <w:color w:val="auto"/>
                <w:szCs w:val="21"/>
                <w:highlight w:val="none"/>
              </w:rPr>
            </w:pPr>
            <w:r>
              <w:rPr>
                <w:rFonts w:hint="eastAsia" w:ascii="宋体" w:hAnsi="宋体"/>
                <w:color w:val="auto"/>
                <w:szCs w:val="21"/>
                <w:highlight w:val="none"/>
              </w:rPr>
              <w:t>针对供应商提供的确保工程质量的技术组织措施【①质量技术管理班子和制度；②关键材料（</w:t>
            </w:r>
            <w:r>
              <w:rPr>
                <w:rFonts w:hint="eastAsia" w:ascii="宋体" w:hAnsi="宋体"/>
                <w:color w:val="auto"/>
                <w:szCs w:val="21"/>
                <w:highlight w:val="none"/>
                <w:lang w:eastAsia="zh-CN"/>
              </w:rPr>
              <w:t>钢制防盗门、铝合金窗、墙地砖等</w:t>
            </w:r>
            <w:r>
              <w:rPr>
                <w:rFonts w:hint="eastAsia" w:ascii="宋体" w:hAnsi="宋体"/>
                <w:color w:val="auto"/>
                <w:szCs w:val="21"/>
                <w:highlight w:val="none"/>
              </w:rPr>
              <w:t>）质量控制内容；③材料组织计划；④供应商针对本项目特点提出的其它确保工程质量的技术组织措施】按以下标准计分：</w:t>
            </w:r>
          </w:p>
          <w:p w14:paraId="1B42B9FE">
            <w:pPr>
              <w:shd w:val="clear"/>
              <w:spacing w:line="360" w:lineRule="auto"/>
              <w:rPr>
                <w:rFonts w:ascii="宋体" w:hAnsi="宋体"/>
                <w:color w:val="auto"/>
                <w:szCs w:val="21"/>
                <w:highlight w:val="none"/>
              </w:rPr>
            </w:pPr>
            <w:r>
              <w:rPr>
                <w:rFonts w:hint="eastAsia" w:ascii="宋体" w:hAnsi="宋体"/>
                <w:color w:val="auto"/>
                <w:szCs w:val="21"/>
                <w:highlight w:val="none"/>
              </w:rPr>
              <w:t>优（</w:t>
            </w:r>
            <w:r>
              <w:rPr>
                <w:rFonts w:hint="eastAsia" w:ascii="宋体" w:hAnsi="宋体"/>
                <w:color w:val="auto"/>
                <w:szCs w:val="21"/>
                <w:highlight w:val="none"/>
                <w:lang w:val="en-US" w:eastAsia="zh-CN"/>
              </w:rPr>
              <w:t>6</w:t>
            </w:r>
            <w:r>
              <w:rPr>
                <w:rFonts w:hint="eastAsia" w:ascii="宋体" w:hAnsi="宋体"/>
                <w:color w:val="auto"/>
                <w:szCs w:val="21"/>
                <w:highlight w:val="none"/>
              </w:rPr>
              <w:t>分）：有专门的质量技术管理班子和制度，且人员配备合理，制度健全。主要工序有质量技术保证措施和手段，自控体系完整，能有效保证技术质量，完全能达到承诺的质量标准。有主要建筑材料（</w:t>
            </w:r>
            <w:r>
              <w:rPr>
                <w:rFonts w:hint="eastAsia" w:ascii="宋体" w:hAnsi="宋体"/>
                <w:color w:val="auto"/>
                <w:szCs w:val="21"/>
                <w:highlight w:val="none"/>
                <w:lang w:eastAsia="zh-CN"/>
              </w:rPr>
              <w:t>钢制防盗门、铝合金窗、墙地砖等</w:t>
            </w:r>
            <w:r>
              <w:rPr>
                <w:rFonts w:hint="eastAsia" w:ascii="宋体" w:hAnsi="宋体"/>
                <w:color w:val="auto"/>
                <w:szCs w:val="21"/>
                <w:highlight w:val="none"/>
              </w:rPr>
              <w:t>）质量保证措施确保施工质量，对材料的环保要求的把控措施。有投入的施工材料组织计划且计划周密，并根据本项目的特点提出其它有针对性的确保工程质量的技术组织措施，满足施工需要。</w:t>
            </w:r>
          </w:p>
          <w:p w14:paraId="69E5FEF7">
            <w:pPr>
              <w:shd w:val="clear"/>
              <w:spacing w:line="360" w:lineRule="auto"/>
              <w:rPr>
                <w:rFonts w:ascii="宋体" w:hAnsi="宋体"/>
                <w:color w:val="auto"/>
                <w:szCs w:val="21"/>
                <w:highlight w:val="none"/>
              </w:rPr>
            </w:pPr>
            <w:r>
              <w:rPr>
                <w:rFonts w:hint="eastAsia" w:ascii="宋体" w:hAnsi="宋体"/>
                <w:color w:val="auto"/>
                <w:szCs w:val="21"/>
                <w:highlight w:val="none"/>
              </w:rPr>
              <w:t>良（</w:t>
            </w:r>
            <w:r>
              <w:rPr>
                <w:rFonts w:hint="eastAsia" w:ascii="宋体" w:hAnsi="宋体"/>
                <w:color w:val="auto"/>
                <w:szCs w:val="21"/>
                <w:highlight w:val="none"/>
                <w:lang w:val="en-US" w:eastAsia="zh-CN"/>
              </w:rPr>
              <w:t>4</w:t>
            </w:r>
            <w:r>
              <w:rPr>
                <w:rFonts w:hint="eastAsia" w:ascii="宋体" w:hAnsi="宋体"/>
                <w:color w:val="auto"/>
                <w:szCs w:val="21"/>
                <w:highlight w:val="none"/>
              </w:rPr>
              <w:t>分）：有专门的质量技术管理班子和制度，且人员配备基本合理，制度较健全。主要工序有较好的质量技术保证措施和手段，基本能有效保证技术质量，提供的自控体系较完整。有主要建筑材料（</w:t>
            </w:r>
            <w:r>
              <w:rPr>
                <w:rFonts w:hint="eastAsia" w:ascii="宋体" w:hAnsi="宋体"/>
                <w:color w:val="auto"/>
                <w:szCs w:val="21"/>
                <w:highlight w:val="none"/>
                <w:lang w:eastAsia="zh-CN"/>
              </w:rPr>
              <w:t>钢制防盗门、铝合金窗、墙地砖等</w:t>
            </w:r>
            <w:r>
              <w:rPr>
                <w:rFonts w:hint="eastAsia" w:ascii="宋体" w:hAnsi="宋体"/>
                <w:color w:val="auto"/>
                <w:szCs w:val="21"/>
                <w:highlight w:val="none"/>
              </w:rPr>
              <w:t>）质量保证措施确保施工质量。</w:t>
            </w:r>
          </w:p>
          <w:p w14:paraId="377344B0">
            <w:pPr>
              <w:shd w:val="clear"/>
              <w:spacing w:line="360" w:lineRule="auto"/>
              <w:rPr>
                <w:rFonts w:ascii="宋体" w:hAnsi="宋体"/>
                <w:color w:val="auto"/>
                <w:szCs w:val="21"/>
                <w:highlight w:val="none"/>
              </w:rPr>
            </w:pPr>
            <w:r>
              <w:rPr>
                <w:rFonts w:hint="eastAsia" w:ascii="宋体" w:hAnsi="宋体"/>
                <w:color w:val="auto"/>
                <w:szCs w:val="21"/>
                <w:highlight w:val="none"/>
              </w:rPr>
              <w:t>中（</w:t>
            </w:r>
            <w:r>
              <w:rPr>
                <w:rFonts w:ascii="宋体" w:hAnsi="宋体"/>
                <w:color w:val="auto"/>
                <w:szCs w:val="21"/>
                <w:highlight w:val="none"/>
              </w:rPr>
              <w:t>2</w:t>
            </w:r>
            <w:r>
              <w:rPr>
                <w:rFonts w:hint="eastAsia" w:ascii="宋体" w:hAnsi="宋体"/>
                <w:color w:val="auto"/>
                <w:szCs w:val="21"/>
                <w:highlight w:val="none"/>
              </w:rPr>
              <w:t>分）：有专门的质量技术管理班子和制度，有人员配备，制度健全。有主要工序的质量技术保证措施和手段及自控体系，能保证技术质量，达到承诺的质量标准。</w:t>
            </w:r>
          </w:p>
          <w:p w14:paraId="5C1EF08C">
            <w:pPr>
              <w:shd w:val="clear"/>
              <w:spacing w:line="360" w:lineRule="auto"/>
              <w:rPr>
                <w:rFonts w:ascii="宋体" w:hAnsi="宋体"/>
                <w:color w:val="auto"/>
                <w:szCs w:val="21"/>
                <w:highlight w:val="none"/>
              </w:rPr>
            </w:pPr>
            <w:r>
              <w:rPr>
                <w:rFonts w:hint="eastAsia" w:ascii="宋体" w:hAnsi="宋体"/>
                <w:color w:val="auto"/>
                <w:szCs w:val="21"/>
                <w:highlight w:val="none"/>
              </w:rPr>
              <w:t>一般（</w:t>
            </w:r>
            <w:r>
              <w:rPr>
                <w:rFonts w:ascii="宋体" w:hAnsi="宋体"/>
                <w:color w:val="auto"/>
                <w:szCs w:val="21"/>
                <w:highlight w:val="none"/>
              </w:rPr>
              <w:t>1</w:t>
            </w:r>
            <w:r>
              <w:rPr>
                <w:rFonts w:hint="eastAsia" w:ascii="宋体" w:hAnsi="宋体"/>
                <w:color w:val="auto"/>
                <w:szCs w:val="21"/>
                <w:highlight w:val="none"/>
              </w:rPr>
              <w:t>分）：有专门的质量技术管理班子和制度但质量技术管理班子和制度不健全，主要工序无质量技术保证措施和手段，自控体系不完整，不能有效保证承诺的技术质量。</w:t>
            </w:r>
          </w:p>
          <w:p w14:paraId="7909BF4A">
            <w:pPr>
              <w:shd w:val="clear"/>
              <w:spacing w:line="360" w:lineRule="auto"/>
              <w:rPr>
                <w:rFonts w:ascii="宋体" w:hAnsi="宋体"/>
                <w:color w:val="auto"/>
                <w:szCs w:val="21"/>
                <w:highlight w:val="none"/>
              </w:rPr>
            </w:pPr>
            <w:r>
              <w:rPr>
                <w:rFonts w:hint="eastAsia" w:ascii="宋体" w:hAnsi="宋体"/>
                <w:color w:val="auto"/>
                <w:szCs w:val="21"/>
                <w:highlight w:val="none"/>
              </w:rPr>
              <w:t>差（0分）：未提供此项内容。</w:t>
            </w:r>
          </w:p>
        </w:tc>
      </w:tr>
      <w:tr w14:paraId="65B0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14:paraId="0BEB03C9">
            <w:pPr>
              <w:shd w:val="clear"/>
              <w:spacing w:line="360" w:lineRule="auto"/>
              <w:jc w:val="cente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w:t>
            </w:r>
          </w:p>
        </w:tc>
        <w:tc>
          <w:tcPr>
            <w:tcW w:w="1060" w:type="dxa"/>
            <w:vAlign w:val="center"/>
          </w:tcPr>
          <w:p w14:paraId="51FCDF74">
            <w:pPr>
              <w:shd w:val="clear"/>
              <w:spacing w:line="360" w:lineRule="auto"/>
              <w:jc w:val="center"/>
              <w:rPr>
                <w:rFonts w:ascii="宋体" w:hAnsi="宋体"/>
                <w:color w:val="auto"/>
                <w:szCs w:val="21"/>
                <w:highlight w:val="none"/>
              </w:rPr>
            </w:pPr>
            <w:r>
              <w:rPr>
                <w:rFonts w:hint="eastAsia" w:ascii="宋体" w:hAnsi="宋体"/>
                <w:color w:val="auto"/>
                <w:szCs w:val="21"/>
                <w:highlight w:val="none"/>
              </w:rPr>
              <w:t>确保安全生产的技术组织措施（</w:t>
            </w: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7648" w:type="dxa"/>
            <w:vAlign w:val="center"/>
          </w:tcPr>
          <w:p w14:paraId="706B867B">
            <w:pPr>
              <w:shd w:val="clear"/>
              <w:spacing w:line="360" w:lineRule="auto"/>
              <w:rPr>
                <w:rFonts w:ascii="宋体" w:hAnsi="宋体"/>
                <w:color w:val="auto"/>
                <w:szCs w:val="21"/>
                <w:highlight w:val="none"/>
              </w:rPr>
            </w:pPr>
            <w:r>
              <w:rPr>
                <w:rFonts w:hint="eastAsia" w:ascii="宋体" w:hAnsi="宋体"/>
                <w:color w:val="auto"/>
                <w:szCs w:val="21"/>
                <w:highlight w:val="none"/>
              </w:rPr>
              <w:t>针对供应商提供的确保安全生产的技术组织措施【①安全管理制度和人员；②安全技术措施；③防火、救援等应急措施；④确保文明施工的技术组织措施；⑤环保等相关措施；⑥供应商针对本项目其他特点提出其它确保安全生产的技术组织措施】按以下标准计分：</w:t>
            </w:r>
          </w:p>
          <w:p w14:paraId="68130415">
            <w:pPr>
              <w:shd w:val="clear"/>
              <w:spacing w:line="360" w:lineRule="auto"/>
              <w:rPr>
                <w:rFonts w:ascii="宋体" w:hAnsi="宋体"/>
                <w:color w:val="auto"/>
                <w:szCs w:val="21"/>
                <w:highlight w:val="none"/>
              </w:rPr>
            </w:pPr>
            <w:r>
              <w:rPr>
                <w:rFonts w:hint="eastAsia" w:ascii="宋体" w:hAnsi="宋体"/>
                <w:color w:val="auto"/>
                <w:szCs w:val="21"/>
                <w:highlight w:val="none"/>
              </w:rPr>
              <w:t>优（</w:t>
            </w:r>
            <w:r>
              <w:rPr>
                <w:rFonts w:hint="eastAsia" w:ascii="宋体" w:hAnsi="宋体"/>
                <w:color w:val="auto"/>
                <w:szCs w:val="21"/>
                <w:highlight w:val="none"/>
                <w:lang w:val="en-US" w:eastAsia="zh-CN"/>
              </w:rPr>
              <w:t>6</w:t>
            </w:r>
            <w:r>
              <w:rPr>
                <w:rFonts w:hint="eastAsia" w:ascii="宋体" w:hAnsi="宋体"/>
                <w:color w:val="auto"/>
                <w:szCs w:val="21"/>
                <w:highlight w:val="none"/>
              </w:rPr>
              <w:t>分）：保证安全生产的技术措施有专门的安全管理人员和制度，且人员配备合理，制度健全，各道工序安全技术措施有针对性，确保工程质量的技术组织措施符合实际且满足有关安全技术标准要求。现场防火、应急救援、社会治安安全措施得力，能针对本工程项目场地和施工特点提出全面得力的确保文明施工的技术组织措施、环境保护措施，且措施内容达到《建筑施工安全生产检查标准》（JGJ59-2011）合格标准并符合《广西壮族自治区建筑工程文明施工导则》要求，各项措施科学、具体、有效，有具体实现现场文明施工目标的承诺。</w:t>
            </w:r>
          </w:p>
          <w:p w14:paraId="3C908CF2">
            <w:pPr>
              <w:shd w:val="clear"/>
              <w:spacing w:line="360" w:lineRule="auto"/>
              <w:rPr>
                <w:rFonts w:ascii="宋体" w:hAnsi="宋体"/>
                <w:color w:val="auto"/>
                <w:szCs w:val="21"/>
                <w:highlight w:val="none"/>
              </w:rPr>
            </w:pPr>
            <w:r>
              <w:rPr>
                <w:rFonts w:hint="eastAsia" w:ascii="宋体" w:hAnsi="宋体"/>
                <w:color w:val="auto"/>
                <w:szCs w:val="21"/>
                <w:highlight w:val="none"/>
              </w:rPr>
              <w:t>良（</w:t>
            </w:r>
            <w:r>
              <w:rPr>
                <w:rFonts w:hint="eastAsia" w:ascii="宋体" w:hAnsi="宋体"/>
                <w:color w:val="auto"/>
                <w:szCs w:val="21"/>
                <w:highlight w:val="none"/>
                <w:lang w:val="en-US" w:eastAsia="zh-CN"/>
              </w:rPr>
              <w:t>4</w:t>
            </w:r>
            <w:r>
              <w:rPr>
                <w:rFonts w:hint="eastAsia" w:ascii="宋体" w:hAnsi="宋体"/>
                <w:color w:val="auto"/>
                <w:szCs w:val="21"/>
                <w:highlight w:val="none"/>
              </w:rPr>
              <w:t>分）：保证安全生产的技术措施有专门的安全管理人员和制度，且人员配备和制度健全，阐述了可行的有针对性的各道工序安全技术措施，确保工程质量的技术组织措施符合实际且满足有关安全技术标准要求，措施可行且考虑周全。提供可行的有关于现场防火、应急救援、社会治安安全的措施。提出可行的确保文明施工的技术组织措施、环境保护措施，且措施内容达到《建筑施工安全生产检查标准》（JGJ59-2011）合格标准并符合《广西壮族自治区建筑工程文明施工导则》要求。</w:t>
            </w:r>
          </w:p>
          <w:p w14:paraId="107BE84C">
            <w:pPr>
              <w:shd w:val="clear"/>
              <w:spacing w:line="360" w:lineRule="auto"/>
              <w:rPr>
                <w:rFonts w:ascii="宋体" w:hAnsi="宋体"/>
                <w:color w:val="auto"/>
                <w:szCs w:val="21"/>
                <w:highlight w:val="none"/>
              </w:rPr>
            </w:pPr>
            <w:r>
              <w:rPr>
                <w:rFonts w:hint="eastAsia" w:ascii="宋体" w:hAnsi="宋体"/>
                <w:color w:val="auto"/>
                <w:szCs w:val="21"/>
                <w:highlight w:val="none"/>
              </w:rPr>
              <w:t>中（</w:t>
            </w:r>
            <w:r>
              <w:rPr>
                <w:rFonts w:ascii="宋体" w:hAnsi="宋体"/>
                <w:color w:val="auto"/>
                <w:szCs w:val="21"/>
                <w:highlight w:val="none"/>
              </w:rPr>
              <w:t>2</w:t>
            </w:r>
            <w:r>
              <w:rPr>
                <w:rFonts w:hint="eastAsia" w:ascii="宋体" w:hAnsi="宋体"/>
                <w:color w:val="auto"/>
                <w:szCs w:val="21"/>
                <w:highlight w:val="none"/>
              </w:rPr>
              <w:t>分）：保证安全生产的技术措施有专门的安全管理人员和制度，且人员配备和制度合理，阐述了各道工序安全技术措施但缺乏针对性，确保工程质量的技术组织措符合实际且满足有关安全技术标准要求且措施可行。</w:t>
            </w:r>
          </w:p>
          <w:p w14:paraId="7C8B70EA">
            <w:pPr>
              <w:shd w:val="clear"/>
              <w:spacing w:line="360" w:lineRule="auto"/>
              <w:rPr>
                <w:rFonts w:ascii="宋体" w:hAnsi="宋体"/>
                <w:color w:val="auto"/>
                <w:szCs w:val="21"/>
                <w:highlight w:val="none"/>
              </w:rPr>
            </w:pPr>
            <w:r>
              <w:rPr>
                <w:rFonts w:hint="eastAsia" w:ascii="宋体" w:hAnsi="宋体"/>
                <w:color w:val="auto"/>
                <w:szCs w:val="21"/>
                <w:highlight w:val="none"/>
              </w:rPr>
              <w:t>一般（</w:t>
            </w:r>
            <w:r>
              <w:rPr>
                <w:rFonts w:ascii="宋体" w:hAnsi="宋体"/>
                <w:color w:val="auto"/>
                <w:szCs w:val="21"/>
                <w:highlight w:val="none"/>
              </w:rPr>
              <w:t>1</w:t>
            </w:r>
            <w:r>
              <w:rPr>
                <w:rFonts w:hint="eastAsia" w:ascii="宋体" w:hAnsi="宋体"/>
                <w:color w:val="auto"/>
                <w:szCs w:val="21"/>
                <w:highlight w:val="none"/>
              </w:rPr>
              <w:t>分）：保证安全生产的技术措施有专门的安全管理人员和制度，各道工序安全技术措施阐述不完整，确保工程质量的技术组织措满足有关安全技术标准要求但措施考虑欠周全。</w:t>
            </w:r>
          </w:p>
          <w:p w14:paraId="6D155023">
            <w:pPr>
              <w:shd w:val="clear"/>
              <w:spacing w:line="360" w:lineRule="auto"/>
              <w:rPr>
                <w:rFonts w:ascii="宋体" w:hAnsi="宋体"/>
                <w:color w:val="auto"/>
                <w:szCs w:val="21"/>
                <w:highlight w:val="none"/>
              </w:rPr>
            </w:pPr>
            <w:r>
              <w:rPr>
                <w:rFonts w:hint="eastAsia" w:ascii="宋体" w:hAnsi="宋体"/>
                <w:color w:val="auto"/>
                <w:szCs w:val="21"/>
                <w:highlight w:val="none"/>
              </w:rPr>
              <w:t>差（0分）：未提供此项内容，或提供的方案不能满足施工的需要。</w:t>
            </w:r>
          </w:p>
        </w:tc>
      </w:tr>
      <w:tr w14:paraId="6836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14:paraId="48649D1E">
            <w:pPr>
              <w:shd w:val="clear"/>
              <w:spacing w:line="360" w:lineRule="auto"/>
              <w:jc w:val="cente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.7</w:t>
            </w:r>
          </w:p>
        </w:tc>
        <w:tc>
          <w:tcPr>
            <w:tcW w:w="1060" w:type="dxa"/>
            <w:vAlign w:val="center"/>
          </w:tcPr>
          <w:p w14:paraId="56EC5260">
            <w:pPr>
              <w:shd w:val="clear"/>
              <w:spacing w:line="360" w:lineRule="auto"/>
              <w:jc w:val="center"/>
              <w:rPr>
                <w:rFonts w:ascii="宋体" w:hAnsi="宋体"/>
                <w:color w:val="auto"/>
                <w:szCs w:val="21"/>
                <w:highlight w:val="none"/>
              </w:rPr>
            </w:pPr>
            <w:r>
              <w:rPr>
                <w:rFonts w:hint="eastAsia" w:ascii="宋体" w:hAnsi="宋体"/>
                <w:color w:val="auto"/>
                <w:szCs w:val="21"/>
                <w:highlight w:val="none"/>
              </w:rPr>
              <w:t>确保工期的技术组织措施（</w:t>
            </w: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7648" w:type="dxa"/>
            <w:vAlign w:val="center"/>
          </w:tcPr>
          <w:p w14:paraId="121E627B">
            <w:pPr>
              <w:shd w:val="clear"/>
              <w:spacing w:line="360" w:lineRule="auto"/>
              <w:rPr>
                <w:rFonts w:ascii="宋体" w:hAnsi="宋体"/>
                <w:color w:val="auto"/>
                <w:szCs w:val="21"/>
                <w:highlight w:val="none"/>
              </w:rPr>
            </w:pPr>
            <w:r>
              <w:rPr>
                <w:rFonts w:hint="eastAsia" w:ascii="宋体" w:hAnsi="宋体"/>
                <w:color w:val="auto"/>
                <w:szCs w:val="21"/>
                <w:highlight w:val="none"/>
              </w:rPr>
              <w:t>针对供应商提供的确保工期的技术组织措施【①工期保障措施；②施工进度计划；③施工进度图（表）；④劳动力计划；⑤供应商针对本项目特点提出其它确保工期的其它技术组织措施】按以下标准计分：</w:t>
            </w:r>
          </w:p>
          <w:p w14:paraId="32B4CB85">
            <w:pPr>
              <w:shd w:val="clear"/>
              <w:spacing w:line="360" w:lineRule="auto"/>
              <w:rPr>
                <w:rFonts w:ascii="宋体" w:hAnsi="宋体"/>
                <w:color w:val="auto"/>
                <w:szCs w:val="21"/>
                <w:highlight w:val="none"/>
              </w:rPr>
            </w:pPr>
            <w:r>
              <w:rPr>
                <w:rFonts w:hint="eastAsia" w:ascii="宋体" w:hAnsi="宋体"/>
                <w:color w:val="auto"/>
                <w:szCs w:val="21"/>
                <w:highlight w:val="none"/>
              </w:rPr>
              <w:t>优（</w:t>
            </w:r>
            <w:r>
              <w:rPr>
                <w:rFonts w:hint="eastAsia" w:ascii="宋体" w:hAnsi="宋体"/>
                <w:color w:val="auto"/>
                <w:szCs w:val="21"/>
                <w:highlight w:val="none"/>
                <w:lang w:val="en-US" w:eastAsia="zh-CN"/>
              </w:rPr>
              <w:t>6</w:t>
            </w:r>
            <w:r>
              <w:rPr>
                <w:rFonts w:hint="eastAsia" w:ascii="宋体" w:hAnsi="宋体"/>
                <w:color w:val="auto"/>
                <w:szCs w:val="21"/>
                <w:highlight w:val="none"/>
              </w:rPr>
              <w:t>分）：保证工期的施工组织措施方案中在施工工艺、施工方法、材料选用、劳动力安排、技术等方面有保证工期的具体措施且措施得当。有控制工期的施工进度计划。有施工总进度表或施工网络图，各项计划图表编制完善，安排科学合理，符合本项目施工实际要求。有具体周密的劳动力安排计划，能保障供应商承诺的工期。</w:t>
            </w:r>
          </w:p>
          <w:p w14:paraId="5CF0880E">
            <w:pPr>
              <w:shd w:val="clear"/>
              <w:spacing w:line="360" w:lineRule="auto"/>
              <w:rPr>
                <w:rFonts w:ascii="宋体" w:hAnsi="宋体"/>
                <w:color w:val="auto"/>
                <w:szCs w:val="21"/>
                <w:highlight w:val="none"/>
              </w:rPr>
            </w:pPr>
            <w:r>
              <w:rPr>
                <w:rFonts w:hint="eastAsia" w:ascii="宋体" w:hAnsi="宋体"/>
                <w:color w:val="auto"/>
                <w:szCs w:val="21"/>
                <w:highlight w:val="none"/>
              </w:rPr>
              <w:t>良（</w:t>
            </w:r>
            <w:r>
              <w:rPr>
                <w:rFonts w:hint="eastAsia" w:ascii="宋体" w:hAnsi="宋体"/>
                <w:color w:val="auto"/>
                <w:szCs w:val="21"/>
                <w:highlight w:val="none"/>
                <w:lang w:val="en-US" w:eastAsia="zh-CN"/>
              </w:rPr>
              <w:t>4</w:t>
            </w:r>
            <w:r>
              <w:rPr>
                <w:rFonts w:hint="eastAsia" w:ascii="宋体" w:hAnsi="宋体"/>
                <w:color w:val="auto"/>
                <w:szCs w:val="21"/>
                <w:highlight w:val="none"/>
              </w:rPr>
              <w:t>分）：保证工期的施工组织措施方案中在施工工艺、施工方法、材料选用、劳动力安排、技术等方面有保证工期的具体措施且措施可行。有控制工期的施工进度计划，有施工总进度表或施工网络图，对供应商承诺的工期有一定的保障。</w:t>
            </w:r>
          </w:p>
          <w:p w14:paraId="12A059A7">
            <w:pPr>
              <w:shd w:val="clear"/>
              <w:spacing w:line="360" w:lineRule="auto"/>
              <w:rPr>
                <w:rFonts w:ascii="宋体" w:hAnsi="宋体"/>
                <w:color w:val="auto"/>
                <w:szCs w:val="21"/>
                <w:highlight w:val="none"/>
              </w:rPr>
            </w:pPr>
            <w:r>
              <w:rPr>
                <w:rFonts w:hint="eastAsia" w:ascii="宋体" w:hAnsi="宋体"/>
                <w:color w:val="auto"/>
                <w:szCs w:val="21"/>
                <w:highlight w:val="none"/>
              </w:rPr>
              <w:t>中（</w:t>
            </w:r>
            <w:r>
              <w:rPr>
                <w:rFonts w:ascii="宋体" w:hAnsi="宋体"/>
                <w:color w:val="auto"/>
                <w:szCs w:val="21"/>
                <w:highlight w:val="none"/>
              </w:rPr>
              <w:t>2</w:t>
            </w:r>
            <w:r>
              <w:rPr>
                <w:rFonts w:hint="eastAsia" w:ascii="宋体" w:hAnsi="宋体"/>
                <w:color w:val="auto"/>
                <w:szCs w:val="21"/>
                <w:highlight w:val="none"/>
              </w:rPr>
              <w:t>分）：保证工期的施工组织措施方案中在施工工艺、施工方法、材料选用、劳动力安排、技术等方面有具体措施，且有控制工期的施工进度计划，但考虑欠周全。</w:t>
            </w:r>
          </w:p>
          <w:p w14:paraId="2C9C29F8">
            <w:pPr>
              <w:shd w:val="clear"/>
              <w:spacing w:line="360" w:lineRule="auto"/>
              <w:rPr>
                <w:rFonts w:ascii="宋体" w:hAnsi="宋体"/>
                <w:color w:val="auto"/>
                <w:szCs w:val="21"/>
                <w:highlight w:val="none"/>
              </w:rPr>
            </w:pPr>
            <w:r>
              <w:rPr>
                <w:rFonts w:hint="eastAsia" w:ascii="宋体" w:hAnsi="宋体"/>
                <w:color w:val="auto"/>
                <w:szCs w:val="21"/>
                <w:highlight w:val="none"/>
              </w:rPr>
              <w:t>一般（</w:t>
            </w:r>
            <w:r>
              <w:rPr>
                <w:rFonts w:ascii="宋体" w:hAnsi="宋体"/>
                <w:color w:val="auto"/>
                <w:szCs w:val="21"/>
                <w:highlight w:val="none"/>
              </w:rPr>
              <w:t>1</w:t>
            </w:r>
            <w:r>
              <w:rPr>
                <w:rFonts w:hint="eastAsia" w:ascii="宋体" w:hAnsi="宋体"/>
                <w:color w:val="auto"/>
                <w:szCs w:val="21"/>
                <w:highlight w:val="none"/>
              </w:rPr>
              <w:t>分）：保证工期的施工组织措施方案中有施工工艺、施工方法、劳动力安排等方面有具体实施措施但未提供控制工期的施工进度计划。</w:t>
            </w:r>
          </w:p>
          <w:p w14:paraId="43211BD8">
            <w:pPr>
              <w:shd w:val="clear"/>
              <w:spacing w:line="360" w:lineRule="auto"/>
              <w:rPr>
                <w:rFonts w:ascii="宋体" w:hAnsi="宋体"/>
                <w:color w:val="auto"/>
                <w:szCs w:val="21"/>
                <w:highlight w:val="none"/>
              </w:rPr>
            </w:pPr>
            <w:r>
              <w:rPr>
                <w:rFonts w:hint="eastAsia" w:ascii="宋体" w:hAnsi="宋体"/>
                <w:color w:val="auto"/>
                <w:szCs w:val="21"/>
                <w:highlight w:val="none"/>
              </w:rPr>
              <w:t>差（0分）：未提供此项内容，或提供的方案不能满足施工的需要。</w:t>
            </w:r>
          </w:p>
        </w:tc>
      </w:tr>
      <w:tr w14:paraId="74688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14:paraId="53E6C4BB">
            <w:pPr>
              <w:shd w:val="clear"/>
              <w:spacing w:line="360" w:lineRule="auto"/>
              <w:jc w:val="center"/>
              <w:rPr>
                <w:rFonts w:ascii="宋体" w:hAnsi="宋体"/>
                <w:b/>
                <w:color w:val="auto"/>
                <w:szCs w:val="21"/>
                <w:highlight w:val="none"/>
              </w:rPr>
            </w:pPr>
            <w:bookmarkStart w:id="25" w:name="_Hlk195532109"/>
            <w:r>
              <w:rPr>
                <w:rFonts w:hint="eastAsia" w:ascii="宋体" w:hAnsi="宋体"/>
                <w:b/>
                <w:color w:val="auto"/>
                <w:szCs w:val="21"/>
                <w:highlight w:val="none"/>
              </w:rPr>
              <w:t>3</w:t>
            </w:r>
          </w:p>
        </w:tc>
        <w:tc>
          <w:tcPr>
            <w:tcW w:w="1060" w:type="dxa"/>
            <w:vAlign w:val="center"/>
          </w:tcPr>
          <w:p w14:paraId="57160B4E">
            <w:pPr>
              <w:shd w:val="clear"/>
              <w:spacing w:line="360" w:lineRule="auto"/>
              <w:jc w:val="center"/>
              <w:rPr>
                <w:rFonts w:ascii="宋体" w:hAnsi="宋体"/>
                <w:b/>
                <w:color w:val="auto"/>
                <w:szCs w:val="21"/>
                <w:highlight w:val="none"/>
              </w:rPr>
            </w:pPr>
            <w:r>
              <w:rPr>
                <w:rFonts w:hint="eastAsia" w:ascii="宋体" w:hAnsi="宋体"/>
                <w:b/>
                <w:color w:val="auto"/>
                <w:szCs w:val="21"/>
                <w:highlight w:val="none"/>
              </w:rPr>
              <w:t>商务分（</w:t>
            </w:r>
            <w:r>
              <w:rPr>
                <w:rFonts w:hint="eastAsia" w:ascii="宋体" w:hAnsi="宋体"/>
                <w:b/>
                <w:color w:val="auto"/>
                <w:szCs w:val="21"/>
                <w:highlight w:val="none"/>
                <w:lang w:val="en-US" w:eastAsia="zh-CN"/>
              </w:rPr>
              <w:t>1</w:t>
            </w:r>
            <w:r>
              <w:rPr>
                <w:rFonts w:hint="eastAsia" w:ascii="宋体" w:hAnsi="宋体"/>
                <w:b/>
                <w:color w:val="auto"/>
                <w:szCs w:val="21"/>
                <w:highlight w:val="none"/>
              </w:rPr>
              <w:t>5分）</w:t>
            </w:r>
          </w:p>
        </w:tc>
        <w:tc>
          <w:tcPr>
            <w:tcW w:w="7648" w:type="dxa"/>
            <w:vAlign w:val="center"/>
          </w:tcPr>
          <w:p w14:paraId="03BC9338">
            <w:pPr>
              <w:shd w:val="clear"/>
              <w:spacing w:line="360" w:lineRule="auto"/>
              <w:jc w:val="center"/>
              <w:rPr>
                <w:rFonts w:ascii="宋体" w:hAnsi="宋体"/>
                <w:b/>
                <w:color w:val="auto"/>
                <w:szCs w:val="21"/>
                <w:highlight w:val="none"/>
              </w:rPr>
            </w:pPr>
            <w:r>
              <w:rPr>
                <w:rFonts w:hint="eastAsia" w:ascii="宋体" w:hAnsi="宋体"/>
                <w:b/>
                <w:color w:val="auto"/>
                <w:szCs w:val="21"/>
                <w:highlight w:val="none"/>
              </w:rPr>
              <w:t>评审标准（商务分中未提供相应资料的，该部分分值不得分）</w:t>
            </w:r>
          </w:p>
        </w:tc>
      </w:tr>
      <w:tr w14:paraId="1B8C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6" w:type="dxa"/>
            <w:vAlign w:val="center"/>
          </w:tcPr>
          <w:p w14:paraId="3F3F1C73">
            <w:pPr>
              <w:shd w:val="clear"/>
              <w:spacing w:line="360" w:lineRule="auto"/>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.1</w:t>
            </w:r>
          </w:p>
        </w:tc>
        <w:tc>
          <w:tcPr>
            <w:tcW w:w="1060" w:type="dxa"/>
            <w:vAlign w:val="center"/>
          </w:tcPr>
          <w:p w14:paraId="73333301">
            <w:pPr>
              <w:shd w:val="clear"/>
              <w:spacing w:line="360" w:lineRule="auto"/>
              <w:jc w:val="left"/>
              <w:rPr>
                <w:rFonts w:ascii="宋体" w:hAnsi="宋体"/>
                <w:color w:val="auto"/>
                <w:szCs w:val="21"/>
                <w:highlight w:val="none"/>
              </w:rPr>
            </w:pPr>
            <w:r>
              <w:rPr>
                <w:rFonts w:hint="eastAsia" w:ascii="宋体" w:hAnsi="宋体"/>
                <w:color w:val="auto"/>
                <w:szCs w:val="21"/>
                <w:highlight w:val="none"/>
              </w:rPr>
              <w:t>企业业绩（</w:t>
            </w:r>
            <w:r>
              <w:rPr>
                <w:rFonts w:hint="eastAsia" w:ascii="宋体" w:hAnsi="宋体"/>
                <w:color w:val="auto"/>
                <w:szCs w:val="21"/>
                <w:highlight w:val="none"/>
                <w:lang w:val="en-US" w:eastAsia="zh-CN"/>
              </w:rPr>
              <w:t>1</w:t>
            </w:r>
            <w:r>
              <w:rPr>
                <w:rFonts w:ascii="宋体" w:hAnsi="宋体"/>
                <w:color w:val="auto"/>
                <w:szCs w:val="21"/>
                <w:highlight w:val="none"/>
              </w:rPr>
              <w:t>5</w:t>
            </w:r>
            <w:r>
              <w:rPr>
                <w:rFonts w:hint="eastAsia" w:ascii="宋体" w:hAnsi="宋体"/>
                <w:color w:val="auto"/>
                <w:szCs w:val="21"/>
                <w:highlight w:val="none"/>
              </w:rPr>
              <w:t>分）</w:t>
            </w:r>
          </w:p>
        </w:tc>
        <w:tc>
          <w:tcPr>
            <w:tcW w:w="7648" w:type="dxa"/>
            <w:vAlign w:val="center"/>
          </w:tcPr>
          <w:p w14:paraId="2D235B53">
            <w:pPr>
              <w:shd w:val="clear"/>
              <w:spacing w:line="360" w:lineRule="auto"/>
              <w:jc w:val="left"/>
              <w:rPr>
                <w:rFonts w:ascii="宋体" w:hAnsi="宋体"/>
                <w:color w:val="auto"/>
                <w:szCs w:val="21"/>
                <w:highlight w:val="none"/>
              </w:rPr>
            </w:pPr>
            <w:r>
              <w:rPr>
                <w:rFonts w:hint="eastAsia" w:ascii="宋体" w:hAnsi="宋体"/>
                <w:color w:val="auto"/>
                <w:szCs w:val="21"/>
                <w:highlight w:val="none"/>
              </w:rPr>
              <w:t>供应商2022年5月1日以来承建过类似的房屋修缮工程项目的，每有一个得1</w:t>
            </w:r>
            <w:r>
              <w:rPr>
                <w:rFonts w:hint="eastAsia" w:ascii="宋体" w:hAnsi="宋体"/>
                <w:color w:val="auto"/>
                <w:szCs w:val="21"/>
                <w:highlight w:val="none"/>
                <w:lang w:val="en-US" w:eastAsia="zh-CN"/>
              </w:rPr>
              <w:t>.5</w:t>
            </w:r>
            <w:r>
              <w:rPr>
                <w:rFonts w:hint="eastAsia" w:ascii="宋体" w:hAnsi="宋体"/>
                <w:color w:val="auto"/>
                <w:szCs w:val="21"/>
                <w:highlight w:val="none"/>
              </w:rPr>
              <w:t>分，此项满分</w:t>
            </w:r>
            <w:r>
              <w:rPr>
                <w:rFonts w:hint="eastAsia" w:ascii="宋体" w:hAnsi="宋体"/>
                <w:color w:val="auto"/>
                <w:szCs w:val="21"/>
                <w:highlight w:val="none"/>
                <w:lang w:val="en-US" w:eastAsia="zh-CN"/>
              </w:rPr>
              <w:t>1</w:t>
            </w:r>
            <w:r>
              <w:rPr>
                <w:rFonts w:hint="eastAsia" w:ascii="宋体" w:hAnsi="宋体"/>
                <w:color w:val="auto"/>
                <w:szCs w:val="21"/>
                <w:highlight w:val="none"/>
              </w:rPr>
              <w:t>5分。</w:t>
            </w:r>
          </w:p>
          <w:p w14:paraId="2BC40F53">
            <w:pPr>
              <w:shd w:val="clear"/>
              <w:spacing w:line="360" w:lineRule="auto"/>
              <w:jc w:val="left"/>
              <w:rPr>
                <w:rFonts w:ascii="宋体" w:hAnsi="宋体"/>
                <w:color w:val="auto"/>
                <w:szCs w:val="21"/>
                <w:highlight w:val="none"/>
              </w:rPr>
            </w:pPr>
            <w:r>
              <w:rPr>
                <w:rFonts w:hint="eastAsia" w:ascii="宋体" w:hAnsi="宋体"/>
                <w:color w:val="auto"/>
                <w:szCs w:val="21"/>
                <w:highlight w:val="none"/>
              </w:rPr>
              <w:t>注：响应文件中提供中标（成交）通知书或合同协议书或竣工验收报告复印件并加盖供应商单位电子公章，供应商提供虚假材料谋取成交的，取消成交资格，并依法承担相应责任。不提供或不按以上要求提供的不予以计分。</w:t>
            </w:r>
          </w:p>
        </w:tc>
      </w:tr>
      <w:bookmarkEnd w:id="25"/>
      <w:tr w14:paraId="3CCB1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44" w:type="dxa"/>
            <w:gridSpan w:val="3"/>
            <w:vAlign w:val="center"/>
          </w:tcPr>
          <w:p w14:paraId="0115CFA1">
            <w:pPr>
              <w:shd w:val="clear"/>
              <w:spacing w:line="360" w:lineRule="auto"/>
              <w:jc w:val="center"/>
              <w:rPr>
                <w:rFonts w:ascii="宋体" w:hAnsi="宋体"/>
                <w:b/>
                <w:color w:val="auto"/>
                <w:szCs w:val="21"/>
                <w:highlight w:val="none"/>
              </w:rPr>
            </w:pPr>
            <w:r>
              <w:rPr>
                <w:rFonts w:hint="eastAsia" w:ascii="宋体" w:hAnsi="宋体"/>
                <w:b/>
                <w:color w:val="auto"/>
                <w:szCs w:val="21"/>
                <w:highlight w:val="none"/>
              </w:rPr>
              <w:t>总得分</w:t>
            </w:r>
            <w:r>
              <w:rPr>
                <w:rFonts w:ascii="宋体" w:hAnsi="宋体"/>
                <w:b/>
                <w:color w:val="auto"/>
                <w:szCs w:val="21"/>
                <w:highlight w:val="none"/>
              </w:rPr>
              <w:t>100分＝1＋2+3项得分</w:t>
            </w:r>
          </w:p>
        </w:tc>
      </w:tr>
    </w:tbl>
    <w:p w14:paraId="6A2219AD">
      <w:pPr>
        <w:shd w:val="clear"/>
        <w:spacing w:line="360" w:lineRule="auto"/>
        <w:ind w:firstLine="420" w:firstLineChars="200"/>
        <w:rPr>
          <w:rFonts w:ascii="宋体" w:hAnsi="宋体" w:eastAsia="宋体"/>
          <w:color w:val="auto"/>
          <w:szCs w:val="21"/>
          <w:highlight w:val="none"/>
        </w:rPr>
      </w:pPr>
    </w:p>
    <w:p w14:paraId="56D9E7BB">
      <w:pPr>
        <w:pStyle w:val="2"/>
        <w:shd w:val="clear"/>
        <w:jc w:val="center"/>
        <w:rPr>
          <w:rFonts w:ascii="宋体" w:hAnsi="宋体" w:eastAsia="宋体"/>
          <w:color w:val="auto"/>
          <w:highlight w:val="none"/>
        </w:rPr>
        <w:sectPr>
          <w:pgSz w:w="11906" w:h="16838"/>
          <w:pgMar w:top="1440" w:right="1134" w:bottom="1440" w:left="1418" w:header="851" w:footer="992" w:gutter="0"/>
          <w:cols w:space="425" w:num="1"/>
          <w:docGrid w:type="lines" w:linePitch="312" w:charSpace="0"/>
        </w:sectPr>
      </w:pPr>
    </w:p>
    <w:p w14:paraId="009BDA96">
      <w:pPr>
        <w:pStyle w:val="2"/>
        <w:shd w:val="clear"/>
        <w:jc w:val="center"/>
        <w:rPr>
          <w:rFonts w:ascii="宋体" w:hAnsi="宋体" w:eastAsia="宋体"/>
          <w:color w:val="auto"/>
          <w:highlight w:val="none"/>
        </w:rPr>
      </w:pPr>
      <w:bookmarkStart w:id="26" w:name="_Toc197530115"/>
      <w:r>
        <w:rPr>
          <w:rFonts w:hint="eastAsia" w:ascii="宋体" w:hAnsi="宋体" w:eastAsia="宋体"/>
          <w:color w:val="auto"/>
          <w:highlight w:val="none"/>
        </w:rPr>
        <w:t>第五</w:t>
      </w:r>
      <w:r>
        <w:rPr>
          <w:rFonts w:hint="eastAsia" w:ascii="宋体" w:hAnsi="宋体" w:eastAsia="宋体"/>
          <w:color w:val="auto"/>
          <w:spacing w:val="100"/>
          <w:highlight w:val="none"/>
        </w:rPr>
        <w:t>章</w:t>
      </w:r>
      <w:r>
        <w:rPr>
          <w:rFonts w:hint="eastAsia" w:ascii="宋体" w:hAnsi="宋体" w:eastAsia="宋体"/>
          <w:color w:val="auto"/>
          <w:highlight w:val="none"/>
        </w:rPr>
        <w:t>工程量清单、招标控制价及图纸</w:t>
      </w:r>
      <w:bookmarkEnd w:id="26"/>
    </w:p>
    <w:p w14:paraId="761D6450">
      <w:pPr>
        <w:shd w:val="clear"/>
        <w:spacing w:line="360" w:lineRule="auto"/>
        <w:ind w:firstLine="420" w:firstLineChars="200"/>
        <w:rPr>
          <w:rFonts w:ascii="宋体" w:hAnsi="宋体" w:eastAsia="宋体"/>
          <w:color w:val="auto"/>
          <w:szCs w:val="21"/>
          <w:highlight w:val="none"/>
        </w:rPr>
      </w:pPr>
      <w:bookmarkStart w:id="27" w:name="OLE_LINK65"/>
      <w:bookmarkStart w:id="28" w:name="OLE_LINK59"/>
      <w:r>
        <w:rPr>
          <w:rFonts w:hint="eastAsia" w:ascii="宋体" w:hAnsi="宋体" w:eastAsia="宋体"/>
          <w:color w:val="auto"/>
          <w:szCs w:val="21"/>
          <w:highlight w:val="none"/>
        </w:rPr>
        <w:t>1.工程量清单编制说明</w:t>
      </w:r>
    </w:p>
    <w:p w14:paraId="609E374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本工程量清单依据《建设工程工程量清单计价规范（GB50500-2013）广西实施细则》（以下简称“《计价规范》”）、《工程量清单计算规范（GB50854～50862-2013）》及广西实施细则（修订本）（以下简称“《计算规范》”）、《关于建筑业实施营业税改征增值税后广西壮族自治区建设工程计价依据调整的通知》（桂建标〔2016〕17号）、磋商文件、施工图等编制。计算规范中没有的清单项目，应在本章第1.4款约定。</w:t>
      </w:r>
    </w:p>
    <w:p w14:paraId="30BB07C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1.2工程量清单应与供应商须知、合同协议条款、合同的通用条款、合同专用条款、技术规范及图纸等文件一起结合使用。</w:t>
      </w:r>
    </w:p>
    <w:p w14:paraId="1226B34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1.3工程量清单是磋商文件的组成部分，是工程量清单计价的基础，作为编制最高限价、竞争性磋商报价、计算或调整工程量、索赔等的依据之一。</w:t>
      </w:r>
    </w:p>
    <w:p w14:paraId="71B8EEB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1.4补充清单项目的特征、计量单位、工程量计算规则及工作内容说明如下：无。</w:t>
      </w:r>
    </w:p>
    <w:p w14:paraId="5EAB556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1.5《允许调整主要材料和工程设备一览表》（表-22，表格编号为计价规范相应表格编号，下同）作为项目实施过程中材料和设备价格风险调整依据。</w:t>
      </w:r>
    </w:p>
    <w:p w14:paraId="6DF7FF6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1.6本工程暂列金额：共</w:t>
      </w:r>
      <w:r>
        <w:rPr>
          <w:rFonts w:hint="eastAsia" w:ascii="宋体" w:hAnsi="宋体" w:eastAsia="宋体"/>
          <w:color w:val="auto"/>
          <w:szCs w:val="21"/>
          <w:highlight w:val="none"/>
          <w:lang w:val="en-US" w:eastAsia="zh-CN"/>
        </w:rPr>
        <w:t xml:space="preserve">   </w:t>
      </w:r>
      <w:r>
        <w:rPr>
          <w:rFonts w:hint="eastAsia" w:ascii="宋体" w:hAnsi="宋体" w:eastAsia="宋体"/>
          <w:color w:val="auto"/>
          <w:szCs w:val="21"/>
          <w:highlight w:val="none"/>
        </w:rPr>
        <w:t>元（人民币）作为合同签订时尚未确定或者不可预见但施工中可能发生的费用。</w:t>
      </w:r>
    </w:p>
    <w:p w14:paraId="5E0DC19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1.7本工程发包人提供的材料和设备详见《发包人提供的主要材料和工程设备一览表》（表-21）。</w:t>
      </w:r>
    </w:p>
    <w:p w14:paraId="50C9DB6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1.8本工程部分材料和设备在招标时作为暂估价计列，结算按实调整，具体内容详见《材料（工程设备）暂估单价及调整表》（表12-2）。</w:t>
      </w:r>
    </w:p>
    <w:p w14:paraId="6AF22AA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1.9招标时暂估专业工程的价款属于暂估价，结算按实调整，具体内容详见《专业工程暂估价及结算价表》（表12-3）。</w:t>
      </w:r>
    </w:p>
    <w:p w14:paraId="675AF94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1.10本工程量清单编码处标注“*”号的清单项目作为主要清单项目，需要供应商提供《主要清单项目工料机分析表》（表-10）。</w:t>
      </w:r>
    </w:p>
    <w:p w14:paraId="281AAE1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1.11其它需要说明的问题：无。</w:t>
      </w:r>
    </w:p>
    <w:p w14:paraId="2295FEF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1.12工程量清单与磋商文件同时发布。一般计税法建设工程的工程量清单表格按《关于建筑业实施营业税改征增值税后广西壮族自治区建设工程计价依据调整的通知》（桂建标〔2016〕17号）附件“增值税一般计税方法工程计价表”要求提供；简易计税法建设工程按照《计价规范》要求的表格提供，但规费和税费要按照《关于建筑业实施营业税改征增值税后广西壮族自治区建设工程计价依据调整的通知》（桂建标〔2016〕17号）要求调整，具体包括：</w:t>
      </w:r>
    </w:p>
    <w:p w14:paraId="6F62928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1.1招标工程量清单（封-1）</w:t>
      </w:r>
    </w:p>
    <w:p w14:paraId="339B641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1.2招标工程量清单（封扉-1）</w:t>
      </w:r>
    </w:p>
    <w:p w14:paraId="6B5B785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1.3总说明（表-01）</w:t>
      </w:r>
    </w:p>
    <w:p w14:paraId="2F2434A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1.4建设项目投标报价汇总表（表-02）</w:t>
      </w:r>
    </w:p>
    <w:p w14:paraId="1B04307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1.5单项工程投标报价汇总表（表-03）</w:t>
      </w:r>
    </w:p>
    <w:p w14:paraId="0AC3807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1.6单位工程投标报价汇总表（表-04）</w:t>
      </w:r>
    </w:p>
    <w:p w14:paraId="092378F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1.7分部分项工程和单价措施项目清单与计价表（表-08）</w:t>
      </w:r>
    </w:p>
    <w:p w14:paraId="30E5917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1.8总价措施项目清单与计价表（表-11）</w:t>
      </w:r>
    </w:p>
    <w:p w14:paraId="720AA9B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1.9其他项目清单与计价汇总表（表-12）</w:t>
      </w:r>
    </w:p>
    <w:p w14:paraId="1E1CEA3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1.10暂列金额明细表（表12-1）</w:t>
      </w:r>
    </w:p>
    <w:p w14:paraId="5652A7E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1.11材料（工程设备）暂估单价及调整表（表12-2）</w:t>
      </w:r>
    </w:p>
    <w:p w14:paraId="3BFF69C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1.12专业工程暂估价及结算价表（表12-3）</w:t>
      </w:r>
    </w:p>
    <w:p w14:paraId="50891D7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1.13计日工表（表12-4）</w:t>
      </w:r>
    </w:p>
    <w:p w14:paraId="373BCD2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1.14总承包服务费计价表（表12-5）</w:t>
      </w:r>
    </w:p>
    <w:p w14:paraId="0C39F4C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1.15税前项目清单与计价表（表-14）</w:t>
      </w:r>
    </w:p>
    <w:p w14:paraId="266F9B0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1.16规费、增值税计价表（表-15）</w:t>
      </w:r>
    </w:p>
    <w:p w14:paraId="229B529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1.17发包人提供主要材料和工程设备一览表（表-21）</w:t>
      </w:r>
    </w:p>
    <w:p w14:paraId="3BBCCFD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1.18允许调整主要材料和工程设备一览表（适用于造价信息差额调整法）（表-22）</w:t>
      </w:r>
    </w:p>
    <w:p w14:paraId="557E222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1.19允许调整主要材料和工程设备一览表（适用于价格指数差额调整法）（表-23）</w:t>
      </w:r>
    </w:p>
    <w:p w14:paraId="62F2059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1.20本工程材料和工程设备一览表（表-24）</w:t>
      </w:r>
    </w:p>
    <w:p w14:paraId="79CD6B9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如本工程在合同中约定采用造价信息价差调整法，1.18允许调整主要材料和工程设备一览表（适用于造价信息差额调整法）（表-22）载明的主要材料和工程设备为本工程允许调整材料和工程设备，工程量清单必须提供该表格，并应载明允许调整材料和工程设备名称型号规格、单位、风险系数、基准单价等内容，且不能提供空白表。</w:t>
      </w:r>
    </w:p>
    <w:p w14:paraId="58A6463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以下表格视工程实际需要选用，如该工程不发生如下表格相关项目和费用，所编制工程量清单则不需列入相应表格：</w:t>
      </w:r>
    </w:p>
    <w:p w14:paraId="7DE19B0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①建设项目投标报价汇总表（表-02）</w:t>
      </w:r>
    </w:p>
    <w:p w14:paraId="53063C7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②暂列金额明细表（表12-1）</w:t>
      </w:r>
    </w:p>
    <w:p w14:paraId="314A1C5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③材料（工程设备）暂估单价及调整表（表12-2）</w:t>
      </w:r>
    </w:p>
    <w:p w14:paraId="032ED6A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④专业工程暂估价表（表12-3）</w:t>
      </w:r>
    </w:p>
    <w:p w14:paraId="36EEA23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⑤计日工表（表12-4）</w:t>
      </w:r>
    </w:p>
    <w:p w14:paraId="7BD1B2A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⑥总承包服务费计价表（表12-5）</w:t>
      </w:r>
    </w:p>
    <w:p w14:paraId="36BFBAF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⑦税前项目清单与计价表（表-14）</w:t>
      </w:r>
    </w:p>
    <w:p w14:paraId="74753B5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⑧允许调整主要材料和工程设备一览表（适用于价格指数差额调整法）（表-23）</w:t>
      </w:r>
    </w:p>
    <w:p w14:paraId="5073A5F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2.最高限价编制说明</w:t>
      </w:r>
    </w:p>
    <w:p w14:paraId="7FB2074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2.1最高限价编制依据：</w:t>
      </w:r>
    </w:p>
    <w:p w14:paraId="6BCD60B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（1）《计价规范》及《计算规范》、《关于建筑业实施营业税改征增值税后广西壮族自治区建设工程计价依据调整的通知》（桂建标〔2016〕17号）等；</w:t>
      </w:r>
    </w:p>
    <w:p w14:paraId="4104427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（2）自治区住房城乡建设行政主管部门颁发的计价定额及有关规定：</w:t>
      </w:r>
    </w:p>
    <w:p w14:paraId="5B77B8E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1）《建设工程工程量清单计价规范》（GB50500-2024）；</w:t>
      </w:r>
    </w:p>
    <w:p w14:paraId="1AFD940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2）《&lt;建设工程工程量清单计价规范》（GB50500-2013）&gt;广西壮族自治区实施细则》；</w:t>
      </w:r>
    </w:p>
    <w:p w14:paraId="0D24415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3）《建设工程工程量计算规范》（GB50854～50862-2013）；</w:t>
      </w:r>
    </w:p>
    <w:p w14:paraId="42EB389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4）《建设工程工程量计算规范（GB50854～50862-2013）广西壮族自治区实施细则（修订本）》；</w:t>
      </w:r>
    </w:p>
    <w:p w14:paraId="54E6C31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5）2024年《广西壮族自治区建筑装饰装修工程消耗量定额》；</w:t>
      </w:r>
    </w:p>
    <w:p w14:paraId="33D7E33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6）2024年《广西壮族自治区建筑拆除工程消耗量定额》；</w:t>
      </w:r>
    </w:p>
    <w:p w14:paraId="7C355B5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7）2023年《广西壮族自治区安装工程消耗量定额》；</w:t>
      </w:r>
    </w:p>
    <w:p w14:paraId="4006CBA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8）2013年《广西壮族自治区安装拆除工程消耗量定额》及其配套费用定额。</w:t>
      </w:r>
    </w:p>
    <w:p w14:paraId="25FF3EE7">
      <w:pPr>
        <w:shd w:val="clea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9</w:t>
      </w:r>
      <w:r>
        <w:rPr>
          <w:rFonts w:hint="eastAsia" w:ascii="宋体" w:hAnsi="宋体" w:eastAsia="宋体"/>
          <w:color w:val="auto"/>
          <w:szCs w:val="21"/>
          <w:highlight w:val="none"/>
        </w:rPr>
        <w:t>）2016年《广西壮族自治区建设工程费用定额》；</w:t>
      </w:r>
    </w:p>
    <w:p w14:paraId="4C1CF344">
      <w:pPr>
        <w:shd w:val="clear"/>
        <w:spacing w:line="360" w:lineRule="auto"/>
        <w:ind w:firstLine="420" w:firstLineChars="200"/>
        <w:rPr>
          <w:rFonts w:ascii="宋体" w:hAnsi="宋体" w:eastAsia="宋体"/>
          <w:color w:val="auto"/>
          <w:szCs w:val="21"/>
          <w:highlight w:val="none"/>
        </w:rPr>
      </w:pPr>
      <w:r>
        <w:rPr>
          <w:rFonts w:ascii="宋体" w:hAnsi="宋体" w:eastAsia="宋体"/>
          <w:color w:val="auto"/>
          <w:szCs w:val="21"/>
          <w:highlight w:val="none"/>
        </w:rPr>
        <w:t>10</w:t>
      </w:r>
      <w:r>
        <w:rPr>
          <w:rFonts w:hint="eastAsia" w:ascii="宋体" w:hAnsi="宋体" w:eastAsia="宋体"/>
          <w:color w:val="auto"/>
          <w:szCs w:val="21"/>
          <w:highlight w:val="none"/>
        </w:rPr>
        <w:t>）2018年《广西壮族自治区工程建设其他费用定额》；</w:t>
      </w:r>
    </w:p>
    <w:p w14:paraId="0DAD5F4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1</w:t>
      </w:r>
      <w:r>
        <w:rPr>
          <w:rFonts w:hint="eastAsia" w:ascii="宋体" w:hAnsi="宋体" w:eastAsia="宋体"/>
          <w:color w:val="auto"/>
          <w:szCs w:val="21"/>
          <w:highlight w:val="none"/>
        </w:rPr>
        <w:t>《自治区住房城乡建设厅关于建筑业实施营业税改征增值税后广西壮族自治区建设工程计价依据调整的通知》（桂建标[2016]17号文）；</w:t>
      </w:r>
    </w:p>
    <w:p w14:paraId="4F2C1B8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2</w:t>
      </w:r>
      <w:r>
        <w:rPr>
          <w:rFonts w:hint="eastAsia" w:ascii="宋体" w:hAnsi="宋体" w:eastAsia="宋体"/>
          <w:color w:val="auto"/>
          <w:szCs w:val="21"/>
          <w:highlight w:val="none"/>
        </w:rPr>
        <w:t>）《自治区住房城乡建设厅关于调整建设工程计价增值税税率的通知》（桂建标[2019]12号文）；</w:t>
      </w:r>
    </w:p>
    <w:p w14:paraId="6A27E40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3</w:t>
      </w:r>
      <w:r>
        <w:rPr>
          <w:rFonts w:hint="eastAsia" w:ascii="宋体" w:hAnsi="宋体" w:eastAsia="宋体"/>
          <w:color w:val="auto"/>
          <w:szCs w:val="21"/>
          <w:highlight w:val="none"/>
        </w:rPr>
        <w:t>）《自治区住房城乡建设厅关于调整建设工程定额人工费及有关费率的通知》（桂建标[2023]7号）；</w:t>
      </w:r>
    </w:p>
    <w:p w14:paraId="3E97ED7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4）</w:t>
      </w:r>
      <w:r>
        <w:rPr>
          <w:rFonts w:hint="eastAsia" w:ascii="宋体" w:hAnsi="宋体" w:eastAsia="宋体"/>
          <w:color w:val="auto"/>
          <w:szCs w:val="21"/>
          <w:highlight w:val="none"/>
        </w:rPr>
        <w:t>《自治区住房城乡建设厅关于印发广西壮族自治区房屋建筑和市政基础设施工程安装生产责任保险计价规定的通知》（桂建发〔2023〕6号）；</w:t>
      </w:r>
    </w:p>
    <w:p w14:paraId="1762C06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5</w:t>
      </w:r>
      <w:r>
        <w:rPr>
          <w:rFonts w:hint="eastAsia" w:ascii="宋体" w:hAnsi="宋体" w:eastAsia="宋体"/>
          <w:color w:val="auto"/>
          <w:szCs w:val="21"/>
          <w:highlight w:val="none"/>
        </w:rPr>
        <w:t>）现行相关的标准、规范、技术资料；</w:t>
      </w:r>
    </w:p>
    <w:p w14:paraId="427CC2B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6</w:t>
      </w:r>
      <w:r>
        <w:rPr>
          <w:rFonts w:hint="eastAsia" w:ascii="宋体" w:hAnsi="宋体" w:eastAsia="宋体"/>
          <w:color w:val="auto"/>
          <w:szCs w:val="21"/>
          <w:highlight w:val="none"/>
        </w:rPr>
        <w:t>）本工程施工图纸。</w:t>
      </w:r>
    </w:p>
    <w:p w14:paraId="47465A9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（3）建设工程设计文件及相关资料：详见施工图纸。</w:t>
      </w:r>
    </w:p>
    <w:p w14:paraId="710D4B1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（4）本工程磋商文件及工程量清单；</w:t>
      </w:r>
    </w:p>
    <w:p w14:paraId="26065FB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（5）与建设项目相关的标准、规范、技术资料；</w:t>
      </w:r>
    </w:p>
    <w:p w14:paraId="5D9399E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（6）施工现场情况、工程特点及常规施工方案；</w:t>
      </w:r>
    </w:p>
    <w:p w14:paraId="0284B86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（7）材料价格信息：材料价格按《南宁建设工程造价信息》</w:t>
      </w:r>
      <w:r>
        <w:rPr>
          <w:rFonts w:hint="eastAsia" w:ascii="宋体" w:hAnsi="宋体" w:eastAsia="宋体"/>
          <w:color w:val="auto"/>
          <w:szCs w:val="21"/>
          <w:highlight w:val="none"/>
        </w:rPr>
        <w:t>202</w:t>
      </w:r>
      <w:r>
        <w:rPr>
          <w:rFonts w:ascii="宋体" w:hAnsi="宋体" w:eastAsia="宋体"/>
          <w:color w:val="auto"/>
          <w:szCs w:val="21"/>
          <w:highlight w:val="none"/>
        </w:rPr>
        <w:t>5</w:t>
      </w:r>
      <w:r>
        <w:rPr>
          <w:rFonts w:hint="eastAsia" w:ascii="宋体" w:hAnsi="宋体" w:eastAsia="宋体"/>
          <w:color w:val="auto"/>
          <w:szCs w:val="21"/>
          <w:highlight w:val="none"/>
        </w:rPr>
        <w:t>第</w:t>
      </w:r>
      <w:r>
        <w:rPr>
          <w:rFonts w:ascii="宋体" w:hAnsi="宋体" w:eastAsia="宋体"/>
          <w:color w:val="auto"/>
          <w:szCs w:val="21"/>
          <w:highlight w:val="none"/>
        </w:rPr>
        <w:t>2</w:t>
      </w:r>
      <w:r>
        <w:rPr>
          <w:rFonts w:hint="eastAsia" w:ascii="宋体" w:hAnsi="宋体" w:eastAsia="宋体"/>
          <w:color w:val="auto"/>
          <w:szCs w:val="21"/>
          <w:highlight w:val="none"/>
        </w:rPr>
        <w:t>期（下半月刊）</w:t>
      </w:r>
      <w:r>
        <w:rPr>
          <w:rFonts w:hint="eastAsia" w:ascii="宋体" w:hAnsi="宋体" w:eastAsia="宋体"/>
          <w:color w:val="auto"/>
          <w:szCs w:val="21"/>
          <w:highlight w:val="none"/>
        </w:rPr>
        <w:t>计取，南宁市没有发布价格信息的材料参考其它市信息价或市场询价。</w:t>
      </w:r>
    </w:p>
    <w:p w14:paraId="38A3B7D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2.2分部分项及单价措施项目综合单价应包括磋商文件中采购人要求供应商所承担的风险内容及其范围（幅度）产生的风险费用。</w:t>
      </w:r>
    </w:p>
    <w:p w14:paraId="7BD16EB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2.3总价措施项目应根据拟定的磋商文件和常规施工方案按《计价规范》和《计算规范》规定编制。</w:t>
      </w:r>
    </w:p>
    <w:p w14:paraId="2C90E2E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2.4其他项目费应按下列规定报价：</w:t>
      </w:r>
    </w:p>
    <w:p w14:paraId="4D5EA1E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（1）暂列金额应按工程量清单中列出的金额填写；</w:t>
      </w:r>
    </w:p>
    <w:p w14:paraId="4275BB7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（2）材料、工程设备暂估价应按工程量清单中列出的单价计入综合单价；</w:t>
      </w:r>
    </w:p>
    <w:p w14:paraId="39A48B1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（3）专业工程暂估价应按工程量清单中列出的金额填写，安全生产责任保险费暂估价应按工程量清单中列出的金额填写；</w:t>
      </w:r>
    </w:p>
    <w:p w14:paraId="787884D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（4）计日工应按工程量清单中列出的项目和数量，根据工程特点和有关计价依据确定的综合单价计算；</w:t>
      </w:r>
    </w:p>
    <w:p w14:paraId="4896F50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2.5规费和增值税应按规定确定，作为不可竞争费用。</w:t>
      </w:r>
    </w:p>
    <w:p w14:paraId="6243C2E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2.6其它需要说明的问题：无。</w:t>
      </w:r>
    </w:p>
    <w:p w14:paraId="5C99B159">
      <w:pPr>
        <w:shd w:val="clear"/>
        <w:spacing w:line="360" w:lineRule="auto"/>
        <w:ind w:firstLine="420" w:firstLineChars="200"/>
        <w:rPr>
          <w:rFonts w:ascii="宋体" w:hAnsi="宋体" w:eastAsia="宋体"/>
          <w:b/>
          <w:color w:val="auto"/>
          <w:szCs w:val="21"/>
          <w:highlight w:val="none"/>
        </w:rPr>
      </w:pPr>
      <w:r>
        <w:rPr>
          <w:rFonts w:hint="eastAsia" w:ascii="宋体" w:hAnsi="宋体" w:eastAsia="宋体"/>
          <w:color w:val="auto"/>
          <w:szCs w:val="21"/>
          <w:highlight w:val="none"/>
        </w:rPr>
        <w:t>3.最高限价和图纸（另册）</w:t>
      </w:r>
      <w:bookmarkEnd w:id="27"/>
      <w:bookmarkEnd w:id="28"/>
    </w:p>
    <w:p w14:paraId="0F358677">
      <w:pPr>
        <w:shd w:val="clea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1374429F">
      <w:pPr>
        <w:pStyle w:val="2"/>
        <w:shd w:val="clear"/>
        <w:jc w:val="center"/>
        <w:rPr>
          <w:rFonts w:ascii="宋体" w:hAnsi="宋体" w:eastAsia="宋体"/>
          <w:color w:val="auto"/>
          <w:highlight w:val="none"/>
        </w:rPr>
      </w:pPr>
      <w:bookmarkStart w:id="29" w:name="_Toc197530116"/>
      <w:r>
        <w:rPr>
          <w:rFonts w:hint="eastAsia" w:ascii="宋体" w:hAnsi="宋体" w:eastAsia="宋体"/>
          <w:color w:val="auto"/>
          <w:highlight w:val="none"/>
        </w:rPr>
        <w:t>第六</w:t>
      </w:r>
      <w:r>
        <w:rPr>
          <w:rFonts w:hint="eastAsia" w:ascii="宋体" w:hAnsi="宋体" w:eastAsia="宋体"/>
          <w:color w:val="auto"/>
          <w:spacing w:val="100"/>
          <w:highlight w:val="none"/>
        </w:rPr>
        <w:t>章</w:t>
      </w:r>
      <w:r>
        <w:rPr>
          <w:rFonts w:hint="eastAsia" w:ascii="宋体" w:hAnsi="宋体" w:eastAsia="宋体"/>
          <w:color w:val="auto"/>
          <w:highlight w:val="none"/>
        </w:rPr>
        <w:t>响应文件格式</w:t>
      </w:r>
      <w:bookmarkEnd w:id="29"/>
    </w:p>
    <w:p w14:paraId="6E2C9ADC">
      <w:pPr>
        <w:pStyle w:val="3"/>
        <w:shd w:val="clear"/>
        <w:jc w:val="center"/>
        <w:rPr>
          <w:color w:val="auto"/>
          <w:highlight w:val="none"/>
        </w:rPr>
      </w:pPr>
      <w:bookmarkStart w:id="30" w:name="_Toc197530117"/>
      <w:r>
        <w:rPr>
          <w:rFonts w:hint="eastAsia"/>
          <w:color w:val="auto"/>
          <w:highlight w:val="none"/>
        </w:rPr>
        <w:t>一、资格证明文件格式</w:t>
      </w:r>
      <w:bookmarkEnd w:id="30"/>
    </w:p>
    <w:p w14:paraId="403DE69A">
      <w:pPr>
        <w:shd w:val="clear"/>
        <w:spacing w:line="360" w:lineRule="auto"/>
        <w:ind w:firstLine="420" w:firstLineChars="200"/>
        <w:rPr>
          <w:rFonts w:ascii="宋体" w:hAnsi="宋体" w:eastAsia="宋体"/>
          <w:color w:val="auto"/>
          <w:szCs w:val="21"/>
          <w:highlight w:val="none"/>
        </w:rPr>
      </w:pPr>
    </w:p>
    <w:p w14:paraId="21C48561">
      <w:pPr>
        <w:shd w:val="clear"/>
        <w:spacing w:line="360" w:lineRule="auto"/>
        <w:ind w:firstLine="420" w:firstLineChars="200"/>
        <w:rPr>
          <w:rFonts w:ascii="宋体" w:hAnsi="宋体" w:eastAsia="宋体"/>
          <w:color w:val="auto"/>
          <w:szCs w:val="21"/>
          <w:highlight w:val="none"/>
        </w:rPr>
      </w:pPr>
    </w:p>
    <w:p w14:paraId="0B3D8F24">
      <w:pPr>
        <w:shd w:val="clear"/>
        <w:spacing w:line="360" w:lineRule="auto"/>
        <w:jc w:val="center"/>
        <w:rPr>
          <w:rFonts w:ascii="宋体" w:hAnsi="宋体" w:eastAsia="宋体"/>
          <w:b/>
          <w:color w:val="auto"/>
          <w:sz w:val="84"/>
          <w:szCs w:val="84"/>
          <w:highlight w:val="none"/>
        </w:rPr>
      </w:pPr>
      <w:r>
        <w:rPr>
          <w:rFonts w:hint="eastAsia" w:ascii="宋体" w:hAnsi="宋体" w:eastAsia="宋体"/>
          <w:b/>
          <w:color w:val="auto"/>
          <w:sz w:val="84"/>
          <w:szCs w:val="84"/>
          <w:highlight w:val="none"/>
        </w:rPr>
        <w:t>资格证明文件（封面）</w:t>
      </w:r>
    </w:p>
    <w:p w14:paraId="53A914B2">
      <w:pPr>
        <w:shd w:val="clear"/>
        <w:spacing w:line="360" w:lineRule="auto"/>
        <w:ind w:firstLine="420" w:firstLineChars="200"/>
        <w:rPr>
          <w:rFonts w:ascii="宋体" w:hAnsi="宋体" w:eastAsia="宋体"/>
          <w:color w:val="auto"/>
          <w:szCs w:val="21"/>
          <w:highlight w:val="none"/>
        </w:rPr>
      </w:pPr>
    </w:p>
    <w:p w14:paraId="188BC87C">
      <w:pPr>
        <w:shd w:val="clear"/>
        <w:spacing w:line="360" w:lineRule="auto"/>
        <w:ind w:firstLine="420" w:firstLineChars="200"/>
        <w:rPr>
          <w:rFonts w:ascii="宋体" w:hAnsi="宋体" w:eastAsia="宋体"/>
          <w:color w:val="auto"/>
          <w:szCs w:val="21"/>
          <w:highlight w:val="none"/>
        </w:rPr>
      </w:pPr>
    </w:p>
    <w:p w14:paraId="4596EC07">
      <w:pPr>
        <w:shd w:val="clear"/>
        <w:spacing w:line="360" w:lineRule="auto"/>
        <w:ind w:firstLine="420" w:firstLineChars="200"/>
        <w:rPr>
          <w:rFonts w:ascii="宋体" w:hAnsi="宋体" w:eastAsia="宋体"/>
          <w:color w:val="auto"/>
          <w:szCs w:val="21"/>
          <w:highlight w:val="none"/>
        </w:rPr>
      </w:pPr>
    </w:p>
    <w:p w14:paraId="49E99E1C">
      <w:pPr>
        <w:shd w:val="clear"/>
        <w:spacing w:line="360" w:lineRule="auto"/>
        <w:ind w:firstLine="420" w:firstLineChars="200"/>
        <w:rPr>
          <w:rFonts w:ascii="宋体" w:hAnsi="宋体" w:eastAsia="宋体"/>
          <w:color w:val="auto"/>
          <w:szCs w:val="21"/>
          <w:highlight w:val="none"/>
        </w:rPr>
      </w:pPr>
    </w:p>
    <w:p w14:paraId="226382A6">
      <w:pPr>
        <w:shd w:val="clear"/>
        <w:spacing w:line="360" w:lineRule="auto"/>
        <w:ind w:firstLine="420" w:firstLineChars="200"/>
        <w:rPr>
          <w:rFonts w:ascii="宋体" w:hAnsi="宋体" w:eastAsia="宋体"/>
          <w:color w:val="auto"/>
          <w:szCs w:val="21"/>
          <w:highlight w:val="none"/>
        </w:rPr>
      </w:pPr>
    </w:p>
    <w:p w14:paraId="5E97D20D">
      <w:pPr>
        <w:shd w:val="clea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项目名称：</w:t>
      </w:r>
    </w:p>
    <w:p w14:paraId="01621BF6">
      <w:pPr>
        <w:shd w:val="clear"/>
        <w:spacing w:line="360" w:lineRule="auto"/>
        <w:ind w:firstLine="420" w:firstLineChars="200"/>
        <w:rPr>
          <w:rFonts w:ascii="宋体" w:hAnsi="宋体" w:eastAsia="宋体"/>
          <w:color w:val="auto"/>
          <w:szCs w:val="21"/>
          <w:highlight w:val="none"/>
        </w:rPr>
      </w:pPr>
    </w:p>
    <w:p w14:paraId="2BD75AAD">
      <w:pPr>
        <w:shd w:val="clea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项目编号：</w:t>
      </w:r>
    </w:p>
    <w:p w14:paraId="7FBE5C10">
      <w:pPr>
        <w:shd w:val="clear"/>
        <w:spacing w:line="360" w:lineRule="auto"/>
        <w:ind w:firstLine="420" w:firstLineChars="200"/>
        <w:rPr>
          <w:rFonts w:ascii="宋体" w:hAnsi="宋体" w:eastAsia="宋体"/>
          <w:color w:val="auto"/>
          <w:szCs w:val="21"/>
          <w:highlight w:val="none"/>
        </w:rPr>
      </w:pPr>
    </w:p>
    <w:p w14:paraId="44DEC683">
      <w:pPr>
        <w:shd w:val="clea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所竞分标（如有则填写，无分标时填写“无”或者留空）：</w:t>
      </w:r>
    </w:p>
    <w:p w14:paraId="31727904">
      <w:pPr>
        <w:shd w:val="clear"/>
        <w:spacing w:line="360" w:lineRule="auto"/>
        <w:ind w:firstLine="420" w:firstLineChars="200"/>
        <w:rPr>
          <w:rFonts w:ascii="宋体" w:hAnsi="宋体" w:eastAsia="宋体"/>
          <w:color w:val="auto"/>
          <w:szCs w:val="21"/>
          <w:highlight w:val="none"/>
        </w:rPr>
      </w:pPr>
    </w:p>
    <w:p w14:paraId="0F9957BC">
      <w:pPr>
        <w:shd w:val="clea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供应商名称：</w:t>
      </w:r>
    </w:p>
    <w:p w14:paraId="08C79381">
      <w:pPr>
        <w:shd w:val="clear"/>
        <w:spacing w:line="360" w:lineRule="auto"/>
        <w:ind w:firstLine="640" w:firstLineChars="200"/>
        <w:rPr>
          <w:rFonts w:ascii="宋体" w:hAnsi="宋体" w:eastAsia="宋体"/>
          <w:color w:val="auto"/>
          <w:sz w:val="32"/>
          <w:szCs w:val="32"/>
          <w:highlight w:val="none"/>
        </w:rPr>
      </w:pPr>
    </w:p>
    <w:p w14:paraId="6B7264EC">
      <w:pPr>
        <w:shd w:val="clear"/>
        <w:spacing w:line="360" w:lineRule="auto"/>
        <w:ind w:firstLine="420" w:firstLineChars="200"/>
        <w:rPr>
          <w:rFonts w:ascii="宋体" w:hAnsi="宋体" w:eastAsia="宋体"/>
          <w:color w:val="auto"/>
          <w:szCs w:val="21"/>
          <w:highlight w:val="none"/>
        </w:rPr>
      </w:pPr>
    </w:p>
    <w:p w14:paraId="1E96A042">
      <w:pPr>
        <w:shd w:val="clear"/>
        <w:spacing w:line="360" w:lineRule="auto"/>
        <w:ind w:firstLine="420" w:firstLineChars="200"/>
        <w:rPr>
          <w:rFonts w:ascii="宋体" w:hAnsi="宋体" w:eastAsia="宋体"/>
          <w:color w:val="auto"/>
          <w:szCs w:val="21"/>
          <w:highlight w:val="none"/>
        </w:rPr>
      </w:pPr>
    </w:p>
    <w:p w14:paraId="138EB475">
      <w:pPr>
        <w:shd w:val="clear"/>
        <w:spacing w:line="360" w:lineRule="auto"/>
        <w:ind w:firstLine="420" w:firstLineChars="200"/>
        <w:rPr>
          <w:rFonts w:ascii="宋体" w:hAnsi="宋体" w:eastAsia="宋体"/>
          <w:color w:val="auto"/>
          <w:szCs w:val="21"/>
          <w:highlight w:val="none"/>
        </w:rPr>
      </w:pPr>
    </w:p>
    <w:p w14:paraId="64ADB3FC">
      <w:pPr>
        <w:shd w:val="clear"/>
        <w:spacing w:line="360" w:lineRule="auto"/>
        <w:jc w:val="center"/>
        <w:rPr>
          <w:rFonts w:ascii="宋体" w:hAnsi="宋体" w:eastAsia="宋体" w:cs="Times New Roman"/>
          <w:color w:val="auto"/>
          <w:sz w:val="32"/>
          <w:szCs w:val="32"/>
          <w:highlight w:val="none"/>
        </w:rPr>
      </w:pPr>
      <w:r>
        <w:rPr>
          <w:rFonts w:ascii="宋体" w:hAnsi="宋体" w:eastAsia="宋体" w:cs="Times New Roman"/>
          <w:color w:val="auto"/>
          <w:sz w:val="32"/>
          <w:szCs w:val="32"/>
          <w:highlight w:val="none"/>
          <w:u w:val="single"/>
        </w:rPr>
        <w:t xml:space="preserve">   </w:t>
      </w:r>
      <w:r>
        <w:rPr>
          <w:rFonts w:hint="eastAsia" w:ascii="宋体" w:hAnsi="宋体" w:eastAsia="宋体" w:cs="Times New Roman"/>
          <w:color w:val="auto"/>
          <w:sz w:val="32"/>
          <w:szCs w:val="32"/>
          <w:highlight w:val="none"/>
        </w:rPr>
        <w:t>年</w:t>
      </w:r>
      <w:r>
        <w:rPr>
          <w:rFonts w:ascii="宋体" w:hAnsi="宋体" w:eastAsia="宋体" w:cs="Times New Roman"/>
          <w:color w:val="auto"/>
          <w:sz w:val="32"/>
          <w:szCs w:val="32"/>
          <w:highlight w:val="none"/>
          <w:u w:val="single"/>
        </w:rPr>
        <w:t xml:space="preserve">   </w:t>
      </w:r>
      <w:r>
        <w:rPr>
          <w:rFonts w:hint="eastAsia" w:ascii="宋体" w:hAnsi="宋体" w:eastAsia="宋体" w:cs="Times New Roman"/>
          <w:color w:val="auto"/>
          <w:sz w:val="32"/>
          <w:szCs w:val="32"/>
          <w:highlight w:val="none"/>
        </w:rPr>
        <w:t>月</w:t>
      </w:r>
      <w:r>
        <w:rPr>
          <w:rFonts w:ascii="宋体" w:hAnsi="宋体" w:eastAsia="宋体" w:cs="Times New Roman"/>
          <w:color w:val="auto"/>
          <w:sz w:val="32"/>
          <w:szCs w:val="32"/>
          <w:highlight w:val="none"/>
          <w:u w:val="single"/>
        </w:rPr>
        <w:t xml:space="preserve">   </w:t>
      </w:r>
      <w:r>
        <w:rPr>
          <w:rFonts w:hint="eastAsia" w:ascii="宋体" w:hAnsi="宋体" w:eastAsia="宋体" w:cs="Times New Roman"/>
          <w:color w:val="auto"/>
          <w:sz w:val="32"/>
          <w:szCs w:val="32"/>
          <w:highlight w:val="none"/>
        </w:rPr>
        <w:t>日</w:t>
      </w:r>
    </w:p>
    <w:p w14:paraId="76DEAF53">
      <w:pPr>
        <w:shd w:val="clea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57F8E8C1">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资格证明文件目录</w:t>
      </w:r>
    </w:p>
    <w:p w14:paraId="030619A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根据磋商文件规定及供应商提供的材料自行编写目录（部分格式后附）。</w:t>
      </w:r>
    </w:p>
    <w:p w14:paraId="1C128724">
      <w:pPr>
        <w:shd w:val="clea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0DD72C67">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（一）供应商为法人或者其他组织的，提供营业执照等证明文件复印件（如营业执照或者事业单位法人证书或者执业许可证等）</w:t>
      </w:r>
    </w:p>
    <w:p w14:paraId="12CF1801">
      <w:pPr>
        <w:shd w:val="clear"/>
        <w:spacing w:line="360" w:lineRule="auto"/>
        <w:ind w:firstLine="420" w:firstLineChars="200"/>
        <w:rPr>
          <w:rFonts w:ascii="宋体" w:hAnsi="宋体" w:eastAsia="宋体"/>
          <w:color w:val="auto"/>
          <w:szCs w:val="21"/>
          <w:highlight w:val="none"/>
        </w:rPr>
      </w:pPr>
    </w:p>
    <w:p w14:paraId="2DD894C3">
      <w:pPr>
        <w:shd w:val="clear"/>
        <w:spacing w:line="360" w:lineRule="auto"/>
        <w:ind w:firstLine="420" w:firstLineChars="200"/>
        <w:rPr>
          <w:rFonts w:ascii="宋体" w:hAnsi="宋体" w:eastAsia="宋体"/>
          <w:color w:val="auto"/>
          <w:szCs w:val="21"/>
          <w:highlight w:val="none"/>
        </w:rPr>
      </w:pPr>
    </w:p>
    <w:p w14:paraId="68CFD1BB">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（二）符合参与政府采购活动的资格条件依法缴纳税收、社会保障资金等方面的材料</w:t>
      </w:r>
    </w:p>
    <w:p w14:paraId="07ADEB6C">
      <w:pPr>
        <w:shd w:val="clear"/>
        <w:spacing w:line="360" w:lineRule="auto"/>
        <w:ind w:firstLine="420" w:firstLineChars="200"/>
        <w:rPr>
          <w:rFonts w:ascii="宋体" w:hAnsi="宋体" w:eastAsia="宋体"/>
          <w:color w:val="auto"/>
          <w:szCs w:val="21"/>
          <w:highlight w:val="none"/>
        </w:rPr>
      </w:pPr>
    </w:p>
    <w:p w14:paraId="362D44B5">
      <w:pPr>
        <w:shd w:val="clear"/>
        <w:spacing w:line="360" w:lineRule="auto"/>
        <w:ind w:firstLine="420" w:firstLineChars="200"/>
        <w:rPr>
          <w:rFonts w:ascii="宋体" w:hAnsi="宋体" w:eastAsia="宋体"/>
          <w:color w:val="auto"/>
          <w:szCs w:val="21"/>
          <w:highlight w:val="none"/>
        </w:rPr>
      </w:pPr>
    </w:p>
    <w:p w14:paraId="01B1AF9F">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（三）财务状况报告方面的材料</w:t>
      </w:r>
    </w:p>
    <w:p w14:paraId="18AB0E67">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3.1财务状况报告</w:t>
      </w:r>
    </w:p>
    <w:p w14:paraId="017D3699">
      <w:pPr>
        <w:shd w:val="clear"/>
        <w:spacing w:line="360" w:lineRule="auto"/>
        <w:jc w:val="center"/>
        <w:rPr>
          <w:rFonts w:ascii="宋体" w:hAnsi="宋体" w:eastAsia="宋体" w:cs="Times New Roman"/>
          <w:b/>
          <w:color w:val="auto"/>
          <w:sz w:val="32"/>
          <w:szCs w:val="32"/>
          <w:highlight w:val="none"/>
        </w:rPr>
      </w:pPr>
    </w:p>
    <w:p w14:paraId="7BF4B3E0">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3.2财务状况承诺书</w:t>
      </w:r>
    </w:p>
    <w:p w14:paraId="24DAC7EC">
      <w:pPr>
        <w:shd w:val="clear"/>
        <w:spacing w:line="360" w:lineRule="auto"/>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我公司郑重承诺：承诺合同履行过程中，由于账户问题导致工程款无法按时支付的，由我公司负责。</w:t>
      </w:r>
    </w:p>
    <w:p w14:paraId="5413EFB8">
      <w:pPr>
        <w:shd w:val="clea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法定代表人（签字或者盖章或者电子签名）：</w:t>
      </w:r>
    </w:p>
    <w:p w14:paraId="1AFA161A">
      <w:pPr>
        <w:shd w:val="clea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66202E58">
      <w:pPr>
        <w:shd w:val="clea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w:t>
      </w:r>
    </w:p>
    <w:p w14:paraId="499127D7">
      <w:pPr>
        <w:shd w:val="clear"/>
        <w:spacing w:line="360" w:lineRule="auto"/>
        <w:ind w:firstLine="420" w:firstLineChars="200"/>
        <w:rPr>
          <w:rFonts w:ascii="宋体" w:hAnsi="宋体" w:eastAsia="宋体"/>
          <w:color w:val="auto"/>
          <w:szCs w:val="21"/>
          <w:highlight w:val="none"/>
        </w:rPr>
      </w:pPr>
    </w:p>
    <w:p w14:paraId="75543C44">
      <w:pPr>
        <w:shd w:val="clear"/>
        <w:spacing w:line="360" w:lineRule="auto"/>
        <w:ind w:firstLine="420" w:firstLineChars="200"/>
        <w:rPr>
          <w:rFonts w:ascii="宋体" w:hAnsi="宋体" w:eastAsia="宋体"/>
          <w:color w:val="auto"/>
          <w:szCs w:val="21"/>
          <w:highlight w:val="none"/>
        </w:rPr>
      </w:pPr>
    </w:p>
    <w:p w14:paraId="3B98EC0C">
      <w:pPr>
        <w:shd w:val="clear"/>
        <w:spacing w:line="360" w:lineRule="auto"/>
        <w:ind w:firstLine="420" w:firstLineChars="200"/>
        <w:rPr>
          <w:rFonts w:ascii="宋体" w:hAnsi="宋体" w:eastAsia="宋体"/>
          <w:color w:val="auto"/>
          <w:szCs w:val="21"/>
          <w:highlight w:val="none"/>
        </w:rPr>
      </w:pPr>
    </w:p>
    <w:p w14:paraId="74A45F33">
      <w:pPr>
        <w:shd w:val="clear"/>
        <w:spacing w:line="360" w:lineRule="auto"/>
        <w:jc w:val="center"/>
        <w:rPr>
          <w:rFonts w:ascii="宋体" w:hAnsi="宋体" w:eastAsia="宋体" w:cs="Times New Roman"/>
          <w:b/>
          <w:color w:val="auto"/>
          <w:sz w:val="32"/>
          <w:szCs w:val="32"/>
          <w:highlight w:val="none"/>
        </w:rPr>
        <w:sectPr>
          <w:pgSz w:w="11906" w:h="16838"/>
          <w:pgMar w:top="1134" w:right="1134" w:bottom="1134" w:left="1134" w:header="851" w:footer="992" w:gutter="0"/>
          <w:cols w:space="425" w:num="1"/>
          <w:docGrid w:type="lines" w:linePitch="312" w:charSpace="0"/>
        </w:sectPr>
      </w:pPr>
    </w:p>
    <w:p w14:paraId="60E5155F">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（四）供应商直接控股股东信息表</w:t>
      </w:r>
    </w:p>
    <w:p w14:paraId="4F71C271">
      <w:pPr>
        <w:shd w:val="clear"/>
        <w:spacing w:line="360" w:lineRule="auto"/>
        <w:ind w:firstLine="420" w:firstLineChars="200"/>
        <w:rPr>
          <w:rFonts w:ascii="宋体" w:hAnsi="宋体" w:eastAsia="宋体"/>
          <w:color w:val="auto"/>
          <w:szCs w:val="21"/>
          <w:highlight w:val="none"/>
        </w:rPr>
      </w:pPr>
    </w:p>
    <w:tbl>
      <w:tblPr>
        <w:tblStyle w:val="3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2680"/>
        <w:gridCol w:w="1449"/>
        <w:gridCol w:w="3917"/>
        <w:gridCol w:w="1144"/>
      </w:tblGrid>
      <w:tr w14:paraId="74AB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5A3D363A">
            <w:pPr>
              <w:shd w:val="clea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361" w:type="pct"/>
          </w:tcPr>
          <w:p w14:paraId="79562C5A">
            <w:pPr>
              <w:shd w:val="clear"/>
              <w:spacing w:line="360" w:lineRule="auto"/>
              <w:jc w:val="center"/>
              <w:rPr>
                <w:rFonts w:ascii="宋体" w:hAnsi="宋体"/>
                <w:b/>
                <w:color w:val="auto"/>
                <w:szCs w:val="21"/>
                <w:highlight w:val="none"/>
              </w:rPr>
            </w:pPr>
            <w:r>
              <w:rPr>
                <w:rFonts w:hint="eastAsia" w:ascii="宋体" w:hAnsi="宋体"/>
                <w:b/>
                <w:color w:val="auto"/>
                <w:szCs w:val="21"/>
                <w:highlight w:val="none"/>
              </w:rPr>
              <w:t>直接控股股东名称</w:t>
            </w:r>
          </w:p>
        </w:tc>
        <w:tc>
          <w:tcPr>
            <w:tcW w:w="736" w:type="pct"/>
          </w:tcPr>
          <w:p w14:paraId="79F07E5D">
            <w:pPr>
              <w:shd w:val="clear"/>
              <w:spacing w:line="360" w:lineRule="auto"/>
              <w:jc w:val="center"/>
              <w:rPr>
                <w:rFonts w:ascii="宋体" w:hAnsi="宋体"/>
                <w:b/>
                <w:color w:val="auto"/>
                <w:szCs w:val="21"/>
                <w:highlight w:val="none"/>
              </w:rPr>
            </w:pPr>
            <w:r>
              <w:rPr>
                <w:rFonts w:hint="eastAsia" w:ascii="宋体" w:hAnsi="宋体"/>
                <w:b/>
                <w:color w:val="auto"/>
                <w:szCs w:val="21"/>
                <w:highlight w:val="none"/>
              </w:rPr>
              <w:t>出资比例</w:t>
            </w:r>
          </w:p>
        </w:tc>
        <w:tc>
          <w:tcPr>
            <w:tcW w:w="1989" w:type="pct"/>
          </w:tcPr>
          <w:p w14:paraId="1A2CB7CA">
            <w:pPr>
              <w:shd w:val="clear"/>
              <w:spacing w:line="360" w:lineRule="auto"/>
              <w:jc w:val="center"/>
              <w:rPr>
                <w:rFonts w:ascii="宋体" w:hAnsi="宋体"/>
                <w:b/>
                <w:color w:val="auto"/>
                <w:szCs w:val="21"/>
                <w:highlight w:val="none"/>
              </w:rPr>
            </w:pPr>
            <w:r>
              <w:rPr>
                <w:rFonts w:hint="eastAsia" w:ascii="宋体" w:hAnsi="宋体"/>
                <w:b/>
                <w:color w:val="auto"/>
                <w:szCs w:val="21"/>
                <w:highlight w:val="none"/>
              </w:rPr>
              <w:t>身份证号码或者统一社会信用代码</w:t>
            </w:r>
          </w:p>
        </w:tc>
        <w:tc>
          <w:tcPr>
            <w:tcW w:w="581" w:type="pct"/>
          </w:tcPr>
          <w:p w14:paraId="4093798E">
            <w:pPr>
              <w:shd w:val="clear"/>
              <w:spacing w:line="360" w:lineRule="auto"/>
              <w:jc w:val="center"/>
              <w:rPr>
                <w:rFonts w:ascii="宋体" w:hAnsi="宋体"/>
                <w:b/>
                <w:color w:val="auto"/>
                <w:szCs w:val="21"/>
                <w:highlight w:val="none"/>
              </w:rPr>
            </w:pPr>
            <w:r>
              <w:rPr>
                <w:rFonts w:hint="eastAsia" w:ascii="宋体" w:hAnsi="宋体"/>
                <w:b/>
                <w:color w:val="auto"/>
                <w:szCs w:val="21"/>
                <w:highlight w:val="none"/>
              </w:rPr>
              <w:t>备注</w:t>
            </w:r>
          </w:p>
        </w:tc>
      </w:tr>
      <w:tr w14:paraId="2011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602F604C">
            <w:pPr>
              <w:shd w:val="clea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361" w:type="pct"/>
          </w:tcPr>
          <w:p w14:paraId="148E2E63">
            <w:pPr>
              <w:shd w:val="clear"/>
              <w:spacing w:line="360" w:lineRule="auto"/>
              <w:jc w:val="center"/>
              <w:rPr>
                <w:rFonts w:ascii="宋体" w:hAnsi="宋体"/>
                <w:color w:val="auto"/>
                <w:szCs w:val="21"/>
                <w:highlight w:val="none"/>
              </w:rPr>
            </w:pPr>
          </w:p>
        </w:tc>
        <w:tc>
          <w:tcPr>
            <w:tcW w:w="736" w:type="pct"/>
          </w:tcPr>
          <w:p w14:paraId="2D963939">
            <w:pPr>
              <w:shd w:val="clear"/>
              <w:spacing w:line="360" w:lineRule="auto"/>
              <w:jc w:val="center"/>
              <w:rPr>
                <w:rFonts w:ascii="宋体" w:hAnsi="宋体"/>
                <w:color w:val="auto"/>
                <w:szCs w:val="21"/>
                <w:highlight w:val="none"/>
              </w:rPr>
            </w:pPr>
          </w:p>
        </w:tc>
        <w:tc>
          <w:tcPr>
            <w:tcW w:w="1989" w:type="pct"/>
          </w:tcPr>
          <w:p w14:paraId="771E0E74">
            <w:pPr>
              <w:shd w:val="clear"/>
              <w:spacing w:line="360" w:lineRule="auto"/>
              <w:jc w:val="center"/>
              <w:rPr>
                <w:rFonts w:ascii="宋体" w:hAnsi="宋体"/>
                <w:color w:val="auto"/>
                <w:szCs w:val="21"/>
                <w:highlight w:val="none"/>
              </w:rPr>
            </w:pPr>
          </w:p>
        </w:tc>
        <w:tc>
          <w:tcPr>
            <w:tcW w:w="581" w:type="pct"/>
          </w:tcPr>
          <w:p w14:paraId="571D74AC">
            <w:pPr>
              <w:shd w:val="clear"/>
              <w:spacing w:line="360" w:lineRule="auto"/>
              <w:jc w:val="center"/>
              <w:rPr>
                <w:rFonts w:ascii="宋体" w:hAnsi="宋体"/>
                <w:color w:val="auto"/>
                <w:szCs w:val="21"/>
                <w:highlight w:val="none"/>
              </w:rPr>
            </w:pPr>
          </w:p>
        </w:tc>
      </w:tr>
      <w:tr w14:paraId="73A7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64047D11">
            <w:pPr>
              <w:shd w:val="clea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361" w:type="pct"/>
          </w:tcPr>
          <w:p w14:paraId="1B3ECF2B">
            <w:pPr>
              <w:shd w:val="clear"/>
              <w:spacing w:line="360" w:lineRule="auto"/>
              <w:jc w:val="center"/>
              <w:rPr>
                <w:rFonts w:ascii="宋体" w:hAnsi="宋体"/>
                <w:color w:val="auto"/>
                <w:szCs w:val="21"/>
                <w:highlight w:val="none"/>
              </w:rPr>
            </w:pPr>
          </w:p>
        </w:tc>
        <w:tc>
          <w:tcPr>
            <w:tcW w:w="736" w:type="pct"/>
          </w:tcPr>
          <w:p w14:paraId="539E5DDE">
            <w:pPr>
              <w:shd w:val="clear"/>
              <w:spacing w:line="360" w:lineRule="auto"/>
              <w:jc w:val="center"/>
              <w:rPr>
                <w:rFonts w:ascii="宋体" w:hAnsi="宋体"/>
                <w:color w:val="auto"/>
                <w:szCs w:val="21"/>
                <w:highlight w:val="none"/>
              </w:rPr>
            </w:pPr>
          </w:p>
        </w:tc>
        <w:tc>
          <w:tcPr>
            <w:tcW w:w="1989" w:type="pct"/>
          </w:tcPr>
          <w:p w14:paraId="7D83DECB">
            <w:pPr>
              <w:shd w:val="clear"/>
              <w:spacing w:line="360" w:lineRule="auto"/>
              <w:jc w:val="center"/>
              <w:rPr>
                <w:rFonts w:ascii="宋体" w:hAnsi="宋体"/>
                <w:color w:val="auto"/>
                <w:szCs w:val="21"/>
                <w:highlight w:val="none"/>
              </w:rPr>
            </w:pPr>
          </w:p>
        </w:tc>
        <w:tc>
          <w:tcPr>
            <w:tcW w:w="581" w:type="pct"/>
          </w:tcPr>
          <w:p w14:paraId="47070715">
            <w:pPr>
              <w:shd w:val="clear"/>
              <w:spacing w:line="360" w:lineRule="auto"/>
              <w:jc w:val="center"/>
              <w:rPr>
                <w:rFonts w:ascii="宋体" w:hAnsi="宋体"/>
                <w:color w:val="auto"/>
                <w:szCs w:val="21"/>
                <w:highlight w:val="none"/>
              </w:rPr>
            </w:pPr>
          </w:p>
        </w:tc>
      </w:tr>
      <w:tr w14:paraId="02B4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0012D144">
            <w:pPr>
              <w:shd w:val="clea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361" w:type="pct"/>
          </w:tcPr>
          <w:p w14:paraId="6CF2D3E0">
            <w:pPr>
              <w:shd w:val="clear"/>
              <w:spacing w:line="360" w:lineRule="auto"/>
              <w:jc w:val="center"/>
              <w:rPr>
                <w:rFonts w:ascii="宋体" w:hAnsi="宋体"/>
                <w:color w:val="auto"/>
                <w:szCs w:val="21"/>
                <w:highlight w:val="none"/>
              </w:rPr>
            </w:pPr>
          </w:p>
        </w:tc>
        <w:tc>
          <w:tcPr>
            <w:tcW w:w="736" w:type="pct"/>
          </w:tcPr>
          <w:p w14:paraId="3AB71EBB">
            <w:pPr>
              <w:shd w:val="clear"/>
              <w:spacing w:line="360" w:lineRule="auto"/>
              <w:jc w:val="center"/>
              <w:rPr>
                <w:rFonts w:ascii="宋体" w:hAnsi="宋体"/>
                <w:color w:val="auto"/>
                <w:szCs w:val="21"/>
                <w:highlight w:val="none"/>
              </w:rPr>
            </w:pPr>
          </w:p>
        </w:tc>
        <w:tc>
          <w:tcPr>
            <w:tcW w:w="1989" w:type="pct"/>
          </w:tcPr>
          <w:p w14:paraId="1E22B1D8">
            <w:pPr>
              <w:shd w:val="clear"/>
              <w:spacing w:line="360" w:lineRule="auto"/>
              <w:jc w:val="center"/>
              <w:rPr>
                <w:rFonts w:ascii="宋体" w:hAnsi="宋体"/>
                <w:color w:val="auto"/>
                <w:szCs w:val="21"/>
                <w:highlight w:val="none"/>
              </w:rPr>
            </w:pPr>
          </w:p>
        </w:tc>
        <w:tc>
          <w:tcPr>
            <w:tcW w:w="581" w:type="pct"/>
          </w:tcPr>
          <w:p w14:paraId="340D7101">
            <w:pPr>
              <w:shd w:val="clear"/>
              <w:spacing w:line="360" w:lineRule="auto"/>
              <w:jc w:val="center"/>
              <w:rPr>
                <w:rFonts w:ascii="宋体" w:hAnsi="宋体"/>
                <w:color w:val="auto"/>
                <w:szCs w:val="21"/>
                <w:highlight w:val="none"/>
              </w:rPr>
            </w:pPr>
          </w:p>
        </w:tc>
      </w:tr>
      <w:tr w14:paraId="1A53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74447287">
            <w:pPr>
              <w:shd w:val="clea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361" w:type="pct"/>
          </w:tcPr>
          <w:p w14:paraId="00EAA733">
            <w:pPr>
              <w:shd w:val="clear"/>
              <w:spacing w:line="360" w:lineRule="auto"/>
              <w:jc w:val="center"/>
              <w:rPr>
                <w:rFonts w:ascii="宋体" w:hAnsi="宋体"/>
                <w:color w:val="auto"/>
                <w:szCs w:val="21"/>
                <w:highlight w:val="none"/>
              </w:rPr>
            </w:pPr>
          </w:p>
        </w:tc>
        <w:tc>
          <w:tcPr>
            <w:tcW w:w="736" w:type="pct"/>
          </w:tcPr>
          <w:p w14:paraId="451D0733">
            <w:pPr>
              <w:shd w:val="clear"/>
              <w:spacing w:line="360" w:lineRule="auto"/>
              <w:jc w:val="center"/>
              <w:rPr>
                <w:rFonts w:ascii="宋体" w:hAnsi="宋体"/>
                <w:color w:val="auto"/>
                <w:szCs w:val="21"/>
                <w:highlight w:val="none"/>
              </w:rPr>
            </w:pPr>
          </w:p>
        </w:tc>
        <w:tc>
          <w:tcPr>
            <w:tcW w:w="1989" w:type="pct"/>
          </w:tcPr>
          <w:p w14:paraId="05AA07CC">
            <w:pPr>
              <w:shd w:val="clear"/>
              <w:spacing w:line="360" w:lineRule="auto"/>
              <w:jc w:val="center"/>
              <w:rPr>
                <w:rFonts w:ascii="宋体" w:hAnsi="宋体"/>
                <w:color w:val="auto"/>
                <w:szCs w:val="21"/>
                <w:highlight w:val="none"/>
              </w:rPr>
            </w:pPr>
          </w:p>
        </w:tc>
        <w:tc>
          <w:tcPr>
            <w:tcW w:w="581" w:type="pct"/>
          </w:tcPr>
          <w:p w14:paraId="66F9DB00">
            <w:pPr>
              <w:shd w:val="clear"/>
              <w:spacing w:line="360" w:lineRule="auto"/>
              <w:jc w:val="center"/>
              <w:rPr>
                <w:rFonts w:ascii="宋体" w:hAnsi="宋体"/>
                <w:color w:val="auto"/>
                <w:szCs w:val="21"/>
                <w:highlight w:val="none"/>
              </w:rPr>
            </w:pPr>
          </w:p>
        </w:tc>
      </w:tr>
    </w:tbl>
    <w:p w14:paraId="0D1D8F7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w:t>
      </w:r>
    </w:p>
    <w:p w14:paraId="42150AB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C48E37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2.本表所指的控股关系仅限于直接控股关系，不包括间接的控股关系。公司实际控制人与公司之间的关系不属于本表所指的直接控股关系。</w:t>
      </w:r>
    </w:p>
    <w:p w14:paraId="534A8BD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3.供应商不存在直接控股股东的，则填“无”。</w:t>
      </w:r>
    </w:p>
    <w:p w14:paraId="6DE49C5C">
      <w:pPr>
        <w:shd w:val="clear"/>
        <w:spacing w:line="360" w:lineRule="auto"/>
        <w:ind w:firstLine="420" w:firstLineChars="200"/>
        <w:rPr>
          <w:rFonts w:ascii="宋体" w:hAnsi="宋体" w:eastAsia="宋体"/>
          <w:color w:val="auto"/>
          <w:szCs w:val="21"/>
          <w:highlight w:val="none"/>
        </w:rPr>
      </w:pPr>
    </w:p>
    <w:p w14:paraId="764F7805">
      <w:pPr>
        <w:shd w:val="clea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61BC48BB">
      <w:pPr>
        <w:shd w:val="clear"/>
        <w:spacing w:line="360" w:lineRule="auto"/>
        <w:ind w:firstLine="420" w:firstLineChars="200"/>
        <w:jc w:val="right"/>
        <w:rPr>
          <w:rFonts w:ascii="宋体" w:hAnsi="宋体" w:eastAsia="宋体"/>
          <w:color w:val="auto"/>
          <w:sz w:val="28"/>
          <w:szCs w:val="28"/>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w:t>
      </w:r>
    </w:p>
    <w:p w14:paraId="0F3F23F3">
      <w:pPr>
        <w:shd w:val="clear"/>
        <w:spacing w:line="360" w:lineRule="auto"/>
        <w:ind w:firstLine="420" w:firstLineChars="200"/>
        <w:rPr>
          <w:rFonts w:ascii="宋体" w:hAnsi="宋体" w:eastAsia="宋体"/>
          <w:color w:val="auto"/>
          <w:szCs w:val="21"/>
          <w:highlight w:val="none"/>
        </w:rPr>
      </w:pPr>
    </w:p>
    <w:p w14:paraId="0452D7FB">
      <w:pPr>
        <w:shd w:val="clear"/>
        <w:spacing w:line="360" w:lineRule="auto"/>
        <w:jc w:val="center"/>
        <w:rPr>
          <w:rFonts w:ascii="宋体" w:hAnsi="宋体" w:eastAsia="宋体" w:cs="Times New Roman"/>
          <w:b/>
          <w:color w:val="auto"/>
          <w:sz w:val="32"/>
          <w:szCs w:val="32"/>
          <w:highlight w:val="none"/>
        </w:rPr>
        <w:sectPr>
          <w:pgSz w:w="11906" w:h="16838"/>
          <w:pgMar w:top="1134" w:right="1134" w:bottom="1134" w:left="1134" w:header="851" w:footer="992" w:gutter="0"/>
          <w:cols w:space="425" w:num="1"/>
          <w:docGrid w:type="lines" w:linePitch="312" w:charSpace="0"/>
        </w:sectPr>
      </w:pPr>
    </w:p>
    <w:p w14:paraId="79345C39">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（五）供应商直接管理关系信息表</w:t>
      </w:r>
    </w:p>
    <w:p w14:paraId="68C2DEB5">
      <w:pPr>
        <w:shd w:val="clear"/>
        <w:spacing w:line="360" w:lineRule="auto"/>
        <w:ind w:firstLine="420" w:firstLineChars="200"/>
        <w:rPr>
          <w:rFonts w:ascii="宋体" w:hAnsi="宋体" w:eastAsia="宋体"/>
          <w:color w:val="auto"/>
          <w:szCs w:val="21"/>
          <w:highlight w:val="none"/>
        </w:rPr>
      </w:pPr>
    </w:p>
    <w:tbl>
      <w:tblPr>
        <w:tblStyle w:val="3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2461"/>
        <w:gridCol w:w="2461"/>
        <w:gridCol w:w="2461"/>
      </w:tblGrid>
      <w:tr w14:paraId="2985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16E6A417">
            <w:pPr>
              <w:shd w:val="clea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1250" w:type="pct"/>
          </w:tcPr>
          <w:p w14:paraId="2931D422">
            <w:pPr>
              <w:shd w:val="clear"/>
              <w:spacing w:line="360" w:lineRule="auto"/>
              <w:jc w:val="center"/>
              <w:rPr>
                <w:rFonts w:ascii="宋体" w:hAnsi="宋体"/>
                <w:b/>
                <w:color w:val="auto"/>
                <w:szCs w:val="21"/>
                <w:highlight w:val="none"/>
              </w:rPr>
            </w:pPr>
            <w:r>
              <w:rPr>
                <w:rFonts w:hint="eastAsia" w:ascii="宋体" w:hAnsi="宋体"/>
                <w:b/>
                <w:color w:val="auto"/>
                <w:szCs w:val="21"/>
                <w:highlight w:val="none"/>
              </w:rPr>
              <w:t>直接管理关系单位名称</w:t>
            </w:r>
          </w:p>
        </w:tc>
        <w:tc>
          <w:tcPr>
            <w:tcW w:w="1250" w:type="pct"/>
          </w:tcPr>
          <w:p w14:paraId="77A3E4A7">
            <w:pPr>
              <w:shd w:val="clear"/>
              <w:spacing w:line="360" w:lineRule="auto"/>
              <w:jc w:val="center"/>
              <w:rPr>
                <w:rFonts w:ascii="宋体" w:hAnsi="宋体"/>
                <w:b/>
                <w:color w:val="auto"/>
                <w:szCs w:val="21"/>
                <w:highlight w:val="none"/>
              </w:rPr>
            </w:pPr>
            <w:r>
              <w:rPr>
                <w:rFonts w:hint="eastAsia" w:ascii="宋体" w:hAnsi="宋体"/>
                <w:b/>
                <w:color w:val="auto"/>
                <w:szCs w:val="21"/>
                <w:highlight w:val="none"/>
              </w:rPr>
              <w:t>统一社会信用代码</w:t>
            </w:r>
          </w:p>
        </w:tc>
        <w:tc>
          <w:tcPr>
            <w:tcW w:w="1250" w:type="pct"/>
          </w:tcPr>
          <w:p w14:paraId="6587E5BC">
            <w:pPr>
              <w:shd w:val="clear"/>
              <w:spacing w:line="360" w:lineRule="auto"/>
              <w:jc w:val="center"/>
              <w:rPr>
                <w:rFonts w:ascii="宋体" w:hAnsi="宋体"/>
                <w:b/>
                <w:color w:val="auto"/>
                <w:szCs w:val="21"/>
                <w:highlight w:val="none"/>
              </w:rPr>
            </w:pPr>
            <w:r>
              <w:rPr>
                <w:rFonts w:hint="eastAsia" w:ascii="宋体" w:hAnsi="宋体"/>
                <w:b/>
                <w:color w:val="auto"/>
                <w:szCs w:val="21"/>
                <w:highlight w:val="none"/>
              </w:rPr>
              <w:t>备注</w:t>
            </w:r>
          </w:p>
        </w:tc>
      </w:tr>
      <w:tr w14:paraId="06CE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7759031B">
            <w:pPr>
              <w:shd w:val="clea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50" w:type="pct"/>
          </w:tcPr>
          <w:p w14:paraId="2CD9275C">
            <w:pPr>
              <w:shd w:val="clear"/>
              <w:spacing w:line="360" w:lineRule="auto"/>
              <w:jc w:val="center"/>
              <w:rPr>
                <w:rFonts w:ascii="宋体" w:hAnsi="宋体"/>
                <w:color w:val="auto"/>
                <w:szCs w:val="21"/>
                <w:highlight w:val="none"/>
              </w:rPr>
            </w:pPr>
          </w:p>
        </w:tc>
        <w:tc>
          <w:tcPr>
            <w:tcW w:w="1250" w:type="pct"/>
          </w:tcPr>
          <w:p w14:paraId="21C7B456">
            <w:pPr>
              <w:shd w:val="clear"/>
              <w:spacing w:line="360" w:lineRule="auto"/>
              <w:jc w:val="center"/>
              <w:rPr>
                <w:rFonts w:ascii="宋体" w:hAnsi="宋体"/>
                <w:color w:val="auto"/>
                <w:szCs w:val="21"/>
                <w:highlight w:val="none"/>
              </w:rPr>
            </w:pPr>
          </w:p>
        </w:tc>
        <w:tc>
          <w:tcPr>
            <w:tcW w:w="1250" w:type="pct"/>
          </w:tcPr>
          <w:p w14:paraId="055E1EC3">
            <w:pPr>
              <w:shd w:val="clear"/>
              <w:spacing w:line="360" w:lineRule="auto"/>
              <w:jc w:val="center"/>
              <w:rPr>
                <w:rFonts w:ascii="宋体" w:hAnsi="宋体"/>
                <w:color w:val="auto"/>
                <w:szCs w:val="21"/>
                <w:highlight w:val="none"/>
              </w:rPr>
            </w:pPr>
          </w:p>
        </w:tc>
      </w:tr>
      <w:tr w14:paraId="314B0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484D34C0">
            <w:pPr>
              <w:shd w:val="clea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50" w:type="pct"/>
          </w:tcPr>
          <w:p w14:paraId="54ED92B9">
            <w:pPr>
              <w:shd w:val="clear"/>
              <w:spacing w:line="360" w:lineRule="auto"/>
              <w:jc w:val="center"/>
              <w:rPr>
                <w:rFonts w:ascii="宋体" w:hAnsi="宋体"/>
                <w:color w:val="auto"/>
                <w:szCs w:val="21"/>
                <w:highlight w:val="none"/>
              </w:rPr>
            </w:pPr>
          </w:p>
        </w:tc>
        <w:tc>
          <w:tcPr>
            <w:tcW w:w="1250" w:type="pct"/>
          </w:tcPr>
          <w:p w14:paraId="3922AF67">
            <w:pPr>
              <w:shd w:val="clear"/>
              <w:spacing w:line="360" w:lineRule="auto"/>
              <w:jc w:val="center"/>
              <w:rPr>
                <w:rFonts w:ascii="宋体" w:hAnsi="宋体"/>
                <w:color w:val="auto"/>
                <w:szCs w:val="21"/>
                <w:highlight w:val="none"/>
              </w:rPr>
            </w:pPr>
          </w:p>
        </w:tc>
        <w:tc>
          <w:tcPr>
            <w:tcW w:w="1250" w:type="pct"/>
          </w:tcPr>
          <w:p w14:paraId="02AFE75A">
            <w:pPr>
              <w:shd w:val="clear"/>
              <w:spacing w:line="360" w:lineRule="auto"/>
              <w:jc w:val="center"/>
              <w:rPr>
                <w:rFonts w:ascii="宋体" w:hAnsi="宋体"/>
                <w:color w:val="auto"/>
                <w:szCs w:val="21"/>
                <w:highlight w:val="none"/>
              </w:rPr>
            </w:pPr>
          </w:p>
        </w:tc>
      </w:tr>
      <w:tr w14:paraId="74C26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27786E84">
            <w:pPr>
              <w:shd w:val="clea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50" w:type="pct"/>
          </w:tcPr>
          <w:p w14:paraId="52348DE7">
            <w:pPr>
              <w:shd w:val="clear"/>
              <w:spacing w:line="360" w:lineRule="auto"/>
              <w:jc w:val="center"/>
              <w:rPr>
                <w:rFonts w:ascii="宋体" w:hAnsi="宋体"/>
                <w:color w:val="auto"/>
                <w:szCs w:val="21"/>
                <w:highlight w:val="none"/>
              </w:rPr>
            </w:pPr>
          </w:p>
        </w:tc>
        <w:tc>
          <w:tcPr>
            <w:tcW w:w="1250" w:type="pct"/>
          </w:tcPr>
          <w:p w14:paraId="4534A97D">
            <w:pPr>
              <w:shd w:val="clear"/>
              <w:spacing w:line="360" w:lineRule="auto"/>
              <w:jc w:val="center"/>
              <w:rPr>
                <w:rFonts w:ascii="宋体" w:hAnsi="宋体"/>
                <w:color w:val="auto"/>
                <w:szCs w:val="21"/>
                <w:highlight w:val="none"/>
              </w:rPr>
            </w:pPr>
          </w:p>
        </w:tc>
        <w:tc>
          <w:tcPr>
            <w:tcW w:w="1250" w:type="pct"/>
          </w:tcPr>
          <w:p w14:paraId="105700B2">
            <w:pPr>
              <w:shd w:val="clear"/>
              <w:spacing w:line="360" w:lineRule="auto"/>
              <w:jc w:val="center"/>
              <w:rPr>
                <w:rFonts w:ascii="宋体" w:hAnsi="宋体"/>
                <w:color w:val="auto"/>
                <w:szCs w:val="21"/>
                <w:highlight w:val="none"/>
              </w:rPr>
            </w:pPr>
          </w:p>
        </w:tc>
      </w:tr>
      <w:tr w14:paraId="4F301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tcPr>
          <w:p w14:paraId="6247DBB8">
            <w:pPr>
              <w:shd w:val="clea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250" w:type="pct"/>
          </w:tcPr>
          <w:p w14:paraId="79C5105C">
            <w:pPr>
              <w:shd w:val="clear"/>
              <w:spacing w:line="360" w:lineRule="auto"/>
              <w:jc w:val="center"/>
              <w:rPr>
                <w:rFonts w:ascii="宋体" w:hAnsi="宋体"/>
                <w:color w:val="auto"/>
                <w:szCs w:val="21"/>
                <w:highlight w:val="none"/>
              </w:rPr>
            </w:pPr>
          </w:p>
        </w:tc>
        <w:tc>
          <w:tcPr>
            <w:tcW w:w="1250" w:type="pct"/>
          </w:tcPr>
          <w:p w14:paraId="1811968E">
            <w:pPr>
              <w:shd w:val="clear"/>
              <w:spacing w:line="360" w:lineRule="auto"/>
              <w:jc w:val="center"/>
              <w:rPr>
                <w:rFonts w:ascii="宋体" w:hAnsi="宋体"/>
                <w:color w:val="auto"/>
                <w:szCs w:val="21"/>
                <w:highlight w:val="none"/>
              </w:rPr>
            </w:pPr>
          </w:p>
        </w:tc>
        <w:tc>
          <w:tcPr>
            <w:tcW w:w="1250" w:type="pct"/>
          </w:tcPr>
          <w:p w14:paraId="75C9863F">
            <w:pPr>
              <w:shd w:val="clear"/>
              <w:spacing w:line="360" w:lineRule="auto"/>
              <w:jc w:val="center"/>
              <w:rPr>
                <w:rFonts w:ascii="宋体" w:hAnsi="宋体"/>
                <w:color w:val="auto"/>
                <w:szCs w:val="21"/>
                <w:highlight w:val="none"/>
              </w:rPr>
            </w:pPr>
          </w:p>
        </w:tc>
      </w:tr>
    </w:tbl>
    <w:p w14:paraId="02BE375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w:t>
      </w:r>
    </w:p>
    <w:p w14:paraId="565DFC5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1.管理关系：是指不具有出资持股关系的其他单位之间存在的管理与被管理关系，如一些上下级关系的事业单位和团体组织。</w:t>
      </w:r>
    </w:p>
    <w:p w14:paraId="6EA6797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2.本表所指的管理关系仅限于直接管理关系，不包括间接的管理关系。</w:t>
      </w:r>
    </w:p>
    <w:p w14:paraId="038F7FC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3.供应商不存在直接管理关系的，则填“无”。</w:t>
      </w:r>
    </w:p>
    <w:p w14:paraId="33251D1A">
      <w:pPr>
        <w:shd w:val="clear"/>
        <w:spacing w:line="360" w:lineRule="auto"/>
        <w:ind w:firstLine="420" w:firstLineChars="200"/>
        <w:rPr>
          <w:rFonts w:ascii="宋体" w:hAnsi="宋体" w:eastAsia="宋体"/>
          <w:color w:val="auto"/>
          <w:szCs w:val="21"/>
          <w:highlight w:val="none"/>
        </w:rPr>
      </w:pPr>
    </w:p>
    <w:p w14:paraId="31DA504E">
      <w:pPr>
        <w:shd w:val="clea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1F477C5B">
      <w:pPr>
        <w:shd w:val="clear"/>
        <w:spacing w:line="360" w:lineRule="auto"/>
        <w:ind w:firstLine="420" w:firstLineChars="200"/>
        <w:jc w:val="right"/>
        <w:rPr>
          <w:rFonts w:ascii="宋体" w:hAnsi="宋体" w:eastAsia="宋体"/>
          <w:color w:val="auto"/>
          <w:sz w:val="28"/>
          <w:szCs w:val="28"/>
          <w:highlight w:val="none"/>
        </w:rPr>
      </w:pPr>
      <w:r>
        <w:rPr>
          <w:rFonts w:hint="eastAsia" w:ascii="宋体" w:hAnsi="宋体" w:eastAsia="宋体"/>
          <w:color w:val="auto"/>
          <w:szCs w:val="21"/>
          <w:highlight w:val="none"/>
        </w:rPr>
        <w:t>日期：</w:t>
      </w:r>
      <w:r>
        <w:rPr>
          <w:rFonts w:ascii="宋体" w:hAnsi="宋体" w:eastAsia="宋体" w:cs="Times New Roman"/>
          <w:color w:val="auto"/>
          <w:szCs w:val="21"/>
          <w:highlight w:val="none"/>
        </w:rPr>
        <w:t>___</w:t>
      </w:r>
      <w:r>
        <w:rPr>
          <w:rFonts w:hint="eastAsia" w:ascii="宋体" w:hAnsi="宋体" w:eastAsia="宋体"/>
          <w:color w:val="auto"/>
          <w:szCs w:val="21"/>
          <w:highlight w:val="none"/>
        </w:rPr>
        <w:t>年</w:t>
      </w:r>
      <w:r>
        <w:rPr>
          <w:rFonts w:ascii="宋体" w:hAnsi="宋体" w:eastAsia="宋体" w:cs="Times New Roman"/>
          <w:color w:val="auto"/>
          <w:szCs w:val="21"/>
          <w:highlight w:val="none"/>
        </w:rPr>
        <w:t>___</w:t>
      </w:r>
      <w:r>
        <w:rPr>
          <w:rFonts w:hint="eastAsia" w:ascii="宋体" w:hAnsi="宋体" w:eastAsia="宋体"/>
          <w:color w:val="auto"/>
          <w:szCs w:val="21"/>
          <w:highlight w:val="none"/>
        </w:rPr>
        <w:t>月</w:t>
      </w:r>
      <w:r>
        <w:rPr>
          <w:rFonts w:ascii="宋体" w:hAnsi="宋体" w:eastAsia="宋体" w:cs="Times New Roman"/>
          <w:color w:val="auto"/>
          <w:szCs w:val="21"/>
          <w:highlight w:val="none"/>
        </w:rPr>
        <w:t>___</w:t>
      </w:r>
      <w:r>
        <w:rPr>
          <w:rFonts w:hint="eastAsia" w:ascii="宋体" w:hAnsi="宋体" w:eastAsia="宋体"/>
          <w:color w:val="auto"/>
          <w:szCs w:val="21"/>
          <w:highlight w:val="none"/>
        </w:rPr>
        <w:t>日</w:t>
      </w:r>
    </w:p>
    <w:p w14:paraId="147A757F">
      <w:pPr>
        <w:shd w:val="clear"/>
        <w:spacing w:line="360" w:lineRule="auto"/>
        <w:ind w:firstLine="560" w:firstLineChars="200"/>
        <w:jc w:val="right"/>
        <w:rPr>
          <w:rFonts w:ascii="宋体" w:hAnsi="宋体" w:eastAsia="宋体"/>
          <w:color w:val="auto"/>
          <w:sz w:val="28"/>
          <w:szCs w:val="28"/>
          <w:highlight w:val="none"/>
        </w:rPr>
        <w:sectPr>
          <w:pgSz w:w="11906" w:h="16838"/>
          <w:pgMar w:top="1134" w:right="1134" w:bottom="1134" w:left="1134" w:header="851" w:footer="992" w:gutter="0"/>
          <w:cols w:space="425" w:num="1"/>
          <w:docGrid w:type="lines" w:linePitch="312" w:charSpace="0"/>
        </w:sectPr>
      </w:pPr>
    </w:p>
    <w:p w14:paraId="38FA32B9">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（六）竞争性磋商声明</w:t>
      </w:r>
    </w:p>
    <w:p w14:paraId="7178B5C6">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竞争性磋商声明</w:t>
      </w:r>
    </w:p>
    <w:p w14:paraId="3EE27394">
      <w:pPr>
        <w:shd w:val="clear"/>
        <w:spacing w:line="360" w:lineRule="auto"/>
        <w:ind w:firstLine="420" w:firstLineChars="200"/>
        <w:rPr>
          <w:rFonts w:ascii="宋体" w:hAnsi="宋体" w:eastAsia="宋体"/>
          <w:color w:val="auto"/>
          <w:szCs w:val="21"/>
          <w:highlight w:val="none"/>
        </w:rPr>
      </w:pPr>
    </w:p>
    <w:p w14:paraId="1078B7FB">
      <w:pPr>
        <w:shd w:val="clear"/>
        <w:spacing w:line="360" w:lineRule="auto"/>
        <w:rPr>
          <w:rFonts w:ascii="宋体" w:hAnsi="宋体" w:eastAsia="宋体"/>
          <w:color w:val="auto"/>
          <w:szCs w:val="21"/>
          <w:highlight w:val="none"/>
        </w:rPr>
      </w:pPr>
      <w:r>
        <w:rPr>
          <w:rFonts w:hint="eastAsia" w:ascii="宋体" w:hAnsi="宋体" w:eastAsia="宋体"/>
          <w:color w:val="auto"/>
          <w:szCs w:val="21"/>
          <w:highlight w:val="none"/>
        </w:rPr>
        <w:t>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（采购人名称）：</w:t>
      </w:r>
    </w:p>
    <w:p w14:paraId="0236C90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我方</w:t>
      </w:r>
      <w:r>
        <w:rPr>
          <w:rFonts w:hint="eastAsia" w:ascii="宋体" w:hAnsi="宋体" w:eastAsia="宋体"/>
          <w:color w:val="auto"/>
          <w:szCs w:val="21"/>
          <w:highlight w:val="none"/>
          <w:u w:val="single"/>
        </w:rPr>
        <w:t>（供应商名称）</w:t>
      </w:r>
      <w:r>
        <w:rPr>
          <w:rFonts w:hint="eastAsia" w:ascii="宋体" w:hAnsi="宋体" w:eastAsia="宋体"/>
          <w:color w:val="auto"/>
          <w:szCs w:val="21"/>
          <w:highlight w:val="none"/>
        </w:rPr>
        <w:t>系中华人民共和国合法供应商，经营地址</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w:t>
      </w:r>
    </w:p>
    <w:p w14:paraId="0ACB489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我方愿意参加贵方组织的</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项目的竞争性磋商，为便于贵方公正、择优地确定成交供应商及其竞标产品和服务，我方就本次竞争性磋商有关事项郑重声明如下：</w:t>
      </w:r>
    </w:p>
    <w:p w14:paraId="33ACBF6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1.我方向贵方提交的所有响应文件、资料都是准确的和真实的。</w:t>
      </w:r>
    </w:p>
    <w:p w14:paraId="05375DC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38163D1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3.在此，我方宣布同意如下：</w:t>
      </w:r>
    </w:p>
    <w:p w14:paraId="483201E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（1）将按磋商文件的约定履行合同责任和义务；</w:t>
      </w:r>
    </w:p>
    <w:p w14:paraId="418067D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（2）已详细审查全部磋商文件，包括澄清或者更正公告（如有）；</w:t>
      </w:r>
    </w:p>
    <w:p w14:paraId="761C8A4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（3）同意提供按照贵方可能要求的与磋商有关的一切数据或者资料；</w:t>
      </w:r>
    </w:p>
    <w:p w14:paraId="3FF1CA9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（4）响应磋商文件规定的竞争性磋商有效期。</w:t>
      </w:r>
    </w:p>
    <w:p w14:paraId="39F4F16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4.我方承诺符合《中华人民共和国政府采购法》第二十二条规定：</w:t>
      </w:r>
    </w:p>
    <w:p w14:paraId="04DE806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（1）具有独立承担民事责任的能力；</w:t>
      </w:r>
    </w:p>
    <w:p w14:paraId="66F16DF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（2）具有良好的商业信誉和健全的财务会计制度；</w:t>
      </w:r>
    </w:p>
    <w:p w14:paraId="5713DE6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（3）具有履行合同所必需的设备和专业技术能力；</w:t>
      </w:r>
    </w:p>
    <w:p w14:paraId="3047775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（4）有依法缴纳税收和社会保障资金的良好记录；</w:t>
      </w:r>
    </w:p>
    <w:p w14:paraId="40BB579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（5）参加政府采购活动前三年内，在经营活动中没有重大违法记录；</w:t>
      </w:r>
    </w:p>
    <w:p w14:paraId="6E1B50A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（6）法律、行政法规规定的其他条件。</w:t>
      </w:r>
    </w:p>
    <w:p w14:paraId="28F1337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850233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562C2C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□我方本次响应文件内容中未涉及商业秘密；</w:t>
      </w:r>
    </w:p>
    <w:p w14:paraId="78D80E8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□我方本次响应文件涉及商业秘密的内容有：</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w:t>
      </w:r>
    </w:p>
    <w:p w14:paraId="13B366D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7.与本磋商有关的一切正式往来信函请寄：</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邮政编号：</w:t>
      </w:r>
      <w:r>
        <w:rPr>
          <w:rFonts w:ascii="Times New Roman" w:hAnsi="Times New Roman" w:eastAsia="宋体" w:cs="Times New Roman"/>
          <w:color w:val="auto"/>
          <w:szCs w:val="21"/>
          <w:highlight w:val="none"/>
          <w:u w:val="single"/>
        </w:rPr>
        <w:t xml:space="preserve">      </w:t>
      </w:r>
    </w:p>
    <w:p w14:paraId="647DB06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电话/传真：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电子函件：</w:t>
      </w:r>
      <w:r>
        <w:rPr>
          <w:rFonts w:ascii="Times New Roman" w:hAnsi="Times New Roman" w:eastAsia="宋体" w:cs="Times New Roman"/>
          <w:color w:val="auto"/>
          <w:szCs w:val="21"/>
          <w:highlight w:val="none"/>
          <w:u w:val="single"/>
        </w:rPr>
        <w:t xml:space="preserve">      </w:t>
      </w:r>
    </w:p>
    <w:p w14:paraId="44E55F3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开户银行：</w:t>
      </w:r>
      <w:r>
        <w:rPr>
          <w:rFonts w:ascii="Times New Roman" w:hAnsi="Times New Roman" w:eastAsia="宋体" w:cs="Times New Roman"/>
          <w:color w:val="auto"/>
          <w:szCs w:val="21"/>
          <w:highlight w:val="none"/>
          <w:u w:val="single"/>
        </w:rPr>
        <w:t xml:space="preserve">      </w:t>
      </w:r>
      <w:r>
        <w:rPr>
          <w:rFonts w:hint="eastAsia" w:ascii="宋体" w:hAnsi="宋体"/>
          <w:color w:val="auto"/>
          <w:szCs w:val="21"/>
          <w:highlight w:val="none"/>
        </w:rPr>
        <w:t>账号</w:t>
      </w:r>
      <w:r>
        <w:rPr>
          <w:rFonts w:hint="eastAsia" w:ascii="宋体" w:hAnsi="宋体" w:eastAsia="宋体"/>
          <w:color w:val="auto"/>
          <w:szCs w:val="21"/>
          <w:highlight w:val="none"/>
        </w:rPr>
        <w:t>：</w:t>
      </w:r>
      <w:r>
        <w:rPr>
          <w:rFonts w:ascii="Times New Roman" w:hAnsi="Times New Roman" w:eastAsia="宋体" w:cs="Times New Roman"/>
          <w:color w:val="auto"/>
          <w:szCs w:val="21"/>
          <w:highlight w:val="none"/>
          <w:u w:val="single"/>
        </w:rPr>
        <w:t xml:space="preserve">      </w:t>
      </w:r>
    </w:p>
    <w:p w14:paraId="2E83C91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8.我方若竞争性磋商成功，除非发生不可抗力，承诺与采购人及时签订《合同书》。如果放弃，自愿按照本文件之《供应商须知正文》第29.3条的要求承担法律责任和失信惩戒。</w:t>
      </w:r>
    </w:p>
    <w:p w14:paraId="10C5F24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9.以上事项如有虚假或者隐瞒，我方愿意承担一切后果，并不再寻求任何旨在减轻或者免除法律责任的辩解。</w:t>
      </w:r>
    </w:p>
    <w:p w14:paraId="14EBC0B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特此承诺。</w:t>
      </w:r>
    </w:p>
    <w:p w14:paraId="334C23AA">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注：如为联合体参加竞争性磋商，盖章处须加盖联合体牵头人公章并由联合体牵头人法定代表人分别签字或者盖章或者电子签名，否则其响应文件按无效响应处理。</w:t>
      </w:r>
    </w:p>
    <w:p w14:paraId="0B00F0AD">
      <w:pPr>
        <w:shd w:val="clear"/>
        <w:spacing w:line="360" w:lineRule="auto"/>
        <w:ind w:firstLine="420" w:firstLineChars="200"/>
        <w:rPr>
          <w:rFonts w:ascii="宋体" w:hAnsi="宋体" w:eastAsia="宋体"/>
          <w:color w:val="auto"/>
          <w:szCs w:val="21"/>
          <w:highlight w:val="none"/>
        </w:rPr>
      </w:pPr>
    </w:p>
    <w:p w14:paraId="3E1DCE00">
      <w:pPr>
        <w:shd w:val="clea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法定代表人（签字或者盖章或者电子签名）：</w:t>
      </w:r>
    </w:p>
    <w:p w14:paraId="1874B5D6">
      <w:pPr>
        <w:shd w:val="clea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5070926E">
      <w:pPr>
        <w:shd w:val="clea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w:t>
      </w:r>
    </w:p>
    <w:p w14:paraId="09AE6EF0">
      <w:pPr>
        <w:shd w:val="clear"/>
        <w:spacing w:line="360" w:lineRule="auto"/>
        <w:ind w:firstLine="643" w:firstLineChars="200"/>
        <w:rPr>
          <w:rFonts w:ascii="宋体" w:hAnsi="宋体" w:eastAsia="宋体"/>
          <w:b/>
          <w:color w:val="auto"/>
          <w:sz w:val="32"/>
          <w:szCs w:val="32"/>
          <w:highlight w:val="none"/>
        </w:rPr>
        <w:sectPr>
          <w:pgSz w:w="11906" w:h="16838"/>
          <w:pgMar w:top="1134" w:right="1134" w:bottom="1134" w:left="1134" w:header="851" w:footer="992" w:gutter="0"/>
          <w:cols w:space="425" w:num="1"/>
          <w:docGrid w:type="lines" w:linePitch="312" w:charSpace="0"/>
        </w:sectPr>
      </w:pPr>
    </w:p>
    <w:p w14:paraId="03E2B306">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（七）竞争性磋商公告对应的特定资格要求设置供应商提供的资格证明材料</w:t>
      </w:r>
    </w:p>
    <w:p w14:paraId="06DB1804">
      <w:pPr>
        <w:shd w:val="clear"/>
        <w:spacing w:line="360" w:lineRule="auto"/>
        <w:ind w:firstLine="643" w:firstLineChars="200"/>
        <w:rPr>
          <w:rFonts w:ascii="宋体" w:hAnsi="宋体" w:eastAsia="宋体"/>
          <w:b/>
          <w:color w:val="auto"/>
          <w:sz w:val="32"/>
          <w:szCs w:val="32"/>
          <w:highlight w:val="none"/>
        </w:rPr>
      </w:pPr>
    </w:p>
    <w:p w14:paraId="1E34FF9D">
      <w:pPr>
        <w:shd w:val="clear"/>
        <w:spacing w:line="360" w:lineRule="auto"/>
        <w:ind w:firstLine="643" w:firstLineChars="200"/>
        <w:rPr>
          <w:rFonts w:ascii="宋体" w:hAnsi="宋体" w:eastAsia="宋体"/>
          <w:b/>
          <w:color w:val="auto"/>
          <w:sz w:val="32"/>
          <w:szCs w:val="32"/>
          <w:highlight w:val="none"/>
        </w:rPr>
        <w:sectPr>
          <w:pgSz w:w="11906" w:h="16838"/>
          <w:pgMar w:top="1440" w:right="1134" w:bottom="1440" w:left="1418" w:header="851" w:footer="992" w:gutter="0"/>
          <w:cols w:space="425" w:num="1"/>
          <w:docGrid w:type="lines" w:linePitch="312" w:charSpace="0"/>
        </w:sectPr>
      </w:pPr>
    </w:p>
    <w:p w14:paraId="723ED950">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（八）联合体参加竞争性磋商协议书（如有）</w:t>
      </w:r>
    </w:p>
    <w:p w14:paraId="7023C380">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联合体参加竞争性磋商协议书（格式）</w:t>
      </w:r>
    </w:p>
    <w:p w14:paraId="27100601">
      <w:pPr>
        <w:shd w:val="clear"/>
        <w:spacing w:line="360" w:lineRule="auto"/>
        <w:ind w:firstLine="420" w:firstLineChars="200"/>
        <w:rPr>
          <w:rFonts w:ascii="宋体" w:hAnsi="宋体" w:eastAsia="宋体"/>
          <w:color w:val="auto"/>
          <w:szCs w:val="21"/>
          <w:highlight w:val="none"/>
        </w:rPr>
      </w:pPr>
    </w:p>
    <w:p w14:paraId="2CC31B9F">
      <w:pPr>
        <w:shd w:val="clear"/>
        <w:spacing w:line="360" w:lineRule="auto"/>
        <w:ind w:firstLine="420" w:firstLineChars="200"/>
        <w:rPr>
          <w:rFonts w:ascii="宋体" w:hAnsi="宋体" w:eastAsia="宋体"/>
          <w:color w:val="auto"/>
          <w:szCs w:val="21"/>
          <w:highlight w:val="none"/>
        </w:rPr>
      </w:pP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（所有成员单位名称）自愿组成联合体，共同参加</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组织的</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（项目编号：</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）竞争性磋商采购。现就联合体竞争性磋商事宜订立如下协议：</w:t>
      </w:r>
    </w:p>
    <w:p w14:paraId="540772A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（某成员单位名称）为</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（联合体名称）牵头人。</w:t>
      </w:r>
    </w:p>
    <w:p w14:paraId="3CC5A2D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联合体各成员授权牵头人代表联合体参加竞争性磋商活动，签署文件及对文件的盖章，提交和接收相关的资料、信息及指示，进行合同磋商活动，负责合同实施阶段的组织和协调工作，以及处理与本竞争性磋商项目有关的一切事宜。</w:t>
      </w:r>
    </w:p>
    <w:p w14:paraId="0504105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14:paraId="07F34FA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4.联合体各成员单位内部的职责分工如下：</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w:t>
      </w:r>
    </w:p>
    <w:p w14:paraId="1C431A5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5.本联合体中，</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（某成员单位名称）为</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（请填写：中型、小型、微型）企业，其协议合同金额占联合体协议合同总金额的</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%。【如联合体成员中有小型、微型企业的，请填写此条，否则无需填写；如联合体成员中有多个小型、微型企业的，请逐一列出。】</w:t>
      </w:r>
    </w:p>
    <w:p w14:paraId="5556A50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6.本协议书自所有成员单位法定代表人或者其委托代理人签字或者盖单位章之日起生效，合同履行完毕后自动失效。</w:t>
      </w:r>
    </w:p>
    <w:p w14:paraId="78057EB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7.本协议书一式</w:t>
      </w:r>
      <w:bookmarkStart w:id="31" w:name="OLE_LINK16"/>
      <w:bookmarkStart w:id="32" w:name="OLE_LINK15"/>
      <w:r>
        <w:rPr>
          <w:rFonts w:ascii="Times New Roman" w:hAnsi="Times New Roman" w:eastAsia="宋体" w:cs="Times New Roman"/>
          <w:color w:val="auto"/>
          <w:szCs w:val="21"/>
          <w:highlight w:val="none"/>
          <w:u w:val="single"/>
        </w:rPr>
        <w:t xml:space="preserve">      </w:t>
      </w:r>
      <w:bookmarkEnd w:id="31"/>
      <w:bookmarkEnd w:id="32"/>
      <w:r>
        <w:rPr>
          <w:rFonts w:hint="eastAsia" w:ascii="宋体" w:hAnsi="宋体" w:eastAsia="宋体"/>
          <w:color w:val="auto"/>
          <w:szCs w:val="21"/>
          <w:highlight w:val="none"/>
        </w:rPr>
        <w:t>份，联合体成员和采购人各执壹份。</w:t>
      </w:r>
    </w:p>
    <w:p w14:paraId="05DC154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注：本协议书由法定代表人签字的，应附法定代表人身份证明；本协议书由委托代理人签字的，应附法定代表人授权委托书。</w:t>
      </w:r>
    </w:p>
    <w:p w14:paraId="6728AE3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牵头人名称：</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（盖单位公章或者电子签章）</w:t>
      </w:r>
    </w:p>
    <w:p w14:paraId="1EB1408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法定代表人或其委托代理人：</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（签字或者电子签名）</w:t>
      </w:r>
    </w:p>
    <w:p w14:paraId="1104C01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成员一名称：</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（盖单位公章或者电子签章）</w:t>
      </w:r>
    </w:p>
    <w:p w14:paraId="7E49749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法定代表人或其委托代理人：</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（签字或者电子签名）</w:t>
      </w:r>
    </w:p>
    <w:p w14:paraId="630B917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成员二名称：</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（盖单位公章或者电子签章）</w:t>
      </w:r>
    </w:p>
    <w:p w14:paraId="4DD8416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法定代表人或其委托代理人：</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（签字或者电子签名）</w:t>
      </w:r>
    </w:p>
    <w:p w14:paraId="7C519E3F">
      <w:pPr>
        <w:shd w:val="clear"/>
        <w:spacing w:line="360" w:lineRule="auto"/>
        <w:ind w:firstLine="420" w:firstLineChars="200"/>
        <w:rPr>
          <w:rFonts w:ascii="宋体" w:hAnsi="宋体" w:eastAsia="宋体"/>
          <w:color w:val="auto"/>
          <w:szCs w:val="21"/>
          <w:highlight w:val="none"/>
        </w:rPr>
      </w:pPr>
    </w:p>
    <w:p w14:paraId="6230DFEE">
      <w:pPr>
        <w:shd w:val="clea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w:t>
      </w:r>
    </w:p>
    <w:p w14:paraId="080B8FD8">
      <w:pPr>
        <w:shd w:val="clea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3E9A17E7">
      <w:pPr>
        <w:pStyle w:val="3"/>
        <w:shd w:val="clear"/>
        <w:jc w:val="center"/>
        <w:rPr>
          <w:color w:val="auto"/>
          <w:highlight w:val="none"/>
        </w:rPr>
      </w:pPr>
      <w:bookmarkStart w:id="33" w:name="_Toc197530118"/>
      <w:r>
        <w:rPr>
          <w:rFonts w:hint="eastAsia"/>
          <w:color w:val="auto"/>
          <w:highlight w:val="none"/>
        </w:rPr>
        <w:t>二、报价文件格式</w:t>
      </w:r>
      <w:bookmarkEnd w:id="33"/>
    </w:p>
    <w:p w14:paraId="3893C8DE">
      <w:pPr>
        <w:shd w:val="clear"/>
        <w:spacing w:line="360" w:lineRule="auto"/>
        <w:ind w:firstLine="420" w:firstLineChars="200"/>
        <w:rPr>
          <w:rFonts w:ascii="宋体" w:hAnsi="宋体" w:eastAsia="宋体"/>
          <w:color w:val="auto"/>
          <w:szCs w:val="21"/>
          <w:highlight w:val="none"/>
        </w:rPr>
      </w:pPr>
    </w:p>
    <w:p w14:paraId="188DBF39">
      <w:pPr>
        <w:shd w:val="clear"/>
        <w:spacing w:line="360" w:lineRule="auto"/>
        <w:ind w:firstLine="420" w:firstLineChars="200"/>
        <w:rPr>
          <w:rFonts w:ascii="宋体" w:hAnsi="宋体" w:eastAsia="宋体"/>
          <w:color w:val="auto"/>
          <w:szCs w:val="21"/>
          <w:highlight w:val="none"/>
        </w:rPr>
      </w:pPr>
    </w:p>
    <w:p w14:paraId="10EDA7A1">
      <w:pPr>
        <w:shd w:val="clear"/>
        <w:spacing w:line="360" w:lineRule="auto"/>
        <w:ind w:firstLine="420" w:firstLineChars="200"/>
        <w:rPr>
          <w:rFonts w:ascii="宋体" w:hAnsi="宋体" w:eastAsia="宋体"/>
          <w:color w:val="auto"/>
          <w:szCs w:val="21"/>
          <w:highlight w:val="none"/>
        </w:rPr>
      </w:pPr>
    </w:p>
    <w:p w14:paraId="08448EA1">
      <w:pPr>
        <w:shd w:val="clear"/>
        <w:spacing w:line="360" w:lineRule="auto"/>
        <w:jc w:val="center"/>
        <w:rPr>
          <w:rFonts w:ascii="宋体" w:hAnsi="宋体" w:eastAsia="宋体"/>
          <w:b/>
          <w:color w:val="auto"/>
          <w:sz w:val="84"/>
          <w:szCs w:val="84"/>
          <w:highlight w:val="none"/>
        </w:rPr>
      </w:pPr>
      <w:r>
        <w:rPr>
          <w:rFonts w:hint="eastAsia" w:ascii="宋体" w:hAnsi="宋体" w:eastAsia="宋体"/>
          <w:b/>
          <w:color w:val="auto"/>
          <w:sz w:val="84"/>
          <w:szCs w:val="84"/>
          <w:highlight w:val="none"/>
        </w:rPr>
        <w:t>报价文件（封面）</w:t>
      </w:r>
    </w:p>
    <w:p w14:paraId="4920605F">
      <w:pPr>
        <w:shd w:val="clear"/>
        <w:spacing w:line="360" w:lineRule="auto"/>
        <w:ind w:firstLine="420" w:firstLineChars="200"/>
        <w:rPr>
          <w:rFonts w:ascii="宋体" w:hAnsi="宋体" w:eastAsia="宋体"/>
          <w:color w:val="auto"/>
          <w:szCs w:val="21"/>
          <w:highlight w:val="none"/>
        </w:rPr>
      </w:pPr>
    </w:p>
    <w:p w14:paraId="7A1E0AF4">
      <w:pPr>
        <w:shd w:val="clear"/>
        <w:spacing w:line="360" w:lineRule="auto"/>
        <w:ind w:firstLine="420" w:firstLineChars="200"/>
        <w:rPr>
          <w:rFonts w:ascii="宋体" w:hAnsi="宋体" w:eastAsia="宋体"/>
          <w:color w:val="auto"/>
          <w:szCs w:val="21"/>
          <w:highlight w:val="none"/>
        </w:rPr>
      </w:pPr>
    </w:p>
    <w:p w14:paraId="6D9728CD">
      <w:pPr>
        <w:shd w:val="clear"/>
        <w:spacing w:line="360" w:lineRule="auto"/>
        <w:ind w:firstLine="420" w:firstLineChars="200"/>
        <w:rPr>
          <w:rFonts w:ascii="宋体" w:hAnsi="宋体" w:eastAsia="宋体"/>
          <w:color w:val="auto"/>
          <w:szCs w:val="21"/>
          <w:highlight w:val="none"/>
        </w:rPr>
      </w:pPr>
    </w:p>
    <w:p w14:paraId="5B052B8B">
      <w:pPr>
        <w:shd w:val="clear"/>
        <w:spacing w:line="360" w:lineRule="auto"/>
        <w:ind w:firstLine="420" w:firstLineChars="200"/>
        <w:rPr>
          <w:rFonts w:ascii="宋体" w:hAnsi="宋体" w:eastAsia="宋体"/>
          <w:color w:val="auto"/>
          <w:szCs w:val="21"/>
          <w:highlight w:val="none"/>
        </w:rPr>
      </w:pPr>
    </w:p>
    <w:p w14:paraId="70646310">
      <w:pPr>
        <w:shd w:val="clear"/>
        <w:spacing w:line="360" w:lineRule="auto"/>
        <w:ind w:firstLine="420" w:firstLineChars="200"/>
        <w:rPr>
          <w:rFonts w:ascii="宋体" w:hAnsi="宋体" w:eastAsia="宋体"/>
          <w:color w:val="auto"/>
          <w:szCs w:val="21"/>
          <w:highlight w:val="none"/>
        </w:rPr>
      </w:pPr>
    </w:p>
    <w:p w14:paraId="56394869">
      <w:pPr>
        <w:shd w:val="clea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项目名称：</w:t>
      </w:r>
    </w:p>
    <w:p w14:paraId="6E9BB7B0">
      <w:pPr>
        <w:shd w:val="clear"/>
        <w:spacing w:line="360" w:lineRule="auto"/>
        <w:ind w:firstLine="420" w:firstLineChars="200"/>
        <w:rPr>
          <w:rFonts w:ascii="宋体" w:hAnsi="宋体" w:eastAsia="宋体"/>
          <w:color w:val="auto"/>
          <w:szCs w:val="21"/>
          <w:highlight w:val="none"/>
        </w:rPr>
      </w:pPr>
    </w:p>
    <w:p w14:paraId="66E2C914">
      <w:pPr>
        <w:shd w:val="clea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项目编号：</w:t>
      </w:r>
    </w:p>
    <w:p w14:paraId="25490512">
      <w:pPr>
        <w:shd w:val="clear"/>
        <w:spacing w:line="360" w:lineRule="auto"/>
        <w:ind w:firstLine="420" w:firstLineChars="200"/>
        <w:rPr>
          <w:rFonts w:ascii="宋体" w:hAnsi="宋体" w:eastAsia="宋体"/>
          <w:color w:val="auto"/>
          <w:szCs w:val="21"/>
          <w:highlight w:val="none"/>
        </w:rPr>
      </w:pPr>
    </w:p>
    <w:p w14:paraId="7D54403A">
      <w:pPr>
        <w:shd w:val="clea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所竞分标（如有则填写，无分标时填写“无”或者留空）：</w:t>
      </w:r>
    </w:p>
    <w:p w14:paraId="2430F638">
      <w:pPr>
        <w:shd w:val="clear"/>
        <w:spacing w:line="360" w:lineRule="auto"/>
        <w:ind w:firstLine="420" w:firstLineChars="200"/>
        <w:rPr>
          <w:rFonts w:ascii="宋体" w:hAnsi="宋体" w:eastAsia="宋体"/>
          <w:color w:val="auto"/>
          <w:szCs w:val="21"/>
          <w:highlight w:val="none"/>
        </w:rPr>
      </w:pPr>
    </w:p>
    <w:p w14:paraId="056293A5">
      <w:pPr>
        <w:shd w:val="clea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供应商名称：</w:t>
      </w:r>
    </w:p>
    <w:p w14:paraId="31C6D77E">
      <w:pPr>
        <w:shd w:val="clear"/>
        <w:spacing w:line="360" w:lineRule="auto"/>
        <w:ind w:firstLine="420" w:firstLineChars="200"/>
        <w:rPr>
          <w:rFonts w:ascii="宋体" w:hAnsi="宋体" w:eastAsia="宋体"/>
          <w:color w:val="auto"/>
          <w:szCs w:val="21"/>
          <w:highlight w:val="none"/>
        </w:rPr>
      </w:pPr>
    </w:p>
    <w:p w14:paraId="3445B93E">
      <w:pPr>
        <w:shd w:val="clear"/>
        <w:spacing w:line="360" w:lineRule="auto"/>
        <w:ind w:firstLine="420" w:firstLineChars="200"/>
        <w:rPr>
          <w:rFonts w:ascii="宋体" w:hAnsi="宋体" w:eastAsia="宋体"/>
          <w:color w:val="auto"/>
          <w:szCs w:val="21"/>
          <w:highlight w:val="none"/>
        </w:rPr>
      </w:pPr>
    </w:p>
    <w:p w14:paraId="71E04966">
      <w:pPr>
        <w:shd w:val="clear"/>
        <w:spacing w:line="360" w:lineRule="auto"/>
        <w:ind w:firstLine="420" w:firstLineChars="200"/>
        <w:rPr>
          <w:rFonts w:ascii="宋体" w:hAnsi="宋体" w:eastAsia="宋体"/>
          <w:color w:val="auto"/>
          <w:szCs w:val="21"/>
          <w:highlight w:val="none"/>
        </w:rPr>
      </w:pPr>
    </w:p>
    <w:p w14:paraId="446CD201">
      <w:pPr>
        <w:shd w:val="clear"/>
        <w:spacing w:line="360" w:lineRule="auto"/>
        <w:jc w:val="center"/>
        <w:rPr>
          <w:rFonts w:ascii="宋体" w:hAnsi="宋体" w:eastAsia="宋体"/>
          <w:color w:val="auto"/>
          <w:szCs w:val="21"/>
          <w:highlight w:val="none"/>
        </w:rPr>
      </w:pPr>
      <w:r>
        <w:rPr>
          <w:rFonts w:ascii="宋体" w:hAnsi="宋体" w:eastAsia="宋体" w:cs="Times New Roman"/>
          <w:color w:val="auto"/>
          <w:sz w:val="32"/>
          <w:szCs w:val="32"/>
          <w:highlight w:val="none"/>
          <w:u w:val="single"/>
        </w:rPr>
        <w:t xml:space="preserve">   </w:t>
      </w:r>
      <w:r>
        <w:rPr>
          <w:rFonts w:hint="eastAsia" w:ascii="宋体" w:hAnsi="宋体" w:eastAsia="宋体" w:cs="Times New Roman"/>
          <w:color w:val="auto"/>
          <w:sz w:val="32"/>
          <w:szCs w:val="32"/>
          <w:highlight w:val="none"/>
        </w:rPr>
        <w:t>年</w:t>
      </w:r>
      <w:r>
        <w:rPr>
          <w:rFonts w:ascii="宋体" w:hAnsi="宋体" w:eastAsia="宋体" w:cs="Times New Roman"/>
          <w:color w:val="auto"/>
          <w:sz w:val="32"/>
          <w:szCs w:val="32"/>
          <w:highlight w:val="none"/>
          <w:u w:val="single"/>
        </w:rPr>
        <w:t xml:space="preserve">   </w:t>
      </w:r>
      <w:r>
        <w:rPr>
          <w:rFonts w:hint="eastAsia" w:ascii="宋体" w:hAnsi="宋体" w:eastAsia="宋体" w:cs="Times New Roman"/>
          <w:color w:val="auto"/>
          <w:sz w:val="32"/>
          <w:szCs w:val="32"/>
          <w:highlight w:val="none"/>
        </w:rPr>
        <w:t>月</w:t>
      </w:r>
      <w:r>
        <w:rPr>
          <w:rFonts w:ascii="宋体" w:hAnsi="宋体" w:eastAsia="宋体" w:cs="Times New Roman"/>
          <w:color w:val="auto"/>
          <w:sz w:val="32"/>
          <w:szCs w:val="32"/>
          <w:highlight w:val="none"/>
          <w:u w:val="single"/>
        </w:rPr>
        <w:t xml:space="preserve">   </w:t>
      </w:r>
      <w:r>
        <w:rPr>
          <w:rFonts w:hint="eastAsia" w:ascii="宋体" w:hAnsi="宋体" w:eastAsia="宋体" w:cs="Times New Roman"/>
          <w:color w:val="auto"/>
          <w:sz w:val="32"/>
          <w:szCs w:val="32"/>
          <w:highlight w:val="none"/>
        </w:rPr>
        <w:t>日</w:t>
      </w:r>
    </w:p>
    <w:p w14:paraId="1DC14542">
      <w:pPr>
        <w:shd w:val="clea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1A8AC71A">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报价文件目录</w:t>
      </w:r>
    </w:p>
    <w:p w14:paraId="5904E6E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根据磋商文件规定及供应商提供的材料自行编写目录（部分格式后附），竞标人不得对采购人的</w:t>
      </w:r>
      <w:r>
        <w:rPr>
          <w:rFonts w:hint="eastAsia" w:ascii="宋体" w:hAnsi="宋体" w:eastAsia="宋体"/>
          <w:color w:val="auto"/>
          <w:szCs w:val="21"/>
          <w:highlight w:val="none"/>
          <w:u w:val="single"/>
        </w:rPr>
        <w:t>固定</w:t>
      </w:r>
      <w:r>
        <w:rPr>
          <w:rFonts w:hint="eastAsia" w:ascii="宋体" w:hAnsi="宋体" w:eastAsia="宋体"/>
          <w:color w:val="auto"/>
          <w:szCs w:val="21"/>
          <w:highlight w:val="none"/>
        </w:rPr>
        <w:t>综合单价进行修改。</w:t>
      </w:r>
    </w:p>
    <w:p w14:paraId="2C1BA13C">
      <w:pPr>
        <w:shd w:val="clea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3B0548CC">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（一）竞标函及竞标函附录</w:t>
      </w:r>
    </w:p>
    <w:p w14:paraId="54C69752">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竞标函</w:t>
      </w:r>
    </w:p>
    <w:p w14:paraId="61A7FD21">
      <w:pPr>
        <w:shd w:val="clear"/>
        <w:spacing w:line="360" w:lineRule="auto"/>
        <w:rPr>
          <w:rFonts w:ascii="宋体" w:hAnsi="宋体" w:eastAsia="宋体"/>
          <w:color w:val="auto"/>
          <w:szCs w:val="21"/>
          <w:highlight w:val="none"/>
        </w:rPr>
      </w:pP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（采购人名称）：</w:t>
      </w:r>
    </w:p>
    <w:p w14:paraId="04A6BAC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1.我方已仔细研究了</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（项目名称/项目编号）磋商文件的全部内容，愿意以下浮系数</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w:t>
      </w:r>
      <w:r>
        <w:rPr>
          <w:rFonts w:hint="eastAsia" w:ascii="宋体" w:hAnsi="宋体" w:eastAsia="宋体"/>
          <w:color w:val="auto"/>
          <w:szCs w:val="21"/>
          <w:highlight w:val="none"/>
        </w:rPr>
        <w:t>的竞争性磋商报价，工期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日历天，按合同约定实施和完成承包工程，修补工程中的任何缺陷，工程质量达到</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w:t>
      </w:r>
    </w:p>
    <w:p w14:paraId="0B57107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2.我方承认竞争性磋商报价表是我方竞争性磋商函的组成部分。</w:t>
      </w:r>
    </w:p>
    <w:p w14:paraId="261FB8B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3.如我方成交：</w:t>
      </w:r>
    </w:p>
    <w:p w14:paraId="29FD23C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（1）我方承诺在收到成交通知书后，在成交通知书规定的期限内与你方签订合同。</w:t>
      </w:r>
    </w:p>
    <w:p w14:paraId="6F51B1E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（2）在签订合同时不向你方提出附加条件。</w:t>
      </w:r>
    </w:p>
    <w:p w14:paraId="2C23B2E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（3）我方承诺按照磋商文件规定向你方递交履约担保。</w:t>
      </w:r>
    </w:p>
    <w:p w14:paraId="70923D3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（4）我方承诺在合同约定的期限内完成并移交全部合同工程。</w:t>
      </w:r>
    </w:p>
    <w:p w14:paraId="3543AB9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（5）我方已认真阅读你方审定的招标控制价，认可你方发布的招标控制价，并同意本项目依据招标控制价中相应清单单价乘以（1-成交下浮系数）进行结算。</w:t>
      </w:r>
    </w:p>
    <w:p w14:paraId="001AB1A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4.在合同书正式签署生效之前，本竞争性磋商函连同你方的成交通知书将构成我们双方之间共同遵守的文件，对双方具有约束力。</w:t>
      </w:r>
    </w:p>
    <w:p w14:paraId="1B1EE9F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（其他补充说明）。</w:t>
      </w:r>
    </w:p>
    <w:p w14:paraId="0C0200A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与本磋商有关的一切正式往来信函请寄：</w:t>
      </w:r>
    </w:p>
    <w:p w14:paraId="43DF9B5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r>
        <w:rPr>
          <w:rFonts w:ascii="Times New Roman" w:hAnsi="Times New Roman" w:eastAsia="宋体" w:cs="Times New Roman"/>
          <w:color w:val="auto"/>
          <w:szCs w:val="21"/>
          <w:highlight w:val="none"/>
          <w:u w:val="single"/>
        </w:rPr>
        <w:t xml:space="preserve">      </w:t>
      </w:r>
    </w:p>
    <w:p w14:paraId="7457844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电话：</w:t>
      </w:r>
      <w:r>
        <w:rPr>
          <w:rFonts w:ascii="Times New Roman" w:hAnsi="Times New Roman" w:eastAsia="宋体" w:cs="Times New Roman"/>
          <w:color w:val="auto"/>
          <w:szCs w:val="21"/>
          <w:highlight w:val="none"/>
          <w:u w:val="single"/>
        </w:rPr>
        <w:t xml:space="preserve">      </w:t>
      </w:r>
    </w:p>
    <w:p w14:paraId="5C7A03D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传真：</w:t>
      </w:r>
      <w:r>
        <w:rPr>
          <w:rFonts w:ascii="Times New Roman" w:hAnsi="Times New Roman" w:eastAsia="宋体" w:cs="Times New Roman"/>
          <w:color w:val="auto"/>
          <w:szCs w:val="21"/>
          <w:highlight w:val="none"/>
          <w:u w:val="single"/>
        </w:rPr>
        <w:t xml:space="preserve">      </w:t>
      </w:r>
    </w:p>
    <w:p w14:paraId="4FF3032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邮政编码：</w:t>
      </w:r>
      <w:r>
        <w:rPr>
          <w:rFonts w:ascii="Times New Roman" w:hAnsi="Times New Roman" w:eastAsia="宋体" w:cs="Times New Roman"/>
          <w:color w:val="auto"/>
          <w:szCs w:val="21"/>
          <w:highlight w:val="none"/>
          <w:u w:val="single"/>
        </w:rPr>
        <w:t xml:space="preserve">      </w:t>
      </w:r>
    </w:p>
    <w:p w14:paraId="38CC24F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开户名称：</w:t>
      </w:r>
      <w:r>
        <w:rPr>
          <w:rFonts w:ascii="Times New Roman" w:hAnsi="Times New Roman" w:eastAsia="宋体" w:cs="Times New Roman"/>
          <w:color w:val="auto"/>
          <w:szCs w:val="21"/>
          <w:highlight w:val="none"/>
          <w:u w:val="single"/>
        </w:rPr>
        <w:t xml:space="preserve">      </w:t>
      </w:r>
    </w:p>
    <w:p w14:paraId="0AB3DE7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开户银行：</w:t>
      </w:r>
      <w:r>
        <w:rPr>
          <w:rFonts w:ascii="Times New Roman" w:hAnsi="Times New Roman" w:eastAsia="宋体" w:cs="Times New Roman"/>
          <w:color w:val="auto"/>
          <w:szCs w:val="21"/>
          <w:highlight w:val="none"/>
          <w:u w:val="single"/>
        </w:rPr>
        <w:t xml:space="preserve">      </w:t>
      </w:r>
    </w:p>
    <w:p w14:paraId="316B66C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银行账号：</w:t>
      </w:r>
      <w:r>
        <w:rPr>
          <w:rFonts w:ascii="Times New Roman" w:hAnsi="Times New Roman" w:eastAsia="宋体" w:cs="Times New Roman"/>
          <w:color w:val="auto"/>
          <w:szCs w:val="21"/>
          <w:highlight w:val="none"/>
          <w:u w:val="single"/>
        </w:rPr>
        <w:t xml:space="preserve">      </w:t>
      </w:r>
    </w:p>
    <w:p w14:paraId="0052ECC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特此承诺。</w:t>
      </w:r>
    </w:p>
    <w:p w14:paraId="0852A49A">
      <w:pPr>
        <w:shd w:val="clea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658169A8">
      <w:pPr>
        <w:shd w:val="clea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w:t>
      </w:r>
    </w:p>
    <w:p w14:paraId="62F2A580">
      <w:pPr>
        <w:shd w:val="clear"/>
        <w:spacing w:line="360" w:lineRule="auto"/>
        <w:ind w:firstLine="420" w:firstLineChars="200"/>
        <w:jc w:val="right"/>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797CE76E">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竞标函附录</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985"/>
        <w:gridCol w:w="1134"/>
        <w:gridCol w:w="4394"/>
        <w:gridCol w:w="1127"/>
      </w:tblGrid>
      <w:tr w14:paraId="1DD5F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2F0B478">
            <w:pPr>
              <w:shd w:val="clea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985" w:type="dxa"/>
            <w:vAlign w:val="center"/>
          </w:tcPr>
          <w:p w14:paraId="4748407A">
            <w:pPr>
              <w:shd w:val="clear"/>
              <w:spacing w:line="360" w:lineRule="auto"/>
              <w:jc w:val="center"/>
              <w:rPr>
                <w:rFonts w:ascii="宋体" w:hAnsi="宋体"/>
                <w:color w:val="auto"/>
                <w:szCs w:val="21"/>
                <w:highlight w:val="none"/>
              </w:rPr>
            </w:pPr>
            <w:r>
              <w:rPr>
                <w:rFonts w:hint="eastAsia" w:ascii="宋体" w:hAnsi="宋体" w:eastAsia="宋体"/>
                <w:color w:val="auto"/>
                <w:szCs w:val="21"/>
                <w:highlight w:val="none"/>
              </w:rPr>
              <w:t>条款内容</w:t>
            </w:r>
          </w:p>
        </w:tc>
        <w:tc>
          <w:tcPr>
            <w:tcW w:w="1134" w:type="dxa"/>
            <w:vAlign w:val="center"/>
          </w:tcPr>
          <w:p w14:paraId="39DE5CD7">
            <w:pPr>
              <w:shd w:val="clear"/>
              <w:spacing w:line="360" w:lineRule="auto"/>
              <w:jc w:val="center"/>
              <w:rPr>
                <w:rFonts w:ascii="宋体" w:hAnsi="宋体"/>
                <w:color w:val="auto"/>
                <w:szCs w:val="21"/>
                <w:highlight w:val="none"/>
              </w:rPr>
            </w:pPr>
            <w:r>
              <w:rPr>
                <w:rFonts w:hint="eastAsia" w:ascii="宋体" w:hAnsi="宋体" w:eastAsia="宋体"/>
                <w:color w:val="auto"/>
                <w:szCs w:val="21"/>
                <w:highlight w:val="none"/>
              </w:rPr>
              <w:t>合同条款号</w:t>
            </w:r>
          </w:p>
        </w:tc>
        <w:tc>
          <w:tcPr>
            <w:tcW w:w="4394" w:type="dxa"/>
            <w:vAlign w:val="center"/>
          </w:tcPr>
          <w:p w14:paraId="229C79C0">
            <w:pPr>
              <w:shd w:val="clear"/>
              <w:spacing w:line="360" w:lineRule="auto"/>
              <w:jc w:val="center"/>
              <w:rPr>
                <w:rFonts w:ascii="宋体" w:hAnsi="宋体"/>
                <w:color w:val="auto"/>
                <w:szCs w:val="21"/>
                <w:highlight w:val="none"/>
              </w:rPr>
            </w:pPr>
            <w:r>
              <w:rPr>
                <w:rFonts w:hint="eastAsia" w:ascii="宋体" w:hAnsi="宋体" w:eastAsia="宋体"/>
                <w:color w:val="auto"/>
                <w:szCs w:val="21"/>
                <w:highlight w:val="none"/>
              </w:rPr>
              <w:t>约定内容</w:t>
            </w:r>
          </w:p>
        </w:tc>
        <w:tc>
          <w:tcPr>
            <w:tcW w:w="1127" w:type="dxa"/>
            <w:vAlign w:val="center"/>
          </w:tcPr>
          <w:p w14:paraId="67F785D3">
            <w:pPr>
              <w:shd w:val="clear"/>
              <w:spacing w:line="360" w:lineRule="auto"/>
              <w:jc w:val="center"/>
              <w:rPr>
                <w:rFonts w:ascii="宋体" w:hAnsi="宋体"/>
                <w:color w:val="auto"/>
                <w:szCs w:val="21"/>
                <w:highlight w:val="none"/>
              </w:rPr>
            </w:pPr>
            <w:r>
              <w:rPr>
                <w:rFonts w:hint="eastAsia" w:ascii="宋体" w:hAnsi="宋体" w:eastAsia="宋体"/>
                <w:color w:val="auto"/>
                <w:szCs w:val="21"/>
                <w:highlight w:val="none"/>
              </w:rPr>
              <w:t>供应商响应情况</w:t>
            </w:r>
          </w:p>
        </w:tc>
      </w:tr>
      <w:tr w14:paraId="7F89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36535F9">
            <w:pPr>
              <w:shd w:val="clea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985" w:type="dxa"/>
            <w:vAlign w:val="center"/>
          </w:tcPr>
          <w:p w14:paraId="4CD4629B">
            <w:pPr>
              <w:shd w:val="clear"/>
              <w:spacing w:line="360" w:lineRule="auto"/>
              <w:jc w:val="center"/>
              <w:rPr>
                <w:rFonts w:ascii="宋体" w:hAnsi="宋体"/>
                <w:color w:val="auto"/>
                <w:szCs w:val="21"/>
                <w:highlight w:val="none"/>
              </w:rPr>
            </w:pPr>
            <w:r>
              <w:rPr>
                <w:rFonts w:hint="eastAsia" w:ascii="宋体" w:hAnsi="宋体" w:eastAsia="宋体"/>
                <w:color w:val="auto"/>
                <w:szCs w:val="21"/>
                <w:highlight w:val="none"/>
              </w:rPr>
              <w:t>项目经理</w:t>
            </w:r>
          </w:p>
        </w:tc>
        <w:tc>
          <w:tcPr>
            <w:tcW w:w="1134" w:type="dxa"/>
            <w:vAlign w:val="center"/>
          </w:tcPr>
          <w:p w14:paraId="0AD7A349">
            <w:pPr>
              <w:shd w:val="clear"/>
              <w:spacing w:line="360" w:lineRule="auto"/>
              <w:jc w:val="center"/>
              <w:rPr>
                <w:rFonts w:ascii="宋体" w:hAnsi="宋体"/>
                <w:color w:val="auto"/>
                <w:szCs w:val="21"/>
                <w:highlight w:val="none"/>
              </w:rPr>
            </w:pPr>
            <w:r>
              <w:rPr>
                <w:rFonts w:hint="eastAsia" w:ascii="宋体" w:hAnsi="宋体" w:eastAsia="宋体"/>
                <w:color w:val="auto"/>
                <w:szCs w:val="21"/>
                <w:highlight w:val="none"/>
              </w:rPr>
              <w:t>专用条款</w:t>
            </w:r>
          </w:p>
        </w:tc>
        <w:tc>
          <w:tcPr>
            <w:tcW w:w="4394" w:type="dxa"/>
            <w:vAlign w:val="center"/>
          </w:tcPr>
          <w:p w14:paraId="0D9FEC3B">
            <w:pPr>
              <w:keepNext w:val="0"/>
              <w:keepLines w:val="0"/>
              <w:pageBreakBefore w:val="0"/>
              <w:widowControl w:val="0"/>
              <w:shd w:val="clear"/>
              <w:kinsoku/>
              <w:wordWrap w:val="0"/>
              <w:overflowPunct/>
              <w:topLinePunct w:val="0"/>
              <w:autoSpaceDE/>
              <w:autoSpaceDN/>
              <w:bidi w:val="0"/>
              <w:adjustRightInd/>
              <w:snapToGrid/>
              <w:spacing w:line="360" w:lineRule="auto"/>
              <w:jc w:val="center"/>
              <w:textAlignment w:val="auto"/>
              <w:rPr>
                <w:rFonts w:hint="default" w:ascii="宋体" w:hAnsi="宋体" w:eastAsia="宋体"/>
                <w:color w:val="auto"/>
                <w:szCs w:val="21"/>
                <w:highlight w:val="none"/>
                <w:u w:val="single"/>
                <w:lang w:val="en-US" w:eastAsia="zh-CN"/>
              </w:rPr>
            </w:pPr>
            <w:r>
              <w:rPr>
                <w:rFonts w:hint="eastAsia" w:ascii="宋体" w:hAnsi="宋体" w:eastAsia="宋体"/>
                <w:color w:val="auto"/>
                <w:szCs w:val="21"/>
                <w:highlight w:val="none"/>
              </w:rPr>
              <w:t>姓名：</w:t>
            </w:r>
            <w:r>
              <w:rPr>
                <w:rFonts w:hint="eastAsia" w:ascii="宋体" w:hAnsi="宋体" w:eastAsia="宋体"/>
                <w:color w:val="auto"/>
                <w:szCs w:val="21"/>
                <w:highlight w:val="none"/>
                <w:u w:val="single"/>
                <w:lang w:val="en-US" w:eastAsia="zh-CN"/>
              </w:rPr>
              <w:t xml:space="preserve">           </w:t>
            </w:r>
          </w:p>
        </w:tc>
        <w:tc>
          <w:tcPr>
            <w:tcW w:w="1127" w:type="dxa"/>
            <w:vAlign w:val="center"/>
          </w:tcPr>
          <w:p w14:paraId="4B365C90">
            <w:pPr>
              <w:shd w:val="clear"/>
              <w:spacing w:line="360" w:lineRule="auto"/>
              <w:jc w:val="center"/>
              <w:rPr>
                <w:rFonts w:ascii="宋体" w:hAnsi="宋体"/>
                <w:color w:val="auto"/>
                <w:szCs w:val="21"/>
                <w:highlight w:val="none"/>
              </w:rPr>
            </w:pPr>
          </w:p>
        </w:tc>
      </w:tr>
      <w:tr w14:paraId="54B9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820C937">
            <w:pPr>
              <w:shd w:val="clea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985" w:type="dxa"/>
            <w:vAlign w:val="center"/>
          </w:tcPr>
          <w:p w14:paraId="4CD430E6">
            <w:pPr>
              <w:shd w:val="clear"/>
              <w:spacing w:line="360" w:lineRule="auto"/>
              <w:jc w:val="center"/>
              <w:rPr>
                <w:rFonts w:ascii="宋体" w:hAnsi="宋体"/>
                <w:color w:val="auto"/>
                <w:szCs w:val="21"/>
                <w:highlight w:val="none"/>
              </w:rPr>
            </w:pPr>
            <w:r>
              <w:rPr>
                <w:rFonts w:hint="eastAsia" w:ascii="宋体" w:hAnsi="宋体" w:eastAsia="宋体"/>
                <w:color w:val="auto"/>
                <w:szCs w:val="21"/>
                <w:highlight w:val="none"/>
              </w:rPr>
              <w:t>竞标有效期</w:t>
            </w:r>
          </w:p>
        </w:tc>
        <w:tc>
          <w:tcPr>
            <w:tcW w:w="1134" w:type="dxa"/>
            <w:vAlign w:val="center"/>
          </w:tcPr>
          <w:p w14:paraId="0364D34E">
            <w:pPr>
              <w:shd w:val="clear"/>
              <w:spacing w:line="360" w:lineRule="auto"/>
              <w:jc w:val="center"/>
              <w:rPr>
                <w:rFonts w:ascii="宋体" w:hAnsi="宋体"/>
                <w:color w:val="auto"/>
                <w:szCs w:val="21"/>
                <w:highlight w:val="none"/>
              </w:rPr>
            </w:pPr>
          </w:p>
        </w:tc>
        <w:tc>
          <w:tcPr>
            <w:tcW w:w="4394" w:type="dxa"/>
            <w:vAlign w:val="center"/>
          </w:tcPr>
          <w:p w14:paraId="4E0B1274">
            <w:pPr>
              <w:shd w:val="clear"/>
              <w:spacing w:line="360" w:lineRule="auto"/>
              <w:jc w:val="center"/>
              <w:rPr>
                <w:rFonts w:ascii="宋体" w:hAnsi="宋体"/>
                <w:color w:val="auto"/>
                <w:szCs w:val="21"/>
                <w:highlight w:val="none"/>
              </w:rPr>
            </w:pPr>
            <w:r>
              <w:rPr>
                <w:rFonts w:hint="eastAsia" w:ascii="宋体" w:hAnsi="宋体" w:eastAsia="宋体"/>
                <w:color w:val="auto"/>
                <w:szCs w:val="21"/>
                <w:highlight w:val="none"/>
              </w:rPr>
              <w:t>自首次响应文件提交截止之日起120日</w:t>
            </w:r>
          </w:p>
        </w:tc>
        <w:tc>
          <w:tcPr>
            <w:tcW w:w="1127" w:type="dxa"/>
            <w:vAlign w:val="center"/>
          </w:tcPr>
          <w:p w14:paraId="19CFD20C">
            <w:pPr>
              <w:shd w:val="clear"/>
              <w:spacing w:line="360" w:lineRule="auto"/>
              <w:jc w:val="center"/>
              <w:rPr>
                <w:rFonts w:ascii="宋体" w:hAnsi="宋体"/>
                <w:color w:val="auto"/>
                <w:szCs w:val="21"/>
                <w:highlight w:val="none"/>
              </w:rPr>
            </w:pPr>
          </w:p>
        </w:tc>
      </w:tr>
      <w:tr w14:paraId="7EBB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6AEE658">
            <w:pPr>
              <w:shd w:val="clea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985" w:type="dxa"/>
            <w:vAlign w:val="center"/>
          </w:tcPr>
          <w:p w14:paraId="2EC7A226">
            <w:pPr>
              <w:shd w:val="clear"/>
              <w:spacing w:line="360" w:lineRule="auto"/>
              <w:jc w:val="center"/>
              <w:rPr>
                <w:rFonts w:ascii="宋体" w:hAnsi="宋体"/>
                <w:color w:val="auto"/>
                <w:szCs w:val="21"/>
                <w:highlight w:val="none"/>
              </w:rPr>
            </w:pPr>
            <w:r>
              <w:rPr>
                <w:rFonts w:hint="eastAsia" w:ascii="宋体" w:hAnsi="宋体" w:eastAsia="宋体"/>
                <w:color w:val="auto"/>
                <w:szCs w:val="21"/>
                <w:highlight w:val="none"/>
              </w:rPr>
              <w:t>工期</w:t>
            </w:r>
          </w:p>
        </w:tc>
        <w:tc>
          <w:tcPr>
            <w:tcW w:w="1134" w:type="dxa"/>
            <w:vAlign w:val="center"/>
          </w:tcPr>
          <w:p w14:paraId="3BA46019">
            <w:pPr>
              <w:shd w:val="clear"/>
              <w:spacing w:line="360" w:lineRule="auto"/>
              <w:jc w:val="center"/>
              <w:rPr>
                <w:rFonts w:ascii="宋体" w:hAnsi="宋体"/>
                <w:color w:val="auto"/>
                <w:szCs w:val="21"/>
                <w:highlight w:val="none"/>
              </w:rPr>
            </w:pPr>
            <w:r>
              <w:rPr>
                <w:rFonts w:hint="eastAsia" w:ascii="宋体" w:hAnsi="宋体" w:eastAsia="宋体"/>
                <w:color w:val="auto"/>
                <w:szCs w:val="21"/>
                <w:highlight w:val="none"/>
              </w:rPr>
              <w:t>专用条款</w:t>
            </w:r>
          </w:p>
        </w:tc>
        <w:tc>
          <w:tcPr>
            <w:tcW w:w="4394" w:type="dxa"/>
            <w:vAlign w:val="center"/>
          </w:tcPr>
          <w:p w14:paraId="2C07862F">
            <w:pPr>
              <w:shd w:val="clear"/>
              <w:spacing w:line="360" w:lineRule="auto"/>
              <w:jc w:val="center"/>
              <w:rPr>
                <w:rFonts w:ascii="宋体" w:hAnsi="宋体"/>
                <w:color w:val="auto"/>
                <w:szCs w:val="21"/>
                <w:highlight w:val="none"/>
              </w:rPr>
            </w:pPr>
            <w:r>
              <w:rPr>
                <w:rFonts w:hint="eastAsia" w:ascii="宋体" w:hAnsi="宋体" w:eastAsia="宋体"/>
                <w:color w:val="auto"/>
                <w:szCs w:val="21"/>
                <w:highlight w:val="none"/>
                <w:u w:val="single"/>
                <w:lang w:val="en-US" w:eastAsia="zh-CN"/>
              </w:rPr>
              <w:t xml:space="preserve">     </w:t>
            </w:r>
            <w:r>
              <w:rPr>
                <w:rFonts w:hint="eastAsia" w:ascii="宋体" w:hAnsi="宋体" w:eastAsia="宋体"/>
                <w:color w:val="auto"/>
                <w:szCs w:val="21"/>
                <w:highlight w:val="none"/>
              </w:rPr>
              <w:t>日历天</w:t>
            </w:r>
          </w:p>
        </w:tc>
        <w:tc>
          <w:tcPr>
            <w:tcW w:w="1127" w:type="dxa"/>
            <w:vAlign w:val="center"/>
          </w:tcPr>
          <w:p w14:paraId="37B39084">
            <w:pPr>
              <w:shd w:val="clear"/>
              <w:spacing w:line="360" w:lineRule="auto"/>
              <w:jc w:val="center"/>
              <w:rPr>
                <w:rFonts w:ascii="宋体" w:hAnsi="宋体"/>
                <w:color w:val="auto"/>
                <w:szCs w:val="21"/>
                <w:highlight w:val="none"/>
              </w:rPr>
            </w:pPr>
          </w:p>
        </w:tc>
      </w:tr>
      <w:tr w14:paraId="69AC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B126C1A">
            <w:pPr>
              <w:shd w:val="clea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1985" w:type="dxa"/>
            <w:vAlign w:val="center"/>
          </w:tcPr>
          <w:p w14:paraId="5CC9E3C1">
            <w:pPr>
              <w:shd w:val="clear"/>
              <w:spacing w:line="360" w:lineRule="auto"/>
              <w:jc w:val="center"/>
              <w:rPr>
                <w:rFonts w:ascii="宋体" w:hAnsi="宋体"/>
                <w:color w:val="auto"/>
                <w:szCs w:val="21"/>
                <w:highlight w:val="none"/>
              </w:rPr>
            </w:pPr>
            <w:r>
              <w:rPr>
                <w:rFonts w:hint="eastAsia" w:ascii="宋体" w:hAnsi="宋体" w:eastAsia="宋体"/>
                <w:color w:val="auto"/>
                <w:szCs w:val="21"/>
                <w:highlight w:val="none"/>
              </w:rPr>
              <w:t>缺陷责任期</w:t>
            </w:r>
          </w:p>
        </w:tc>
        <w:tc>
          <w:tcPr>
            <w:tcW w:w="1134" w:type="dxa"/>
            <w:vAlign w:val="center"/>
          </w:tcPr>
          <w:p w14:paraId="483359CD">
            <w:pPr>
              <w:shd w:val="clear"/>
              <w:spacing w:line="360" w:lineRule="auto"/>
              <w:jc w:val="center"/>
              <w:rPr>
                <w:rFonts w:ascii="宋体" w:hAnsi="宋体"/>
                <w:color w:val="auto"/>
                <w:szCs w:val="21"/>
                <w:highlight w:val="none"/>
              </w:rPr>
            </w:pPr>
            <w:r>
              <w:rPr>
                <w:rFonts w:hint="eastAsia" w:ascii="宋体" w:hAnsi="宋体" w:eastAsia="宋体"/>
                <w:color w:val="auto"/>
                <w:szCs w:val="21"/>
                <w:highlight w:val="none"/>
              </w:rPr>
              <w:t>专用条款</w:t>
            </w:r>
          </w:p>
        </w:tc>
        <w:tc>
          <w:tcPr>
            <w:tcW w:w="4394" w:type="dxa"/>
            <w:vAlign w:val="center"/>
          </w:tcPr>
          <w:p w14:paraId="7508DC85">
            <w:pPr>
              <w:shd w:val="clear"/>
              <w:spacing w:line="360" w:lineRule="auto"/>
              <w:jc w:val="center"/>
              <w:rPr>
                <w:rFonts w:ascii="宋体" w:hAnsi="宋体"/>
                <w:color w:val="auto"/>
                <w:szCs w:val="21"/>
                <w:highlight w:val="none"/>
              </w:rPr>
            </w:pPr>
            <w:r>
              <w:rPr>
                <w:rFonts w:hint="eastAsia" w:ascii="宋体" w:hAnsi="宋体" w:eastAsia="宋体"/>
                <w:color w:val="auto"/>
                <w:szCs w:val="21"/>
                <w:highlight w:val="none"/>
                <w:u w:val="single"/>
                <w:lang w:val="en-US" w:eastAsia="zh-CN"/>
              </w:rPr>
              <w:t xml:space="preserve"> 24 </w:t>
            </w:r>
            <w:r>
              <w:rPr>
                <w:rFonts w:hint="eastAsia" w:ascii="宋体" w:hAnsi="宋体" w:eastAsia="宋体"/>
                <w:color w:val="auto"/>
                <w:szCs w:val="21"/>
                <w:highlight w:val="none"/>
              </w:rPr>
              <w:t>个月</w:t>
            </w:r>
          </w:p>
        </w:tc>
        <w:tc>
          <w:tcPr>
            <w:tcW w:w="1127" w:type="dxa"/>
            <w:vAlign w:val="center"/>
          </w:tcPr>
          <w:p w14:paraId="7000CC5B">
            <w:pPr>
              <w:shd w:val="clear"/>
              <w:spacing w:line="360" w:lineRule="auto"/>
              <w:jc w:val="center"/>
              <w:rPr>
                <w:rFonts w:ascii="宋体" w:hAnsi="宋体"/>
                <w:color w:val="auto"/>
                <w:szCs w:val="21"/>
                <w:highlight w:val="none"/>
              </w:rPr>
            </w:pPr>
          </w:p>
        </w:tc>
      </w:tr>
      <w:tr w14:paraId="1F34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018E2C8">
            <w:pPr>
              <w:shd w:val="clea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1985" w:type="dxa"/>
            <w:vAlign w:val="center"/>
          </w:tcPr>
          <w:p w14:paraId="75C0E586">
            <w:pPr>
              <w:shd w:val="clear"/>
              <w:spacing w:line="360" w:lineRule="auto"/>
              <w:jc w:val="center"/>
              <w:rPr>
                <w:rFonts w:ascii="宋体" w:hAnsi="宋体"/>
                <w:color w:val="auto"/>
                <w:szCs w:val="21"/>
                <w:highlight w:val="none"/>
              </w:rPr>
            </w:pPr>
            <w:r>
              <w:rPr>
                <w:rFonts w:hint="eastAsia" w:ascii="宋体" w:hAnsi="宋体" w:eastAsia="宋体"/>
                <w:color w:val="auto"/>
                <w:szCs w:val="21"/>
                <w:highlight w:val="none"/>
              </w:rPr>
              <w:t>承包人履约担保金额</w:t>
            </w:r>
          </w:p>
        </w:tc>
        <w:tc>
          <w:tcPr>
            <w:tcW w:w="1134" w:type="dxa"/>
            <w:vAlign w:val="center"/>
          </w:tcPr>
          <w:p w14:paraId="043241D7">
            <w:pPr>
              <w:shd w:val="clear"/>
              <w:spacing w:line="360" w:lineRule="auto"/>
              <w:jc w:val="center"/>
              <w:rPr>
                <w:rFonts w:ascii="宋体" w:hAnsi="宋体"/>
                <w:color w:val="auto"/>
                <w:szCs w:val="21"/>
                <w:highlight w:val="none"/>
              </w:rPr>
            </w:pPr>
            <w:r>
              <w:rPr>
                <w:rFonts w:hint="eastAsia" w:ascii="宋体" w:hAnsi="宋体" w:eastAsia="宋体"/>
                <w:color w:val="auto"/>
                <w:szCs w:val="21"/>
                <w:highlight w:val="none"/>
              </w:rPr>
              <w:t>专用条款</w:t>
            </w:r>
          </w:p>
        </w:tc>
        <w:tc>
          <w:tcPr>
            <w:tcW w:w="4394" w:type="dxa"/>
            <w:vAlign w:val="center"/>
          </w:tcPr>
          <w:p w14:paraId="171487D6">
            <w:pPr>
              <w:shd w:val="clear"/>
              <w:spacing w:line="360" w:lineRule="auto"/>
              <w:jc w:val="center"/>
              <w:rPr>
                <w:rFonts w:ascii="宋体" w:hAnsi="宋体"/>
                <w:color w:val="auto"/>
                <w:szCs w:val="21"/>
                <w:highlight w:val="none"/>
              </w:rPr>
            </w:pPr>
            <w:r>
              <w:rPr>
                <w:rFonts w:hint="eastAsia" w:ascii="宋体" w:hAnsi="宋体" w:eastAsia="宋体"/>
                <w:color w:val="auto"/>
                <w:szCs w:val="21"/>
                <w:highlight w:val="none"/>
              </w:rPr>
              <w:t>合同价款扣除发包人材料设备价款、暂估专业工程、暂列金额后的</w:t>
            </w:r>
            <w:r>
              <w:rPr>
                <w:rFonts w:hint="eastAsia" w:ascii="宋体" w:hAnsi="宋体" w:eastAsia="宋体"/>
                <w:color w:val="auto"/>
                <w:szCs w:val="21"/>
                <w:highlight w:val="none"/>
                <w:u w:val="single"/>
                <w:lang w:val="en-US" w:eastAsia="zh-CN"/>
              </w:rPr>
              <w:t xml:space="preserve">  2 </w:t>
            </w:r>
            <w:r>
              <w:rPr>
                <w:rFonts w:hint="eastAsia" w:ascii="宋体" w:hAnsi="宋体" w:eastAsia="宋体"/>
                <w:color w:val="auto"/>
                <w:szCs w:val="21"/>
                <w:highlight w:val="none"/>
              </w:rPr>
              <w:t>%</w:t>
            </w:r>
          </w:p>
        </w:tc>
        <w:tc>
          <w:tcPr>
            <w:tcW w:w="1127" w:type="dxa"/>
            <w:vAlign w:val="center"/>
          </w:tcPr>
          <w:p w14:paraId="09ABCF19">
            <w:pPr>
              <w:shd w:val="clear"/>
              <w:spacing w:line="360" w:lineRule="auto"/>
              <w:jc w:val="center"/>
              <w:rPr>
                <w:rFonts w:ascii="宋体" w:hAnsi="宋体"/>
                <w:color w:val="auto"/>
                <w:szCs w:val="21"/>
                <w:highlight w:val="none"/>
              </w:rPr>
            </w:pPr>
          </w:p>
        </w:tc>
      </w:tr>
      <w:tr w14:paraId="585E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21C2C7C">
            <w:pPr>
              <w:shd w:val="clear"/>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1985" w:type="dxa"/>
            <w:vAlign w:val="center"/>
          </w:tcPr>
          <w:p w14:paraId="4DE359A7">
            <w:pPr>
              <w:shd w:val="clear"/>
              <w:spacing w:line="360" w:lineRule="auto"/>
              <w:jc w:val="center"/>
              <w:rPr>
                <w:rFonts w:ascii="宋体" w:hAnsi="宋体"/>
                <w:color w:val="auto"/>
                <w:szCs w:val="21"/>
                <w:highlight w:val="none"/>
              </w:rPr>
            </w:pPr>
            <w:r>
              <w:rPr>
                <w:rFonts w:hint="eastAsia" w:ascii="宋体" w:hAnsi="宋体" w:eastAsia="宋体"/>
                <w:color w:val="auto"/>
                <w:szCs w:val="21"/>
                <w:highlight w:val="none"/>
              </w:rPr>
              <w:t>分包</w:t>
            </w:r>
          </w:p>
        </w:tc>
        <w:tc>
          <w:tcPr>
            <w:tcW w:w="1134" w:type="dxa"/>
            <w:vAlign w:val="center"/>
          </w:tcPr>
          <w:p w14:paraId="25F335E2">
            <w:pPr>
              <w:shd w:val="clear"/>
              <w:spacing w:line="360" w:lineRule="auto"/>
              <w:jc w:val="center"/>
              <w:rPr>
                <w:rFonts w:ascii="宋体" w:hAnsi="宋体"/>
                <w:color w:val="auto"/>
                <w:szCs w:val="21"/>
                <w:highlight w:val="none"/>
              </w:rPr>
            </w:pPr>
            <w:r>
              <w:rPr>
                <w:rFonts w:hint="eastAsia" w:ascii="宋体" w:hAnsi="宋体" w:eastAsia="宋体"/>
                <w:color w:val="auto"/>
                <w:szCs w:val="21"/>
                <w:highlight w:val="none"/>
              </w:rPr>
              <w:t>专用条款</w:t>
            </w:r>
          </w:p>
        </w:tc>
        <w:tc>
          <w:tcPr>
            <w:tcW w:w="4394" w:type="dxa"/>
            <w:vAlign w:val="center"/>
          </w:tcPr>
          <w:p w14:paraId="7E66ED40">
            <w:pPr>
              <w:shd w:val="clear"/>
              <w:spacing w:line="360" w:lineRule="auto"/>
              <w:jc w:val="center"/>
              <w:rPr>
                <w:rFonts w:ascii="宋体" w:hAnsi="宋体"/>
                <w:color w:val="auto"/>
                <w:szCs w:val="21"/>
                <w:highlight w:val="none"/>
              </w:rPr>
            </w:pPr>
            <w:r>
              <w:rPr>
                <w:rFonts w:hint="eastAsia" w:ascii="宋体" w:hAnsi="宋体" w:eastAsia="宋体"/>
                <w:color w:val="auto"/>
                <w:szCs w:val="21"/>
                <w:highlight w:val="none"/>
              </w:rPr>
              <w:t>见分包项目情况表</w:t>
            </w:r>
          </w:p>
        </w:tc>
        <w:tc>
          <w:tcPr>
            <w:tcW w:w="1127" w:type="dxa"/>
            <w:vAlign w:val="center"/>
          </w:tcPr>
          <w:p w14:paraId="4DA89B66">
            <w:pPr>
              <w:shd w:val="clear"/>
              <w:spacing w:line="360" w:lineRule="auto"/>
              <w:jc w:val="center"/>
              <w:rPr>
                <w:rFonts w:ascii="宋体" w:hAnsi="宋体"/>
                <w:color w:val="auto"/>
                <w:szCs w:val="21"/>
                <w:highlight w:val="none"/>
              </w:rPr>
            </w:pPr>
          </w:p>
        </w:tc>
      </w:tr>
      <w:tr w14:paraId="272F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8D4406B">
            <w:pPr>
              <w:shd w:val="clear"/>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1985" w:type="dxa"/>
            <w:vAlign w:val="center"/>
          </w:tcPr>
          <w:p w14:paraId="41B818AC">
            <w:pPr>
              <w:shd w:val="clear"/>
              <w:spacing w:line="360" w:lineRule="auto"/>
              <w:jc w:val="center"/>
              <w:rPr>
                <w:rFonts w:ascii="宋体" w:hAnsi="宋体"/>
                <w:color w:val="auto"/>
                <w:szCs w:val="21"/>
                <w:highlight w:val="none"/>
              </w:rPr>
            </w:pPr>
            <w:r>
              <w:rPr>
                <w:rFonts w:hint="eastAsia" w:ascii="宋体" w:hAnsi="宋体" w:eastAsia="宋体"/>
                <w:color w:val="auto"/>
                <w:szCs w:val="21"/>
                <w:highlight w:val="none"/>
              </w:rPr>
              <w:t>逾期竣工违约金</w:t>
            </w:r>
          </w:p>
        </w:tc>
        <w:tc>
          <w:tcPr>
            <w:tcW w:w="1134" w:type="dxa"/>
            <w:vAlign w:val="center"/>
          </w:tcPr>
          <w:p w14:paraId="4E97431E">
            <w:pPr>
              <w:shd w:val="clear"/>
              <w:spacing w:line="360" w:lineRule="auto"/>
              <w:jc w:val="center"/>
              <w:rPr>
                <w:rFonts w:ascii="宋体" w:hAnsi="宋体"/>
                <w:color w:val="auto"/>
                <w:szCs w:val="21"/>
                <w:highlight w:val="none"/>
              </w:rPr>
            </w:pPr>
            <w:r>
              <w:rPr>
                <w:rFonts w:hint="eastAsia" w:ascii="宋体" w:hAnsi="宋体" w:eastAsia="宋体"/>
                <w:color w:val="auto"/>
                <w:szCs w:val="21"/>
                <w:highlight w:val="none"/>
              </w:rPr>
              <w:t>专用条款</w:t>
            </w:r>
          </w:p>
        </w:tc>
        <w:tc>
          <w:tcPr>
            <w:tcW w:w="4394" w:type="dxa"/>
            <w:vAlign w:val="center"/>
          </w:tcPr>
          <w:p w14:paraId="1BF6BE6D">
            <w:pPr>
              <w:shd w:val="clear"/>
              <w:spacing w:line="360" w:lineRule="auto"/>
              <w:jc w:val="center"/>
              <w:rPr>
                <w:rFonts w:ascii="宋体" w:hAnsi="宋体"/>
                <w:color w:val="auto"/>
                <w:szCs w:val="21"/>
                <w:highlight w:val="none"/>
              </w:rPr>
            </w:pPr>
            <w:r>
              <w:rPr>
                <w:rFonts w:hint="eastAsia" w:ascii="宋体" w:hAnsi="宋体" w:eastAsia="宋体"/>
                <w:color w:val="auto"/>
                <w:szCs w:val="21"/>
                <w:highlight w:val="none"/>
              </w:rPr>
              <w:t>每天违约金数额为合同价款的万分之肆</w:t>
            </w:r>
          </w:p>
        </w:tc>
        <w:tc>
          <w:tcPr>
            <w:tcW w:w="1127" w:type="dxa"/>
            <w:vAlign w:val="center"/>
          </w:tcPr>
          <w:p w14:paraId="63F41DFB">
            <w:pPr>
              <w:shd w:val="clear"/>
              <w:spacing w:line="360" w:lineRule="auto"/>
              <w:jc w:val="center"/>
              <w:rPr>
                <w:rFonts w:ascii="宋体" w:hAnsi="宋体"/>
                <w:color w:val="auto"/>
                <w:szCs w:val="21"/>
                <w:highlight w:val="none"/>
              </w:rPr>
            </w:pPr>
          </w:p>
        </w:tc>
      </w:tr>
      <w:tr w14:paraId="72B5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70CE3FE">
            <w:pPr>
              <w:shd w:val="clear"/>
              <w:spacing w:line="360" w:lineRule="auto"/>
              <w:jc w:val="center"/>
              <w:rPr>
                <w:rFonts w:ascii="宋体" w:hAnsi="宋体"/>
                <w:color w:val="auto"/>
                <w:szCs w:val="21"/>
                <w:highlight w:val="none"/>
              </w:rPr>
            </w:pPr>
            <w:r>
              <w:rPr>
                <w:rFonts w:hint="eastAsia" w:ascii="宋体" w:hAnsi="宋体"/>
                <w:color w:val="auto"/>
                <w:szCs w:val="21"/>
                <w:highlight w:val="none"/>
              </w:rPr>
              <w:t>8</w:t>
            </w:r>
          </w:p>
        </w:tc>
        <w:tc>
          <w:tcPr>
            <w:tcW w:w="1985" w:type="dxa"/>
            <w:vAlign w:val="center"/>
          </w:tcPr>
          <w:p w14:paraId="649349F5">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逾期竣工违约金最高限额</w:t>
            </w:r>
          </w:p>
        </w:tc>
        <w:tc>
          <w:tcPr>
            <w:tcW w:w="1134" w:type="dxa"/>
            <w:vAlign w:val="center"/>
          </w:tcPr>
          <w:p w14:paraId="01892F2C">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专用条款</w:t>
            </w:r>
          </w:p>
        </w:tc>
        <w:tc>
          <w:tcPr>
            <w:tcW w:w="4394" w:type="dxa"/>
            <w:vAlign w:val="center"/>
          </w:tcPr>
          <w:p w14:paraId="06E3656F">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不超过合同价的10%</w:t>
            </w:r>
          </w:p>
        </w:tc>
        <w:tc>
          <w:tcPr>
            <w:tcW w:w="1127" w:type="dxa"/>
            <w:vAlign w:val="center"/>
          </w:tcPr>
          <w:p w14:paraId="5CB6FA83">
            <w:pPr>
              <w:shd w:val="clear"/>
              <w:spacing w:line="360" w:lineRule="auto"/>
              <w:jc w:val="center"/>
              <w:rPr>
                <w:rFonts w:ascii="宋体" w:hAnsi="宋体"/>
                <w:color w:val="auto"/>
                <w:szCs w:val="21"/>
                <w:highlight w:val="none"/>
              </w:rPr>
            </w:pPr>
          </w:p>
        </w:tc>
      </w:tr>
      <w:tr w14:paraId="2C32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61A8D90">
            <w:pPr>
              <w:shd w:val="clear"/>
              <w:spacing w:line="360" w:lineRule="auto"/>
              <w:jc w:val="center"/>
              <w:rPr>
                <w:rFonts w:ascii="宋体" w:hAnsi="宋体"/>
                <w:color w:val="auto"/>
                <w:szCs w:val="21"/>
                <w:highlight w:val="none"/>
              </w:rPr>
            </w:pPr>
            <w:r>
              <w:rPr>
                <w:rFonts w:hint="eastAsia" w:ascii="宋体" w:hAnsi="宋体"/>
                <w:color w:val="auto"/>
                <w:szCs w:val="21"/>
                <w:highlight w:val="none"/>
              </w:rPr>
              <w:t>9</w:t>
            </w:r>
          </w:p>
        </w:tc>
        <w:tc>
          <w:tcPr>
            <w:tcW w:w="1985" w:type="dxa"/>
            <w:vAlign w:val="center"/>
          </w:tcPr>
          <w:p w14:paraId="53B5A893">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质量标准</w:t>
            </w:r>
          </w:p>
        </w:tc>
        <w:tc>
          <w:tcPr>
            <w:tcW w:w="1134" w:type="dxa"/>
            <w:vAlign w:val="center"/>
          </w:tcPr>
          <w:p w14:paraId="7B10F261">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专用条款</w:t>
            </w:r>
          </w:p>
        </w:tc>
        <w:tc>
          <w:tcPr>
            <w:tcW w:w="4394" w:type="dxa"/>
            <w:vAlign w:val="center"/>
          </w:tcPr>
          <w:p w14:paraId="542F716B">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合格</w:t>
            </w:r>
          </w:p>
        </w:tc>
        <w:tc>
          <w:tcPr>
            <w:tcW w:w="1127" w:type="dxa"/>
            <w:vAlign w:val="center"/>
          </w:tcPr>
          <w:p w14:paraId="3B1EEB37">
            <w:pPr>
              <w:shd w:val="clear"/>
              <w:spacing w:line="360" w:lineRule="auto"/>
              <w:jc w:val="center"/>
              <w:rPr>
                <w:rFonts w:ascii="宋体" w:hAnsi="宋体"/>
                <w:color w:val="auto"/>
                <w:szCs w:val="21"/>
                <w:highlight w:val="none"/>
              </w:rPr>
            </w:pPr>
          </w:p>
        </w:tc>
      </w:tr>
      <w:tr w14:paraId="5557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6C62A9C">
            <w:pPr>
              <w:shd w:val="clear"/>
              <w:spacing w:line="360" w:lineRule="auto"/>
              <w:jc w:val="center"/>
              <w:rPr>
                <w:rFonts w:ascii="宋体" w:hAnsi="宋体"/>
                <w:color w:val="auto"/>
                <w:szCs w:val="21"/>
                <w:highlight w:val="none"/>
              </w:rPr>
            </w:pPr>
            <w:r>
              <w:rPr>
                <w:rFonts w:hint="eastAsia" w:ascii="宋体" w:hAnsi="宋体"/>
                <w:color w:val="auto"/>
                <w:szCs w:val="21"/>
                <w:highlight w:val="none"/>
              </w:rPr>
              <w:t>10</w:t>
            </w:r>
          </w:p>
        </w:tc>
        <w:tc>
          <w:tcPr>
            <w:tcW w:w="1985" w:type="dxa"/>
            <w:vAlign w:val="center"/>
          </w:tcPr>
          <w:p w14:paraId="6B5D837A">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预付款额度</w:t>
            </w:r>
          </w:p>
        </w:tc>
        <w:tc>
          <w:tcPr>
            <w:tcW w:w="1134" w:type="dxa"/>
            <w:vAlign w:val="center"/>
          </w:tcPr>
          <w:p w14:paraId="7D89D33B">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专用条款</w:t>
            </w:r>
          </w:p>
        </w:tc>
        <w:tc>
          <w:tcPr>
            <w:tcW w:w="4394" w:type="dxa"/>
            <w:vAlign w:val="center"/>
          </w:tcPr>
          <w:p w14:paraId="2B797EA3">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无预付款</w:t>
            </w:r>
          </w:p>
        </w:tc>
        <w:tc>
          <w:tcPr>
            <w:tcW w:w="1127" w:type="dxa"/>
            <w:vAlign w:val="center"/>
          </w:tcPr>
          <w:p w14:paraId="6EFC04F6">
            <w:pPr>
              <w:shd w:val="clear"/>
              <w:spacing w:line="360" w:lineRule="auto"/>
              <w:jc w:val="center"/>
              <w:rPr>
                <w:rFonts w:ascii="宋体" w:hAnsi="宋体"/>
                <w:color w:val="auto"/>
                <w:szCs w:val="21"/>
                <w:highlight w:val="none"/>
              </w:rPr>
            </w:pPr>
          </w:p>
        </w:tc>
      </w:tr>
      <w:tr w14:paraId="4F64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4D183CF6">
            <w:pPr>
              <w:shd w:val="clear"/>
              <w:spacing w:line="360" w:lineRule="auto"/>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p>
        </w:tc>
        <w:tc>
          <w:tcPr>
            <w:tcW w:w="1985" w:type="dxa"/>
            <w:vAlign w:val="center"/>
          </w:tcPr>
          <w:p w14:paraId="35E78C0C">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质量保证金额度</w:t>
            </w:r>
          </w:p>
        </w:tc>
        <w:tc>
          <w:tcPr>
            <w:tcW w:w="1134" w:type="dxa"/>
            <w:vAlign w:val="center"/>
          </w:tcPr>
          <w:p w14:paraId="0EF48AAB">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专用条款</w:t>
            </w:r>
          </w:p>
        </w:tc>
        <w:tc>
          <w:tcPr>
            <w:tcW w:w="4394" w:type="dxa"/>
            <w:vAlign w:val="center"/>
          </w:tcPr>
          <w:p w14:paraId="56788196">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工程价款结算总额的3%</w:t>
            </w:r>
          </w:p>
        </w:tc>
        <w:tc>
          <w:tcPr>
            <w:tcW w:w="1127" w:type="dxa"/>
            <w:vAlign w:val="center"/>
          </w:tcPr>
          <w:p w14:paraId="68102B8F">
            <w:pPr>
              <w:shd w:val="clear"/>
              <w:spacing w:line="360" w:lineRule="auto"/>
              <w:jc w:val="center"/>
              <w:rPr>
                <w:rFonts w:ascii="宋体" w:hAnsi="宋体"/>
                <w:color w:val="auto"/>
                <w:szCs w:val="21"/>
                <w:highlight w:val="none"/>
              </w:rPr>
            </w:pPr>
          </w:p>
        </w:tc>
      </w:tr>
      <w:tr w14:paraId="67B9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A091E81">
            <w:pPr>
              <w:shd w:val="clear"/>
              <w:spacing w:line="360" w:lineRule="auto"/>
              <w:jc w:val="center"/>
              <w:rPr>
                <w:rFonts w:ascii="宋体" w:hAnsi="宋体"/>
                <w:color w:val="auto"/>
                <w:szCs w:val="21"/>
                <w:highlight w:val="none"/>
              </w:rPr>
            </w:pPr>
            <w:r>
              <w:rPr>
                <w:rFonts w:ascii="宋体" w:hAnsi="宋体"/>
                <w:color w:val="auto"/>
                <w:szCs w:val="21"/>
                <w:highlight w:val="none"/>
              </w:rPr>
              <w:t>…</w:t>
            </w:r>
          </w:p>
        </w:tc>
        <w:tc>
          <w:tcPr>
            <w:tcW w:w="1985" w:type="dxa"/>
            <w:vAlign w:val="center"/>
          </w:tcPr>
          <w:p w14:paraId="0AE41FB8">
            <w:pPr>
              <w:shd w:val="clear"/>
              <w:spacing w:line="360" w:lineRule="auto"/>
              <w:jc w:val="center"/>
              <w:rPr>
                <w:rFonts w:ascii="宋体" w:hAnsi="宋体" w:eastAsia="宋体"/>
                <w:color w:val="auto"/>
                <w:szCs w:val="21"/>
                <w:highlight w:val="none"/>
              </w:rPr>
            </w:pPr>
            <w:r>
              <w:rPr>
                <w:rFonts w:ascii="宋体" w:hAnsi="宋体" w:eastAsia="宋体"/>
                <w:color w:val="auto"/>
                <w:szCs w:val="21"/>
                <w:highlight w:val="none"/>
              </w:rPr>
              <w:t>…</w:t>
            </w:r>
          </w:p>
        </w:tc>
        <w:tc>
          <w:tcPr>
            <w:tcW w:w="1134" w:type="dxa"/>
            <w:vAlign w:val="center"/>
          </w:tcPr>
          <w:p w14:paraId="6CA19C0D">
            <w:pPr>
              <w:shd w:val="clear"/>
              <w:spacing w:line="360" w:lineRule="auto"/>
              <w:jc w:val="center"/>
              <w:rPr>
                <w:rFonts w:ascii="宋体" w:hAnsi="宋体" w:eastAsia="宋体"/>
                <w:color w:val="auto"/>
                <w:szCs w:val="21"/>
                <w:highlight w:val="none"/>
              </w:rPr>
            </w:pPr>
          </w:p>
        </w:tc>
        <w:tc>
          <w:tcPr>
            <w:tcW w:w="4394" w:type="dxa"/>
            <w:vAlign w:val="center"/>
          </w:tcPr>
          <w:p w14:paraId="0EEC8022">
            <w:pPr>
              <w:shd w:val="clear"/>
              <w:spacing w:line="360" w:lineRule="auto"/>
              <w:jc w:val="left"/>
              <w:rPr>
                <w:rFonts w:ascii="宋体" w:hAnsi="宋体" w:eastAsia="宋体"/>
                <w:color w:val="auto"/>
                <w:szCs w:val="21"/>
                <w:highlight w:val="none"/>
              </w:rPr>
            </w:pPr>
          </w:p>
        </w:tc>
        <w:tc>
          <w:tcPr>
            <w:tcW w:w="1127" w:type="dxa"/>
            <w:vAlign w:val="center"/>
          </w:tcPr>
          <w:p w14:paraId="21FC50ED">
            <w:pPr>
              <w:shd w:val="clear"/>
              <w:spacing w:line="360" w:lineRule="auto"/>
              <w:jc w:val="center"/>
              <w:rPr>
                <w:rFonts w:ascii="宋体" w:hAnsi="宋体"/>
                <w:color w:val="auto"/>
                <w:szCs w:val="21"/>
                <w:highlight w:val="none"/>
              </w:rPr>
            </w:pPr>
          </w:p>
        </w:tc>
      </w:tr>
      <w:tr w14:paraId="52CD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4" w:type="dxa"/>
            <w:gridSpan w:val="5"/>
            <w:vAlign w:val="center"/>
          </w:tcPr>
          <w:p w14:paraId="481B1A50">
            <w:pPr>
              <w:shd w:val="clear"/>
              <w:spacing w:line="360" w:lineRule="auto"/>
              <w:jc w:val="left"/>
              <w:rPr>
                <w:rFonts w:ascii="宋体" w:hAnsi="宋体"/>
                <w:color w:val="auto"/>
                <w:szCs w:val="21"/>
                <w:highlight w:val="none"/>
              </w:rPr>
            </w:pPr>
            <w:r>
              <w:rPr>
                <w:rFonts w:hint="eastAsia" w:ascii="宋体" w:hAnsi="宋体"/>
                <w:color w:val="auto"/>
                <w:szCs w:val="21"/>
                <w:highlight w:val="none"/>
              </w:rPr>
              <w:t>说明：供应商在响应磋商文件中规定的实质性要求和条件的基础上，可做出其他有利于采购人的承诺。此类承诺可在本表中予以补充填写。</w:t>
            </w:r>
          </w:p>
        </w:tc>
      </w:tr>
    </w:tbl>
    <w:p w14:paraId="684119AD">
      <w:pPr>
        <w:shd w:val="clea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法定代表人或者委托代理人（签字或者电子签名）：</w:t>
      </w:r>
    </w:p>
    <w:p w14:paraId="2483031A">
      <w:pPr>
        <w:shd w:val="clea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511ABC95">
      <w:pPr>
        <w:shd w:val="clear"/>
        <w:wordWrap w:val="0"/>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w:t>
      </w:r>
    </w:p>
    <w:p w14:paraId="09C18C8E">
      <w:pPr>
        <w:pStyle w:val="3"/>
        <w:shd w:val="clear"/>
        <w:jc w:val="center"/>
        <w:rPr>
          <w:color w:val="auto"/>
          <w:highlight w:val="none"/>
        </w:rPr>
        <w:sectPr>
          <w:pgSz w:w="11906" w:h="16838"/>
          <w:pgMar w:top="1440" w:right="1134" w:bottom="1440" w:left="1418" w:header="851" w:footer="992" w:gutter="0"/>
          <w:cols w:space="425" w:num="1"/>
          <w:docGrid w:type="lines" w:linePitch="312" w:charSpace="0"/>
        </w:sectPr>
      </w:pPr>
    </w:p>
    <w:p w14:paraId="34E2330E">
      <w:pPr>
        <w:pStyle w:val="12"/>
        <w:shd w:val="clear"/>
        <w:overflowPunct w:val="0"/>
        <w:spacing w:line="520" w:lineRule="exact"/>
        <w:ind w:firstLine="0"/>
        <w:jc w:val="center"/>
        <w:rPr>
          <w:rFonts w:ascii="宋体" w:hAnsi="宋体" w:cs="方正小标宋简体"/>
          <w:b/>
          <w:color w:val="auto"/>
          <w:sz w:val="32"/>
          <w:szCs w:val="32"/>
          <w:highlight w:val="none"/>
        </w:rPr>
      </w:pPr>
      <w:r>
        <w:rPr>
          <w:rFonts w:hint="eastAsia" w:ascii="宋体" w:hAnsi="宋体"/>
          <w:b/>
          <w:color w:val="auto"/>
          <w:sz w:val="32"/>
          <w:szCs w:val="32"/>
          <w:highlight w:val="none"/>
        </w:rPr>
        <w:t>（</w:t>
      </w:r>
      <w:r>
        <w:rPr>
          <w:rFonts w:hint="eastAsia" w:ascii="宋体" w:hAnsi="宋体" w:cs="方正小标宋简体"/>
          <w:b/>
          <w:color w:val="auto"/>
          <w:sz w:val="32"/>
          <w:szCs w:val="32"/>
          <w:highlight w:val="none"/>
        </w:rPr>
        <w:t>二</w:t>
      </w:r>
      <w:r>
        <w:rPr>
          <w:rFonts w:hint="eastAsia" w:ascii="宋体" w:hAnsi="宋体"/>
          <w:b/>
          <w:color w:val="auto"/>
          <w:sz w:val="32"/>
          <w:szCs w:val="32"/>
          <w:highlight w:val="none"/>
        </w:rPr>
        <w:t>）</w:t>
      </w:r>
      <w:r>
        <w:rPr>
          <w:rFonts w:hint="eastAsia" w:ascii="宋体" w:hAnsi="宋体" w:cs="方正小标宋简体"/>
          <w:b/>
          <w:color w:val="auto"/>
          <w:sz w:val="32"/>
          <w:szCs w:val="32"/>
          <w:highlight w:val="none"/>
        </w:rPr>
        <w:t>竞争性磋商报价表</w:t>
      </w:r>
    </w:p>
    <w:p w14:paraId="64CD750D">
      <w:pPr>
        <w:shd w:val="clear"/>
        <w:spacing w:line="360" w:lineRule="auto"/>
        <w:ind w:firstLine="420" w:firstLineChars="200"/>
        <w:rPr>
          <w:rFonts w:ascii="宋体" w:hAnsi="宋体" w:eastAsia="宋体"/>
          <w:color w:val="auto"/>
          <w:szCs w:val="21"/>
          <w:highlight w:val="none"/>
        </w:rPr>
      </w:pPr>
    </w:p>
    <w:p w14:paraId="3910732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项目名称：</w:t>
      </w:r>
    </w:p>
    <w:p w14:paraId="471F5E1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项目编号：</w:t>
      </w:r>
    </w:p>
    <w:p w14:paraId="1968680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分标（如有）：</w:t>
      </w:r>
    </w:p>
    <w:p w14:paraId="556C853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供应商名称：</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17"/>
        <w:gridCol w:w="1276"/>
        <w:gridCol w:w="2126"/>
        <w:gridCol w:w="2127"/>
        <w:gridCol w:w="993"/>
      </w:tblGrid>
      <w:tr w14:paraId="1D6F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F3EE47F">
            <w:pPr>
              <w:shd w:val="clea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417" w:type="dxa"/>
            <w:vAlign w:val="center"/>
          </w:tcPr>
          <w:p w14:paraId="6AD0B659">
            <w:pPr>
              <w:shd w:val="clear"/>
              <w:spacing w:line="360" w:lineRule="auto"/>
              <w:jc w:val="center"/>
              <w:rPr>
                <w:rFonts w:ascii="宋体" w:hAnsi="宋体"/>
                <w:color w:val="auto"/>
                <w:szCs w:val="21"/>
                <w:highlight w:val="none"/>
              </w:rPr>
            </w:pPr>
            <w:r>
              <w:rPr>
                <w:rFonts w:hint="eastAsia" w:ascii="宋体" w:hAnsi="宋体"/>
                <w:color w:val="auto"/>
                <w:szCs w:val="21"/>
                <w:highlight w:val="none"/>
              </w:rPr>
              <w:t>标的名称</w:t>
            </w:r>
          </w:p>
        </w:tc>
        <w:tc>
          <w:tcPr>
            <w:tcW w:w="1276" w:type="dxa"/>
            <w:vAlign w:val="center"/>
          </w:tcPr>
          <w:p w14:paraId="63F068D8">
            <w:pPr>
              <w:shd w:val="clear"/>
              <w:spacing w:line="360" w:lineRule="auto"/>
              <w:jc w:val="center"/>
              <w:rPr>
                <w:rFonts w:ascii="宋体" w:hAnsi="宋体"/>
                <w:color w:val="auto"/>
                <w:szCs w:val="21"/>
                <w:highlight w:val="none"/>
              </w:rPr>
            </w:pPr>
            <w:r>
              <w:rPr>
                <w:rFonts w:hint="eastAsia" w:ascii="宋体" w:hAnsi="宋体"/>
                <w:color w:val="auto"/>
                <w:szCs w:val="21"/>
                <w:highlight w:val="none"/>
              </w:rPr>
              <w:t>数量及单位</w:t>
            </w:r>
          </w:p>
        </w:tc>
        <w:tc>
          <w:tcPr>
            <w:tcW w:w="2126" w:type="dxa"/>
            <w:vAlign w:val="center"/>
          </w:tcPr>
          <w:p w14:paraId="18F311B2">
            <w:pPr>
              <w:shd w:val="clear"/>
              <w:spacing w:line="360" w:lineRule="auto"/>
              <w:jc w:val="center"/>
              <w:rPr>
                <w:rFonts w:ascii="宋体" w:hAnsi="宋体"/>
                <w:color w:val="auto"/>
                <w:szCs w:val="21"/>
                <w:highlight w:val="none"/>
              </w:rPr>
            </w:pPr>
            <w:r>
              <w:rPr>
                <w:rFonts w:hint="eastAsia" w:ascii="宋体" w:hAnsi="宋体"/>
                <w:color w:val="auto"/>
                <w:szCs w:val="21"/>
                <w:highlight w:val="none"/>
              </w:rPr>
              <w:t>报价（元/人民币）</w:t>
            </w:r>
          </w:p>
        </w:tc>
        <w:tc>
          <w:tcPr>
            <w:tcW w:w="2127" w:type="dxa"/>
          </w:tcPr>
          <w:p w14:paraId="3FFA8A5E">
            <w:pPr>
              <w:shd w:val="clear"/>
              <w:spacing w:line="360" w:lineRule="auto"/>
              <w:jc w:val="center"/>
              <w:rPr>
                <w:rFonts w:ascii="宋体" w:hAnsi="宋体"/>
                <w:color w:val="auto"/>
                <w:szCs w:val="21"/>
                <w:highlight w:val="none"/>
              </w:rPr>
            </w:pPr>
            <w:r>
              <w:rPr>
                <w:rFonts w:hint="eastAsia" w:ascii="宋体" w:hAnsi="宋体"/>
                <w:color w:val="auto"/>
                <w:szCs w:val="21"/>
                <w:highlight w:val="none"/>
              </w:rPr>
              <w:t>下浮系数（%）</w:t>
            </w:r>
          </w:p>
        </w:tc>
        <w:tc>
          <w:tcPr>
            <w:tcW w:w="993" w:type="dxa"/>
            <w:vAlign w:val="center"/>
          </w:tcPr>
          <w:p w14:paraId="099B148A">
            <w:pPr>
              <w:shd w:val="clea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14:paraId="700A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EFA85CD">
            <w:pPr>
              <w:shd w:val="clear"/>
              <w:spacing w:line="360" w:lineRule="auto"/>
              <w:jc w:val="center"/>
              <w:rPr>
                <w:rFonts w:ascii="宋体" w:hAnsi="宋体"/>
                <w:color w:val="auto"/>
                <w:szCs w:val="21"/>
                <w:highlight w:val="none"/>
              </w:rPr>
            </w:pPr>
            <w:r>
              <w:rPr>
                <w:rFonts w:ascii="宋体" w:hAnsi="宋体"/>
                <w:color w:val="auto"/>
                <w:szCs w:val="21"/>
                <w:highlight w:val="none"/>
              </w:rPr>
              <w:t>1</w:t>
            </w:r>
          </w:p>
        </w:tc>
        <w:tc>
          <w:tcPr>
            <w:tcW w:w="1417" w:type="dxa"/>
            <w:vAlign w:val="center"/>
          </w:tcPr>
          <w:p w14:paraId="4BEBE46F">
            <w:pPr>
              <w:shd w:val="clear"/>
              <w:spacing w:line="360" w:lineRule="auto"/>
              <w:jc w:val="center"/>
              <w:rPr>
                <w:rFonts w:ascii="宋体" w:hAnsi="宋体"/>
                <w:color w:val="auto"/>
                <w:szCs w:val="21"/>
                <w:highlight w:val="none"/>
              </w:rPr>
            </w:pPr>
          </w:p>
        </w:tc>
        <w:tc>
          <w:tcPr>
            <w:tcW w:w="1276" w:type="dxa"/>
            <w:vAlign w:val="center"/>
          </w:tcPr>
          <w:p w14:paraId="33A763CC">
            <w:pPr>
              <w:shd w:val="clear"/>
              <w:spacing w:line="360" w:lineRule="auto"/>
              <w:jc w:val="center"/>
              <w:rPr>
                <w:rFonts w:ascii="宋体" w:hAnsi="宋体"/>
                <w:color w:val="auto"/>
                <w:szCs w:val="21"/>
                <w:highlight w:val="none"/>
              </w:rPr>
            </w:pPr>
            <w:r>
              <w:rPr>
                <w:rFonts w:hint="eastAsia" w:ascii="宋体" w:hAnsi="宋体"/>
                <w:color w:val="auto"/>
                <w:szCs w:val="21"/>
                <w:highlight w:val="none"/>
              </w:rPr>
              <w:t>1项</w:t>
            </w:r>
          </w:p>
        </w:tc>
        <w:tc>
          <w:tcPr>
            <w:tcW w:w="2126" w:type="dxa"/>
            <w:vAlign w:val="center"/>
          </w:tcPr>
          <w:p w14:paraId="37AC4B0C">
            <w:pPr>
              <w:shd w:val="clear"/>
              <w:spacing w:line="360" w:lineRule="auto"/>
              <w:jc w:val="center"/>
              <w:rPr>
                <w:rFonts w:ascii="宋体" w:hAnsi="宋体"/>
                <w:color w:val="auto"/>
                <w:szCs w:val="21"/>
                <w:highlight w:val="none"/>
              </w:rPr>
            </w:pPr>
          </w:p>
        </w:tc>
        <w:tc>
          <w:tcPr>
            <w:tcW w:w="2127" w:type="dxa"/>
          </w:tcPr>
          <w:p w14:paraId="67C7DF34">
            <w:pPr>
              <w:shd w:val="clear"/>
              <w:spacing w:line="360" w:lineRule="auto"/>
              <w:jc w:val="center"/>
              <w:rPr>
                <w:rFonts w:ascii="宋体" w:hAnsi="宋体"/>
                <w:color w:val="auto"/>
                <w:szCs w:val="21"/>
                <w:highlight w:val="none"/>
              </w:rPr>
            </w:pPr>
          </w:p>
        </w:tc>
        <w:tc>
          <w:tcPr>
            <w:tcW w:w="993" w:type="dxa"/>
            <w:vAlign w:val="center"/>
          </w:tcPr>
          <w:p w14:paraId="79CAB18B">
            <w:pPr>
              <w:shd w:val="clear"/>
              <w:spacing w:line="360" w:lineRule="auto"/>
              <w:jc w:val="center"/>
              <w:rPr>
                <w:rFonts w:ascii="宋体" w:hAnsi="宋体"/>
                <w:color w:val="auto"/>
                <w:szCs w:val="21"/>
                <w:highlight w:val="none"/>
              </w:rPr>
            </w:pPr>
          </w:p>
        </w:tc>
      </w:tr>
    </w:tbl>
    <w:p w14:paraId="4D547D7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w:t>
      </w:r>
    </w:p>
    <w:p w14:paraId="3D5D84C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1.供应商的报价表必须加盖供应商电子签章并由法定代表人或者委托代理人签字或者电子签名。</w:t>
      </w:r>
    </w:p>
    <w:p w14:paraId="47BAFA7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2.报价一经涂改，应在涂改处加盖供应商公章或者加盖电子签章或者由法定代表人或者授权委托人签字（或者电子签名）。</w:t>
      </w:r>
    </w:p>
    <w:p w14:paraId="6B2787F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3.如为联合体参加竞争性磋商，“供应商名称”处必须列明联合体各方名称，标注联合体牵头人名称。</w:t>
      </w:r>
    </w:p>
    <w:p w14:paraId="6697D55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4.如为联合体参加竞争性磋商，盖章处须加盖联合体牵头人公章。</w:t>
      </w:r>
    </w:p>
    <w:p w14:paraId="69DF3C1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5.如有多分标，分别列明各分标的报价表。</w:t>
      </w:r>
    </w:p>
    <w:p w14:paraId="34116359">
      <w:pPr>
        <w:shd w:val="clea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法定代表人或者委托代理人（签字或者电子签名）：</w:t>
      </w:r>
    </w:p>
    <w:p w14:paraId="1A1D2620">
      <w:pPr>
        <w:shd w:val="clea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6B4C5677">
      <w:pPr>
        <w:shd w:val="clear"/>
        <w:wordWrap w:val="0"/>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w:t>
      </w:r>
    </w:p>
    <w:p w14:paraId="6A9DFFF3">
      <w:pPr>
        <w:pStyle w:val="3"/>
        <w:shd w:val="clear"/>
        <w:jc w:val="center"/>
        <w:rPr>
          <w:color w:val="auto"/>
          <w:highlight w:val="none"/>
        </w:rPr>
        <w:sectPr>
          <w:pgSz w:w="11906" w:h="16838"/>
          <w:pgMar w:top="1440" w:right="1134" w:bottom="1440" w:left="1418" w:header="851" w:footer="992" w:gutter="0"/>
          <w:cols w:space="425" w:num="1"/>
          <w:docGrid w:type="lines" w:linePitch="312" w:charSpace="0"/>
        </w:sectPr>
      </w:pPr>
    </w:p>
    <w:p w14:paraId="4A70FCB2">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（三）中小企业声明函（工程）</w:t>
      </w:r>
    </w:p>
    <w:p w14:paraId="6B9B1652">
      <w:pPr>
        <w:shd w:val="clear"/>
        <w:spacing w:line="360" w:lineRule="auto"/>
        <w:ind w:firstLine="420" w:firstLineChars="200"/>
        <w:rPr>
          <w:rFonts w:ascii="宋体" w:hAnsi="宋体" w:eastAsia="宋体"/>
          <w:color w:val="auto"/>
          <w:szCs w:val="21"/>
          <w:highlight w:val="none"/>
        </w:rPr>
      </w:pPr>
    </w:p>
    <w:p w14:paraId="37B449F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本公司（联合体）郑重声明，根据《政府采购促进中小企业发展管理办法》（财库﹝2020﹞46号）的规定，本公司（联合体）参加</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（单位名称）的</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（项目名称）采购活动，工程的施工单位全部为符合政策要求的中小企业。相关企业（含联合体中的中小企业、签订分包意向协议的中小企业）的具体情况如下：</w:t>
      </w:r>
    </w:p>
    <w:p w14:paraId="1A8569A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（标的名称），属于</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（采购文件中明确的所属行业）；承建企业为</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（企业名称），从业人员</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人，营业收入为</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万元，资产总额为</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万元，属于</w:t>
      </w:r>
      <w:r>
        <w:rPr>
          <w:rFonts w:hint="eastAsia" w:ascii="宋体" w:hAnsi="宋体" w:eastAsia="宋体"/>
          <w:color w:val="auto"/>
          <w:szCs w:val="21"/>
          <w:highlight w:val="none"/>
          <w:u w:val="single"/>
        </w:rPr>
        <w:t>（中型企业、小型企业、微型企业）</w:t>
      </w:r>
      <w:r>
        <w:rPr>
          <w:rFonts w:hint="eastAsia" w:ascii="宋体" w:hAnsi="宋体" w:eastAsia="宋体"/>
          <w:color w:val="auto"/>
          <w:szCs w:val="21"/>
          <w:highlight w:val="none"/>
        </w:rPr>
        <w:t>；</w:t>
      </w:r>
    </w:p>
    <w:p w14:paraId="0B333A5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（标的名称），属于</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（采购文件中明确的所属行业）；承建企业为</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（企业名称），从业人员</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人，营业收入为</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万元，资产总额为</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万元，属于</w:t>
      </w:r>
      <w:r>
        <w:rPr>
          <w:rFonts w:hint="eastAsia" w:ascii="宋体" w:hAnsi="宋体" w:eastAsia="宋体"/>
          <w:color w:val="auto"/>
          <w:szCs w:val="21"/>
          <w:highlight w:val="none"/>
          <w:u w:val="single"/>
        </w:rPr>
        <w:t>（中型企业、小型企业、微型企业）</w:t>
      </w:r>
      <w:r>
        <w:rPr>
          <w:rFonts w:hint="eastAsia" w:ascii="宋体" w:hAnsi="宋体" w:eastAsia="宋体"/>
          <w:color w:val="auto"/>
          <w:szCs w:val="21"/>
          <w:highlight w:val="none"/>
        </w:rPr>
        <w:t>；</w:t>
      </w:r>
    </w:p>
    <w:p w14:paraId="4751A2B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w:t>
      </w:r>
    </w:p>
    <w:p w14:paraId="21DC76D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以上企业，不属于大企业的分支机构，不存在控股股东为大企业的情形，也不存在与大企业的负责人为同一人的情形。</w:t>
      </w:r>
    </w:p>
    <w:p w14:paraId="21C8C61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本企业对上述声明内容的真实性负责。如有虚假，将依法承担相应责任。</w:t>
      </w:r>
    </w:p>
    <w:p w14:paraId="2E6436F9">
      <w:pPr>
        <w:shd w:val="clear"/>
        <w:spacing w:line="360" w:lineRule="auto"/>
        <w:ind w:firstLine="420" w:firstLineChars="200"/>
        <w:rPr>
          <w:rFonts w:ascii="宋体" w:hAnsi="宋体" w:eastAsia="宋体"/>
          <w:color w:val="auto"/>
          <w:szCs w:val="21"/>
          <w:highlight w:val="none"/>
        </w:rPr>
      </w:pPr>
    </w:p>
    <w:p w14:paraId="559DC765">
      <w:pPr>
        <w:shd w:val="clea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20F75ED6">
      <w:pPr>
        <w:shd w:val="clea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w:t>
      </w:r>
    </w:p>
    <w:p w14:paraId="4CFDF5DB">
      <w:pPr>
        <w:shd w:val="clear"/>
        <w:spacing w:line="360" w:lineRule="auto"/>
        <w:ind w:firstLine="420" w:firstLineChars="200"/>
        <w:rPr>
          <w:rFonts w:ascii="宋体" w:hAnsi="宋体" w:eastAsia="宋体"/>
          <w:color w:val="auto"/>
          <w:szCs w:val="21"/>
          <w:highlight w:val="none"/>
        </w:rPr>
      </w:pPr>
    </w:p>
    <w:p w14:paraId="45CDC2A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1B15052">
      <w:pPr>
        <w:shd w:val="clea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0A63107E">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（四）残疾人福利性单位声明函</w:t>
      </w:r>
    </w:p>
    <w:p w14:paraId="157C55D2">
      <w:pPr>
        <w:shd w:val="clear"/>
        <w:spacing w:line="360" w:lineRule="auto"/>
        <w:ind w:firstLine="420" w:firstLineChars="200"/>
        <w:rPr>
          <w:rFonts w:ascii="宋体" w:hAnsi="宋体" w:eastAsia="宋体"/>
          <w:color w:val="auto"/>
          <w:szCs w:val="21"/>
          <w:highlight w:val="none"/>
        </w:rPr>
      </w:pPr>
    </w:p>
    <w:p w14:paraId="5DF50B8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本单位郑重声明，根据《财政部、民政部、中国残疾人联合会关于促进残疾人就业政府采购政策的通知》（财库〔2017〕141号）的规定，本单位为符合条件的残疾人福利性单位，且本单位参加</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单位的</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1CC932F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本单位对上述声明的真实性负责。如有虚假，将依法承担相应责任。</w:t>
      </w:r>
    </w:p>
    <w:p w14:paraId="6DB5374C">
      <w:pPr>
        <w:shd w:val="clear"/>
        <w:spacing w:line="360" w:lineRule="auto"/>
        <w:ind w:firstLine="420" w:firstLineChars="200"/>
        <w:rPr>
          <w:rFonts w:ascii="宋体" w:hAnsi="宋体" w:eastAsia="宋体"/>
          <w:color w:val="auto"/>
          <w:szCs w:val="21"/>
          <w:highlight w:val="none"/>
        </w:rPr>
      </w:pPr>
    </w:p>
    <w:p w14:paraId="5C174B54">
      <w:pPr>
        <w:shd w:val="clea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04B1C4F0">
      <w:pPr>
        <w:shd w:val="clea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bookmarkStart w:id="34" w:name="OLE_LINK20"/>
      <w:bookmarkStart w:id="35" w:name="OLE_LINK19"/>
      <w:r>
        <w:rPr>
          <w:rFonts w:ascii="Times New Roman" w:hAnsi="Times New Roman" w:eastAsia="宋体" w:cs="Times New Roman"/>
          <w:color w:val="auto"/>
          <w:szCs w:val="21"/>
          <w:highlight w:val="none"/>
          <w:u w:val="single"/>
        </w:rPr>
        <w:t xml:space="preserve">   </w:t>
      </w:r>
      <w:bookmarkEnd w:id="34"/>
      <w:bookmarkEnd w:id="35"/>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w:t>
      </w:r>
    </w:p>
    <w:p w14:paraId="32DCE27C">
      <w:pPr>
        <w:shd w:val="clear"/>
        <w:spacing w:line="360" w:lineRule="auto"/>
        <w:ind w:firstLine="420" w:firstLineChars="200"/>
        <w:rPr>
          <w:rFonts w:ascii="宋体" w:hAnsi="宋体" w:eastAsia="宋体"/>
          <w:color w:val="auto"/>
          <w:szCs w:val="21"/>
          <w:highlight w:val="none"/>
        </w:rPr>
      </w:pPr>
    </w:p>
    <w:p w14:paraId="5EE98AD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注：请根据自己的真实情况出具《残疾人福利性单位声明函》。依法享受中小企业扶持政策的，采购人或者采购代理机构在公告成交结果时，同时公告其《残疾人福利性单位声明函》，接受社会监督。</w:t>
      </w:r>
    </w:p>
    <w:p w14:paraId="407FFAC6">
      <w:pPr>
        <w:shd w:val="clea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08C45F44">
      <w:pPr>
        <w:pStyle w:val="3"/>
        <w:shd w:val="clear"/>
        <w:jc w:val="center"/>
        <w:rPr>
          <w:color w:val="auto"/>
          <w:highlight w:val="none"/>
        </w:rPr>
      </w:pPr>
      <w:bookmarkStart w:id="36" w:name="_Toc197530119"/>
      <w:r>
        <w:rPr>
          <w:rFonts w:hint="eastAsia"/>
          <w:color w:val="auto"/>
          <w:highlight w:val="none"/>
        </w:rPr>
        <w:t>三、商务技术文件格式</w:t>
      </w:r>
      <w:bookmarkEnd w:id="36"/>
    </w:p>
    <w:p w14:paraId="7087654E">
      <w:pPr>
        <w:shd w:val="clear"/>
        <w:spacing w:line="360" w:lineRule="auto"/>
        <w:ind w:firstLine="420" w:firstLineChars="200"/>
        <w:rPr>
          <w:rFonts w:ascii="宋体" w:hAnsi="宋体" w:eastAsia="宋体"/>
          <w:color w:val="auto"/>
          <w:szCs w:val="21"/>
          <w:highlight w:val="none"/>
        </w:rPr>
      </w:pPr>
    </w:p>
    <w:p w14:paraId="1546449E">
      <w:pPr>
        <w:shd w:val="clear"/>
        <w:spacing w:line="360" w:lineRule="auto"/>
        <w:ind w:firstLine="420" w:firstLineChars="200"/>
        <w:rPr>
          <w:rFonts w:ascii="宋体" w:hAnsi="宋体" w:eastAsia="宋体"/>
          <w:color w:val="auto"/>
          <w:szCs w:val="21"/>
          <w:highlight w:val="none"/>
        </w:rPr>
      </w:pPr>
    </w:p>
    <w:p w14:paraId="43C32ECD">
      <w:pPr>
        <w:shd w:val="clear"/>
        <w:spacing w:line="360" w:lineRule="auto"/>
        <w:jc w:val="center"/>
        <w:rPr>
          <w:rFonts w:ascii="宋体" w:hAnsi="宋体" w:eastAsia="宋体"/>
          <w:b/>
          <w:color w:val="auto"/>
          <w:sz w:val="84"/>
          <w:szCs w:val="84"/>
          <w:highlight w:val="none"/>
        </w:rPr>
      </w:pPr>
      <w:r>
        <w:rPr>
          <w:rFonts w:hint="eastAsia" w:ascii="宋体" w:hAnsi="宋体" w:eastAsia="宋体"/>
          <w:b/>
          <w:color w:val="auto"/>
          <w:sz w:val="84"/>
          <w:szCs w:val="84"/>
          <w:highlight w:val="none"/>
        </w:rPr>
        <w:t>商务技术文件（封面）</w:t>
      </w:r>
    </w:p>
    <w:p w14:paraId="31E73A4D">
      <w:pPr>
        <w:shd w:val="clear"/>
        <w:spacing w:line="360" w:lineRule="auto"/>
        <w:ind w:firstLine="420" w:firstLineChars="200"/>
        <w:rPr>
          <w:rFonts w:ascii="宋体" w:hAnsi="宋体" w:eastAsia="宋体"/>
          <w:color w:val="auto"/>
          <w:szCs w:val="21"/>
          <w:highlight w:val="none"/>
        </w:rPr>
      </w:pPr>
    </w:p>
    <w:p w14:paraId="0EB46EEC">
      <w:pPr>
        <w:shd w:val="clear"/>
        <w:spacing w:line="360" w:lineRule="auto"/>
        <w:ind w:firstLine="420" w:firstLineChars="200"/>
        <w:rPr>
          <w:rFonts w:ascii="宋体" w:hAnsi="宋体" w:eastAsia="宋体"/>
          <w:color w:val="auto"/>
          <w:szCs w:val="21"/>
          <w:highlight w:val="none"/>
        </w:rPr>
      </w:pPr>
    </w:p>
    <w:p w14:paraId="3B100A22">
      <w:pPr>
        <w:shd w:val="clear"/>
        <w:spacing w:line="360" w:lineRule="auto"/>
        <w:ind w:firstLine="420" w:firstLineChars="200"/>
        <w:rPr>
          <w:rFonts w:ascii="宋体" w:hAnsi="宋体" w:eastAsia="宋体"/>
          <w:color w:val="auto"/>
          <w:szCs w:val="21"/>
          <w:highlight w:val="none"/>
        </w:rPr>
      </w:pPr>
    </w:p>
    <w:p w14:paraId="71618F3E">
      <w:pPr>
        <w:shd w:val="clear"/>
        <w:spacing w:line="360" w:lineRule="auto"/>
        <w:ind w:firstLine="420" w:firstLineChars="200"/>
        <w:rPr>
          <w:rFonts w:ascii="宋体" w:hAnsi="宋体" w:eastAsia="宋体"/>
          <w:color w:val="auto"/>
          <w:szCs w:val="21"/>
          <w:highlight w:val="none"/>
        </w:rPr>
      </w:pPr>
    </w:p>
    <w:p w14:paraId="46C13602">
      <w:pPr>
        <w:shd w:val="clear"/>
        <w:spacing w:line="360" w:lineRule="auto"/>
        <w:ind w:firstLine="420" w:firstLineChars="200"/>
        <w:rPr>
          <w:rFonts w:ascii="宋体" w:hAnsi="宋体" w:eastAsia="宋体"/>
          <w:color w:val="auto"/>
          <w:szCs w:val="21"/>
          <w:highlight w:val="none"/>
        </w:rPr>
      </w:pPr>
    </w:p>
    <w:p w14:paraId="7D41C78F">
      <w:pPr>
        <w:shd w:val="clea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项目名称：</w:t>
      </w:r>
    </w:p>
    <w:p w14:paraId="5F91BB2C">
      <w:pPr>
        <w:shd w:val="clear"/>
        <w:spacing w:line="360" w:lineRule="auto"/>
        <w:ind w:firstLine="420" w:firstLineChars="200"/>
        <w:rPr>
          <w:rFonts w:ascii="宋体" w:hAnsi="宋体" w:eastAsia="宋体"/>
          <w:color w:val="auto"/>
          <w:szCs w:val="21"/>
          <w:highlight w:val="none"/>
        </w:rPr>
      </w:pPr>
    </w:p>
    <w:p w14:paraId="74C67B7F">
      <w:pPr>
        <w:shd w:val="clea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项目编号：</w:t>
      </w:r>
    </w:p>
    <w:p w14:paraId="7D7CA248">
      <w:pPr>
        <w:shd w:val="clear"/>
        <w:spacing w:line="360" w:lineRule="auto"/>
        <w:ind w:firstLine="420" w:firstLineChars="200"/>
        <w:rPr>
          <w:rFonts w:ascii="宋体" w:hAnsi="宋体" w:eastAsia="宋体"/>
          <w:color w:val="auto"/>
          <w:szCs w:val="21"/>
          <w:highlight w:val="none"/>
        </w:rPr>
      </w:pPr>
    </w:p>
    <w:p w14:paraId="316A9AC5">
      <w:pPr>
        <w:shd w:val="clea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所竞分标（如有则填写，无分标时填写“无”或者留空）：</w:t>
      </w:r>
    </w:p>
    <w:p w14:paraId="61C03FB8">
      <w:pPr>
        <w:shd w:val="clear"/>
        <w:spacing w:line="360" w:lineRule="auto"/>
        <w:ind w:firstLine="420" w:firstLineChars="200"/>
        <w:rPr>
          <w:rFonts w:ascii="宋体" w:hAnsi="宋体" w:eastAsia="宋体"/>
          <w:color w:val="auto"/>
          <w:szCs w:val="21"/>
          <w:highlight w:val="none"/>
        </w:rPr>
      </w:pPr>
    </w:p>
    <w:p w14:paraId="275972FA">
      <w:pPr>
        <w:shd w:val="clear"/>
        <w:spacing w:line="360" w:lineRule="auto"/>
        <w:ind w:firstLine="640" w:firstLineChars="200"/>
        <w:rPr>
          <w:rFonts w:ascii="宋体" w:hAnsi="宋体" w:eastAsia="宋体"/>
          <w:color w:val="auto"/>
          <w:sz w:val="32"/>
          <w:szCs w:val="32"/>
          <w:highlight w:val="none"/>
        </w:rPr>
      </w:pPr>
      <w:r>
        <w:rPr>
          <w:rFonts w:hint="eastAsia" w:ascii="宋体" w:hAnsi="宋体" w:eastAsia="宋体"/>
          <w:color w:val="auto"/>
          <w:sz w:val="32"/>
          <w:szCs w:val="32"/>
          <w:highlight w:val="none"/>
        </w:rPr>
        <w:t>供应商名称：</w:t>
      </w:r>
    </w:p>
    <w:p w14:paraId="2D9CA156">
      <w:pPr>
        <w:shd w:val="clear"/>
        <w:spacing w:line="360" w:lineRule="auto"/>
        <w:ind w:firstLine="420" w:firstLineChars="200"/>
        <w:rPr>
          <w:rFonts w:ascii="宋体" w:hAnsi="宋体" w:eastAsia="宋体"/>
          <w:color w:val="auto"/>
          <w:szCs w:val="21"/>
          <w:highlight w:val="none"/>
        </w:rPr>
      </w:pPr>
    </w:p>
    <w:p w14:paraId="6CE622C7">
      <w:pPr>
        <w:shd w:val="clear"/>
        <w:spacing w:line="360" w:lineRule="auto"/>
        <w:ind w:firstLine="420" w:firstLineChars="200"/>
        <w:rPr>
          <w:rFonts w:ascii="宋体" w:hAnsi="宋体" w:eastAsia="宋体"/>
          <w:color w:val="auto"/>
          <w:szCs w:val="21"/>
          <w:highlight w:val="none"/>
        </w:rPr>
      </w:pPr>
    </w:p>
    <w:p w14:paraId="53D11185">
      <w:pPr>
        <w:shd w:val="clear"/>
        <w:spacing w:line="360" w:lineRule="auto"/>
        <w:ind w:firstLine="420" w:firstLineChars="200"/>
        <w:rPr>
          <w:rFonts w:ascii="宋体" w:hAnsi="宋体" w:eastAsia="宋体"/>
          <w:color w:val="auto"/>
          <w:szCs w:val="21"/>
          <w:highlight w:val="none"/>
        </w:rPr>
      </w:pPr>
    </w:p>
    <w:p w14:paraId="169A0472">
      <w:pPr>
        <w:shd w:val="clear"/>
        <w:spacing w:line="360" w:lineRule="auto"/>
        <w:jc w:val="center"/>
        <w:rPr>
          <w:rFonts w:ascii="宋体" w:hAnsi="宋体" w:eastAsia="宋体"/>
          <w:color w:val="auto"/>
          <w:szCs w:val="21"/>
          <w:highlight w:val="none"/>
        </w:rPr>
      </w:pPr>
      <w:r>
        <w:rPr>
          <w:rFonts w:ascii="宋体" w:hAnsi="宋体" w:eastAsia="宋体" w:cs="Times New Roman"/>
          <w:color w:val="auto"/>
          <w:sz w:val="32"/>
          <w:szCs w:val="32"/>
          <w:highlight w:val="none"/>
          <w:u w:val="single"/>
        </w:rPr>
        <w:t xml:space="preserve">   </w:t>
      </w:r>
      <w:r>
        <w:rPr>
          <w:rFonts w:hint="eastAsia" w:ascii="宋体" w:hAnsi="宋体" w:eastAsia="宋体"/>
          <w:color w:val="auto"/>
          <w:sz w:val="32"/>
          <w:szCs w:val="32"/>
          <w:highlight w:val="none"/>
        </w:rPr>
        <w:t>年</w:t>
      </w:r>
      <w:r>
        <w:rPr>
          <w:rFonts w:ascii="宋体" w:hAnsi="宋体" w:eastAsia="宋体" w:cs="Times New Roman"/>
          <w:color w:val="auto"/>
          <w:sz w:val="32"/>
          <w:szCs w:val="32"/>
          <w:highlight w:val="none"/>
          <w:u w:val="single"/>
        </w:rPr>
        <w:t xml:space="preserve">   </w:t>
      </w:r>
      <w:r>
        <w:rPr>
          <w:rFonts w:hint="eastAsia" w:ascii="宋体" w:hAnsi="宋体" w:eastAsia="宋体"/>
          <w:color w:val="auto"/>
          <w:sz w:val="32"/>
          <w:szCs w:val="32"/>
          <w:highlight w:val="none"/>
        </w:rPr>
        <w:t>月</w:t>
      </w:r>
      <w:r>
        <w:rPr>
          <w:rFonts w:ascii="宋体" w:hAnsi="宋体" w:eastAsia="宋体" w:cs="Times New Roman"/>
          <w:color w:val="auto"/>
          <w:sz w:val="32"/>
          <w:szCs w:val="32"/>
          <w:highlight w:val="none"/>
          <w:u w:val="single"/>
        </w:rPr>
        <w:t xml:space="preserve">   </w:t>
      </w:r>
      <w:r>
        <w:rPr>
          <w:rFonts w:hint="eastAsia" w:ascii="宋体" w:hAnsi="宋体" w:eastAsia="宋体"/>
          <w:color w:val="auto"/>
          <w:sz w:val="32"/>
          <w:szCs w:val="32"/>
          <w:highlight w:val="none"/>
        </w:rPr>
        <w:t>日</w:t>
      </w:r>
    </w:p>
    <w:p w14:paraId="2DA936D2">
      <w:pPr>
        <w:shd w:val="clear"/>
        <w:spacing w:line="360" w:lineRule="auto"/>
        <w:jc w:val="center"/>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4FA8F2FA">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商务技术文件目录</w:t>
      </w:r>
    </w:p>
    <w:p w14:paraId="1F7E2EC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根据磋商文件规定及供应商提供的材料自行编写目录（部分格式后附）。</w:t>
      </w:r>
    </w:p>
    <w:p w14:paraId="46D42BA1">
      <w:pPr>
        <w:shd w:val="clea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549A9BF3">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（一）无串通参加竞争性磋商行为的承诺函</w:t>
      </w:r>
    </w:p>
    <w:p w14:paraId="4A5D98A9">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无串通参加竞争性磋商行为的承诺函</w:t>
      </w:r>
    </w:p>
    <w:p w14:paraId="03B66E01">
      <w:pPr>
        <w:shd w:val="clear"/>
        <w:spacing w:line="360" w:lineRule="auto"/>
        <w:ind w:firstLine="420" w:firstLineChars="200"/>
        <w:rPr>
          <w:rFonts w:ascii="宋体" w:hAnsi="宋体" w:eastAsia="宋体"/>
          <w:color w:val="auto"/>
          <w:szCs w:val="21"/>
          <w:highlight w:val="none"/>
        </w:rPr>
      </w:pPr>
    </w:p>
    <w:p w14:paraId="08A6D157">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一、我方承诺无下列相互串通竞争性磋商的情形：</w:t>
      </w:r>
    </w:p>
    <w:p w14:paraId="02B9BA3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1.不同供应商的响应文件由同一单位或者个人编制；</w:t>
      </w:r>
    </w:p>
    <w:p w14:paraId="2A28BD7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2.不同供应商委托同一单位或者个人办理竞争性磋商事宜；</w:t>
      </w:r>
    </w:p>
    <w:p w14:paraId="77FA86D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3.不同供应商的响应文件载明的项目管理员为同一个人；</w:t>
      </w:r>
    </w:p>
    <w:p w14:paraId="6114689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4.不同供应商的响应文件异常一致或者竞争性磋商报价呈规律性差异；</w:t>
      </w:r>
    </w:p>
    <w:p w14:paraId="66FDF59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5.不同供应商的响应文件相互混装；</w:t>
      </w:r>
    </w:p>
    <w:p w14:paraId="37C4C38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6.不同供应商的磋商保证金从同一单位或者个人账户转出。</w:t>
      </w:r>
    </w:p>
    <w:p w14:paraId="128D178A">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二、我方承诺无下列恶意串通的情形：</w:t>
      </w:r>
    </w:p>
    <w:p w14:paraId="49CCBD4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1.供应商直接或者间接从采购人或者采购代理机构处获得其他供应商的相关信息并修改其响应文件；</w:t>
      </w:r>
    </w:p>
    <w:p w14:paraId="4E865D2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2.供应商按照采购人或者采购代理机构的授意撤换、修改响应文件；</w:t>
      </w:r>
    </w:p>
    <w:p w14:paraId="13B1886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3.供应商之间协商报价、技术方案等响应文件的实质性内容；</w:t>
      </w:r>
    </w:p>
    <w:p w14:paraId="1CC99C7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4.属于同一集团、协会、商会等组织成员的供应商按照该组织要求协同参加政府采购活动；</w:t>
      </w:r>
    </w:p>
    <w:p w14:paraId="7D84A06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5.供应商之间事先约定一致抬高或者压低竞争性磋商报价，或者在竞争性磋商项目中事先约定轮流以高价位或者低价位成交，或者事先约定由某一特定供应商成交，然后再参加竞争性磋商；</w:t>
      </w:r>
    </w:p>
    <w:p w14:paraId="64097B9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6.供应商之间商定部分供应商放弃参加政府采购活动或者放弃成交；</w:t>
      </w:r>
    </w:p>
    <w:p w14:paraId="5AD6F4F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7.供应商与采购人或者采购代理机构之间、供应商相互之间，为谋求特定供应商成交或者排斥其他供应商的其他串通行为。</w:t>
      </w:r>
    </w:p>
    <w:p w14:paraId="037FBE63">
      <w:pPr>
        <w:shd w:val="clear"/>
        <w:spacing w:line="360" w:lineRule="auto"/>
        <w:ind w:firstLine="420" w:firstLineChars="200"/>
        <w:rPr>
          <w:rFonts w:ascii="宋体" w:hAnsi="宋体" w:eastAsia="宋体"/>
          <w:color w:val="auto"/>
          <w:szCs w:val="21"/>
          <w:highlight w:val="none"/>
        </w:rPr>
      </w:pPr>
    </w:p>
    <w:p w14:paraId="56B7809B">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以上情形一经核查属实，我方愿意承担一切后果，并不再寻求任何旨在减轻或者免除法律责任的辩解。</w:t>
      </w:r>
    </w:p>
    <w:p w14:paraId="58CD8D54">
      <w:pPr>
        <w:shd w:val="clea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60B3B33E">
      <w:pPr>
        <w:shd w:val="clear"/>
        <w:wordWrap w:val="0"/>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w:t>
      </w:r>
    </w:p>
    <w:p w14:paraId="68F048A8">
      <w:pPr>
        <w:shd w:val="clea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65204DE3">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（二）法定代表人身份证明书</w:t>
      </w:r>
    </w:p>
    <w:p w14:paraId="2358FD25">
      <w:pPr>
        <w:shd w:val="clear"/>
        <w:spacing w:line="360" w:lineRule="auto"/>
        <w:ind w:firstLine="420" w:firstLineChars="200"/>
        <w:rPr>
          <w:rFonts w:ascii="宋体" w:hAnsi="宋体" w:eastAsia="宋体"/>
          <w:color w:val="auto"/>
          <w:szCs w:val="21"/>
          <w:highlight w:val="none"/>
        </w:rPr>
      </w:pPr>
    </w:p>
    <w:p w14:paraId="27F43BB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供应商名称：</w:t>
      </w:r>
      <w:r>
        <w:rPr>
          <w:rFonts w:ascii="Times New Roman" w:hAnsi="Times New Roman" w:eastAsia="宋体" w:cs="Times New Roman"/>
          <w:color w:val="auto"/>
          <w:szCs w:val="21"/>
          <w:highlight w:val="none"/>
        </w:rPr>
        <w:t>____________________________________________________________________________</w:t>
      </w:r>
    </w:p>
    <w:p w14:paraId="5FA311E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r>
        <w:rPr>
          <w:rFonts w:ascii="Times New Roman" w:hAnsi="Times New Roman" w:eastAsia="宋体" w:cs="Times New Roman"/>
          <w:color w:val="auto"/>
          <w:szCs w:val="21"/>
          <w:highlight w:val="none"/>
        </w:rPr>
        <w:t>__________________________________________________________________________________</w:t>
      </w:r>
    </w:p>
    <w:p w14:paraId="0DF2968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姓名：</w:t>
      </w:r>
      <w:r>
        <w:rPr>
          <w:rFonts w:ascii="Times New Roman" w:hAnsi="Times New Roman" w:eastAsia="宋体" w:cs="Times New Roman"/>
          <w:color w:val="auto"/>
          <w:szCs w:val="21"/>
          <w:highlight w:val="none"/>
        </w:rPr>
        <w:t>_______________________________________</w:t>
      </w:r>
      <w:r>
        <w:rPr>
          <w:rFonts w:hint="eastAsia" w:ascii="宋体" w:hAnsi="宋体" w:eastAsia="宋体"/>
          <w:color w:val="auto"/>
          <w:szCs w:val="21"/>
          <w:highlight w:val="none"/>
        </w:rPr>
        <w:t>性别：</w:t>
      </w:r>
      <w:r>
        <w:rPr>
          <w:rFonts w:ascii="Times New Roman" w:hAnsi="Times New Roman" w:eastAsia="宋体" w:cs="Times New Roman"/>
          <w:color w:val="auto"/>
          <w:szCs w:val="21"/>
          <w:highlight w:val="none"/>
        </w:rPr>
        <w:t>______________________________________</w:t>
      </w:r>
    </w:p>
    <w:p w14:paraId="2E8550B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年龄：</w:t>
      </w:r>
      <w:r>
        <w:rPr>
          <w:rFonts w:ascii="Times New Roman" w:hAnsi="Times New Roman" w:eastAsia="宋体" w:cs="Times New Roman"/>
          <w:color w:val="auto"/>
          <w:szCs w:val="21"/>
          <w:highlight w:val="none"/>
        </w:rPr>
        <w:t>_______________________________________</w:t>
      </w:r>
      <w:r>
        <w:rPr>
          <w:rFonts w:hint="eastAsia" w:ascii="宋体" w:hAnsi="宋体" w:eastAsia="宋体"/>
          <w:color w:val="auto"/>
          <w:szCs w:val="21"/>
          <w:highlight w:val="none"/>
        </w:rPr>
        <w:t>职务：</w:t>
      </w:r>
      <w:r>
        <w:rPr>
          <w:rFonts w:ascii="Times New Roman" w:hAnsi="Times New Roman" w:eastAsia="宋体" w:cs="Times New Roman"/>
          <w:color w:val="auto"/>
          <w:szCs w:val="21"/>
          <w:highlight w:val="none"/>
        </w:rPr>
        <w:t>______________________________________</w:t>
      </w:r>
    </w:p>
    <w:p w14:paraId="4B768BF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身份证号码：</w:t>
      </w:r>
      <w:r>
        <w:rPr>
          <w:rFonts w:ascii="Times New Roman" w:hAnsi="Times New Roman" w:eastAsia="宋体" w:cs="Times New Roman"/>
          <w:color w:val="auto"/>
          <w:szCs w:val="21"/>
          <w:highlight w:val="none"/>
        </w:rPr>
        <w:t>____________________________________________________________________________</w:t>
      </w:r>
    </w:p>
    <w:p w14:paraId="1DE47CD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系</w:t>
      </w:r>
      <w:r>
        <w:rPr>
          <w:rFonts w:hint="eastAsia" w:ascii="宋体" w:hAnsi="宋体" w:eastAsia="宋体"/>
          <w:color w:val="auto"/>
          <w:szCs w:val="21"/>
          <w:highlight w:val="none"/>
          <w:u w:val="single"/>
        </w:rPr>
        <w:t>（供应商名称）</w:t>
      </w:r>
      <w:r>
        <w:rPr>
          <w:rFonts w:hint="eastAsia" w:ascii="宋体" w:hAnsi="宋体" w:eastAsia="宋体"/>
          <w:color w:val="auto"/>
          <w:szCs w:val="21"/>
          <w:highlight w:val="none"/>
        </w:rPr>
        <w:t>的法定代表人。</w:t>
      </w:r>
    </w:p>
    <w:p w14:paraId="619706F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特此证明。</w:t>
      </w:r>
    </w:p>
    <w:p w14:paraId="79F34C61">
      <w:pPr>
        <w:shd w:val="clear"/>
        <w:spacing w:line="360" w:lineRule="auto"/>
        <w:ind w:firstLine="420" w:firstLineChars="200"/>
        <w:rPr>
          <w:rFonts w:ascii="宋体" w:hAnsi="宋体" w:eastAsia="宋体"/>
          <w:color w:val="auto"/>
          <w:szCs w:val="21"/>
          <w:highlight w:val="none"/>
        </w:rPr>
      </w:pPr>
    </w:p>
    <w:p w14:paraId="05C621D9">
      <w:pPr>
        <w:shd w:val="clear"/>
        <w:spacing w:line="360" w:lineRule="auto"/>
        <w:ind w:firstLine="420" w:firstLineChars="200"/>
        <w:rPr>
          <w:rFonts w:ascii="宋体" w:hAnsi="宋体" w:eastAsia="宋体"/>
          <w:color w:val="auto"/>
          <w:szCs w:val="21"/>
          <w:highlight w:val="none"/>
        </w:rPr>
      </w:pPr>
    </w:p>
    <w:p w14:paraId="1D0D3802">
      <w:pPr>
        <w:shd w:val="clear"/>
        <w:spacing w:line="360" w:lineRule="auto"/>
        <w:ind w:firstLine="420" w:firstLineChars="200"/>
        <w:rPr>
          <w:rFonts w:ascii="宋体" w:hAnsi="宋体" w:eastAsia="宋体"/>
          <w:color w:val="auto"/>
          <w:szCs w:val="21"/>
          <w:highlight w:val="none"/>
        </w:rPr>
      </w:pPr>
    </w:p>
    <w:p w14:paraId="1F2A64B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附件：法定代表人有效身份证正反面复印件</w:t>
      </w:r>
    </w:p>
    <w:p w14:paraId="38669EF7">
      <w:pPr>
        <w:shd w:val="clear"/>
        <w:spacing w:line="360" w:lineRule="auto"/>
        <w:ind w:firstLine="420" w:firstLineChars="200"/>
        <w:rPr>
          <w:rFonts w:ascii="宋体" w:hAnsi="宋体" w:eastAsia="宋体"/>
          <w:color w:val="auto"/>
          <w:szCs w:val="21"/>
          <w:highlight w:val="none"/>
        </w:rPr>
      </w:pPr>
    </w:p>
    <w:p w14:paraId="53ED4571">
      <w:pPr>
        <w:shd w:val="clea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508DE67A">
      <w:pPr>
        <w:shd w:val="clea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w:t>
      </w:r>
    </w:p>
    <w:p w14:paraId="6ECFBBC5">
      <w:pPr>
        <w:shd w:val="clear"/>
        <w:spacing w:line="360" w:lineRule="auto"/>
        <w:ind w:firstLine="420" w:firstLineChars="200"/>
        <w:rPr>
          <w:rFonts w:ascii="宋体" w:hAnsi="宋体" w:eastAsia="宋体"/>
          <w:color w:val="auto"/>
          <w:szCs w:val="21"/>
          <w:highlight w:val="none"/>
        </w:rPr>
      </w:pPr>
    </w:p>
    <w:p w14:paraId="3263728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注：1.自然人竞标的无需提供，联合体竞标的只需牵头人出具。</w:t>
      </w:r>
    </w:p>
    <w:p w14:paraId="2C2D3F32">
      <w:pPr>
        <w:shd w:val="clear"/>
        <w:spacing w:line="360" w:lineRule="auto"/>
        <w:ind w:firstLine="420" w:firstLineChars="200"/>
        <w:rPr>
          <w:rFonts w:ascii="宋体" w:hAnsi="宋体" w:eastAsia="宋体"/>
          <w:color w:val="auto"/>
          <w:szCs w:val="21"/>
          <w:highlight w:val="none"/>
        </w:rPr>
      </w:pPr>
    </w:p>
    <w:p w14:paraId="5EDE23B3">
      <w:pPr>
        <w:shd w:val="clea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0B0C6F42">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附件：</w:t>
      </w:r>
    </w:p>
    <w:tbl>
      <w:tblPr>
        <w:tblStyle w:val="3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4"/>
      </w:tblGrid>
      <w:tr w14:paraId="7ABAB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5" w:hRule="atLeast"/>
        </w:trPr>
        <w:tc>
          <w:tcPr>
            <w:tcW w:w="5000" w:type="pct"/>
          </w:tcPr>
          <w:p w14:paraId="7714F9A9">
            <w:pPr>
              <w:shd w:val="clear"/>
              <w:spacing w:line="360" w:lineRule="auto"/>
              <w:jc w:val="left"/>
              <w:rPr>
                <w:rFonts w:ascii="宋体" w:hAnsi="宋体"/>
                <w:b/>
                <w:color w:val="auto"/>
                <w:szCs w:val="21"/>
                <w:highlight w:val="none"/>
              </w:rPr>
            </w:pPr>
            <w:r>
              <w:rPr>
                <w:rFonts w:hint="eastAsia" w:ascii="宋体" w:hAnsi="宋体"/>
                <w:b/>
                <w:color w:val="auto"/>
                <w:szCs w:val="21"/>
                <w:highlight w:val="none"/>
              </w:rPr>
              <w:t>法定代表身份证复印件粘贴处（正、反面）</w:t>
            </w:r>
          </w:p>
        </w:tc>
      </w:tr>
    </w:tbl>
    <w:p w14:paraId="68BA3DD4">
      <w:pPr>
        <w:shd w:val="clear"/>
        <w:spacing w:line="360" w:lineRule="auto"/>
        <w:jc w:val="center"/>
        <w:rPr>
          <w:rFonts w:ascii="宋体" w:hAnsi="宋体" w:eastAsia="宋体"/>
          <w:color w:val="auto"/>
          <w:szCs w:val="21"/>
          <w:highlight w:val="none"/>
        </w:rPr>
      </w:pPr>
    </w:p>
    <w:p w14:paraId="4BE2E8F9">
      <w:pPr>
        <w:shd w:val="clear"/>
        <w:spacing w:line="360" w:lineRule="auto"/>
        <w:jc w:val="center"/>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5B107511">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（三）授权委托书（非联合体参加竞争性磋商格式）</w:t>
      </w:r>
    </w:p>
    <w:p w14:paraId="2167FA80">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（如有委托时）</w:t>
      </w:r>
    </w:p>
    <w:p w14:paraId="2D01B480">
      <w:pPr>
        <w:shd w:val="clear"/>
        <w:spacing w:line="360" w:lineRule="auto"/>
        <w:ind w:firstLine="420" w:firstLineChars="200"/>
        <w:rPr>
          <w:rFonts w:ascii="宋体" w:hAnsi="宋体" w:eastAsia="宋体"/>
          <w:color w:val="auto"/>
          <w:szCs w:val="21"/>
          <w:highlight w:val="none"/>
        </w:rPr>
      </w:pPr>
    </w:p>
    <w:p w14:paraId="35766E96">
      <w:pPr>
        <w:shd w:val="clear"/>
        <w:spacing w:line="360" w:lineRule="auto"/>
        <w:rPr>
          <w:rFonts w:ascii="宋体" w:hAnsi="宋体" w:eastAsia="宋体"/>
          <w:color w:val="auto"/>
          <w:szCs w:val="21"/>
          <w:highlight w:val="none"/>
        </w:rPr>
      </w:pPr>
      <w:r>
        <w:rPr>
          <w:rFonts w:hint="eastAsia" w:ascii="宋体" w:hAnsi="宋体" w:eastAsia="宋体"/>
          <w:color w:val="auto"/>
          <w:szCs w:val="21"/>
          <w:highlight w:val="none"/>
        </w:rPr>
        <w:t>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（采购人名称）：</w:t>
      </w:r>
    </w:p>
    <w:p w14:paraId="1B7D536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我</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（姓名）系</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（供应商名称）的（□法定代表人/□负责人），现授权</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（姓名）以我方的名义参加</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项目的竞争性磋商活动，并代表我方全权办理针对上述项目的所有采购程序和环节的具体事务和签署相关文件。</w:t>
      </w:r>
    </w:p>
    <w:p w14:paraId="31F540E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我方对委托代理人的签字或者电子签名事项负全部责任。</w:t>
      </w:r>
    </w:p>
    <w:p w14:paraId="28C7B76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本授权书自签署之日起生效，在撤销授权的书面通知以前，本授权书一直有效。委托代理人在授权书有效期内签署的所有文件不因授权的撤销而失效。</w:t>
      </w:r>
    </w:p>
    <w:p w14:paraId="10D2FFC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委托代理人无转委托权，特此委托。</w:t>
      </w:r>
    </w:p>
    <w:p w14:paraId="09ABFCB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附：法定代表人身份证明书及委托代理人有效身份证正反面复印件</w:t>
      </w:r>
    </w:p>
    <w:p w14:paraId="260BD161">
      <w:pPr>
        <w:shd w:val="clear"/>
        <w:spacing w:line="360" w:lineRule="auto"/>
        <w:ind w:firstLine="420" w:firstLineChars="200"/>
        <w:rPr>
          <w:rFonts w:ascii="宋体" w:hAnsi="宋体" w:eastAsia="宋体"/>
          <w:color w:val="auto"/>
          <w:szCs w:val="21"/>
          <w:highlight w:val="none"/>
        </w:rPr>
      </w:pPr>
    </w:p>
    <w:p w14:paraId="2E6C2D3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委托代理人（签字或者电子签名）：</w:t>
      </w:r>
    </w:p>
    <w:p w14:paraId="07103D1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委托代理人身份证号码：</w:t>
      </w:r>
    </w:p>
    <w:p w14:paraId="1503D96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法定代表人（签字或者盖章或者电子签名）：</w:t>
      </w:r>
    </w:p>
    <w:p w14:paraId="4FB8BDB4">
      <w:pPr>
        <w:shd w:val="clear"/>
        <w:spacing w:line="360" w:lineRule="auto"/>
        <w:ind w:firstLine="420" w:firstLineChars="200"/>
        <w:rPr>
          <w:rFonts w:ascii="宋体" w:hAnsi="宋体" w:eastAsia="宋体"/>
          <w:color w:val="auto"/>
          <w:szCs w:val="21"/>
          <w:highlight w:val="none"/>
        </w:rPr>
      </w:pPr>
    </w:p>
    <w:p w14:paraId="7D528871">
      <w:pPr>
        <w:shd w:val="clea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62494006">
      <w:pPr>
        <w:shd w:val="clea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w:t>
      </w:r>
    </w:p>
    <w:p w14:paraId="2F2A1274">
      <w:pPr>
        <w:shd w:val="clear"/>
        <w:spacing w:line="360" w:lineRule="auto"/>
        <w:ind w:firstLine="420" w:firstLineChars="200"/>
        <w:rPr>
          <w:rFonts w:ascii="宋体" w:hAnsi="宋体" w:eastAsia="宋体"/>
          <w:color w:val="auto"/>
          <w:szCs w:val="21"/>
          <w:highlight w:val="none"/>
        </w:rPr>
      </w:pPr>
    </w:p>
    <w:p w14:paraId="7C12B1A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注：1.法定代表人必须在授权委托书上签字或盖章，委托代理人必须在授权委托书上签字或盖章。</w:t>
      </w:r>
    </w:p>
    <w:p w14:paraId="743702E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D7735A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3.法人、其他组织竞标时“我方”是指“我单位”，自然人竞标时“我方”是指“本人”。</w:t>
      </w:r>
    </w:p>
    <w:p w14:paraId="61522A7F">
      <w:pPr>
        <w:shd w:val="clea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28353A75">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（三）授权委托书（联合体参加竞争性磋商格式）</w:t>
      </w:r>
    </w:p>
    <w:p w14:paraId="1D1058B2">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（如有委托时）</w:t>
      </w:r>
    </w:p>
    <w:p w14:paraId="1727755D">
      <w:pPr>
        <w:shd w:val="clear"/>
        <w:spacing w:line="360" w:lineRule="auto"/>
        <w:ind w:firstLine="420" w:firstLineChars="200"/>
        <w:rPr>
          <w:rFonts w:ascii="宋体" w:hAnsi="宋体" w:eastAsia="宋体"/>
          <w:color w:val="auto"/>
          <w:szCs w:val="21"/>
          <w:highlight w:val="none"/>
        </w:rPr>
      </w:pPr>
    </w:p>
    <w:p w14:paraId="5FCE3C5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本授权委托书声明：根据</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（牵头人名称）与</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（联合体其他成员名称）签订的《联合体参加竞争性磋商协议书》的内容，</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（牵头人名称）的法定代表人</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（姓名）现授权</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（姓名）为联合委托代理人，并代表我方全权办理针对上述项目的所有采购程序和环节的具体事务和签署相关文件。</w:t>
      </w:r>
    </w:p>
    <w:p w14:paraId="05ECA68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我方对委托代理人的签字或者电子签名事项负全部责任。</w:t>
      </w:r>
    </w:p>
    <w:p w14:paraId="62BC436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本授权书自签署之日起生效，在撤销授权的书面通知以前，本授权书一直有效。委托代理人在授权书有效期内签署的所有文件不因授权的撤销而失效。</w:t>
      </w:r>
    </w:p>
    <w:p w14:paraId="6B71D9F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委托代理人无转委托权，特此委托。</w:t>
      </w:r>
    </w:p>
    <w:p w14:paraId="09C4EBD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附：法定代表人身份证明书及委托代理人有效身份证正反面复印件</w:t>
      </w:r>
    </w:p>
    <w:p w14:paraId="62989FFF">
      <w:pPr>
        <w:shd w:val="clear"/>
        <w:spacing w:line="360" w:lineRule="auto"/>
        <w:ind w:firstLine="420" w:firstLineChars="200"/>
        <w:rPr>
          <w:rFonts w:ascii="宋体" w:hAnsi="宋体" w:eastAsia="宋体"/>
          <w:color w:val="auto"/>
          <w:szCs w:val="21"/>
          <w:highlight w:val="none"/>
        </w:rPr>
      </w:pPr>
    </w:p>
    <w:p w14:paraId="143EF45F">
      <w:pPr>
        <w:shd w:val="clea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牵头人法定代表人（签字或盖章）：</w:t>
      </w:r>
    </w:p>
    <w:p w14:paraId="4E31A838">
      <w:pPr>
        <w:shd w:val="clea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牵头人（电子签章）：</w:t>
      </w:r>
    </w:p>
    <w:p w14:paraId="620F3FAA">
      <w:pPr>
        <w:shd w:val="clea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w:t>
      </w:r>
    </w:p>
    <w:p w14:paraId="7E0A35FE">
      <w:pPr>
        <w:shd w:val="clear"/>
        <w:spacing w:line="360" w:lineRule="auto"/>
        <w:ind w:firstLine="420" w:firstLineChars="200"/>
        <w:rPr>
          <w:rFonts w:ascii="宋体" w:hAnsi="宋体" w:eastAsia="宋体"/>
          <w:color w:val="auto"/>
          <w:szCs w:val="21"/>
          <w:highlight w:val="none"/>
        </w:rPr>
      </w:pPr>
    </w:p>
    <w:p w14:paraId="68C65E49">
      <w:pPr>
        <w:shd w:val="clea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被授权人（签字）：</w:t>
      </w:r>
    </w:p>
    <w:p w14:paraId="1D1C1108">
      <w:pPr>
        <w:shd w:val="clea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w:t>
      </w:r>
    </w:p>
    <w:p w14:paraId="58C612B5">
      <w:pPr>
        <w:shd w:val="clear"/>
        <w:spacing w:line="360" w:lineRule="auto"/>
        <w:ind w:firstLine="420" w:firstLineChars="200"/>
        <w:rPr>
          <w:rFonts w:ascii="宋体" w:hAnsi="宋体" w:eastAsia="宋体"/>
          <w:color w:val="auto"/>
          <w:szCs w:val="21"/>
          <w:highlight w:val="none"/>
        </w:rPr>
      </w:pPr>
    </w:p>
    <w:p w14:paraId="41C8897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注：1.法定代表人必须在授权委托书上签字或盖章，委托代理人必须在授权委托书上签字或盖章。</w:t>
      </w:r>
    </w:p>
    <w:p w14:paraId="454D65C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2.本授权委托书应由联合体牵头人的法定代表人按上述规定签署。</w:t>
      </w:r>
    </w:p>
    <w:p w14:paraId="45475AB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D6EFD6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4.法人、其他组织竞标时“我方”是指“我单位”，自然人竞标时“我方”是指“本人”。</w:t>
      </w:r>
    </w:p>
    <w:p w14:paraId="05FB8494">
      <w:pPr>
        <w:shd w:val="clear"/>
        <w:spacing w:line="360" w:lineRule="auto"/>
        <w:ind w:firstLine="420" w:firstLineChars="200"/>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1D19CB6E">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（四）磋商保证金缴纳凭证</w:t>
      </w:r>
    </w:p>
    <w:p w14:paraId="019DEE24">
      <w:pPr>
        <w:shd w:val="clear"/>
        <w:spacing w:line="360" w:lineRule="auto"/>
        <w:jc w:val="center"/>
        <w:rPr>
          <w:rFonts w:ascii="宋体" w:hAnsi="宋体" w:eastAsia="宋体" w:cs="Times New Roman"/>
          <w:b/>
          <w:color w:val="auto"/>
          <w:sz w:val="32"/>
          <w:szCs w:val="32"/>
          <w:highlight w:val="none"/>
        </w:rPr>
      </w:pPr>
    </w:p>
    <w:p w14:paraId="279EAD3D">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（五）建筑材料和设备节能环保要求承诺书</w:t>
      </w:r>
    </w:p>
    <w:p w14:paraId="078629C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我方承诺，一旦成交，我方保证严格执行《财政部 国家发展改革委关于印发《节能产品政府采购实施意见》的通知》（财库〔2004〕185号）、《财政部 发展改革委 生态环境部 市场监管总局关于调整优化节能产品、环境标志产品政府采购执行机制的通知》（财库〔2019〕9号）和《关于印发节能产品政府采购品目清单的通知》（财库〔2019〕19号）的规定，所有工程中涉及的建筑材料和设备如属于财库〔2019〕19号文中《节能产品政府采购品目清单》内标注“★”的产品，都使用政府强制采购的节能产品。如我方在该项目的承包中出现未按规定执行的情形，我方愿意按照相关规定接受采购人及有关行政主管部门的处罚，愿意承担一切后果，并不再寻求任何旨在减轻或者免除法律责任的辩解。</w:t>
      </w:r>
    </w:p>
    <w:p w14:paraId="58D42C8F">
      <w:pPr>
        <w:shd w:val="clea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5EBE5745">
      <w:pPr>
        <w:shd w:val="clear"/>
        <w:wordWrap w:val="0"/>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w:t>
      </w:r>
    </w:p>
    <w:p w14:paraId="4726CC6E">
      <w:pPr>
        <w:shd w:val="clear"/>
        <w:spacing w:line="360" w:lineRule="auto"/>
        <w:ind w:firstLine="643" w:firstLineChars="200"/>
        <w:rPr>
          <w:rFonts w:ascii="宋体" w:hAnsi="宋体" w:eastAsia="宋体"/>
          <w:b/>
          <w:color w:val="auto"/>
          <w:sz w:val="32"/>
          <w:szCs w:val="32"/>
          <w:highlight w:val="none"/>
        </w:rPr>
        <w:sectPr>
          <w:pgSz w:w="11906" w:h="16838"/>
          <w:pgMar w:top="1134" w:right="1134" w:bottom="1134" w:left="1134" w:header="851" w:footer="992" w:gutter="0"/>
          <w:cols w:space="425" w:num="1"/>
          <w:docGrid w:type="lines" w:linePitch="312" w:charSpace="0"/>
        </w:sectPr>
      </w:pPr>
    </w:p>
    <w:p w14:paraId="6B079A79">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（六）总工程量承诺书</w:t>
      </w:r>
    </w:p>
    <w:p w14:paraId="0711168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格式自拟</w:t>
      </w:r>
      <w:r>
        <w:rPr>
          <w:rFonts w:ascii="宋体" w:hAnsi="宋体" w:eastAsia="宋体"/>
          <w:color w:val="auto"/>
          <w:szCs w:val="21"/>
          <w:highlight w:val="none"/>
        </w:rPr>
        <w:t>。</w:t>
      </w:r>
    </w:p>
    <w:p w14:paraId="359AB614">
      <w:pPr>
        <w:shd w:val="clear"/>
        <w:spacing w:line="360" w:lineRule="auto"/>
        <w:jc w:val="center"/>
        <w:rPr>
          <w:rFonts w:ascii="宋体" w:hAnsi="宋体" w:eastAsia="宋体" w:cs="Times New Roman"/>
          <w:b/>
          <w:color w:val="auto"/>
          <w:sz w:val="32"/>
          <w:szCs w:val="32"/>
          <w:highlight w:val="none"/>
        </w:rPr>
      </w:pPr>
    </w:p>
    <w:p w14:paraId="22C590E1">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（七）商务条款偏离表</w:t>
      </w:r>
    </w:p>
    <w:p w14:paraId="1053CB41">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（注：按采购需求具体条款修改）</w:t>
      </w:r>
    </w:p>
    <w:p w14:paraId="79A92E7A">
      <w:pPr>
        <w:shd w:val="clear"/>
        <w:spacing w:line="360" w:lineRule="auto"/>
        <w:ind w:firstLine="420" w:firstLineChars="200"/>
        <w:rPr>
          <w:rFonts w:ascii="宋体" w:hAnsi="宋体" w:eastAsia="宋体"/>
          <w:color w:val="auto"/>
          <w:szCs w:val="21"/>
          <w:highlight w:val="none"/>
        </w:rPr>
      </w:pPr>
    </w:p>
    <w:p w14:paraId="6A68E6C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项目编号：</w:t>
      </w:r>
    </w:p>
    <w:p w14:paraId="556B656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项目名称：</w:t>
      </w:r>
    </w:p>
    <w:p w14:paraId="141DB78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分标号：</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3481"/>
        <w:gridCol w:w="2756"/>
        <w:gridCol w:w="2884"/>
      </w:tblGrid>
      <w:tr w14:paraId="5FD9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7" w:type="pct"/>
            <w:vAlign w:val="center"/>
          </w:tcPr>
          <w:p w14:paraId="53155AE0">
            <w:pPr>
              <w:shd w:val="clear"/>
              <w:jc w:val="center"/>
              <w:rPr>
                <w:rFonts w:ascii="宋体" w:hAnsi="宋体"/>
                <w:color w:val="auto"/>
                <w:szCs w:val="21"/>
                <w:highlight w:val="none"/>
              </w:rPr>
            </w:pPr>
            <w:r>
              <w:rPr>
                <w:rFonts w:hint="eastAsia" w:ascii="宋体" w:hAnsi="宋体"/>
                <w:color w:val="auto"/>
                <w:szCs w:val="21"/>
                <w:highlight w:val="none"/>
              </w:rPr>
              <w:t>项号</w:t>
            </w:r>
          </w:p>
        </w:tc>
        <w:tc>
          <w:tcPr>
            <w:tcW w:w="1768" w:type="pct"/>
            <w:vAlign w:val="center"/>
          </w:tcPr>
          <w:p w14:paraId="754C381C">
            <w:pPr>
              <w:shd w:val="clear"/>
              <w:jc w:val="center"/>
              <w:rPr>
                <w:rFonts w:ascii="宋体" w:hAnsi="宋体"/>
                <w:color w:val="auto"/>
                <w:szCs w:val="21"/>
                <w:highlight w:val="none"/>
              </w:rPr>
            </w:pPr>
            <w:r>
              <w:rPr>
                <w:rFonts w:hint="eastAsia" w:ascii="宋体" w:hAnsi="宋体"/>
                <w:color w:val="auto"/>
                <w:szCs w:val="21"/>
                <w:highlight w:val="none"/>
              </w:rPr>
              <w:t>竞争性磋商采购文件的商务要求</w:t>
            </w:r>
          </w:p>
        </w:tc>
        <w:tc>
          <w:tcPr>
            <w:tcW w:w="1400" w:type="pct"/>
            <w:vAlign w:val="center"/>
          </w:tcPr>
          <w:p w14:paraId="08118A3A">
            <w:pPr>
              <w:shd w:val="clear"/>
              <w:jc w:val="center"/>
              <w:rPr>
                <w:rFonts w:ascii="宋体" w:hAnsi="宋体"/>
                <w:color w:val="auto"/>
                <w:szCs w:val="21"/>
                <w:highlight w:val="none"/>
              </w:rPr>
            </w:pPr>
            <w:r>
              <w:rPr>
                <w:rFonts w:hint="eastAsia" w:ascii="宋体" w:hAnsi="宋体"/>
                <w:color w:val="auto"/>
                <w:szCs w:val="21"/>
                <w:highlight w:val="none"/>
              </w:rPr>
              <w:t>响应文件的承诺</w:t>
            </w:r>
          </w:p>
        </w:tc>
        <w:tc>
          <w:tcPr>
            <w:tcW w:w="1465" w:type="pct"/>
            <w:vAlign w:val="center"/>
          </w:tcPr>
          <w:p w14:paraId="23F096E2">
            <w:pPr>
              <w:shd w:val="clear"/>
              <w:jc w:val="center"/>
              <w:rPr>
                <w:rFonts w:ascii="宋体" w:hAnsi="宋体"/>
                <w:color w:val="auto"/>
                <w:szCs w:val="21"/>
                <w:highlight w:val="none"/>
              </w:rPr>
            </w:pPr>
            <w:r>
              <w:rPr>
                <w:rFonts w:hint="eastAsia" w:ascii="宋体" w:hAnsi="宋体"/>
                <w:color w:val="auto"/>
                <w:szCs w:val="21"/>
                <w:highlight w:val="none"/>
              </w:rPr>
              <w:t>偏离说明</w:t>
            </w:r>
          </w:p>
        </w:tc>
      </w:tr>
      <w:tr w14:paraId="5F1E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276DB8F6">
            <w:pPr>
              <w:shd w:val="clear"/>
              <w:jc w:val="center"/>
              <w:rPr>
                <w:rFonts w:ascii="宋体" w:hAnsi="宋体"/>
                <w:color w:val="auto"/>
                <w:szCs w:val="21"/>
                <w:highlight w:val="none"/>
              </w:rPr>
            </w:pPr>
            <w:r>
              <w:rPr>
                <w:rFonts w:hint="eastAsia" w:ascii="宋体" w:hAnsi="宋体"/>
                <w:color w:val="auto"/>
                <w:szCs w:val="21"/>
                <w:highlight w:val="none"/>
              </w:rPr>
              <w:t>一</w:t>
            </w:r>
          </w:p>
        </w:tc>
        <w:tc>
          <w:tcPr>
            <w:tcW w:w="1768" w:type="pct"/>
            <w:vAlign w:val="center"/>
          </w:tcPr>
          <w:p w14:paraId="375D888A">
            <w:pPr>
              <w:shd w:val="clear"/>
              <w:jc w:val="left"/>
              <w:rPr>
                <w:rFonts w:ascii="宋体" w:hAnsi="宋体"/>
                <w:color w:val="auto"/>
                <w:szCs w:val="21"/>
                <w:highlight w:val="none"/>
              </w:rPr>
            </w:pPr>
            <w:r>
              <w:rPr>
                <w:rFonts w:hint="eastAsia" w:ascii="宋体" w:hAnsi="宋体"/>
                <w:color w:val="auto"/>
                <w:szCs w:val="21"/>
                <w:highlight w:val="none"/>
              </w:rPr>
              <w:t>1……</w:t>
            </w:r>
          </w:p>
          <w:p w14:paraId="1A4BE170">
            <w:pPr>
              <w:shd w:val="clear"/>
              <w:jc w:val="left"/>
              <w:rPr>
                <w:rFonts w:ascii="宋体" w:hAnsi="宋体"/>
                <w:color w:val="auto"/>
                <w:szCs w:val="21"/>
                <w:highlight w:val="none"/>
              </w:rPr>
            </w:pPr>
            <w:r>
              <w:rPr>
                <w:rFonts w:ascii="宋体" w:hAnsi="宋体"/>
                <w:color w:val="auto"/>
                <w:szCs w:val="21"/>
                <w:highlight w:val="none"/>
              </w:rPr>
              <w:t>2……</w:t>
            </w:r>
          </w:p>
          <w:p w14:paraId="6C144E37">
            <w:pPr>
              <w:shd w:val="clear"/>
              <w:jc w:val="left"/>
              <w:rPr>
                <w:rFonts w:ascii="宋体" w:hAnsi="宋体"/>
                <w:color w:val="auto"/>
                <w:szCs w:val="21"/>
                <w:highlight w:val="none"/>
              </w:rPr>
            </w:pPr>
            <w:r>
              <w:rPr>
                <w:rFonts w:ascii="宋体" w:hAnsi="宋体"/>
                <w:color w:val="auto"/>
                <w:szCs w:val="21"/>
                <w:highlight w:val="none"/>
              </w:rPr>
              <w:t>3……</w:t>
            </w:r>
          </w:p>
          <w:p w14:paraId="62098D96">
            <w:pPr>
              <w:shd w:val="clear"/>
              <w:jc w:val="left"/>
              <w:rPr>
                <w:rFonts w:ascii="宋体" w:hAnsi="宋体"/>
                <w:color w:val="auto"/>
                <w:szCs w:val="21"/>
                <w:highlight w:val="none"/>
              </w:rPr>
            </w:pPr>
            <w:r>
              <w:rPr>
                <w:rFonts w:hint="eastAsia" w:ascii="宋体" w:hAnsi="宋体"/>
                <w:color w:val="auto"/>
                <w:szCs w:val="21"/>
                <w:highlight w:val="none"/>
              </w:rPr>
              <w:t>……</w:t>
            </w:r>
          </w:p>
        </w:tc>
        <w:tc>
          <w:tcPr>
            <w:tcW w:w="1400" w:type="pct"/>
            <w:vAlign w:val="center"/>
          </w:tcPr>
          <w:p w14:paraId="2389AC34">
            <w:pPr>
              <w:shd w:val="clear"/>
              <w:jc w:val="left"/>
              <w:rPr>
                <w:rFonts w:ascii="宋体" w:hAnsi="宋体"/>
                <w:color w:val="auto"/>
                <w:szCs w:val="21"/>
                <w:highlight w:val="none"/>
              </w:rPr>
            </w:pPr>
            <w:r>
              <w:rPr>
                <w:rFonts w:hint="eastAsia" w:ascii="宋体" w:hAnsi="宋体"/>
                <w:color w:val="auto"/>
                <w:szCs w:val="21"/>
                <w:highlight w:val="none"/>
              </w:rPr>
              <w:t>1……</w:t>
            </w:r>
          </w:p>
          <w:p w14:paraId="73A01244">
            <w:pPr>
              <w:shd w:val="clear"/>
              <w:jc w:val="left"/>
              <w:rPr>
                <w:rFonts w:ascii="宋体" w:hAnsi="宋体"/>
                <w:color w:val="auto"/>
                <w:szCs w:val="21"/>
                <w:highlight w:val="none"/>
              </w:rPr>
            </w:pPr>
            <w:r>
              <w:rPr>
                <w:rFonts w:ascii="宋体" w:hAnsi="宋体"/>
                <w:color w:val="auto"/>
                <w:szCs w:val="21"/>
                <w:highlight w:val="none"/>
              </w:rPr>
              <w:t>2……</w:t>
            </w:r>
          </w:p>
          <w:p w14:paraId="5EE9B090">
            <w:pPr>
              <w:shd w:val="clear"/>
              <w:jc w:val="left"/>
              <w:rPr>
                <w:rFonts w:ascii="宋体" w:hAnsi="宋体"/>
                <w:color w:val="auto"/>
                <w:szCs w:val="21"/>
                <w:highlight w:val="none"/>
              </w:rPr>
            </w:pPr>
            <w:r>
              <w:rPr>
                <w:rFonts w:ascii="宋体" w:hAnsi="宋体"/>
                <w:color w:val="auto"/>
                <w:szCs w:val="21"/>
                <w:highlight w:val="none"/>
              </w:rPr>
              <w:t>3……</w:t>
            </w:r>
          </w:p>
          <w:p w14:paraId="462779E0">
            <w:pPr>
              <w:shd w:val="clear"/>
              <w:jc w:val="left"/>
              <w:rPr>
                <w:rFonts w:ascii="宋体" w:hAnsi="宋体"/>
                <w:color w:val="auto"/>
                <w:szCs w:val="21"/>
                <w:highlight w:val="none"/>
              </w:rPr>
            </w:pPr>
            <w:r>
              <w:rPr>
                <w:rFonts w:hint="eastAsia" w:ascii="宋体" w:hAnsi="宋体"/>
                <w:color w:val="auto"/>
                <w:szCs w:val="21"/>
                <w:highlight w:val="none"/>
              </w:rPr>
              <w:t>……</w:t>
            </w:r>
          </w:p>
        </w:tc>
        <w:tc>
          <w:tcPr>
            <w:tcW w:w="1465" w:type="pct"/>
            <w:vAlign w:val="center"/>
          </w:tcPr>
          <w:p w14:paraId="737B5FFD">
            <w:pPr>
              <w:shd w:val="clear"/>
              <w:jc w:val="center"/>
              <w:rPr>
                <w:rFonts w:ascii="宋体" w:hAnsi="宋体"/>
                <w:color w:val="auto"/>
                <w:szCs w:val="21"/>
                <w:highlight w:val="none"/>
              </w:rPr>
            </w:pPr>
          </w:p>
        </w:tc>
      </w:tr>
      <w:tr w14:paraId="6DB5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28F17576">
            <w:pPr>
              <w:shd w:val="clear"/>
              <w:jc w:val="center"/>
              <w:rPr>
                <w:rFonts w:ascii="宋体" w:hAnsi="宋体"/>
                <w:color w:val="auto"/>
                <w:szCs w:val="21"/>
                <w:highlight w:val="none"/>
              </w:rPr>
            </w:pPr>
            <w:r>
              <w:rPr>
                <w:rFonts w:hint="eastAsia" w:ascii="宋体" w:hAnsi="宋体"/>
                <w:color w:val="auto"/>
                <w:szCs w:val="21"/>
                <w:highlight w:val="none"/>
              </w:rPr>
              <w:t>二</w:t>
            </w:r>
          </w:p>
        </w:tc>
        <w:tc>
          <w:tcPr>
            <w:tcW w:w="1768" w:type="pct"/>
            <w:vAlign w:val="center"/>
          </w:tcPr>
          <w:p w14:paraId="523403F0">
            <w:pPr>
              <w:shd w:val="clear"/>
              <w:jc w:val="left"/>
              <w:rPr>
                <w:rFonts w:ascii="宋体" w:hAnsi="宋体"/>
                <w:color w:val="auto"/>
                <w:szCs w:val="21"/>
                <w:highlight w:val="none"/>
              </w:rPr>
            </w:pPr>
            <w:r>
              <w:rPr>
                <w:rFonts w:hint="eastAsia" w:ascii="宋体" w:hAnsi="宋体"/>
                <w:color w:val="auto"/>
                <w:szCs w:val="21"/>
                <w:highlight w:val="none"/>
              </w:rPr>
              <w:t>1……</w:t>
            </w:r>
          </w:p>
          <w:p w14:paraId="3087E063">
            <w:pPr>
              <w:shd w:val="clear"/>
              <w:jc w:val="left"/>
              <w:rPr>
                <w:rFonts w:ascii="宋体" w:hAnsi="宋体"/>
                <w:color w:val="auto"/>
                <w:szCs w:val="21"/>
                <w:highlight w:val="none"/>
              </w:rPr>
            </w:pPr>
            <w:r>
              <w:rPr>
                <w:rFonts w:ascii="宋体" w:hAnsi="宋体"/>
                <w:color w:val="auto"/>
                <w:szCs w:val="21"/>
                <w:highlight w:val="none"/>
              </w:rPr>
              <w:t>2……</w:t>
            </w:r>
          </w:p>
          <w:p w14:paraId="67B7F367">
            <w:pPr>
              <w:shd w:val="clear"/>
              <w:jc w:val="left"/>
              <w:rPr>
                <w:rFonts w:ascii="宋体" w:hAnsi="宋体"/>
                <w:color w:val="auto"/>
                <w:szCs w:val="21"/>
                <w:highlight w:val="none"/>
              </w:rPr>
            </w:pPr>
            <w:r>
              <w:rPr>
                <w:rFonts w:ascii="宋体" w:hAnsi="宋体"/>
                <w:color w:val="auto"/>
                <w:szCs w:val="21"/>
                <w:highlight w:val="none"/>
              </w:rPr>
              <w:t>3……</w:t>
            </w:r>
          </w:p>
          <w:p w14:paraId="1701B486">
            <w:pPr>
              <w:shd w:val="clear"/>
              <w:jc w:val="left"/>
              <w:rPr>
                <w:rFonts w:ascii="宋体" w:hAnsi="宋体"/>
                <w:color w:val="auto"/>
                <w:szCs w:val="21"/>
                <w:highlight w:val="none"/>
              </w:rPr>
            </w:pPr>
            <w:r>
              <w:rPr>
                <w:rFonts w:hint="eastAsia" w:ascii="宋体" w:hAnsi="宋体"/>
                <w:color w:val="auto"/>
                <w:szCs w:val="21"/>
                <w:highlight w:val="none"/>
              </w:rPr>
              <w:t>……</w:t>
            </w:r>
          </w:p>
        </w:tc>
        <w:tc>
          <w:tcPr>
            <w:tcW w:w="1400" w:type="pct"/>
            <w:vAlign w:val="center"/>
          </w:tcPr>
          <w:p w14:paraId="3777470E">
            <w:pPr>
              <w:shd w:val="clear"/>
              <w:jc w:val="left"/>
              <w:rPr>
                <w:rFonts w:ascii="宋体" w:hAnsi="宋体"/>
                <w:color w:val="auto"/>
                <w:szCs w:val="21"/>
                <w:highlight w:val="none"/>
              </w:rPr>
            </w:pPr>
            <w:r>
              <w:rPr>
                <w:rFonts w:hint="eastAsia" w:ascii="宋体" w:hAnsi="宋体"/>
                <w:color w:val="auto"/>
                <w:szCs w:val="21"/>
                <w:highlight w:val="none"/>
              </w:rPr>
              <w:t>1……</w:t>
            </w:r>
          </w:p>
          <w:p w14:paraId="75EDBDC6">
            <w:pPr>
              <w:shd w:val="clear"/>
              <w:jc w:val="left"/>
              <w:rPr>
                <w:rFonts w:ascii="宋体" w:hAnsi="宋体"/>
                <w:color w:val="auto"/>
                <w:szCs w:val="21"/>
                <w:highlight w:val="none"/>
              </w:rPr>
            </w:pPr>
            <w:r>
              <w:rPr>
                <w:rFonts w:ascii="宋体" w:hAnsi="宋体"/>
                <w:color w:val="auto"/>
                <w:szCs w:val="21"/>
                <w:highlight w:val="none"/>
              </w:rPr>
              <w:t>2……</w:t>
            </w:r>
          </w:p>
          <w:p w14:paraId="3C963F07">
            <w:pPr>
              <w:shd w:val="clear"/>
              <w:jc w:val="left"/>
              <w:rPr>
                <w:rFonts w:ascii="宋体" w:hAnsi="宋体"/>
                <w:color w:val="auto"/>
                <w:szCs w:val="21"/>
                <w:highlight w:val="none"/>
              </w:rPr>
            </w:pPr>
            <w:r>
              <w:rPr>
                <w:rFonts w:ascii="宋体" w:hAnsi="宋体"/>
                <w:color w:val="auto"/>
                <w:szCs w:val="21"/>
                <w:highlight w:val="none"/>
              </w:rPr>
              <w:t>3……</w:t>
            </w:r>
          </w:p>
          <w:p w14:paraId="6AFCD12C">
            <w:pPr>
              <w:shd w:val="clear"/>
              <w:jc w:val="left"/>
              <w:rPr>
                <w:rFonts w:ascii="宋体" w:hAnsi="宋体"/>
                <w:color w:val="auto"/>
                <w:szCs w:val="21"/>
                <w:highlight w:val="none"/>
              </w:rPr>
            </w:pPr>
            <w:r>
              <w:rPr>
                <w:rFonts w:hint="eastAsia" w:ascii="宋体" w:hAnsi="宋体"/>
                <w:color w:val="auto"/>
                <w:szCs w:val="21"/>
                <w:highlight w:val="none"/>
              </w:rPr>
              <w:t>……</w:t>
            </w:r>
          </w:p>
        </w:tc>
        <w:tc>
          <w:tcPr>
            <w:tcW w:w="1465" w:type="pct"/>
            <w:vAlign w:val="center"/>
          </w:tcPr>
          <w:p w14:paraId="7FF178D2">
            <w:pPr>
              <w:shd w:val="clear"/>
              <w:jc w:val="center"/>
              <w:rPr>
                <w:rFonts w:ascii="宋体" w:hAnsi="宋体"/>
                <w:color w:val="auto"/>
                <w:szCs w:val="21"/>
                <w:highlight w:val="none"/>
              </w:rPr>
            </w:pPr>
          </w:p>
        </w:tc>
      </w:tr>
      <w:tr w14:paraId="7F29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367" w:type="pct"/>
            <w:vAlign w:val="center"/>
          </w:tcPr>
          <w:p w14:paraId="553E0F6B">
            <w:pPr>
              <w:shd w:val="clear"/>
              <w:jc w:val="center"/>
              <w:rPr>
                <w:rFonts w:ascii="宋体" w:hAnsi="宋体"/>
                <w:color w:val="auto"/>
                <w:szCs w:val="21"/>
                <w:highlight w:val="none"/>
              </w:rPr>
            </w:pPr>
            <w:r>
              <w:rPr>
                <w:rFonts w:hint="eastAsia" w:ascii="宋体" w:hAnsi="宋体"/>
                <w:color w:val="auto"/>
                <w:szCs w:val="21"/>
                <w:highlight w:val="none"/>
              </w:rPr>
              <w:t>…</w:t>
            </w:r>
          </w:p>
        </w:tc>
        <w:tc>
          <w:tcPr>
            <w:tcW w:w="1768" w:type="pct"/>
            <w:vAlign w:val="center"/>
          </w:tcPr>
          <w:p w14:paraId="48E257CF">
            <w:pPr>
              <w:shd w:val="clear"/>
              <w:jc w:val="left"/>
              <w:rPr>
                <w:rFonts w:ascii="宋体" w:hAnsi="宋体"/>
                <w:color w:val="auto"/>
                <w:szCs w:val="21"/>
                <w:highlight w:val="none"/>
              </w:rPr>
            </w:pPr>
            <w:r>
              <w:rPr>
                <w:rFonts w:hint="eastAsia" w:ascii="宋体" w:hAnsi="宋体"/>
                <w:color w:val="auto"/>
                <w:szCs w:val="21"/>
                <w:highlight w:val="none"/>
              </w:rPr>
              <w:t>1……</w:t>
            </w:r>
          </w:p>
          <w:p w14:paraId="2E4F752B">
            <w:pPr>
              <w:shd w:val="clear"/>
              <w:jc w:val="left"/>
              <w:rPr>
                <w:rFonts w:ascii="宋体" w:hAnsi="宋体"/>
                <w:color w:val="auto"/>
                <w:szCs w:val="21"/>
                <w:highlight w:val="none"/>
              </w:rPr>
            </w:pPr>
            <w:r>
              <w:rPr>
                <w:rFonts w:ascii="宋体" w:hAnsi="宋体"/>
                <w:color w:val="auto"/>
                <w:szCs w:val="21"/>
                <w:highlight w:val="none"/>
              </w:rPr>
              <w:t>2……</w:t>
            </w:r>
          </w:p>
          <w:p w14:paraId="394ECBB6">
            <w:pPr>
              <w:shd w:val="clear"/>
              <w:jc w:val="left"/>
              <w:rPr>
                <w:rFonts w:ascii="宋体" w:hAnsi="宋体"/>
                <w:color w:val="auto"/>
                <w:szCs w:val="21"/>
                <w:highlight w:val="none"/>
              </w:rPr>
            </w:pPr>
            <w:r>
              <w:rPr>
                <w:rFonts w:ascii="宋体" w:hAnsi="宋体"/>
                <w:color w:val="auto"/>
                <w:szCs w:val="21"/>
                <w:highlight w:val="none"/>
              </w:rPr>
              <w:t>3……</w:t>
            </w:r>
          </w:p>
          <w:p w14:paraId="1EE9DDD6">
            <w:pPr>
              <w:shd w:val="clear"/>
              <w:jc w:val="left"/>
              <w:rPr>
                <w:rFonts w:ascii="宋体" w:hAnsi="宋体"/>
                <w:color w:val="auto"/>
                <w:szCs w:val="21"/>
                <w:highlight w:val="none"/>
              </w:rPr>
            </w:pPr>
            <w:r>
              <w:rPr>
                <w:rFonts w:hint="eastAsia" w:ascii="宋体" w:hAnsi="宋体"/>
                <w:color w:val="auto"/>
                <w:szCs w:val="21"/>
                <w:highlight w:val="none"/>
              </w:rPr>
              <w:t>……</w:t>
            </w:r>
          </w:p>
        </w:tc>
        <w:tc>
          <w:tcPr>
            <w:tcW w:w="1400" w:type="pct"/>
            <w:vAlign w:val="center"/>
          </w:tcPr>
          <w:p w14:paraId="0CF0109E">
            <w:pPr>
              <w:shd w:val="clear"/>
              <w:jc w:val="left"/>
              <w:rPr>
                <w:rFonts w:ascii="宋体" w:hAnsi="宋体"/>
                <w:color w:val="auto"/>
                <w:szCs w:val="21"/>
                <w:highlight w:val="none"/>
              </w:rPr>
            </w:pPr>
            <w:r>
              <w:rPr>
                <w:rFonts w:hint="eastAsia" w:ascii="宋体" w:hAnsi="宋体"/>
                <w:color w:val="auto"/>
                <w:szCs w:val="21"/>
                <w:highlight w:val="none"/>
              </w:rPr>
              <w:t>1……</w:t>
            </w:r>
          </w:p>
          <w:p w14:paraId="70BA47E0">
            <w:pPr>
              <w:shd w:val="clear"/>
              <w:jc w:val="left"/>
              <w:rPr>
                <w:rFonts w:ascii="宋体" w:hAnsi="宋体"/>
                <w:color w:val="auto"/>
                <w:szCs w:val="21"/>
                <w:highlight w:val="none"/>
              </w:rPr>
            </w:pPr>
            <w:r>
              <w:rPr>
                <w:rFonts w:ascii="宋体" w:hAnsi="宋体"/>
                <w:color w:val="auto"/>
                <w:szCs w:val="21"/>
                <w:highlight w:val="none"/>
              </w:rPr>
              <w:t>2……</w:t>
            </w:r>
          </w:p>
          <w:p w14:paraId="35644B58">
            <w:pPr>
              <w:shd w:val="clear"/>
              <w:jc w:val="left"/>
              <w:rPr>
                <w:rFonts w:ascii="宋体" w:hAnsi="宋体"/>
                <w:color w:val="auto"/>
                <w:szCs w:val="21"/>
                <w:highlight w:val="none"/>
              </w:rPr>
            </w:pPr>
            <w:r>
              <w:rPr>
                <w:rFonts w:ascii="宋体" w:hAnsi="宋体"/>
                <w:color w:val="auto"/>
                <w:szCs w:val="21"/>
                <w:highlight w:val="none"/>
              </w:rPr>
              <w:t>3……</w:t>
            </w:r>
          </w:p>
          <w:p w14:paraId="63AB4941">
            <w:pPr>
              <w:shd w:val="clear"/>
              <w:jc w:val="left"/>
              <w:rPr>
                <w:rFonts w:ascii="宋体" w:hAnsi="宋体"/>
                <w:color w:val="auto"/>
                <w:szCs w:val="21"/>
                <w:highlight w:val="none"/>
              </w:rPr>
            </w:pPr>
            <w:r>
              <w:rPr>
                <w:rFonts w:hint="eastAsia" w:ascii="宋体" w:hAnsi="宋体"/>
                <w:color w:val="auto"/>
                <w:szCs w:val="21"/>
                <w:highlight w:val="none"/>
              </w:rPr>
              <w:t>……</w:t>
            </w:r>
          </w:p>
        </w:tc>
        <w:tc>
          <w:tcPr>
            <w:tcW w:w="1465" w:type="pct"/>
            <w:vAlign w:val="center"/>
          </w:tcPr>
          <w:p w14:paraId="3D263E18">
            <w:pPr>
              <w:shd w:val="clear"/>
              <w:jc w:val="center"/>
              <w:rPr>
                <w:rFonts w:ascii="宋体" w:hAnsi="宋体"/>
                <w:color w:val="auto"/>
                <w:szCs w:val="21"/>
                <w:highlight w:val="none"/>
              </w:rPr>
            </w:pPr>
          </w:p>
        </w:tc>
      </w:tr>
    </w:tbl>
    <w:p w14:paraId="63CE40D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w:t>
      </w:r>
    </w:p>
    <w:p w14:paraId="7A9B150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1.说明：应对照采购文件“第三章采购需求”的</w:t>
      </w:r>
      <w:r>
        <w:rPr>
          <w:rFonts w:hint="eastAsia" w:ascii="宋体" w:hAnsi="宋体" w:eastAsia="宋体"/>
          <w:b/>
          <w:color w:val="auto"/>
          <w:szCs w:val="21"/>
          <w:highlight w:val="none"/>
        </w:rPr>
        <w:t>商务要求</w:t>
      </w:r>
      <w:r>
        <w:rPr>
          <w:rFonts w:hint="eastAsia" w:ascii="宋体" w:hAnsi="宋体" w:eastAsia="宋体"/>
          <w:color w:val="auto"/>
          <w:szCs w:val="21"/>
          <w:highlight w:val="none"/>
        </w:rPr>
        <w:t>条款</w:t>
      </w:r>
      <w:r>
        <w:rPr>
          <w:rFonts w:hint="eastAsia" w:ascii="宋体" w:hAnsi="宋体" w:eastAsia="宋体"/>
          <w:b/>
          <w:color w:val="auto"/>
          <w:szCs w:val="21"/>
          <w:highlight w:val="none"/>
        </w:rPr>
        <w:t>逐条</w:t>
      </w:r>
      <w:r>
        <w:rPr>
          <w:rFonts w:hint="eastAsia" w:ascii="宋体" w:hAnsi="宋体" w:eastAsia="宋体"/>
          <w:color w:val="auto"/>
          <w:szCs w:val="21"/>
          <w:highlight w:val="none"/>
        </w:rPr>
        <w:t>作出明确响应，并作出偏离说明，否则竞争性磋商无效。</w:t>
      </w:r>
    </w:p>
    <w:p w14:paraId="2A83B1D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供应商应根据自身的承诺，对照采购文件要求，在“偏离说明”中注明“正偏离”、“负偏离”或者“无偏离”。既不属于“正偏离”也不属于“负偏离”即为“无偏离”。当响应文件的商务内容低于采购文件要求时，供应商应当如实写明“负偏离”，否则视为虚假应标</w:t>
      </w:r>
    </w:p>
    <w:p w14:paraId="1949A95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3.表格内容均需按要求填写，不得留空。</w:t>
      </w:r>
    </w:p>
    <w:p w14:paraId="39F17513">
      <w:pPr>
        <w:shd w:val="clea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法定代表人或者委托代理人（签字）：</w:t>
      </w:r>
    </w:p>
    <w:p w14:paraId="7F251BE9">
      <w:pPr>
        <w:shd w:val="clea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4DACBAD2">
      <w:pPr>
        <w:shd w:val="clear"/>
        <w:wordWrap w:val="0"/>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w:t>
      </w:r>
    </w:p>
    <w:p w14:paraId="7687E9D2">
      <w:pPr>
        <w:shd w:val="clear"/>
        <w:spacing w:line="360" w:lineRule="auto"/>
        <w:ind w:firstLine="643" w:firstLineChars="200"/>
        <w:rPr>
          <w:rFonts w:ascii="宋体" w:hAnsi="宋体" w:eastAsia="宋体"/>
          <w:b/>
          <w:color w:val="auto"/>
          <w:sz w:val="32"/>
          <w:szCs w:val="32"/>
          <w:highlight w:val="none"/>
        </w:rPr>
        <w:sectPr>
          <w:pgSz w:w="11906" w:h="16838"/>
          <w:pgMar w:top="1134" w:right="1134" w:bottom="1134" w:left="1134" w:header="851" w:footer="992" w:gutter="0"/>
          <w:cols w:space="425" w:num="1"/>
          <w:docGrid w:type="lines" w:linePitch="312" w:charSpace="0"/>
        </w:sectPr>
      </w:pPr>
    </w:p>
    <w:p w14:paraId="57220DD5">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（八）技术要求偏离表</w:t>
      </w:r>
    </w:p>
    <w:p w14:paraId="507977A0">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（注：按采购需求具体条款修改）</w:t>
      </w:r>
    </w:p>
    <w:p w14:paraId="5EEF076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项目编号：</w:t>
      </w:r>
    </w:p>
    <w:p w14:paraId="12FB987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项目名称：</w:t>
      </w:r>
    </w:p>
    <w:p w14:paraId="5914E0D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分标号：</w:t>
      </w:r>
    </w:p>
    <w:tbl>
      <w:tblPr>
        <w:tblStyle w:val="3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159"/>
        <w:gridCol w:w="1158"/>
        <w:gridCol w:w="1886"/>
        <w:gridCol w:w="1231"/>
        <w:gridCol w:w="1231"/>
        <w:gridCol w:w="1231"/>
        <w:gridCol w:w="1223"/>
      </w:tblGrid>
      <w:tr w14:paraId="567B6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Merge w:val="restart"/>
            <w:vAlign w:val="center"/>
          </w:tcPr>
          <w:p w14:paraId="1102D9F3">
            <w:pPr>
              <w:shd w:val="clear"/>
              <w:spacing w:line="360" w:lineRule="auto"/>
              <w:jc w:val="center"/>
              <w:rPr>
                <w:rFonts w:ascii="宋体" w:hAnsi="宋体"/>
                <w:color w:val="auto"/>
                <w:szCs w:val="21"/>
                <w:highlight w:val="none"/>
              </w:rPr>
            </w:pPr>
            <w:r>
              <w:rPr>
                <w:rFonts w:hint="eastAsia" w:ascii="宋体" w:hAnsi="宋体"/>
                <w:color w:val="auto"/>
                <w:szCs w:val="21"/>
                <w:highlight w:val="none"/>
              </w:rPr>
              <w:t>项号</w:t>
            </w:r>
          </w:p>
        </w:tc>
        <w:tc>
          <w:tcPr>
            <w:tcW w:w="2135" w:type="pct"/>
            <w:gridSpan w:val="3"/>
            <w:vAlign w:val="center"/>
          </w:tcPr>
          <w:p w14:paraId="356FEF15">
            <w:pPr>
              <w:shd w:val="clear"/>
              <w:spacing w:line="360" w:lineRule="auto"/>
              <w:jc w:val="center"/>
              <w:rPr>
                <w:rFonts w:ascii="宋体" w:hAnsi="宋体"/>
                <w:color w:val="auto"/>
                <w:szCs w:val="21"/>
                <w:highlight w:val="none"/>
              </w:rPr>
            </w:pPr>
            <w:r>
              <w:rPr>
                <w:rFonts w:hint="eastAsia" w:ascii="宋体" w:hAnsi="宋体"/>
                <w:color w:val="auto"/>
                <w:szCs w:val="21"/>
                <w:highlight w:val="none"/>
              </w:rPr>
              <w:t>竞争性磋商采购文件需求</w:t>
            </w:r>
          </w:p>
        </w:tc>
        <w:tc>
          <w:tcPr>
            <w:tcW w:w="1875" w:type="pct"/>
            <w:gridSpan w:val="3"/>
            <w:vAlign w:val="center"/>
          </w:tcPr>
          <w:p w14:paraId="2233CE20">
            <w:pPr>
              <w:shd w:val="clear"/>
              <w:spacing w:line="360" w:lineRule="auto"/>
              <w:jc w:val="center"/>
              <w:rPr>
                <w:rFonts w:ascii="宋体" w:hAnsi="宋体"/>
                <w:color w:val="auto"/>
                <w:szCs w:val="21"/>
                <w:highlight w:val="none"/>
              </w:rPr>
            </w:pPr>
            <w:r>
              <w:rPr>
                <w:rFonts w:hint="eastAsia" w:ascii="宋体" w:hAnsi="宋体"/>
                <w:color w:val="auto"/>
                <w:szCs w:val="21"/>
                <w:highlight w:val="none"/>
              </w:rPr>
              <w:t>响应文件承诺</w:t>
            </w:r>
          </w:p>
        </w:tc>
        <w:tc>
          <w:tcPr>
            <w:tcW w:w="621" w:type="pct"/>
            <w:vMerge w:val="restart"/>
            <w:vAlign w:val="center"/>
          </w:tcPr>
          <w:p w14:paraId="38775EC4">
            <w:pPr>
              <w:shd w:val="clear"/>
              <w:spacing w:line="360" w:lineRule="auto"/>
              <w:jc w:val="center"/>
              <w:rPr>
                <w:rFonts w:ascii="宋体" w:hAnsi="宋体"/>
                <w:color w:val="auto"/>
                <w:szCs w:val="21"/>
                <w:highlight w:val="none"/>
              </w:rPr>
            </w:pPr>
            <w:r>
              <w:rPr>
                <w:rFonts w:hint="eastAsia" w:ascii="宋体" w:hAnsi="宋体"/>
                <w:color w:val="auto"/>
                <w:szCs w:val="21"/>
                <w:highlight w:val="none"/>
              </w:rPr>
              <w:t>偏离说明</w:t>
            </w:r>
          </w:p>
        </w:tc>
      </w:tr>
      <w:tr w14:paraId="29AC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Merge w:val="continue"/>
            <w:vAlign w:val="center"/>
          </w:tcPr>
          <w:p w14:paraId="573BEC2F">
            <w:pPr>
              <w:shd w:val="clear"/>
              <w:spacing w:line="360" w:lineRule="auto"/>
              <w:jc w:val="center"/>
              <w:rPr>
                <w:rFonts w:ascii="宋体" w:hAnsi="宋体"/>
                <w:color w:val="auto"/>
                <w:szCs w:val="21"/>
                <w:highlight w:val="none"/>
              </w:rPr>
            </w:pPr>
          </w:p>
        </w:tc>
        <w:tc>
          <w:tcPr>
            <w:tcW w:w="589" w:type="pct"/>
            <w:vAlign w:val="center"/>
          </w:tcPr>
          <w:p w14:paraId="30E09F44">
            <w:pPr>
              <w:shd w:val="clear"/>
              <w:spacing w:line="360" w:lineRule="auto"/>
              <w:jc w:val="center"/>
              <w:rPr>
                <w:rFonts w:ascii="宋体" w:hAnsi="宋体"/>
                <w:color w:val="auto"/>
                <w:szCs w:val="21"/>
                <w:highlight w:val="none"/>
              </w:rPr>
            </w:pPr>
            <w:r>
              <w:rPr>
                <w:rFonts w:hint="eastAsia" w:ascii="宋体" w:hAnsi="宋体"/>
                <w:color w:val="auto"/>
                <w:szCs w:val="21"/>
                <w:highlight w:val="none"/>
              </w:rPr>
              <w:t>服务名称</w:t>
            </w:r>
          </w:p>
        </w:tc>
        <w:tc>
          <w:tcPr>
            <w:tcW w:w="588" w:type="pct"/>
            <w:vAlign w:val="center"/>
          </w:tcPr>
          <w:p w14:paraId="344AC587">
            <w:pPr>
              <w:shd w:val="clear"/>
              <w:spacing w:line="360" w:lineRule="auto"/>
              <w:jc w:val="center"/>
              <w:rPr>
                <w:rFonts w:ascii="宋体" w:hAnsi="宋体"/>
                <w:color w:val="auto"/>
                <w:szCs w:val="21"/>
                <w:highlight w:val="none"/>
              </w:rPr>
            </w:pPr>
            <w:r>
              <w:rPr>
                <w:rFonts w:hint="eastAsia" w:ascii="宋体" w:hAnsi="宋体"/>
                <w:color w:val="auto"/>
                <w:szCs w:val="21"/>
                <w:highlight w:val="none"/>
              </w:rPr>
              <w:t>数量</w:t>
            </w:r>
          </w:p>
        </w:tc>
        <w:tc>
          <w:tcPr>
            <w:tcW w:w="958" w:type="pct"/>
            <w:vAlign w:val="center"/>
          </w:tcPr>
          <w:p w14:paraId="33888D02">
            <w:pPr>
              <w:shd w:val="clear"/>
              <w:spacing w:line="360" w:lineRule="auto"/>
              <w:jc w:val="center"/>
              <w:rPr>
                <w:rFonts w:ascii="宋体" w:hAnsi="宋体"/>
                <w:color w:val="auto"/>
                <w:szCs w:val="21"/>
                <w:highlight w:val="none"/>
              </w:rPr>
            </w:pPr>
            <w:r>
              <w:rPr>
                <w:rFonts w:hint="eastAsia" w:ascii="宋体" w:hAnsi="宋体"/>
                <w:color w:val="auto"/>
                <w:szCs w:val="21"/>
                <w:highlight w:val="none"/>
              </w:rPr>
              <w:t>技术要求</w:t>
            </w:r>
          </w:p>
        </w:tc>
        <w:tc>
          <w:tcPr>
            <w:tcW w:w="625" w:type="pct"/>
            <w:vAlign w:val="center"/>
          </w:tcPr>
          <w:p w14:paraId="18964BB6">
            <w:pPr>
              <w:shd w:val="clear"/>
              <w:spacing w:line="360" w:lineRule="auto"/>
              <w:jc w:val="center"/>
              <w:rPr>
                <w:rFonts w:ascii="宋体" w:hAnsi="宋体"/>
                <w:color w:val="auto"/>
                <w:szCs w:val="21"/>
                <w:highlight w:val="none"/>
              </w:rPr>
            </w:pPr>
            <w:r>
              <w:rPr>
                <w:rFonts w:hint="eastAsia" w:ascii="宋体" w:hAnsi="宋体"/>
                <w:color w:val="auto"/>
                <w:szCs w:val="21"/>
                <w:highlight w:val="none"/>
              </w:rPr>
              <w:t>服务名称</w:t>
            </w:r>
          </w:p>
        </w:tc>
        <w:tc>
          <w:tcPr>
            <w:tcW w:w="625" w:type="pct"/>
            <w:vAlign w:val="center"/>
          </w:tcPr>
          <w:p w14:paraId="58E3519E">
            <w:pPr>
              <w:shd w:val="clear"/>
              <w:spacing w:line="360" w:lineRule="auto"/>
              <w:jc w:val="center"/>
              <w:rPr>
                <w:rFonts w:ascii="宋体" w:hAnsi="宋体"/>
                <w:color w:val="auto"/>
                <w:szCs w:val="21"/>
                <w:highlight w:val="none"/>
              </w:rPr>
            </w:pPr>
            <w:r>
              <w:rPr>
                <w:rFonts w:hint="eastAsia" w:ascii="宋体" w:hAnsi="宋体"/>
                <w:color w:val="auto"/>
                <w:szCs w:val="21"/>
                <w:highlight w:val="none"/>
              </w:rPr>
              <w:t>数量</w:t>
            </w:r>
          </w:p>
        </w:tc>
        <w:tc>
          <w:tcPr>
            <w:tcW w:w="625" w:type="pct"/>
            <w:vAlign w:val="center"/>
          </w:tcPr>
          <w:p w14:paraId="23BF05B3">
            <w:pPr>
              <w:shd w:val="clear"/>
              <w:spacing w:line="360" w:lineRule="auto"/>
              <w:jc w:val="center"/>
              <w:rPr>
                <w:rFonts w:ascii="宋体" w:hAnsi="宋体"/>
                <w:color w:val="auto"/>
                <w:szCs w:val="21"/>
                <w:highlight w:val="none"/>
              </w:rPr>
            </w:pPr>
            <w:r>
              <w:rPr>
                <w:rFonts w:hint="eastAsia" w:ascii="宋体" w:hAnsi="宋体"/>
                <w:color w:val="auto"/>
                <w:szCs w:val="21"/>
                <w:highlight w:val="none"/>
              </w:rPr>
              <w:t>技术参数</w:t>
            </w:r>
          </w:p>
        </w:tc>
        <w:tc>
          <w:tcPr>
            <w:tcW w:w="621" w:type="pct"/>
            <w:vMerge w:val="continue"/>
            <w:vAlign w:val="center"/>
          </w:tcPr>
          <w:p w14:paraId="724A5BB2">
            <w:pPr>
              <w:shd w:val="clear"/>
              <w:spacing w:line="360" w:lineRule="auto"/>
              <w:jc w:val="center"/>
              <w:rPr>
                <w:rFonts w:ascii="宋体" w:hAnsi="宋体"/>
                <w:color w:val="auto"/>
                <w:szCs w:val="21"/>
                <w:highlight w:val="none"/>
              </w:rPr>
            </w:pPr>
          </w:p>
        </w:tc>
      </w:tr>
      <w:tr w14:paraId="0E61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Align w:val="center"/>
          </w:tcPr>
          <w:p w14:paraId="6273A82F">
            <w:pPr>
              <w:shd w:val="clear"/>
              <w:spacing w:line="360" w:lineRule="auto"/>
              <w:jc w:val="center"/>
              <w:rPr>
                <w:rFonts w:ascii="宋体" w:hAnsi="宋体"/>
                <w:color w:val="auto"/>
                <w:szCs w:val="21"/>
                <w:highlight w:val="none"/>
              </w:rPr>
            </w:pPr>
            <w:r>
              <w:rPr>
                <w:rFonts w:ascii="宋体" w:hAnsi="宋体"/>
                <w:color w:val="auto"/>
                <w:szCs w:val="21"/>
                <w:highlight w:val="none"/>
              </w:rPr>
              <w:t>1</w:t>
            </w:r>
          </w:p>
        </w:tc>
        <w:tc>
          <w:tcPr>
            <w:tcW w:w="589" w:type="pct"/>
            <w:vAlign w:val="center"/>
          </w:tcPr>
          <w:p w14:paraId="0A080438">
            <w:pPr>
              <w:shd w:val="clear"/>
              <w:spacing w:line="360" w:lineRule="auto"/>
              <w:jc w:val="center"/>
              <w:rPr>
                <w:rFonts w:ascii="宋体" w:hAnsi="宋体"/>
                <w:color w:val="auto"/>
                <w:szCs w:val="21"/>
                <w:highlight w:val="none"/>
              </w:rPr>
            </w:pPr>
            <w:r>
              <w:rPr>
                <w:rFonts w:ascii="宋体" w:hAnsi="宋体"/>
                <w:color w:val="auto"/>
                <w:szCs w:val="21"/>
                <w:highlight w:val="none"/>
              </w:rPr>
              <w:t>……</w:t>
            </w:r>
          </w:p>
        </w:tc>
        <w:tc>
          <w:tcPr>
            <w:tcW w:w="588" w:type="pct"/>
            <w:vAlign w:val="center"/>
          </w:tcPr>
          <w:p w14:paraId="70969675">
            <w:pPr>
              <w:shd w:val="clear"/>
              <w:spacing w:line="360" w:lineRule="auto"/>
              <w:jc w:val="center"/>
              <w:rPr>
                <w:rFonts w:ascii="宋体" w:hAnsi="宋体"/>
                <w:color w:val="auto"/>
                <w:szCs w:val="21"/>
                <w:highlight w:val="none"/>
              </w:rPr>
            </w:pPr>
            <w:r>
              <w:rPr>
                <w:rFonts w:ascii="宋体" w:hAnsi="宋体"/>
                <w:color w:val="auto"/>
                <w:szCs w:val="21"/>
                <w:highlight w:val="none"/>
              </w:rPr>
              <w:t>…</w:t>
            </w:r>
          </w:p>
        </w:tc>
        <w:tc>
          <w:tcPr>
            <w:tcW w:w="958" w:type="pct"/>
            <w:vAlign w:val="center"/>
          </w:tcPr>
          <w:p w14:paraId="5C16F698">
            <w:pPr>
              <w:shd w:val="clear"/>
              <w:spacing w:line="360" w:lineRule="auto"/>
              <w:rPr>
                <w:rFonts w:ascii="宋体" w:hAnsi="宋体"/>
                <w:color w:val="auto"/>
                <w:szCs w:val="21"/>
                <w:highlight w:val="none"/>
              </w:rPr>
            </w:pPr>
            <w:r>
              <w:rPr>
                <w:rFonts w:ascii="宋体" w:hAnsi="宋体"/>
                <w:color w:val="auto"/>
                <w:szCs w:val="21"/>
                <w:highlight w:val="none"/>
              </w:rPr>
              <w:t>1……</w:t>
            </w:r>
          </w:p>
          <w:p w14:paraId="77FF1B3A">
            <w:pPr>
              <w:shd w:val="clear"/>
              <w:spacing w:line="360" w:lineRule="auto"/>
              <w:rPr>
                <w:rFonts w:ascii="宋体" w:hAnsi="宋体"/>
                <w:color w:val="auto"/>
                <w:szCs w:val="21"/>
                <w:highlight w:val="none"/>
              </w:rPr>
            </w:pPr>
            <w:r>
              <w:rPr>
                <w:rFonts w:ascii="宋体" w:hAnsi="宋体"/>
                <w:color w:val="auto"/>
                <w:szCs w:val="21"/>
                <w:highlight w:val="none"/>
              </w:rPr>
              <w:t>2……</w:t>
            </w:r>
          </w:p>
          <w:p w14:paraId="10C4837F">
            <w:pPr>
              <w:shd w:val="clear"/>
              <w:spacing w:line="360" w:lineRule="auto"/>
              <w:jc w:val="left"/>
              <w:rPr>
                <w:rFonts w:ascii="宋体" w:hAnsi="宋体"/>
                <w:color w:val="auto"/>
                <w:szCs w:val="21"/>
                <w:highlight w:val="none"/>
              </w:rPr>
            </w:pPr>
            <w:r>
              <w:rPr>
                <w:rFonts w:ascii="宋体" w:hAnsi="宋体"/>
                <w:color w:val="auto"/>
                <w:szCs w:val="21"/>
                <w:highlight w:val="none"/>
              </w:rPr>
              <w:t>3……</w:t>
            </w:r>
          </w:p>
          <w:p w14:paraId="5DF569B0">
            <w:pPr>
              <w:shd w:val="clear"/>
              <w:spacing w:line="360" w:lineRule="auto"/>
              <w:jc w:val="left"/>
              <w:rPr>
                <w:rFonts w:ascii="宋体" w:hAnsi="宋体"/>
                <w:color w:val="auto"/>
                <w:szCs w:val="21"/>
                <w:highlight w:val="none"/>
              </w:rPr>
            </w:pPr>
            <w:r>
              <w:rPr>
                <w:rFonts w:ascii="宋体" w:hAnsi="宋体"/>
                <w:color w:val="auto"/>
                <w:szCs w:val="21"/>
                <w:highlight w:val="none"/>
              </w:rPr>
              <w:t>……</w:t>
            </w:r>
          </w:p>
        </w:tc>
        <w:tc>
          <w:tcPr>
            <w:tcW w:w="625" w:type="pct"/>
            <w:vAlign w:val="center"/>
          </w:tcPr>
          <w:p w14:paraId="2AE47AE0">
            <w:pPr>
              <w:shd w:val="clear"/>
              <w:spacing w:line="360" w:lineRule="auto"/>
              <w:jc w:val="center"/>
              <w:rPr>
                <w:rFonts w:ascii="宋体" w:hAnsi="宋体"/>
                <w:color w:val="auto"/>
                <w:szCs w:val="21"/>
                <w:highlight w:val="none"/>
              </w:rPr>
            </w:pPr>
            <w:r>
              <w:rPr>
                <w:rFonts w:ascii="宋体" w:hAnsi="宋体"/>
                <w:color w:val="auto"/>
                <w:szCs w:val="21"/>
                <w:highlight w:val="none"/>
              </w:rPr>
              <w:t>……</w:t>
            </w:r>
          </w:p>
        </w:tc>
        <w:tc>
          <w:tcPr>
            <w:tcW w:w="625" w:type="pct"/>
            <w:vAlign w:val="center"/>
          </w:tcPr>
          <w:p w14:paraId="1A4AB978">
            <w:pPr>
              <w:shd w:val="clear"/>
              <w:spacing w:line="360" w:lineRule="auto"/>
              <w:jc w:val="center"/>
              <w:rPr>
                <w:rFonts w:ascii="宋体" w:hAnsi="宋体"/>
                <w:color w:val="auto"/>
                <w:szCs w:val="21"/>
                <w:highlight w:val="none"/>
              </w:rPr>
            </w:pPr>
            <w:r>
              <w:rPr>
                <w:rFonts w:ascii="宋体" w:hAnsi="宋体"/>
                <w:color w:val="auto"/>
                <w:szCs w:val="21"/>
                <w:highlight w:val="none"/>
              </w:rPr>
              <w:t>…</w:t>
            </w:r>
          </w:p>
        </w:tc>
        <w:tc>
          <w:tcPr>
            <w:tcW w:w="625" w:type="pct"/>
            <w:vAlign w:val="center"/>
          </w:tcPr>
          <w:p w14:paraId="3FB9FF1E">
            <w:pPr>
              <w:shd w:val="clear"/>
              <w:spacing w:line="360" w:lineRule="auto"/>
              <w:rPr>
                <w:rFonts w:ascii="宋体" w:hAnsi="宋体"/>
                <w:color w:val="auto"/>
                <w:szCs w:val="21"/>
                <w:highlight w:val="none"/>
              </w:rPr>
            </w:pPr>
            <w:r>
              <w:rPr>
                <w:rFonts w:ascii="宋体" w:hAnsi="宋体"/>
                <w:color w:val="auto"/>
                <w:szCs w:val="21"/>
                <w:highlight w:val="none"/>
              </w:rPr>
              <w:t>1……</w:t>
            </w:r>
          </w:p>
          <w:p w14:paraId="5D7D0986">
            <w:pPr>
              <w:shd w:val="clear"/>
              <w:spacing w:line="360" w:lineRule="auto"/>
              <w:rPr>
                <w:rFonts w:ascii="宋体" w:hAnsi="宋体"/>
                <w:color w:val="auto"/>
                <w:szCs w:val="21"/>
                <w:highlight w:val="none"/>
              </w:rPr>
            </w:pPr>
            <w:r>
              <w:rPr>
                <w:rFonts w:ascii="宋体" w:hAnsi="宋体"/>
                <w:color w:val="auto"/>
                <w:szCs w:val="21"/>
                <w:highlight w:val="none"/>
              </w:rPr>
              <w:t>2……</w:t>
            </w:r>
          </w:p>
          <w:p w14:paraId="20E33B8A">
            <w:pPr>
              <w:shd w:val="clear"/>
              <w:spacing w:line="360" w:lineRule="auto"/>
              <w:jc w:val="left"/>
              <w:rPr>
                <w:rFonts w:ascii="宋体" w:hAnsi="宋体"/>
                <w:color w:val="auto"/>
                <w:szCs w:val="21"/>
                <w:highlight w:val="none"/>
              </w:rPr>
            </w:pPr>
            <w:r>
              <w:rPr>
                <w:rFonts w:ascii="宋体" w:hAnsi="宋体"/>
                <w:color w:val="auto"/>
                <w:szCs w:val="21"/>
                <w:highlight w:val="none"/>
              </w:rPr>
              <w:t>3……</w:t>
            </w:r>
          </w:p>
          <w:p w14:paraId="486FD926">
            <w:pPr>
              <w:shd w:val="clear"/>
              <w:spacing w:line="360" w:lineRule="auto"/>
              <w:rPr>
                <w:rFonts w:ascii="宋体" w:hAnsi="宋体"/>
                <w:color w:val="auto"/>
                <w:szCs w:val="21"/>
                <w:highlight w:val="none"/>
              </w:rPr>
            </w:pPr>
            <w:r>
              <w:rPr>
                <w:rFonts w:ascii="宋体" w:hAnsi="宋体"/>
                <w:color w:val="auto"/>
                <w:szCs w:val="21"/>
                <w:highlight w:val="none"/>
              </w:rPr>
              <w:t>……</w:t>
            </w:r>
          </w:p>
        </w:tc>
        <w:tc>
          <w:tcPr>
            <w:tcW w:w="621" w:type="pct"/>
            <w:vAlign w:val="center"/>
          </w:tcPr>
          <w:p w14:paraId="05EA739B">
            <w:pPr>
              <w:shd w:val="clear"/>
              <w:spacing w:line="360" w:lineRule="auto"/>
              <w:jc w:val="center"/>
              <w:rPr>
                <w:rFonts w:ascii="宋体" w:hAnsi="宋体"/>
                <w:color w:val="auto"/>
                <w:szCs w:val="21"/>
                <w:highlight w:val="none"/>
              </w:rPr>
            </w:pPr>
          </w:p>
        </w:tc>
      </w:tr>
      <w:tr w14:paraId="6170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Align w:val="center"/>
          </w:tcPr>
          <w:p w14:paraId="53E5E5C3">
            <w:pPr>
              <w:shd w:val="clea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589" w:type="pct"/>
            <w:vAlign w:val="center"/>
          </w:tcPr>
          <w:p w14:paraId="35AC4A20">
            <w:pPr>
              <w:shd w:val="clear"/>
              <w:spacing w:line="360" w:lineRule="auto"/>
              <w:jc w:val="center"/>
              <w:rPr>
                <w:rFonts w:ascii="宋体" w:hAnsi="宋体"/>
                <w:color w:val="auto"/>
                <w:szCs w:val="21"/>
                <w:highlight w:val="none"/>
              </w:rPr>
            </w:pPr>
            <w:r>
              <w:rPr>
                <w:rFonts w:ascii="宋体" w:hAnsi="宋体"/>
                <w:color w:val="auto"/>
                <w:szCs w:val="21"/>
                <w:highlight w:val="none"/>
              </w:rPr>
              <w:t>……</w:t>
            </w:r>
          </w:p>
        </w:tc>
        <w:tc>
          <w:tcPr>
            <w:tcW w:w="588" w:type="pct"/>
            <w:vAlign w:val="center"/>
          </w:tcPr>
          <w:p w14:paraId="2DA470C3">
            <w:pPr>
              <w:shd w:val="clear"/>
              <w:spacing w:line="360" w:lineRule="auto"/>
              <w:jc w:val="center"/>
              <w:rPr>
                <w:rFonts w:ascii="宋体" w:hAnsi="宋体"/>
                <w:color w:val="auto"/>
                <w:szCs w:val="21"/>
                <w:highlight w:val="none"/>
              </w:rPr>
            </w:pPr>
            <w:r>
              <w:rPr>
                <w:rFonts w:ascii="宋体" w:hAnsi="宋体"/>
                <w:color w:val="auto"/>
                <w:szCs w:val="21"/>
                <w:highlight w:val="none"/>
              </w:rPr>
              <w:t>…</w:t>
            </w:r>
          </w:p>
        </w:tc>
        <w:tc>
          <w:tcPr>
            <w:tcW w:w="958" w:type="pct"/>
            <w:vAlign w:val="center"/>
          </w:tcPr>
          <w:p w14:paraId="1886B917">
            <w:pPr>
              <w:shd w:val="clear"/>
              <w:spacing w:line="360" w:lineRule="auto"/>
              <w:rPr>
                <w:rFonts w:ascii="宋体" w:hAnsi="宋体"/>
                <w:color w:val="auto"/>
                <w:szCs w:val="21"/>
                <w:highlight w:val="none"/>
              </w:rPr>
            </w:pPr>
            <w:r>
              <w:rPr>
                <w:rFonts w:ascii="宋体" w:hAnsi="宋体"/>
                <w:color w:val="auto"/>
                <w:szCs w:val="21"/>
                <w:highlight w:val="none"/>
              </w:rPr>
              <w:t>1……</w:t>
            </w:r>
          </w:p>
          <w:p w14:paraId="03776F71">
            <w:pPr>
              <w:shd w:val="clear"/>
              <w:spacing w:line="360" w:lineRule="auto"/>
              <w:rPr>
                <w:rFonts w:ascii="宋体" w:hAnsi="宋体"/>
                <w:color w:val="auto"/>
                <w:szCs w:val="21"/>
                <w:highlight w:val="none"/>
              </w:rPr>
            </w:pPr>
            <w:r>
              <w:rPr>
                <w:rFonts w:ascii="宋体" w:hAnsi="宋体"/>
                <w:color w:val="auto"/>
                <w:szCs w:val="21"/>
                <w:highlight w:val="none"/>
              </w:rPr>
              <w:t>2……</w:t>
            </w:r>
          </w:p>
          <w:p w14:paraId="17FAEB7D">
            <w:pPr>
              <w:shd w:val="clear"/>
              <w:spacing w:line="360" w:lineRule="auto"/>
              <w:jc w:val="left"/>
              <w:rPr>
                <w:rFonts w:ascii="宋体" w:hAnsi="宋体"/>
                <w:color w:val="auto"/>
                <w:szCs w:val="21"/>
                <w:highlight w:val="none"/>
              </w:rPr>
            </w:pPr>
            <w:r>
              <w:rPr>
                <w:rFonts w:ascii="宋体" w:hAnsi="宋体"/>
                <w:color w:val="auto"/>
                <w:szCs w:val="21"/>
                <w:highlight w:val="none"/>
              </w:rPr>
              <w:t>3……</w:t>
            </w:r>
          </w:p>
          <w:p w14:paraId="1028DF0C">
            <w:pPr>
              <w:shd w:val="clear"/>
              <w:spacing w:line="360" w:lineRule="auto"/>
              <w:rPr>
                <w:rFonts w:ascii="宋体" w:hAnsi="宋体"/>
                <w:color w:val="auto"/>
                <w:szCs w:val="21"/>
                <w:highlight w:val="none"/>
              </w:rPr>
            </w:pPr>
            <w:r>
              <w:rPr>
                <w:rFonts w:ascii="宋体" w:hAnsi="宋体"/>
                <w:color w:val="auto"/>
                <w:szCs w:val="21"/>
                <w:highlight w:val="none"/>
              </w:rPr>
              <w:t>……</w:t>
            </w:r>
          </w:p>
        </w:tc>
        <w:tc>
          <w:tcPr>
            <w:tcW w:w="625" w:type="pct"/>
            <w:vAlign w:val="center"/>
          </w:tcPr>
          <w:p w14:paraId="0B019186">
            <w:pPr>
              <w:shd w:val="clear"/>
              <w:spacing w:line="360" w:lineRule="auto"/>
              <w:jc w:val="center"/>
              <w:rPr>
                <w:rFonts w:ascii="宋体" w:hAnsi="宋体"/>
                <w:color w:val="auto"/>
                <w:szCs w:val="21"/>
                <w:highlight w:val="none"/>
              </w:rPr>
            </w:pPr>
            <w:r>
              <w:rPr>
                <w:rFonts w:ascii="宋体" w:hAnsi="宋体"/>
                <w:color w:val="auto"/>
                <w:szCs w:val="21"/>
                <w:highlight w:val="none"/>
              </w:rPr>
              <w:t>……</w:t>
            </w:r>
          </w:p>
        </w:tc>
        <w:tc>
          <w:tcPr>
            <w:tcW w:w="625" w:type="pct"/>
            <w:vAlign w:val="center"/>
          </w:tcPr>
          <w:p w14:paraId="56388411">
            <w:pPr>
              <w:shd w:val="clear"/>
              <w:spacing w:line="360" w:lineRule="auto"/>
              <w:jc w:val="center"/>
              <w:rPr>
                <w:rFonts w:ascii="宋体" w:hAnsi="宋体"/>
                <w:color w:val="auto"/>
                <w:szCs w:val="21"/>
                <w:highlight w:val="none"/>
              </w:rPr>
            </w:pPr>
            <w:r>
              <w:rPr>
                <w:rFonts w:ascii="宋体" w:hAnsi="宋体"/>
                <w:color w:val="auto"/>
                <w:szCs w:val="21"/>
                <w:highlight w:val="none"/>
              </w:rPr>
              <w:t>…</w:t>
            </w:r>
          </w:p>
        </w:tc>
        <w:tc>
          <w:tcPr>
            <w:tcW w:w="625" w:type="pct"/>
            <w:vAlign w:val="center"/>
          </w:tcPr>
          <w:p w14:paraId="512F5777">
            <w:pPr>
              <w:shd w:val="clear"/>
              <w:spacing w:line="360" w:lineRule="auto"/>
              <w:rPr>
                <w:rFonts w:ascii="宋体" w:hAnsi="宋体"/>
                <w:color w:val="auto"/>
                <w:szCs w:val="21"/>
                <w:highlight w:val="none"/>
              </w:rPr>
            </w:pPr>
            <w:r>
              <w:rPr>
                <w:rFonts w:ascii="宋体" w:hAnsi="宋体"/>
                <w:color w:val="auto"/>
                <w:szCs w:val="21"/>
                <w:highlight w:val="none"/>
              </w:rPr>
              <w:t>1……</w:t>
            </w:r>
          </w:p>
          <w:p w14:paraId="203B6186">
            <w:pPr>
              <w:shd w:val="clear"/>
              <w:spacing w:line="360" w:lineRule="auto"/>
              <w:rPr>
                <w:rFonts w:ascii="宋体" w:hAnsi="宋体"/>
                <w:color w:val="auto"/>
                <w:szCs w:val="21"/>
                <w:highlight w:val="none"/>
              </w:rPr>
            </w:pPr>
            <w:r>
              <w:rPr>
                <w:rFonts w:ascii="宋体" w:hAnsi="宋体"/>
                <w:color w:val="auto"/>
                <w:szCs w:val="21"/>
                <w:highlight w:val="none"/>
              </w:rPr>
              <w:t>2……</w:t>
            </w:r>
          </w:p>
          <w:p w14:paraId="21191DBC">
            <w:pPr>
              <w:shd w:val="clear"/>
              <w:spacing w:line="360" w:lineRule="auto"/>
              <w:jc w:val="left"/>
              <w:rPr>
                <w:rFonts w:ascii="宋体" w:hAnsi="宋体"/>
                <w:color w:val="auto"/>
                <w:szCs w:val="21"/>
                <w:highlight w:val="none"/>
              </w:rPr>
            </w:pPr>
            <w:r>
              <w:rPr>
                <w:rFonts w:ascii="宋体" w:hAnsi="宋体"/>
                <w:color w:val="auto"/>
                <w:szCs w:val="21"/>
                <w:highlight w:val="none"/>
              </w:rPr>
              <w:t>3……</w:t>
            </w:r>
          </w:p>
          <w:p w14:paraId="5B9676C8">
            <w:pPr>
              <w:shd w:val="clear"/>
              <w:spacing w:line="360" w:lineRule="auto"/>
              <w:rPr>
                <w:rFonts w:ascii="宋体" w:hAnsi="宋体"/>
                <w:color w:val="auto"/>
                <w:szCs w:val="21"/>
                <w:highlight w:val="none"/>
              </w:rPr>
            </w:pPr>
            <w:r>
              <w:rPr>
                <w:rFonts w:ascii="宋体" w:hAnsi="宋体"/>
                <w:color w:val="auto"/>
                <w:szCs w:val="21"/>
                <w:highlight w:val="none"/>
              </w:rPr>
              <w:t>……</w:t>
            </w:r>
          </w:p>
        </w:tc>
        <w:tc>
          <w:tcPr>
            <w:tcW w:w="621" w:type="pct"/>
            <w:vAlign w:val="center"/>
          </w:tcPr>
          <w:p w14:paraId="3657CD6B">
            <w:pPr>
              <w:shd w:val="clear"/>
              <w:spacing w:line="360" w:lineRule="auto"/>
              <w:jc w:val="center"/>
              <w:rPr>
                <w:rFonts w:ascii="宋体" w:hAnsi="宋体"/>
                <w:color w:val="auto"/>
                <w:szCs w:val="21"/>
                <w:highlight w:val="none"/>
              </w:rPr>
            </w:pPr>
          </w:p>
        </w:tc>
      </w:tr>
      <w:tr w14:paraId="1643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9" w:type="pct"/>
            <w:vAlign w:val="center"/>
          </w:tcPr>
          <w:p w14:paraId="2DE88D63">
            <w:pPr>
              <w:shd w:val="clea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589" w:type="pct"/>
            <w:vAlign w:val="center"/>
          </w:tcPr>
          <w:p w14:paraId="4D84D459">
            <w:pPr>
              <w:shd w:val="clear"/>
              <w:spacing w:line="360" w:lineRule="auto"/>
              <w:jc w:val="center"/>
              <w:rPr>
                <w:rFonts w:ascii="宋体" w:hAnsi="宋体"/>
                <w:color w:val="auto"/>
                <w:szCs w:val="21"/>
                <w:highlight w:val="none"/>
              </w:rPr>
            </w:pPr>
          </w:p>
        </w:tc>
        <w:tc>
          <w:tcPr>
            <w:tcW w:w="588" w:type="pct"/>
            <w:vAlign w:val="center"/>
          </w:tcPr>
          <w:p w14:paraId="7BD33BCF">
            <w:pPr>
              <w:shd w:val="clear"/>
              <w:spacing w:line="360" w:lineRule="auto"/>
              <w:jc w:val="center"/>
              <w:rPr>
                <w:rFonts w:ascii="宋体" w:hAnsi="宋体"/>
                <w:color w:val="auto"/>
                <w:szCs w:val="21"/>
                <w:highlight w:val="none"/>
              </w:rPr>
            </w:pPr>
          </w:p>
        </w:tc>
        <w:tc>
          <w:tcPr>
            <w:tcW w:w="958" w:type="pct"/>
            <w:vAlign w:val="center"/>
          </w:tcPr>
          <w:p w14:paraId="71AA8076">
            <w:pPr>
              <w:shd w:val="clear"/>
              <w:spacing w:line="360" w:lineRule="auto"/>
              <w:jc w:val="center"/>
              <w:rPr>
                <w:rFonts w:ascii="宋体" w:hAnsi="宋体"/>
                <w:color w:val="auto"/>
                <w:szCs w:val="21"/>
                <w:highlight w:val="none"/>
              </w:rPr>
            </w:pPr>
          </w:p>
        </w:tc>
        <w:tc>
          <w:tcPr>
            <w:tcW w:w="625" w:type="pct"/>
            <w:vAlign w:val="center"/>
          </w:tcPr>
          <w:p w14:paraId="350F3045">
            <w:pPr>
              <w:shd w:val="clear"/>
              <w:spacing w:line="360" w:lineRule="auto"/>
              <w:jc w:val="center"/>
              <w:rPr>
                <w:rFonts w:ascii="宋体" w:hAnsi="宋体"/>
                <w:color w:val="auto"/>
                <w:szCs w:val="21"/>
                <w:highlight w:val="none"/>
              </w:rPr>
            </w:pPr>
          </w:p>
        </w:tc>
        <w:tc>
          <w:tcPr>
            <w:tcW w:w="625" w:type="pct"/>
            <w:vAlign w:val="center"/>
          </w:tcPr>
          <w:p w14:paraId="22BB9538">
            <w:pPr>
              <w:shd w:val="clear"/>
              <w:spacing w:line="360" w:lineRule="auto"/>
              <w:jc w:val="center"/>
              <w:rPr>
                <w:rFonts w:ascii="宋体" w:hAnsi="宋体"/>
                <w:color w:val="auto"/>
                <w:szCs w:val="21"/>
                <w:highlight w:val="none"/>
              </w:rPr>
            </w:pPr>
          </w:p>
        </w:tc>
        <w:tc>
          <w:tcPr>
            <w:tcW w:w="625" w:type="pct"/>
            <w:vAlign w:val="center"/>
          </w:tcPr>
          <w:p w14:paraId="11584A22">
            <w:pPr>
              <w:shd w:val="clear"/>
              <w:spacing w:line="360" w:lineRule="auto"/>
              <w:jc w:val="center"/>
              <w:rPr>
                <w:rFonts w:ascii="宋体" w:hAnsi="宋体"/>
                <w:color w:val="auto"/>
                <w:szCs w:val="21"/>
                <w:highlight w:val="none"/>
              </w:rPr>
            </w:pPr>
          </w:p>
        </w:tc>
        <w:tc>
          <w:tcPr>
            <w:tcW w:w="621" w:type="pct"/>
            <w:vAlign w:val="center"/>
          </w:tcPr>
          <w:p w14:paraId="0320A417">
            <w:pPr>
              <w:shd w:val="clear"/>
              <w:spacing w:line="360" w:lineRule="auto"/>
              <w:jc w:val="center"/>
              <w:rPr>
                <w:rFonts w:ascii="宋体" w:hAnsi="宋体"/>
                <w:color w:val="auto"/>
                <w:szCs w:val="21"/>
                <w:highlight w:val="none"/>
              </w:rPr>
            </w:pPr>
          </w:p>
        </w:tc>
      </w:tr>
    </w:tbl>
    <w:p w14:paraId="403CC68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w:t>
      </w:r>
    </w:p>
    <w:p w14:paraId="76999D6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1.应对照采购文件“第三章采购需求”的</w:t>
      </w:r>
      <w:r>
        <w:rPr>
          <w:rFonts w:hint="eastAsia" w:ascii="宋体" w:hAnsi="宋体" w:eastAsia="宋体"/>
          <w:b/>
          <w:color w:val="auto"/>
          <w:szCs w:val="21"/>
          <w:highlight w:val="none"/>
        </w:rPr>
        <w:t>技术要求</w:t>
      </w:r>
      <w:r>
        <w:rPr>
          <w:rFonts w:hint="eastAsia" w:ascii="宋体" w:hAnsi="宋体" w:eastAsia="宋体"/>
          <w:color w:val="auto"/>
          <w:szCs w:val="21"/>
          <w:highlight w:val="none"/>
        </w:rPr>
        <w:t>条款</w:t>
      </w:r>
      <w:r>
        <w:rPr>
          <w:rFonts w:hint="eastAsia" w:ascii="宋体" w:hAnsi="宋体" w:eastAsia="宋体"/>
          <w:b/>
          <w:color w:val="auto"/>
          <w:szCs w:val="21"/>
          <w:highlight w:val="none"/>
        </w:rPr>
        <w:t>逐条</w:t>
      </w:r>
      <w:r>
        <w:rPr>
          <w:rFonts w:hint="eastAsia" w:ascii="宋体" w:hAnsi="宋体" w:eastAsia="宋体"/>
          <w:color w:val="auto"/>
          <w:szCs w:val="21"/>
          <w:highlight w:val="none"/>
        </w:rPr>
        <w:t>作出明确响应，并作出偏离说明，否则竞争性磋商无效。</w:t>
      </w:r>
    </w:p>
    <w:p w14:paraId="7E379F1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供应商应根据自身的承诺，对照采购文件要求，在“偏离说明”中注明“正偏离”、“负偏离”或者“无偏离”。既不属于“正偏离”也不属于“负偏离”即为“无偏离”。当响应文件的技术内容低于采购文件要求时，供应商应当如实写明“负偏离”，否则视为虚假应标。</w:t>
      </w:r>
    </w:p>
    <w:p w14:paraId="36DF94D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3.表格内容均需按要求填写并盖章，不得留空。</w:t>
      </w:r>
    </w:p>
    <w:p w14:paraId="3A5EDC3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4.如技术要求偏离表中的竞标响应与佐证材料不一致的，以佐证材料为准。</w:t>
      </w:r>
    </w:p>
    <w:p w14:paraId="643231F2">
      <w:pPr>
        <w:shd w:val="clea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法定代表人或者委托代理人（签字）：</w:t>
      </w:r>
    </w:p>
    <w:p w14:paraId="74B2EB33">
      <w:pPr>
        <w:shd w:val="clea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0EF5FF03">
      <w:pPr>
        <w:shd w:val="clea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w:t>
      </w:r>
    </w:p>
    <w:p w14:paraId="0E44D6C2">
      <w:pPr>
        <w:shd w:val="clear"/>
        <w:spacing w:line="360" w:lineRule="auto"/>
        <w:ind w:firstLine="420" w:firstLineChars="200"/>
        <w:jc w:val="right"/>
        <w:rPr>
          <w:rFonts w:ascii="宋体" w:hAnsi="宋体" w:eastAsia="宋体"/>
          <w:color w:val="auto"/>
          <w:szCs w:val="21"/>
          <w:highlight w:val="none"/>
        </w:rPr>
        <w:sectPr>
          <w:pgSz w:w="11906" w:h="16838"/>
          <w:pgMar w:top="1134" w:right="1134" w:bottom="1134" w:left="1134" w:header="851" w:footer="992" w:gutter="0"/>
          <w:cols w:space="425" w:num="1"/>
          <w:docGrid w:type="lines" w:linePitch="312" w:charSpace="0"/>
        </w:sectPr>
      </w:pPr>
    </w:p>
    <w:p w14:paraId="01EF7A97">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（九）施工组织设计</w:t>
      </w:r>
    </w:p>
    <w:p w14:paraId="5B3EA97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格式自拟。</w:t>
      </w:r>
    </w:p>
    <w:p w14:paraId="0DF89720">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（十）拟分包项目情况表</w:t>
      </w:r>
    </w:p>
    <w:p w14:paraId="14CA5D0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格式自拟。</w:t>
      </w:r>
    </w:p>
    <w:p w14:paraId="325F8413">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（十一）项目管理机构配备情况表及主要人员简历表</w:t>
      </w:r>
    </w:p>
    <w:p w14:paraId="40BD6BFD">
      <w:pPr>
        <w:shd w:val="clear"/>
        <w:spacing w:line="360" w:lineRule="auto"/>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格式自拟。</w:t>
      </w:r>
    </w:p>
    <w:p w14:paraId="1F99CC8D">
      <w:pPr>
        <w:shd w:val="clear"/>
        <w:spacing w:line="360" w:lineRule="auto"/>
        <w:jc w:val="center"/>
        <w:rPr>
          <w:rFonts w:ascii="宋体" w:hAnsi="宋体" w:eastAsia="宋体" w:cs="Times New Roman"/>
          <w:b/>
          <w:color w:val="auto"/>
          <w:sz w:val="32"/>
          <w:szCs w:val="32"/>
          <w:highlight w:val="none"/>
        </w:rPr>
      </w:pPr>
      <w:r>
        <w:rPr>
          <w:rFonts w:ascii="宋体" w:hAnsi="宋体" w:eastAsia="宋体" w:cs="Times New Roman"/>
          <w:b/>
          <w:color w:val="auto"/>
          <w:sz w:val="32"/>
          <w:szCs w:val="32"/>
          <w:highlight w:val="none"/>
        </w:rPr>
        <w:t>（十二）</w:t>
      </w:r>
      <w:r>
        <w:rPr>
          <w:rFonts w:hint="eastAsia" w:ascii="宋体" w:hAnsi="宋体" w:eastAsia="宋体" w:cs="Times New Roman"/>
          <w:b/>
          <w:color w:val="auto"/>
          <w:sz w:val="32"/>
          <w:szCs w:val="32"/>
          <w:highlight w:val="none"/>
        </w:rPr>
        <w:t>供应商业绩一览表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185"/>
        <w:gridCol w:w="1185"/>
        <w:gridCol w:w="1185"/>
        <w:gridCol w:w="1185"/>
        <w:gridCol w:w="1185"/>
        <w:gridCol w:w="1186"/>
      </w:tblGrid>
      <w:tr w14:paraId="5B9DF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5D7447EF">
            <w:pPr>
              <w:shd w:val="clear"/>
              <w:spacing w:line="360"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采购人名称</w:t>
            </w:r>
          </w:p>
        </w:tc>
        <w:tc>
          <w:tcPr>
            <w:tcW w:w="1185" w:type="dxa"/>
            <w:vAlign w:val="center"/>
          </w:tcPr>
          <w:p w14:paraId="50F87284">
            <w:pPr>
              <w:shd w:val="clear"/>
              <w:spacing w:line="360"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项目名称</w:t>
            </w:r>
          </w:p>
        </w:tc>
        <w:tc>
          <w:tcPr>
            <w:tcW w:w="1185" w:type="dxa"/>
            <w:vAlign w:val="center"/>
          </w:tcPr>
          <w:p w14:paraId="664E11DC">
            <w:pPr>
              <w:shd w:val="clear"/>
              <w:spacing w:line="360"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合同金额（万元）</w:t>
            </w:r>
          </w:p>
        </w:tc>
        <w:tc>
          <w:tcPr>
            <w:tcW w:w="1185" w:type="dxa"/>
            <w:vAlign w:val="center"/>
          </w:tcPr>
          <w:p w14:paraId="5C1011F1">
            <w:pPr>
              <w:shd w:val="clear"/>
              <w:spacing w:line="360"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开工日期</w:t>
            </w:r>
          </w:p>
        </w:tc>
        <w:tc>
          <w:tcPr>
            <w:tcW w:w="1185" w:type="dxa"/>
            <w:vAlign w:val="center"/>
          </w:tcPr>
          <w:p w14:paraId="6F8D2F67">
            <w:pPr>
              <w:shd w:val="clear"/>
              <w:spacing w:line="360"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竣工日期</w:t>
            </w:r>
          </w:p>
        </w:tc>
        <w:tc>
          <w:tcPr>
            <w:tcW w:w="1185" w:type="dxa"/>
            <w:vAlign w:val="center"/>
          </w:tcPr>
          <w:p w14:paraId="16606EFE">
            <w:pPr>
              <w:shd w:val="clear"/>
              <w:spacing w:line="360"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在建或已完</w:t>
            </w:r>
          </w:p>
        </w:tc>
        <w:tc>
          <w:tcPr>
            <w:tcW w:w="1186" w:type="dxa"/>
            <w:vAlign w:val="center"/>
          </w:tcPr>
          <w:p w14:paraId="0C8EC165">
            <w:pPr>
              <w:shd w:val="clear"/>
              <w:spacing w:line="360" w:lineRule="auto"/>
              <w:jc w:val="center"/>
              <w:rPr>
                <w:rFonts w:hint="eastAsia" w:ascii="宋体" w:hAnsi="宋体" w:eastAsia="宋体"/>
                <w:color w:val="auto"/>
                <w:szCs w:val="21"/>
                <w:highlight w:val="none"/>
              </w:rPr>
            </w:pPr>
            <w:r>
              <w:rPr>
                <w:rFonts w:hint="eastAsia" w:ascii="宋体" w:hAnsi="宋体" w:eastAsia="宋体"/>
                <w:color w:val="auto"/>
                <w:szCs w:val="21"/>
                <w:highlight w:val="none"/>
              </w:rPr>
              <w:t>采购人联系人及联系电话</w:t>
            </w:r>
          </w:p>
        </w:tc>
      </w:tr>
      <w:tr w14:paraId="698D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57555578">
            <w:pPr>
              <w:shd w:val="clear"/>
              <w:spacing w:line="360" w:lineRule="auto"/>
              <w:jc w:val="center"/>
              <w:rPr>
                <w:rFonts w:hint="eastAsia" w:ascii="宋体" w:hAnsi="宋体" w:eastAsia="宋体"/>
                <w:color w:val="auto"/>
                <w:szCs w:val="21"/>
                <w:highlight w:val="none"/>
              </w:rPr>
            </w:pPr>
          </w:p>
        </w:tc>
        <w:tc>
          <w:tcPr>
            <w:tcW w:w="1185" w:type="dxa"/>
            <w:vAlign w:val="center"/>
          </w:tcPr>
          <w:p w14:paraId="7FBCD107">
            <w:pPr>
              <w:shd w:val="clear"/>
              <w:spacing w:line="360" w:lineRule="auto"/>
              <w:jc w:val="center"/>
              <w:rPr>
                <w:rFonts w:hint="eastAsia" w:ascii="宋体" w:hAnsi="宋体" w:eastAsia="宋体"/>
                <w:color w:val="auto"/>
                <w:szCs w:val="21"/>
                <w:highlight w:val="none"/>
              </w:rPr>
            </w:pPr>
          </w:p>
        </w:tc>
        <w:tc>
          <w:tcPr>
            <w:tcW w:w="1185" w:type="dxa"/>
            <w:vAlign w:val="center"/>
          </w:tcPr>
          <w:p w14:paraId="09AC0417">
            <w:pPr>
              <w:shd w:val="clear"/>
              <w:spacing w:line="360" w:lineRule="auto"/>
              <w:jc w:val="center"/>
              <w:rPr>
                <w:rFonts w:hint="eastAsia" w:ascii="宋体" w:hAnsi="宋体" w:eastAsia="宋体"/>
                <w:color w:val="auto"/>
                <w:szCs w:val="21"/>
                <w:highlight w:val="none"/>
              </w:rPr>
            </w:pPr>
          </w:p>
        </w:tc>
        <w:tc>
          <w:tcPr>
            <w:tcW w:w="1185" w:type="dxa"/>
            <w:vAlign w:val="center"/>
          </w:tcPr>
          <w:p w14:paraId="2725944A">
            <w:pPr>
              <w:shd w:val="clear"/>
              <w:spacing w:line="360" w:lineRule="auto"/>
              <w:jc w:val="center"/>
              <w:rPr>
                <w:rFonts w:hint="eastAsia" w:ascii="宋体" w:hAnsi="宋体" w:eastAsia="宋体"/>
                <w:color w:val="auto"/>
                <w:szCs w:val="21"/>
                <w:highlight w:val="none"/>
              </w:rPr>
            </w:pPr>
          </w:p>
        </w:tc>
        <w:tc>
          <w:tcPr>
            <w:tcW w:w="1185" w:type="dxa"/>
            <w:vAlign w:val="center"/>
          </w:tcPr>
          <w:p w14:paraId="67B69B9E">
            <w:pPr>
              <w:shd w:val="clear"/>
              <w:spacing w:line="360" w:lineRule="auto"/>
              <w:jc w:val="center"/>
              <w:rPr>
                <w:rFonts w:hint="eastAsia" w:ascii="宋体" w:hAnsi="宋体" w:eastAsia="宋体"/>
                <w:color w:val="auto"/>
                <w:szCs w:val="21"/>
                <w:highlight w:val="none"/>
              </w:rPr>
            </w:pPr>
          </w:p>
        </w:tc>
        <w:tc>
          <w:tcPr>
            <w:tcW w:w="1185" w:type="dxa"/>
            <w:vAlign w:val="center"/>
          </w:tcPr>
          <w:p w14:paraId="637CFA34">
            <w:pPr>
              <w:shd w:val="clear"/>
              <w:spacing w:line="360" w:lineRule="auto"/>
              <w:jc w:val="center"/>
              <w:rPr>
                <w:rFonts w:hint="eastAsia" w:ascii="宋体" w:hAnsi="宋体" w:eastAsia="宋体"/>
                <w:color w:val="auto"/>
                <w:szCs w:val="21"/>
                <w:highlight w:val="none"/>
              </w:rPr>
            </w:pPr>
          </w:p>
        </w:tc>
        <w:tc>
          <w:tcPr>
            <w:tcW w:w="1186" w:type="dxa"/>
            <w:vAlign w:val="center"/>
          </w:tcPr>
          <w:p w14:paraId="4C9775C1">
            <w:pPr>
              <w:shd w:val="clear"/>
              <w:spacing w:line="360" w:lineRule="auto"/>
              <w:jc w:val="center"/>
              <w:rPr>
                <w:rFonts w:hint="eastAsia" w:ascii="宋体" w:hAnsi="宋体" w:eastAsia="宋体"/>
                <w:color w:val="auto"/>
                <w:szCs w:val="21"/>
                <w:highlight w:val="none"/>
              </w:rPr>
            </w:pPr>
          </w:p>
        </w:tc>
      </w:tr>
      <w:tr w14:paraId="4C23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6E5A741E">
            <w:pPr>
              <w:shd w:val="clear"/>
              <w:spacing w:line="360" w:lineRule="auto"/>
              <w:jc w:val="center"/>
              <w:rPr>
                <w:rFonts w:hint="eastAsia" w:ascii="宋体" w:hAnsi="宋体" w:eastAsia="宋体"/>
                <w:color w:val="auto"/>
                <w:szCs w:val="21"/>
                <w:highlight w:val="none"/>
              </w:rPr>
            </w:pPr>
          </w:p>
        </w:tc>
        <w:tc>
          <w:tcPr>
            <w:tcW w:w="1185" w:type="dxa"/>
            <w:vAlign w:val="center"/>
          </w:tcPr>
          <w:p w14:paraId="1F25929E">
            <w:pPr>
              <w:shd w:val="clear"/>
              <w:spacing w:line="360" w:lineRule="auto"/>
              <w:jc w:val="center"/>
              <w:rPr>
                <w:rFonts w:hint="eastAsia" w:ascii="宋体" w:hAnsi="宋体" w:eastAsia="宋体"/>
                <w:color w:val="auto"/>
                <w:szCs w:val="21"/>
                <w:highlight w:val="none"/>
              </w:rPr>
            </w:pPr>
          </w:p>
        </w:tc>
        <w:tc>
          <w:tcPr>
            <w:tcW w:w="1185" w:type="dxa"/>
            <w:vAlign w:val="center"/>
          </w:tcPr>
          <w:p w14:paraId="7F768AA4">
            <w:pPr>
              <w:shd w:val="clear"/>
              <w:spacing w:line="360" w:lineRule="auto"/>
              <w:jc w:val="center"/>
              <w:rPr>
                <w:rFonts w:hint="eastAsia" w:ascii="宋体" w:hAnsi="宋体" w:eastAsia="宋体"/>
                <w:color w:val="auto"/>
                <w:szCs w:val="21"/>
                <w:highlight w:val="none"/>
              </w:rPr>
            </w:pPr>
          </w:p>
        </w:tc>
        <w:tc>
          <w:tcPr>
            <w:tcW w:w="1185" w:type="dxa"/>
            <w:vAlign w:val="center"/>
          </w:tcPr>
          <w:p w14:paraId="01B1AE38">
            <w:pPr>
              <w:shd w:val="clear"/>
              <w:spacing w:line="360" w:lineRule="auto"/>
              <w:jc w:val="center"/>
              <w:rPr>
                <w:rFonts w:hint="eastAsia" w:ascii="宋体" w:hAnsi="宋体" w:eastAsia="宋体"/>
                <w:color w:val="auto"/>
                <w:szCs w:val="21"/>
                <w:highlight w:val="none"/>
              </w:rPr>
            </w:pPr>
          </w:p>
        </w:tc>
        <w:tc>
          <w:tcPr>
            <w:tcW w:w="1185" w:type="dxa"/>
            <w:vAlign w:val="center"/>
          </w:tcPr>
          <w:p w14:paraId="1875388B">
            <w:pPr>
              <w:shd w:val="clear"/>
              <w:spacing w:line="360" w:lineRule="auto"/>
              <w:jc w:val="center"/>
              <w:rPr>
                <w:rFonts w:hint="eastAsia" w:ascii="宋体" w:hAnsi="宋体" w:eastAsia="宋体"/>
                <w:color w:val="auto"/>
                <w:szCs w:val="21"/>
                <w:highlight w:val="none"/>
              </w:rPr>
            </w:pPr>
          </w:p>
        </w:tc>
        <w:tc>
          <w:tcPr>
            <w:tcW w:w="1185" w:type="dxa"/>
            <w:vAlign w:val="center"/>
          </w:tcPr>
          <w:p w14:paraId="6406E7B1">
            <w:pPr>
              <w:shd w:val="clear"/>
              <w:spacing w:line="360" w:lineRule="auto"/>
              <w:jc w:val="center"/>
              <w:rPr>
                <w:rFonts w:hint="eastAsia" w:ascii="宋体" w:hAnsi="宋体" w:eastAsia="宋体"/>
                <w:color w:val="auto"/>
                <w:szCs w:val="21"/>
                <w:highlight w:val="none"/>
              </w:rPr>
            </w:pPr>
          </w:p>
        </w:tc>
        <w:tc>
          <w:tcPr>
            <w:tcW w:w="1186" w:type="dxa"/>
            <w:vAlign w:val="center"/>
          </w:tcPr>
          <w:p w14:paraId="77F34ECF">
            <w:pPr>
              <w:shd w:val="clear"/>
              <w:spacing w:line="360" w:lineRule="auto"/>
              <w:jc w:val="center"/>
              <w:rPr>
                <w:rFonts w:hint="eastAsia" w:ascii="宋体" w:hAnsi="宋体" w:eastAsia="宋体"/>
                <w:color w:val="auto"/>
                <w:szCs w:val="21"/>
                <w:highlight w:val="none"/>
              </w:rPr>
            </w:pPr>
          </w:p>
        </w:tc>
      </w:tr>
      <w:tr w14:paraId="0773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01AA64DC">
            <w:pPr>
              <w:shd w:val="clear"/>
              <w:spacing w:line="360" w:lineRule="auto"/>
              <w:jc w:val="center"/>
              <w:rPr>
                <w:rFonts w:hint="eastAsia" w:ascii="宋体" w:hAnsi="宋体" w:eastAsia="宋体"/>
                <w:color w:val="auto"/>
                <w:szCs w:val="21"/>
                <w:highlight w:val="none"/>
              </w:rPr>
            </w:pPr>
          </w:p>
        </w:tc>
        <w:tc>
          <w:tcPr>
            <w:tcW w:w="1185" w:type="dxa"/>
            <w:vAlign w:val="center"/>
          </w:tcPr>
          <w:p w14:paraId="00EC0D1D">
            <w:pPr>
              <w:shd w:val="clear"/>
              <w:spacing w:line="360" w:lineRule="auto"/>
              <w:jc w:val="center"/>
              <w:rPr>
                <w:rFonts w:hint="eastAsia" w:ascii="宋体" w:hAnsi="宋体" w:eastAsia="宋体"/>
                <w:color w:val="auto"/>
                <w:szCs w:val="21"/>
                <w:highlight w:val="none"/>
              </w:rPr>
            </w:pPr>
          </w:p>
        </w:tc>
        <w:tc>
          <w:tcPr>
            <w:tcW w:w="1185" w:type="dxa"/>
            <w:vAlign w:val="center"/>
          </w:tcPr>
          <w:p w14:paraId="7ABFC60F">
            <w:pPr>
              <w:shd w:val="clear"/>
              <w:spacing w:line="360" w:lineRule="auto"/>
              <w:jc w:val="center"/>
              <w:rPr>
                <w:rFonts w:hint="eastAsia" w:ascii="宋体" w:hAnsi="宋体" w:eastAsia="宋体"/>
                <w:color w:val="auto"/>
                <w:szCs w:val="21"/>
                <w:highlight w:val="none"/>
              </w:rPr>
            </w:pPr>
          </w:p>
        </w:tc>
        <w:tc>
          <w:tcPr>
            <w:tcW w:w="1185" w:type="dxa"/>
            <w:vAlign w:val="center"/>
          </w:tcPr>
          <w:p w14:paraId="2A1E2AF3">
            <w:pPr>
              <w:shd w:val="clear"/>
              <w:spacing w:line="360" w:lineRule="auto"/>
              <w:jc w:val="center"/>
              <w:rPr>
                <w:rFonts w:hint="eastAsia" w:ascii="宋体" w:hAnsi="宋体" w:eastAsia="宋体"/>
                <w:color w:val="auto"/>
                <w:szCs w:val="21"/>
                <w:highlight w:val="none"/>
              </w:rPr>
            </w:pPr>
          </w:p>
        </w:tc>
        <w:tc>
          <w:tcPr>
            <w:tcW w:w="1185" w:type="dxa"/>
            <w:vAlign w:val="center"/>
          </w:tcPr>
          <w:p w14:paraId="62627C86">
            <w:pPr>
              <w:shd w:val="clear"/>
              <w:spacing w:line="360" w:lineRule="auto"/>
              <w:jc w:val="center"/>
              <w:rPr>
                <w:rFonts w:hint="eastAsia" w:ascii="宋体" w:hAnsi="宋体" w:eastAsia="宋体"/>
                <w:color w:val="auto"/>
                <w:szCs w:val="21"/>
                <w:highlight w:val="none"/>
              </w:rPr>
            </w:pPr>
          </w:p>
        </w:tc>
        <w:tc>
          <w:tcPr>
            <w:tcW w:w="1185" w:type="dxa"/>
            <w:vAlign w:val="center"/>
          </w:tcPr>
          <w:p w14:paraId="77500F1F">
            <w:pPr>
              <w:shd w:val="clear"/>
              <w:spacing w:line="360" w:lineRule="auto"/>
              <w:jc w:val="center"/>
              <w:rPr>
                <w:rFonts w:hint="eastAsia" w:ascii="宋体" w:hAnsi="宋体" w:eastAsia="宋体"/>
                <w:color w:val="auto"/>
                <w:szCs w:val="21"/>
                <w:highlight w:val="none"/>
              </w:rPr>
            </w:pPr>
          </w:p>
        </w:tc>
        <w:tc>
          <w:tcPr>
            <w:tcW w:w="1186" w:type="dxa"/>
            <w:vAlign w:val="center"/>
          </w:tcPr>
          <w:p w14:paraId="55610E6C">
            <w:pPr>
              <w:shd w:val="clear"/>
              <w:spacing w:line="360" w:lineRule="auto"/>
              <w:jc w:val="center"/>
              <w:rPr>
                <w:rFonts w:hint="eastAsia" w:ascii="宋体" w:hAnsi="宋体" w:eastAsia="宋体"/>
                <w:color w:val="auto"/>
                <w:szCs w:val="21"/>
                <w:highlight w:val="none"/>
              </w:rPr>
            </w:pPr>
          </w:p>
        </w:tc>
      </w:tr>
      <w:tr w14:paraId="3DBAC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69110FD4">
            <w:pPr>
              <w:shd w:val="clear"/>
              <w:spacing w:line="360" w:lineRule="auto"/>
              <w:jc w:val="center"/>
              <w:rPr>
                <w:rFonts w:hint="eastAsia" w:ascii="宋体" w:hAnsi="宋体" w:eastAsia="宋体"/>
                <w:color w:val="auto"/>
                <w:szCs w:val="21"/>
                <w:highlight w:val="none"/>
              </w:rPr>
            </w:pPr>
          </w:p>
        </w:tc>
        <w:tc>
          <w:tcPr>
            <w:tcW w:w="1185" w:type="dxa"/>
            <w:vAlign w:val="center"/>
          </w:tcPr>
          <w:p w14:paraId="4E991CA5">
            <w:pPr>
              <w:shd w:val="clear"/>
              <w:spacing w:line="360" w:lineRule="auto"/>
              <w:jc w:val="center"/>
              <w:rPr>
                <w:rFonts w:hint="eastAsia" w:ascii="宋体" w:hAnsi="宋体" w:eastAsia="宋体"/>
                <w:color w:val="auto"/>
                <w:szCs w:val="21"/>
                <w:highlight w:val="none"/>
              </w:rPr>
            </w:pPr>
          </w:p>
        </w:tc>
        <w:tc>
          <w:tcPr>
            <w:tcW w:w="1185" w:type="dxa"/>
            <w:vAlign w:val="center"/>
          </w:tcPr>
          <w:p w14:paraId="62ECBD9B">
            <w:pPr>
              <w:shd w:val="clear"/>
              <w:spacing w:line="360" w:lineRule="auto"/>
              <w:jc w:val="center"/>
              <w:rPr>
                <w:rFonts w:hint="eastAsia" w:ascii="宋体" w:hAnsi="宋体" w:eastAsia="宋体"/>
                <w:color w:val="auto"/>
                <w:szCs w:val="21"/>
                <w:highlight w:val="none"/>
              </w:rPr>
            </w:pPr>
          </w:p>
        </w:tc>
        <w:tc>
          <w:tcPr>
            <w:tcW w:w="1185" w:type="dxa"/>
            <w:vAlign w:val="center"/>
          </w:tcPr>
          <w:p w14:paraId="2F32D114">
            <w:pPr>
              <w:shd w:val="clear"/>
              <w:spacing w:line="360" w:lineRule="auto"/>
              <w:jc w:val="center"/>
              <w:rPr>
                <w:rFonts w:hint="eastAsia" w:ascii="宋体" w:hAnsi="宋体" w:eastAsia="宋体"/>
                <w:color w:val="auto"/>
                <w:szCs w:val="21"/>
                <w:highlight w:val="none"/>
              </w:rPr>
            </w:pPr>
          </w:p>
        </w:tc>
        <w:tc>
          <w:tcPr>
            <w:tcW w:w="1185" w:type="dxa"/>
            <w:vAlign w:val="center"/>
          </w:tcPr>
          <w:p w14:paraId="4B8BCA13">
            <w:pPr>
              <w:shd w:val="clear"/>
              <w:spacing w:line="360" w:lineRule="auto"/>
              <w:jc w:val="center"/>
              <w:rPr>
                <w:rFonts w:hint="eastAsia" w:ascii="宋体" w:hAnsi="宋体" w:eastAsia="宋体"/>
                <w:color w:val="auto"/>
                <w:szCs w:val="21"/>
                <w:highlight w:val="none"/>
              </w:rPr>
            </w:pPr>
          </w:p>
        </w:tc>
        <w:tc>
          <w:tcPr>
            <w:tcW w:w="1185" w:type="dxa"/>
            <w:vAlign w:val="center"/>
          </w:tcPr>
          <w:p w14:paraId="4CD424A0">
            <w:pPr>
              <w:shd w:val="clear"/>
              <w:spacing w:line="360" w:lineRule="auto"/>
              <w:jc w:val="center"/>
              <w:rPr>
                <w:rFonts w:hint="eastAsia" w:ascii="宋体" w:hAnsi="宋体" w:eastAsia="宋体"/>
                <w:color w:val="auto"/>
                <w:szCs w:val="21"/>
                <w:highlight w:val="none"/>
              </w:rPr>
            </w:pPr>
          </w:p>
        </w:tc>
        <w:tc>
          <w:tcPr>
            <w:tcW w:w="1186" w:type="dxa"/>
            <w:vAlign w:val="center"/>
          </w:tcPr>
          <w:p w14:paraId="018DF348">
            <w:pPr>
              <w:shd w:val="clear"/>
              <w:spacing w:line="360" w:lineRule="auto"/>
              <w:jc w:val="center"/>
              <w:rPr>
                <w:rFonts w:hint="eastAsia" w:ascii="宋体" w:hAnsi="宋体" w:eastAsia="宋体"/>
                <w:color w:val="auto"/>
                <w:szCs w:val="21"/>
                <w:highlight w:val="none"/>
              </w:rPr>
            </w:pPr>
          </w:p>
        </w:tc>
      </w:tr>
      <w:tr w14:paraId="6066C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42527E4D">
            <w:pPr>
              <w:shd w:val="clear"/>
              <w:spacing w:line="360" w:lineRule="auto"/>
              <w:jc w:val="center"/>
              <w:rPr>
                <w:rFonts w:hint="eastAsia" w:ascii="宋体" w:hAnsi="宋体" w:eastAsia="宋体"/>
                <w:color w:val="auto"/>
                <w:szCs w:val="21"/>
                <w:highlight w:val="none"/>
              </w:rPr>
            </w:pPr>
          </w:p>
        </w:tc>
        <w:tc>
          <w:tcPr>
            <w:tcW w:w="1185" w:type="dxa"/>
            <w:vAlign w:val="center"/>
          </w:tcPr>
          <w:p w14:paraId="71C41581">
            <w:pPr>
              <w:shd w:val="clear"/>
              <w:spacing w:line="360" w:lineRule="auto"/>
              <w:jc w:val="center"/>
              <w:rPr>
                <w:rFonts w:hint="eastAsia" w:ascii="宋体" w:hAnsi="宋体" w:eastAsia="宋体"/>
                <w:color w:val="auto"/>
                <w:szCs w:val="21"/>
                <w:highlight w:val="none"/>
              </w:rPr>
            </w:pPr>
          </w:p>
        </w:tc>
        <w:tc>
          <w:tcPr>
            <w:tcW w:w="1185" w:type="dxa"/>
            <w:vAlign w:val="center"/>
          </w:tcPr>
          <w:p w14:paraId="0A79E549">
            <w:pPr>
              <w:shd w:val="clear"/>
              <w:spacing w:line="360" w:lineRule="auto"/>
              <w:jc w:val="center"/>
              <w:rPr>
                <w:rFonts w:hint="eastAsia" w:ascii="宋体" w:hAnsi="宋体" w:eastAsia="宋体"/>
                <w:color w:val="auto"/>
                <w:szCs w:val="21"/>
                <w:highlight w:val="none"/>
              </w:rPr>
            </w:pPr>
          </w:p>
        </w:tc>
        <w:tc>
          <w:tcPr>
            <w:tcW w:w="1185" w:type="dxa"/>
            <w:vAlign w:val="center"/>
          </w:tcPr>
          <w:p w14:paraId="015DD8E5">
            <w:pPr>
              <w:shd w:val="clear"/>
              <w:spacing w:line="360" w:lineRule="auto"/>
              <w:jc w:val="center"/>
              <w:rPr>
                <w:rFonts w:hint="eastAsia" w:ascii="宋体" w:hAnsi="宋体" w:eastAsia="宋体"/>
                <w:color w:val="auto"/>
                <w:szCs w:val="21"/>
                <w:highlight w:val="none"/>
              </w:rPr>
            </w:pPr>
          </w:p>
        </w:tc>
        <w:tc>
          <w:tcPr>
            <w:tcW w:w="1185" w:type="dxa"/>
            <w:vAlign w:val="center"/>
          </w:tcPr>
          <w:p w14:paraId="08568596">
            <w:pPr>
              <w:shd w:val="clear"/>
              <w:spacing w:line="360" w:lineRule="auto"/>
              <w:jc w:val="center"/>
              <w:rPr>
                <w:rFonts w:hint="eastAsia" w:ascii="宋体" w:hAnsi="宋体" w:eastAsia="宋体"/>
                <w:color w:val="auto"/>
                <w:szCs w:val="21"/>
                <w:highlight w:val="none"/>
              </w:rPr>
            </w:pPr>
          </w:p>
        </w:tc>
        <w:tc>
          <w:tcPr>
            <w:tcW w:w="1185" w:type="dxa"/>
            <w:vAlign w:val="center"/>
          </w:tcPr>
          <w:p w14:paraId="7A4F8E67">
            <w:pPr>
              <w:shd w:val="clear"/>
              <w:spacing w:line="360" w:lineRule="auto"/>
              <w:jc w:val="center"/>
              <w:rPr>
                <w:rFonts w:hint="eastAsia" w:ascii="宋体" w:hAnsi="宋体" w:eastAsia="宋体"/>
                <w:color w:val="auto"/>
                <w:szCs w:val="21"/>
                <w:highlight w:val="none"/>
              </w:rPr>
            </w:pPr>
          </w:p>
        </w:tc>
        <w:tc>
          <w:tcPr>
            <w:tcW w:w="1186" w:type="dxa"/>
            <w:vAlign w:val="center"/>
          </w:tcPr>
          <w:p w14:paraId="5916F2A0">
            <w:pPr>
              <w:shd w:val="clear"/>
              <w:spacing w:line="360" w:lineRule="auto"/>
              <w:jc w:val="center"/>
              <w:rPr>
                <w:rFonts w:hint="eastAsia" w:ascii="宋体" w:hAnsi="宋体" w:eastAsia="宋体"/>
                <w:color w:val="auto"/>
                <w:szCs w:val="21"/>
                <w:highlight w:val="none"/>
              </w:rPr>
            </w:pPr>
          </w:p>
        </w:tc>
      </w:tr>
      <w:tr w14:paraId="7FD1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Align w:val="center"/>
          </w:tcPr>
          <w:p w14:paraId="61F6EE5D">
            <w:pPr>
              <w:shd w:val="clear"/>
              <w:spacing w:line="360" w:lineRule="auto"/>
              <w:jc w:val="center"/>
              <w:rPr>
                <w:rFonts w:hint="eastAsia" w:ascii="宋体" w:hAnsi="宋体" w:eastAsia="宋体"/>
                <w:color w:val="auto"/>
                <w:szCs w:val="21"/>
                <w:highlight w:val="none"/>
              </w:rPr>
            </w:pPr>
          </w:p>
        </w:tc>
        <w:tc>
          <w:tcPr>
            <w:tcW w:w="1185" w:type="dxa"/>
            <w:vAlign w:val="center"/>
          </w:tcPr>
          <w:p w14:paraId="59235940">
            <w:pPr>
              <w:shd w:val="clear"/>
              <w:spacing w:line="360" w:lineRule="auto"/>
              <w:jc w:val="center"/>
              <w:rPr>
                <w:rFonts w:hint="eastAsia" w:ascii="宋体" w:hAnsi="宋体" w:eastAsia="宋体"/>
                <w:color w:val="auto"/>
                <w:szCs w:val="21"/>
                <w:highlight w:val="none"/>
              </w:rPr>
            </w:pPr>
          </w:p>
        </w:tc>
        <w:tc>
          <w:tcPr>
            <w:tcW w:w="1185" w:type="dxa"/>
            <w:vAlign w:val="center"/>
          </w:tcPr>
          <w:p w14:paraId="3C23C291">
            <w:pPr>
              <w:shd w:val="clear"/>
              <w:spacing w:line="360" w:lineRule="auto"/>
              <w:jc w:val="center"/>
              <w:rPr>
                <w:rFonts w:hint="eastAsia" w:ascii="宋体" w:hAnsi="宋体" w:eastAsia="宋体"/>
                <w:color w:val="auto"/>
                <w:szCs w:val="21"/>
                <w:highlight w:val="none"/>
              </w:rPr>
            </w:pPr>
          </w:p>
        </w:tc>
        <w:tc>
          <w:tcPr>
            <w:tcW w:w="1185" w:type="dxa"/>
            <w:vAlign w:val="center"/>
          </w:tcPr>
          <w:p w14:paraId="42EC181B">
            <w:pPr>
              <w:shd w:val="clear"/>
              <w:spacing w:line="360" w:lineRule="auto"/>
              <w:jc w:val="center"/>
              <w:rPr>
                <w:rFonts w:hint="eastAsia" w:ascii="宋体" w:hAnsi="宋体" w:eastAsia="宋体"/>
                <w:color w:val="auto"/>
                <w:szCs w:val="21"/>
                <w:highlight w:val="none"/>
              </w:rPr>
            </w:pPr>
          </w:p>
        </w:tc>
        <w:tc>
          <w:tcPr>
            <w:tcW w:w="1185" w:type="dxa"/>
            <w:vAlign w:val="center"/>
          </w:tcPr>
          <w:p w14:paraId="76659F11">
            <w:pPr>
              <w:shd w:val="clear"/>
              <w:spacing w:line="360" w:lineRule="auto"/>
              <w:jc w:val="center"/>
              <w:rPr>
                <w:rFonts w:hint="eastAsia" w:ascii="宋体" w:hAnsi="宋体" w:eastAsia="宋体"/>
                <w:color w:val="auto"/>
                <w:szCs w:val="21"/>
                <w:highlight w:val="none"/>
              </w:rPr>
            </w:pPr>
          </w:p>
        </w:tc>
        <w:tc>
          <w:tcPr>
            <w:tcW w:w="1185" w:type="dxa"/>
            <w:vAlign w:val="center"/>
          </w:tcPr>
          <w:p w14:paraId="33945885">
            <w:pPr>
              <w:shd w:val="clear"/>
              <w:spacing w:line="360" w:lineRule="auto"/>
              <w:jc w:val="center"/>
              <w:rPr>
                <w:rFonts w:hint="eastAsia" w:ascii="宋体" w:hAnsi="宋体" w:eastAsia="宋体"/>
                <w:color w:val="auto"/>
                <w:szCs w:val="21"/>
                <w:highlight w:val="none"/>
              </w:rPr>
            </w:pPr>
          </w:p>
        </w:tc>
        <w:tc>
          <w:tcPr>
            <w:tcW w:w="1186" w:type="dxa"/>
            <w:vAlign w:val="center"/>
          </w:tcPr>
          <w:p w14:paraId="5D14BE35">
            <w:pPr>
              <w:shd w:val="clear"/>
              <w:spacing w:line="360" w:lineRule="auto"/>
              <w:jc w:val="center"/>
              <w:rPr>
                <w:rFonts w:hint="eastAsia" w:ascii="宋体" w:hAnsi="宋体" w:eastAsia="宋体"/>
                <w:color w:val="auto"/>
                <w:szCs w:val="21"/>
                <w:highlight w:val="none"/>
              </w:rPr>
            </w:pPr>
          </w:p>
        </w:tc>
      </w:tr>
    </w:tbl>
    <w:p w14:paraId="11D1E401">
      <w:pPr>
        <w:shd w:val="clea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法定代表人或者委托代理人（签字）：</w:t>
      </w:r>
    </w:p>
    <w:p w14:paraId="3C24B615">
      <w:pPr>
        <w:shd w:val="clear"/>
        <w:spacing w:line="360" w:lineRule="auto"/>
        <w:ind w:right="1575" w:rightChars="750"/>
        <w:jc w:val="right"/>
        <w:rPr>
          <w:rFonts w:ascii="宋体" w:hAnsi="宋体" w:eastAsia="宋体"/>
          <w:color w:val="auto"/>
          <w:szCs w:val="21"/>
          <w:highlight w:val="none"/>
        </w:rPr>
      </w:pPr>
      <w:r>
        <w:rPr>
          <w:rFonts w:hint="eastAsia" w:ascii="宋体" w:hAnsi="宋体" w:eastAsia="宋体"/>
          <w:color w:val="auto"/>
          <w:szCs w:val="21"/>
          <w:highlight w:val="none"/>
        </w:rPr>
        <w:t>供应商名称（电子签章）：</w:t>
      </w:r>
    </w:p>
    <w:p w14:paraId="6A48F903">
      <w:pPr>
        <w:shd w:val="clear"/>
        <w:spacing w:line="360" w:lineRule="auto"/>
        <w:jc w:val="right"/>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宋体" w:hAnsi="宋体" w:eastAsia="宋体"/>
          <w:color w:val="auto"/>
          <w:szCs w:val="21"/>
          <w:highlight w:val="none"/>
        </w:rPr>
        <w:t>日</w:t>
      </w:r>
    </w:p>
    <w:p w14:paraId="155A9F07">
      <w:pPr>
        <w:shd w:val="clea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50938604">
      <w:pPr>
        <w:pStyle w:val="2"/>
        <w:shd w:val="clear"/>
        <w:jc w:val="center"/>
        <w:rPr>
          <w:rFonts w:ascii="宋体" w:hAnsi="宋体" w:eastAsia="宋体"/>
          <w:color w:val="auto"/>
          <w:highlight w:val="none"/>
        </w:rPr>
      </w:pPr>
      <w:bookmarkStart w:id="37" w:name="_Toc197530120"/>
      <w:r>
        <w:rPr>
          <w:rFonts w:hint="eastAsia" w:ascii="宋体" w:hAnsi="宋体" w:eastAsia="宋体"/>
          <w:color w:val="auto"/>
          <w:highlight w:val="none"/>
        </w:rPr>
        <w:t>第七</w:t>
      </w:r>
      <w:r>
        <w:rPr>
          <w:rFonts w:hint="eastAsia" w:ascii="宋体" w:hAnsi="宋体" w:eastAsia="宋体"/>
          <w:color w:val="auto"/>
          <w:spacing w:val="100"/>
          <w:highlight w:val="none"/>
        </w:rPr>
        <w:t>章</w:t>
      </w:r>
      <w:r>
        <w:rPr>
          <w:rFonts w:hint="eastAsia" w:ascii="宋体" w:hAnsi="宋体" w:eastAsia="宋体"/>
          <w:color w:val="auto"/>
          <w:highlight w:val="none"/>
        </w:rPr>
        <w:t>合同文本</w:t>
      </w:r>
      <w:bookmarkEnd w:id="37"/>
    </w:p>
    <w:p w14:paraId="46892351">
      <w:pPr>
        <w:shd w:val="clear"/>
        <w:spacing w:line="960" w:lineRule="auto"/>
        <w:jc w:val="center"/>
        <w:rPr>
          <w:rFonts w:ascii="宋体" w:hAnsi="宋体" w:eastAsia="宋体"/>
          <w:b/>
          <w:color w:val="auto"/>
          <w:sz w:val="52"/>
          <w:szCs w:val="52"/>
          <w:highlight w:val="none"/>
        </w:rPr>
      </w:pPr>
    </w:p>
    <w:p w14:paraId="161CA86E">
      <w:pPr>
        <w:shd w:val="clear"/>
        <w:spacing w:line="960" w:lineRule="auto"/>
        <w:jc w:val="center"/>
        <w:rPr>
          <w:rFonts w:hint="eastAsia" w:ascii="宋体" w:hAnsi="宋体" w:eastAsia="宋体"/>
          <w:b/>
          <w:color w:val="auto"/>
          <w:sz w:val="44"/>
          <w:szCs w:val="44"/>
          <w:highlight w:val="none"/>
          <w:lang w:eastAsia="zh-CN"/>
        </w:rPr>
      </w:pPr>
      <w:r>
        <w:rPr>
          <w:rFonts w:hint="eastAsia" w:ascii="宋体" w:hAnsi="宋体" w:eastAsia="宋体"/>
          <w:b/>
          <w:color w:val="auto"/>
          <w:sz w:val="44"/>
          <w:szCs w:val="44"/>
          <w:highlight w:val="none"/>
          <w:lang w:eastAsia="zh-CN"/>
        </w:rPr>
        <w:t>学生公寓东14栋修缮项目</w:t>
      </w:r>
    </w:p>
    <w:p w14:paraId="64763ACE">
      <w:pPr>
        <w:shd w:val="clear"/>
        <w:spacing w:line="960" w:lineRule="auto"/>
        <w:jc w:val="center"/>
        <w:rPr>
          <w:rFonts w:ascii="宋体" w:hAnsi="宋体" w:eastAsia="宋体"/>
          <w:b/>
          <w:color w:val="auto"/>
          <w:sz w:val="84"/>
          <w:szCs w:val="84"/>
          <w:highlight w:val="none"/>
        </w:rPr>
      </w:pPr>
      <w:r>
        <w:rPr>
          <w:rFonts w:hint="eastAsia" w:ascii="宋体" w:hAnsi="宋体" w:eastAsia="宋体"/>
          <w:b/>
          <w:color w:val="auto"/>
          <w:sz w:val="84"/>
          <w:szCs w:val="84"/>
          <w:highlight w:val="none"/>
        </w:rPr>
        <w:t>施工合同</w:t>
      </w:r>
    </w:p>
    <w:p w14:paraId="26BAEF8B">
      <w:pPr>
        <w:shd w:val="clear"/>
        <w:spacing w:line="960" w:lineRule="auto"/>
        <w:ind w:firstLine="643" w:firstLineChars="200"/>
        <w:rPr>
          <w:rFonts w:ascii="宋体" w:hAnsi="宋体" w:eastAsia="宋体"/>
          <w:b/>
          <w:color w:val="auto"/>
          <w:sz w:val="32"/>
          <w:szCs w:val="32"/>
          <w:highlight w:val="none"/>
        </w:rPr>
      </w:pPr>
    </w:p>
    <w:p w14:paraId="6C8460E4">
      <w:pPr>
        <w:shd w:val="clear"/>
        <w:spacing w:line="960" w:lineRule="auto"/>
        <w:ind w:firstLine="643" w:firstLineChars="200"/>
        <w:rPr>
          <w:rFonts w:ascii="宋体" w:hAnsi="宋体" w:eastAsia="宋体"/>
          <w:b/>
          <w:color w:val="auto"/>
          <w:sz w:val="32"/>
          <w:szCs w:val="32"/>
          <w:highlight w:val="none"/>
        </w:rPr>
      </w:pPr>
    </w:p>
    <w:p w14:paraId="2D85E9EA">
      <w:pPr>
        <w:shd w:val="clear"/>
        <w:spacing w:line="9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项目采购编号：________________________</w:t>
      </w:r>
    </w:p>
    <w:p w14:paraId="056B7CD2">
      <w:pPr>
        <w:shd w:val="clear"/>
        <w:spacing w:line="960" w:lineRule="auto"/>
        <w:ind w:firstLine="643" w:firstLineChars="200"/>
        <w:rPr>
          <w:rFonts w:ascii="宋体" w:hAnsi="宋体" w:eastAsia="宋体"/>
          <w:b/>
          <w:color w:val="auto"/>
          <w:sz w:val="32"/>
          <w:szCs w:val="32"/>
          <w:highlight w:val="none"/>
          <w:u w:val="single"/>
        </w:rPr>
      </w:pPr>
      <w:r>
        <w:rPr>
          <w:rFonts w:hint="eastAsia" w:ascii="宋体" w:hAnsi="宋体" w:eastAsia="宋体"/>
          <w:b/>
          <w:color w:val="auto"/>
          <w:sz w:val="32"/>
          <w:szCs w:val="32"/>
          <w:highlight w:val="none"/>
        </w:rPr>
        <w:t>发包人：</w:t>
      </w:r>
      <w:r>
        <w:rPr>
          <w:rFonts w:hint="eastAsia" w:ascii="宋体" w:hAnsi="宋体" w:eastAsia="宋体"/>
          <w:b/>
          <w:color w:val="auto"/>
          <w:sz w:val="32"/>
          <w:szCs w:val="32"/>
          <w:highlight w:val="none"/>
          <w:u w:val="single"/>
        </w:rPr>
        <w:t>广西大学</w:t>
      </w:r>
    </w:p>
    <w:p w14:paraId="07A02A5B">
      <w:pPr>
        <w:shd w:val="clear"/>
        <w:spacing w:line="960" w:lineRule="auto"/>
        <w:ind w:firstLine="643" w:firstLineChars="200"/>
        <w:rPr>
          <w:rFonts w:ascii="宋体" w:hAnsi="宋体" w:eastAsia="宋体"/>
          <w:b/>
          <w:color w:val="auto"/>
          <w:sz w:val="32"/>
          <w:szCs w:val="32"/>
          <w:highlight w:val="none"/>
        </w:rPr>
      </w:pPr>
      <w:r>
        <w:rPr>
          <w:rFonts w:hint="eastAsia" w:ascii="宋体" w:hAnsi="宋体" w:eastAsia="宋体"/>
          <w:b/>
          <w:color w:val="auto"/>
          <w:sz w:val="32"/>
          <w:szCs w:val="32"/>
          <w:highlight w:val="none"/>
        </w:rPr>
        <w:t>承包人：______________________________</w:t>
      </w:r>
    </w:p>
    <w:p w14:paraId="2685A307">
      <w:pPr>
        <w:shd w:val="clear"/>
        <w:spacing w:line="960" w:lineRule="auto"/>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2025年</w:t>
      </w:r>
      <w:r>
        <w:rPr>
          <w:rFonts w:ascii="宋体" w:hAnsi="宋体" w:eastAsia="宋体"/>
          <w:b/>
          <w:color w:val="auto"/>
          <w:sz w:val="32"/>
          <w:szCs w:val="32"/>
          <w:highlight w:val="none"/>
        </w:rPr>
        <w:t>______</w:t>
      </w:r>
      <w:r>
        <w:rPr>
          <w:rFonts w:hint="eastAsia" w:ascii="宋体" w:hAnsi="宋体" w:eastAsia="宋体"/>
          <w:b/>
          <w:color w:val="auto"/>
          <w:sz w:val="32"/>
          <w:szCs w:val="32"/>
          <w:highlight w:val="none"/>
        </w:rPr>
        <w:t>月</w:t>
      </w:r>
      <w:r>
        <w:rPr>
          <w:rFonts w:ascii="宋体" w:hAnsi="宋体" w:eastAsia="宋体"/>
          <w:b/>
          <w:color w:val="auto"/>
          <w:sz w:val="32"/>
          <w:szCs w:val="32"/>
          <w:highlight w:val="none"/>
        </w:rPr>
        <w:t>______</w:t>
      </w:r>
      <w:r>
        <w:rPr>
          <w:rFonts w:hint="eastAsia" w:ascii="宋体" w:hAnsi="宋体" w:eastAsia="宋体"/>
          <w:b/>
          <w:color w:val="auto"/>
          <w:sz w:val="32"/>
          <w:szCs w:val="32"/>
          <w:highlight w:val="none"/>
        </w:rPr>
        <w:t>日</w:t>
      </w:r>
    </w:p>
    <w:p w14:paraId="6FCBFF55">
      <w:pPr>
        <w:shd w:val="clea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000F5E23">
      <w:pPr>
        <w:pStyle w:val="3"/>
        <w:shd w:val="clear"/>
        <w:spacing w:before="0" w:after="0" w:line="240" w:lineRule="auto"/>
        <w:jc w:val="center"/>
        <w:rPr>
          <w:rFonts w:ascii="宋体" w:hAnsi="宋体" w:eastAsia="宋体"/>
          <w:color w:val="auto"/>
          <w:sz w:val="30"/>
          <w:szCs w:val="30"/>
          <w:highlight w:val="none"/>
        </w:rPr>
      </w:pPr>
      <w:bookmarkStart w:id="38" w:name="_Toc197530121"/>
      <w:bookmarkStart w:id="39" w:name="_Toc195459446"/>
      <w:r>
        <w:rPr>
          <w:rFonts w:hint="eastAsia" w:ascii="宋体" w:hAnsi="宋体" w:eastAsia="宋体"/>
          <w:color w:val="auto"/>
          <w:sz w:val="30"/>
          <w:szCs w:val="30"/>
          <w:highlight w:val="none"/>
        </w:rPr>
        <w:t>第一部分 合同书</w:t>
      </w:r>
      <w:bookmarkEnd w:id="38"/>
      <w:bookmarkEnd w:id="39"/>
    </w:p>
    <w:p w14:paraId="689B1ABC">
      <w:pPr>
        <w:shd w:val="clea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发包人（全称）：</w:t>
      </w:r>
      <w:r>
        <w:rPr>
          <w:rFonts w:hint="eastAsia" w:ascii="宋体" w:hAnsi="宋体" w:eastAsia="宋体"/>
          <w:color w:val="auto"/>
          <w:szCs w:val="21"/>
          <w:highlight w:val="none"/>
          <w:u w:val="single"/>
        </w:rPr>
        <w:t>广西大学</w:t>
      </w:r>
    </w:p>
    <w:p w14:paraId="215D9D14">
      <w:pPr>
        <w:shd w:val="clea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承包人（全称）：</w:t>
      </w:r>
    </w:p>
    <w:p w14:paraId="1F5FD64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根据《中华人民共和国民法典》《中华人民共和国建筑法》及有关法律规定，遵循平等、自愿、公平和诚实信用的原则，双方就</w:t>
      </w:r>
      <w:r>
        <w:rPr>
          <w:rFonts w:hint="eastAsia" w:ascii="宋体" w:hAnsi="宋体" w:eastAsia="宋体"/>
          <w:color w:val="auto"/>
          <w:szCs w:val="21"/>
          <w:highlight w:val="none"/>
          <w:u w:val="single"/>
          <w:lang w:eastAsia="zh-CN"/>
        </w:rPr>
        <w:t>学生公寓东14栋修缮项目</w:t>
      </w:r>
      <w:r>
        <w:rPr>
          <w:rFonts w:hint="eastAsia" w:ascii="宋体" w:hAnsi="宋体" w:eastAsia="宋体"/>
          <w:color w:val="auto"/>
          <w:szCs w:val="21"/>
          <w:highlight w:val="none"/>
        </w:rPr>
        <w:t>的工程施工及有关事项协商一致，共同达成如下协议：</w:t>
      </w:r>
    </w:p>
    <w:p w14:paraId="3AABCBEA">
      <w:pPr>
        <w:pStyle w:val="4"/>
        <w:shd w:val="clear"/>
        <w:spacing w:before="0" w:after="0" w:line="480" w:lineRule="auto"/>
        <w:rPr>
          <w:rFonts w:ascii="宋体" w:hAnsi="宋体" w:eastAsia="宋体"/>
          <w:color w:val="auto"/>
          <w:sz w:val="24"/>
          <w:szCs w:val="24"/>
          <w:highlight w:val="none"/>
        </w:rPr>
      </w:pPr>
      <w:bookmarkStart w:id="40" w:name="_Toc181816479"/>
      <w:bookmarkStart w:id="41" w:name="_Toc195459447"/>
      <w:bookmarkStart w:id="42" w:name="_Toc197530122"/>
      <w:r>
        <w:rPr>
          <w:rFonts w:hint="eastAsia" w:ascii="宋体" w:hAnsi="宋体" w:eastAsia="宋体"/>
          <w:color w:val="auto"/>
          <w:sz w:val="24"/>
          <w:szCs w:val="24"/>
          <w:highlight w:val="none"/>
        </w:rPr>
        <w:t>一、工程概况</w:t>
      </w:r>
      <w:bookmarkEnd w:id="40"/>
      <w:bookmarkEnd w:id="41"/>
      <w:bookmarkEnd w:id="42"/>
    </w:p>
    <w:p w14:paraId="6BBAA859">
      <w:pPr>
        <w:shd w:val="clear"/>
        <w:spacing w:line="360" w:lineRule="auto"/>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rPr>
        <w:t>工程名称：</w:t>
      </w:r>
      <w:r>
        <w:rPr>
          <w:rFonts w:hint="eastAsia" w:ascii="宋体" w:hAnsi="宋体" w:eastAsia="宋体"/>
          <w:color w:val="auto"/>
          <w:szCs w:val="21"/>
          <w:highlight w:val="none"/>
          <w:lang w:eastAsia="zh-CN"/>
        </w:rPr>
        <w:t>学生公寓东14栋修缮项目</w:t>
      </w:r>
    </w:p>
    <w:p w14:paraId="72D93E1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工程地点：广西壮族自治区南宁市大学东路100号广西大学校园内</w:t>
      </w:r>
    </w:p>
    <w:p w14:paraId="132FD79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工程类型：建筑装饰工程（ ）、安装工程（ ）、市政工程（ ）、园林绿化工程（ ）</w:t>
      </w:r>
    </w:p>
    <w:p w14:paraId="2D6E909A">
      <w:pPr>
        <w:pStyle w:val="4"/>
        <w:shd w:val="clear"/>
        <w:spacing w:before="0" w:after="0" w:line="480" w:lineRule="auto"/>
        <w:rPr>
          <w:rFonts w:ascii="宋体" w:hAnsi="宋体" w:eastAsia="宋体"/>
          <w:color w:val="auto"/>
          <w:sz w:val="24"/>
          <w:szCs w:val="24"/>
          <w:highlight w:val="none"/>
        </w:rPr>
      </w:pPr>
      <w:bookmarkStart w:id="43" w:name="_Toc197530123"/>
      <w:bookmarkStart w:id="44" w:name="_Toc195459448"/>
      <w:r>
        <w:rPr>
          <w:rFonts w:hint="eastAsia" w:ascii="宋体" w:hAnsi="宋体" w:eastAsia="宋体"/>
          <w:color w:val="auto"/>
          <w:sz w:val="24"/>
          <w:szCs w:val="24"/>
          <w:highlight w:val="none"/>
        </w:rPr>
        <w:t>二、工程承包范围</w:t>
      </w:r>
      <w:bookmarkEnd w:id="43"/>
      <w:bookmarkEnd w:id="44"/>
    </w:p>
    <w:p w14:paraId="05AE2822">
      <w:pPr>
        <w:shd w:val="clear"/>
        <w:spacing w:line="4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承包范围：</w:t>
      </w:r>
      <w:r>
        <w:rPr>
          <w:rFonts w:hint="eastAsia" w:ascii="宋体" w:hAnsi="宋体" w:cs="宋体"/>
          <w:color w:val="auto"/>
          <w:szCs w:val="21"/>
          <w:highlight w:val="none"/>
        </w:rPr>
        <w:t>学生公寓东14栋修缮项目共计有60间宿舍，可提供240个硕士新生床位，改造面积2994.24㎡，主要包括：拆除宿舍内天地墙原有饰面、墙体、水管、电线等；重新铺地砖、墙面刮腻子刷无机涂料（局部贴瓷砖）、天棚面刮腻子刷无机涂料、更换门窗、重装水电等</w:t>
      </w:r>
      <w:r>
        <w:rPr>
          <w:rFonts w:hint="eastAsia" w:ascii="宋体" w:hAnsi="宋体" w:eastAsia="宋体"/>
          <w:color w:val="auto"/>
          <w:szCs w:val="21"/>
          <w:highlight w:val="none"/>
        </w:rPr>
        <w:t>。主要建设内容为：</w:t>
      </w:r>
      <w:r>
        <w:rPr>
          <w:rFonts w:hint="eastAsia" w:ascii="宋体" w:hAnsi="宋体" w:cs="宋体"/>
          <w:color w:val="auto"/>
          <w:szCs w:val="21"/>
          <w:highlight w:val="none"/>
        </w:rPr>
        <w:t>1.拆除工程：拆除宿舍内4个水泥储物柜；拆除旧洗漱台及排污管；拆除卫生间冲水箱、供水管、排污管等。2.装饰工程：宿舍内外墙、天花板翻新；走廊通道墙面翻新；地面翻新等。施工时必须进行宿舍家具及电器保护。3.安装工程：安装入户门，安装楼道消防指示灯，安装宿舍内外灯具，新增纱窗，安装卫生间淋浴设施，安装排气扇，安装卫生间供水管、排污管、冲水箱；安装洗漱台，安装置物架及镜子，改造宿舍内配电线路；安装不锈钢窗；安装洗衣机给排水口及电路等。4.防水工程：漏水卫生间、生活阳台地面翻修等</w:t>
      </w:r>
      <w:r>
        <w:rPr>
          <w:rFonts w:hint="eastAsia" w:ascii="宋体" w:hAnsi="宋体" w:eastAsia="宋体"/>
          <w:color w:val="auto"/>
          <w:szCs w:val="21"/>
          <w:highlight w:val="none"/>
        </w:rPr>
        <w:t>。详见施工图纸（如有）、施工说明或方案、工程量清单，以及经发包人同意变更的事项。</w:t>
      </w:r>
    </w:p>
    <w:p w14:paraId="05465F12">
      <w:pPr>
        <w:pStyle w:val="4"/>
        <w:shd w:val="clear"/>
        <w:spacing w:before="0" w:after="0" w:line="480" w:lineRule="auto"/>
        <w:rPr>
          <w:rFonts w:ascii="宋体" w:hAnsi="宋体" w:eastAsia="宋体"/>
          <w:color w:val="auto"/>
          <w:sz w:val="24"/>
          <w:szCs w:val="24"/>
          <w:highlight w:val="none"/>
        </w:rPr>
      </w:pPr>
      <w:bookmarkStart w:id="45" w:name="_Toc197530124"/>
      <w:bookmarkStart w:id="46" w:name="_Toc181816480"/>
      <w:bookmarkStart w:id="47" w:name="_Toc195459449"/>
      <w:r>
        <w:rPr>
          <w:rFonts w:hint="eastAsia" w:ascii="宋体" w:hAnsi="宋体" w:eastAsia="宋体"/>
          <w:color w:val="auto"/>
          <w:sz w:val="24"/>
          <w:szCs w:val="24"/>
          <w:highlight w:val="none"/>
        </w:rPr>
        <w:t>三、合同工期</w:t>
      </w:r>
      <w:bookmarkEnd w:id="45"/>
      <w:bookmarkEnd w:id="46"/>
      <w:bookmarkEnd w:id="47"/>
    </w:p>
    <w:p w14:paraId="77B9EA4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计划开工日期：</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日（以实际开工日期为准）</w:t>
      </w:r>
    </w:p>
    <w:p w14:paraId="325DEDE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计划竣工日期：</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日</w:t>
      </w:r>
    </w:p>
    <w:p w14:paraId="587D7D3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合同工期总日历天数：</w:t>
      </w:r>
      <w:r>
        <w:rPr>
          <w:rFonts w:hint="eastAsia" w:ascii="宋体" w:hAnsi="宋体" w:eastAsia="宋体"/>
          <w:color w:val="auto"/>
          <w:szCs w:val="21"/>
          <w:highlight w:val="none"/>
          <w:u w:val="single"/>
          <w:lang w:val="en-US" w:eastAsia="zh-CN"/>
        </w:rPr>
        <w:t>55</w:t>
      </w:r>
      <w:r>
        <w:rPr>
          <w:rFonts w:hint="eastAsia" w:ascii="宋体" w:hAnsi="宋体" w:eastAsia="宋体"/>
          <w:color w:val="auto"/>
          <w:szCs w:val="21"/>
          <w:highlight w:val="none"/>
        </w:rPr>
        <w:t>天，工期总日历天数与根据前述计划日期计算的工期天数不一致的，以工期总日历天数为准。</w:t>
      </w:r>
    </w:p>
    <w:p w14:paraId="613A1BFF">
      <w:pPr>
        <w:pStyle w:val="4"/>
        <w:shd w:val="clear"/>
        <w:spacing w:before="0" w:after="0" w:line="480" w:lineRule="auto"/>
        <w:rPr>
          <w:rFonts w:ascii="宋体" w:hAnsi="宋体" w:eastAsia="宋体"/>
          <w:color w:val="auto"/>
          <w:sz w:val="24"/>
          <w:szCs w:val="24"/>
          <w:highlight w:val="none"/>
        </w:rPr>
      </w:pPr>
      <w:bookmarkStart w:id="48" w:name="_Toc195459450"/>
      <w:bookmarkStart w:id="49" w:name="_Toc181816481"/>
      <w:bookmarkStart w:id="50" w:name="_Toc197530125"/>
      <w:r>
        <w:rPr>
          <w:rFonts w:hint="eastAsia" w:ascii="宋体" w:hAnsi="宋体" w:eastAsia="宋体"/>
          <w:color w:val="auto"/>
          <w:sz w:val="24"/>
          <w:szCs w:val="24"/>
          <w:highlight w:val="none"/>
        </w:rPr>
        <w:t>四、质量标准</w:t>
      </w:r>
      <w:bookmarkEnd w:id="48"/>
      <w:bookmarkEnd w:id="49"/>
      <w:bookmarkEnd w:id="50"/>
    </w:p>
    <w:p w14:paraId="0D50DE2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工程质量标准：</w:t>
      </w:r>
      <w:r>
        <w:rPr>
          <w:rFonts w:hint="eastAsia" w:ascii="宋体" w:hAnsi="宋体" w:eastAsia="宋体"/>
          <w:color w:val="auto"/>
          <w:szCs w:val="21"/>
          <w:highlight w:val="none"/>
          <w:u w:val="single"/>
        </w:rPr>
        <w:t>合格</w:t>
      </w:r>
      <w:r>
        <w:rPr>
          <w:rFonts w:hint="eastAsia" w:ascii="宋体" w:hAnsi="宋体" w:eastAsia="宋体"/>
          <w:color w:val="auto"/>
          <w:szCs w:val="21"/>
          <w:highlight w:val="none"/>
        </w:rPr>
        <w:t>。</w:t>
      </w:r>
    </w:p>
    <w:p w14:paraId="72665F51">
      <w:pPr>
        <w:pStyle w:val="4"/>
        <w:shd w:val="clear"/>
        <w:spacing w:before="0" w:after="0" w:line="480" w:lineRule="auto"/>
        <w:rPr>
          <w:rFonts w:ascii="宋体" w:hAnsi="宋体" w:eastAsia="宋体"/>
          <w:color w:val="auto"/>
          <w:sz w:val="24"/>
          <w:szCs w:val="24"/>
          <w:highlight w:val="none"/>
        </w:rPr>
      </w:pPr>
      <w:bookmarkStart w:id="51" w:name="_Toc195459451"/>
      <w:bookmarkStart w:id="52" w:name="_Toc181816482"/>
      <w:bookmarkStart w:id="53" w:name="_Toc197530126"/>
      <w:r>
        <w:rPr>
          <w:rFonts w:hint="eastAsia" w:ascii="宋体" w:hAnsi="宋体" w:eastAsia="宋体"/>
          <w:color w:val="auto"/>
          <w:sz w:val="24"/>
          <w:szCs w:val="24"/>
          <w:highlight w:val="none"/>
        </w:rPr>
        <w:t>五、签约合同价与合同价格形式</w:t>
      </w:r>
      <w:bookmarkEnd w:id="51"/>
      <w:bookmarkEnd w:id="52"/>
      <w:bookmarkEnd w:id="53"/>
    </w:p>
    <w:p w14:paraId="5C63A3A1">
      <w:pPr>
        <w:shd w:val="clea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签约合同价（暂定）：人民币（大写）：</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）；不含税价格为（¥</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元），增值税（¥</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元）（按</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%税金计算，如有变动以国家相关政策法规为准）；</w:t>
      </w:r>
    </w:p>
    <w:p w14:paraId="75894568">
      <w:pPr>
        <w:shd w:val="clea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其中：</w:t>
      </w:r>
    </w:p>
    <w:p w14:paraId="2E389288">
      <w:pPr>
        <w:shd w:val="clea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（1）安全文明施工费：人民币（大写）</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w:t>
      </w:r>
    </w:p>
    <w:p w14:paraId="4B5A26AD">
      <w:pPr>
        <w:shd w:val="clea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（2）材料和工程设备暂估价金额：人民币（大写）</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w:t>
      </w:r>
    </w:p>
    <w:p w14:paraId="5C8A8852">
      <w:pPr>
        <w:shd w:val="clea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（3）专业工程暂估价金额：人民币（大写）</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w:t>
      </w:r>
    </w:p>
    <w:p w14:paraId="499CAAF3">
      <w:pPr>
        <w:shd w:val="clea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（4）暂列金额：人民币（大写）</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w:t>
      </w:r>
    </w:p>
    <w:p w14:paraId="1A56FB1B">
      <w:pPr>
        <w:shd w:val="clea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合同价格形式：固定综合单价合同</w:t>
      </w:r>
    </w:p>
    <w:p w14:paraId="15EBF196">
      <w:pPr>
        <w:shd w:val="clea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合同下浮系数：</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w:t>
      </w:r>
    </w:p>
    <w:p w14:paraId="179FB281">
      <w:pPr>
        <w:pStyle w:val="4"/>
        <w:shd w:val="clear"/>
        <w:spacing w:before="0" w:after="0" w:line="480" w:lineRule="auto"/>
        <w:rPr>
          <w:rFonts w:ascii="宋体" w:hAnsi="宋体" w:eastAsia="宋体"/>
          <w:color w:val="auto"/>
          <w:sz w:val="24"/>
          <w:szCs w:val="24"/>
          <w:highlight w:val="none"/>
        </w:rPr>
      </w:pPr>
      <w:bookmarkStart w:id="54" w:name="_Toc197530127"/>
      <w:bookmarkStart w:id="55" w:name="_Toc195459452"/>
      <w:bookmarkStart w:id="56" w:name="_Toc181816483"/>
      <w:r>
        <w:rPr>
          <w:rFonts w:hint="eastAsia" w:ascii="宋体" w:hAnsi="宋体" w:eastAsia="宋体"/>
          <w:color w:val="auto"/>
          <w:sz w:val="24"/>
          <w:szCs w:val="24"/>
          <w:highlight w:val="none"/>
        </w:rPr>
        <w:t>六、工程项目经理及其他人员</w:t>
      </w:r>
      <w:bookmarkEnd w:id="54"/>
      <w:bookmarkEnd w:id="55"/>
      <w:bookmarkEnd w:id="56"/>
    </w:p>
    <w:p w14:paraId="648FBC6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项目经理：</w:t>
      </w:r>
      <w:r>
        <w:rPr>
          <w:rFonts w:ascii="宋体" w:hAnsi="宋体" w:eastAsia="宋体"/>
          <w:color w:val="auto"/>
          <w:szCs w:val="21"/>
          <w:highlight w:val="none"/>
        </w:rPr>
        <w:t>______</w:t>
      </w:r>
      <w:r>
        <w:rPr>
          <w:rFonts w:hint="eastAsia" w:ascii="宋体" w:hAnsi="宋体" w:eastAsia="宋体"/>
          <w:color w:val="auto"/>
          <w:szCs w:val="21"/>
          <w:highlight w:val="none"/>
        </w:rPr>
        <w:t>；项目施工专职安全生产管理人员：</w:t>
      </w:r>
      <w:r>
        <w:rPr>
          <w:rFonts w:ascii="宋体" w:hAnsi="宋体" w:eastAsia="宋体"/>
          <w:color w:val="auto"/>
          <w:szCs w:val="21"/>
          <w:highlight w:val="none"/>
        </w:rPr>
        <w:t>______</w:t>
      </w:r>
      <w:r>
        <w:rPr>
          <w:rFonts w:hint="eastAsia" w:ascii="宋体" w:hAnsi="宋体" w:eastAsia="宋体"/>
          <w:color w:val="auto"/>
          <w:szCs w:val="21"/>
          <w:highlight w:val="none"/>
        </w:rPr>
        <w:t>。</w:t>
      </w:r>
    </w:p>
    <w:p w14:paraId="793AB3F2">
      <w:pPr>
        <w:pStyle w:val="4"/>
        <w:shd w:val="clear"/>
        <w:spacing w:before="0" w:after="0" w:line="480" w:lineRule="auto"/>
        <w:rPr>
          <w:rFonts w:ascii="宋体" w:hAnsi="宋体" w:eastAsia="宋体"/>
          <w:color w:val="auto"/>
          <w:sz w:val="24"/>
          <w:szCs w:val="24"/>
          <w:highlight w:val="none"/>
        </w:rPr>
      </w:pPr>
      <w:bookmarkStart w:id="57" w:name="_Toc195459453"/>
      <w:bookmarkStart w:id="58" w:name="_Toc181816484"/>
      <w:bookmarkStart w:id="59" w:name="_Toc197530128"/>
      <w:r>
        <w:rPr>
          <w:rFonts w:hint="eastAsia" w:ascii="宋体" w:hAnsi="宋体" w:eastAsia="宋体"/>
          <w:color w:val="auto"/>
          <w:sz w:val="24"/>
          <w:szCs w:val="24"/>
          <w:highlight w:val="none"/>
        </w:rPr>
        <w:t>七、合同文件构成</w:t>
      </w:r>
      <w:bookmarkEnd w:id="57"/>
      <w:bookmarkEnd w:id="58"/>
      <w:bookmarkEnd w:id="59"/>
    </w:p>
    <w:p w14:paraId="5C163B8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本协议书与下列文件一起构成合同文件：</w:t>
      </w:r>
    </w:p>
    <w:p w14:paraId="5BF6AA8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（1）成交通知书；</w:t>
      </w:r>
    </w:p>
    <w:p w14:paraId="20F9840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（2）竞争性磋商函、竞争性磋商报价表及最终报价表；</w:t>
      </w:r>
    </w:p>
    <w:p w14:paraId="1F4B62E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（3）本合同专用合同条款及其附件；</w:t>
      </w:r>
    </w:p>
    <w:p w14:paraId="2A1E07A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（4）通用合同条款；</w:t>
      </w:r>
    </w:p>
    <w:p w14:paraId="5D18029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（5）标准、规范及有关技术文件；</w:t>
      </w:r>
    </w:p>
    <w:p w14:paraId="7D28E0F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（6）图纸；</w:t>
      </w:r>
    </w:p>
    <w:p w14:paraId="244AD90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（7）已标价工程量清单或预算书（须与发包人的</w:t>
      </w:r>
      <w:r>
        <w:rPr>
          <w:rFonts w:hint="eastAsia" w:ascii="宋体" w:hAnsi="宋体" w:eastAsia="宋体"/>
          <w:color w:val="auto"/>
          <w:szCs w:val="21"/>
          <w:highlight w:val="none"/>
          <w:u w:val="single"/>
        </w:rPr>
        <w:t>固定</w:t>
      </w:r>
      <w:r>
        <w:rPr>
          <w:rFonts w:hint="eastAsia" w:ascii="宋体" w:hAnsi="宋体" w:eastAsia="宋体"/>
          <w:color w:val="auto"/>
          <w:szCs w:val="21"/>
          <w:highlight w:val="none"/>
        </w:rPr>
        <w:t>综合单价相同，否则以发包人的为准）；</w:t>
      </w:r>
    </w:p>
    <w:p w14:paraId="131D1FE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（8）采购文件及更正公告；</w:t>
      </w:r>
    </w:p>
    <w:p w14:paraId="6674495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其他合同文件：《建设工程工程量清单计价规范（GB50500-2024）》及其广西实施细则及《关于建筑业实施营业税改征增值税后广西壮族自治区建设工程计价依据调整的通知》（桂建标〔2016〕17号）、自治区住房城乡建设厅关于调整建设工程计价增值税税率的通知（桂建标〔2019〕12号）、《建设工程工程量计算规范（GB50854~50862-2013）》及其广西实施细则（修订本）等国家、自治区颁布的计价定额及有关规定。</w:t>
      </w:r>
    </w:p>
    <w:p w14:paraId="162E751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双方有关工程的洽商、变更等书面协议或文件视为本合同的组成部分。</w:t>
      </w:r>
    </w:p>
    <w:p w14:paraId="0F4F793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上述各项合同文件包括双方就该项合同文件所作出的补充和修改，属于同一类内容的合同文件应以最新签署的为准（违反招标文件实质性内容的约定除外）。专用合同条款及其附件须经合同当事人签字或盖章。</w:t>
      </w:r>
    </w:p>
    <w:p w14:paraId="76EA9FE7">
      <w:pPr>
        <w:pStyle w:val="4"/>
        <w:shd w:val="clear"/>
        <w:spacing w:before="0" w:after="0" w:line="480" w:lineRule="auto"/>
        <w:rPr>
          <w:rFonts w:ascii="宋体" w:hAnsi="宋体" w:eastAsia="宋体"/>
          <w:color w:val="auto"/>
          <w:sz w:val="24"/>
          <w:szCs w:val="24"/>
          <w:highlight w:val="none"/>
        </w:rPr>
      </w:pPr>
      <w:bookmarkStart w:id="60" w:name="_Toc181816485"/>
      <w:bookmarkStart w:id="61" w:name="_Toc195459454"/>
      <w:bookmarkStart w:id="62" w:name="_Toc197530129"/>
      <w:r>
        <w:rPr>
          <w:rFonts w:hint="eastAsia" w:ascii="宋体" w:hAnsi="宋体" w:eastAsia="宋体"/>
          <w:color w:val="auto"/>
          <w:sz w:val="24"/>
          <w:szCs w:val="24"/>
          <w:highlight w:val="none"/>
        </w:rPr>
        <w:t>八、承诺</w:t>
      </w:r>
      <w:bookmarkEnd w:id="60"/>
      <w:bookmarkEnd w:id="61"/>
      <w:bookmarkEnd w:id="62"/>
    </w:p>
    <w:p w14:paraId="2205481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1.发包人承诺按照法律规定履行项目审批手续、筹集工程建设资金并按照合同约定的期限和方式支付合同价款。</w:t>
      </w:r>
    </w:p>
    <w:p w14:paraId="3FAB9F3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2.承包人承诺按照法律规定及合同约定组织完成工程施工，确保工程质量和安全，不进行转包及违法分包，并在缺陷责任期及保修期内承担相应的工程维修责任。</w:t>
      </w:r>
    </w:p>
    <w:p w14:paraId="3607699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3.发包人和承包人通过招投标形式签订合同的，双方理解并承诺不再就同一工程另行签订与合同实质性内容相背离的协议。</w:t>
      </w:r>
    </w:p>
    <w:p w14:paraId="556B1F5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14:paraId="099F64F8">
      <w:pPr>
        <w:pStyle w:val="4"/>
        <w:shd w:val="clear"/>
        <w:spacing w:before="0" w:after="0" w:line="480" w:lineRule="auto"/>
        <w:rPr>
          <w:rFonts w:ascii="宋体" w:hAnsi="宋体" w:eastAsia="宋体"/>
          <w:color w:val="auto"/>
          <w:sz w:val="24"/>
          <w:szCs w:val="24"/>
          <w:highlight w:val="none"/>
        </w:rPr>
      </w:pPr>
      <w:bookmarkStart w:id="63" w:name="_Toc197530130"/>
      <w:bookmarkStart w:id="64" w:name="_Toc195459455"/>
      <w:r>
        <w:rPr>
          <w:rFonts w:hint="eastAsia" w:ascii="宋体" w:hAnsi="宋体" w:eastAsia="宋体"/>
          <w:color w:val="auto"/>
          <w:sz w:val="24"/>
          <w:szCs w:val="24"/>
          <w:highlight w:val="none"/>
        </w:rPr>
        <w:t>九、词语含义</w:t>
      </w:r>
      <w:bookmarkEnd w:id="63"/>
      <w:bookmarkEnd w:id="64"/>
    </w:p>
    <w:p w14:paraId="42F12F5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本合同书中词语含义与第二部分通用合同条款中赋予的含义相同。</w:t>
      </w:r>
    </w:p>
    <w:p w14:paraId="39B14397">
      <w:pPr>
        <w:pStyle w:val="4"/>
        <w:shd w:val="clear"/>
        <w:spacing w:before="0" w:after="0" w:line="480" w:lineRule="auto"/>
        <w:rPr>
          <w:rFonts w:ascii="宋体" w:hAnsi="宋体" w:eastAsia="宋体"/>
          <w:color w:val="auto"/>
          <w:sz w:val="24"/>
          <w:szCs w:val="24"/>
          <w:highlight w:val="none"/>
        </w:rPr>
      </w:pPr>
      <w:bookmarkStart w:id="65" w:name="_Toc195459456"/>
      <w:bookmarkStart w:id="66" w:name="_Toc181816486"/>
      <w:bookmarkStart w:id="67" w:name="_Toc197530131"/>
      <w:r>
        <w:rPr>
          <w:rFonts w:hint="eastAsia" w:ascii="宋体" w:hAnsi="宋体" w:eastAsia="宋体"/>
          <w:color w:val="auto"/>
          <w:sz w:val="24"/>
          <w:szCs w:val="24"/>
          <w:highlight w:val="none"/>
        </w:rPr>
        <w:t>十、订立时间</w:t>
      </w:r>
      <w:bookmarkEnd w:id="65"/>
      <w:bookmarkEnd w:id="66"/>
      <w:bookmarkEnd w:id="67"/>
    </w:p>
    <w:p w14:paraId="607AD9C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本合同于</w:t>
      </w:r>
      <w:r>
        <w:rPr>
          <w:rFonts w:ascii="宋体" w:hAnsi="宋体" w:eastAsia="宋体"/>
          <w:color w:val="auto"/>
          <w:szCs w:val="21"/>
          <w:highlight w:val="none"/>
        </w:rPr>
        <w:t>________</w:t>
      </w:r>
      <w:r>
        <w:rPr>
          <w:rFonts w:hint="eastAsia" w:ascii="宋体" w:hAnsi="宋体" w:eastAsia="宋体"/>
          <w:color w:val="auto"/>
          <w:szCs w:val="21"/>
          <w:highlight w:val="none"/>
        </w:rPr>
        <w:t>年</w:t>
      </w:r>
      <w:r>
        <w:rPr>
          <w:rFonts w:ascii="宋体" w:hAnsi="宋体" w:eastAsia="宋体"/>
          <w:color w:val="auto"/>
          <w:szCs w:val="21"/>
          <w:highlight w:val="none"/>
        </w:rPr>
        <w:t>________</w:t>
      </w:r>
      <w:r>
        <w:rPr>
          <w:rFonts w:hint="eastAsia" w:ascii="宋体" w:hAnsi="宋体" w:eastAsia="宋体"/>
          <w:color w:val="auto"/>
          <w:szCs w:val="21"/>
          <w:highlight w:val="none"/>
        </w:rPr>
        <w:t>月</w:t>
      </w:r>
      <w:r>
        <w:rPr>
          <w:rFonts w:ascii="宋体" w:hAnsi="宋体" w:eastAsia="宋体"/>
          <w:color w:val="auto"/>
          <w:szCs w:val="21"/>
          <w:highlight w:val="none"/>
        </w:rPr>
        <w:t>________</w:t>
      </w:r>
      <w:r>
        <w:rPr>
          <w:rFonts w:hint="eastAsia" w:ascii="宋体" w:hAnsi="宋体" w:eastAsia="宋体"/>
          <w:color w:val="auto"/>
          <w:szCs w:val="21"/>
          <w:highlight w:val="none"/>
        </w:rPr>
        <w:t>日订立。</w:t>
      </w:r>
    </w:p>
    <w:p w14:paraId="6401DD5E">
      <w:pPr>
        <w:pStyle w:val="4"/>
        <w:shd w:val="clear"/>
        <w:spacing w:before="0" w:after="0" w:line="480" w:lineRule="auto"/>
        <w:rPr>
          <w:rFonts w:ascii="宋体" w:hAnsi="宋体" w:eastAsia="宋体"/>
          <w:color w:val="auto"/>
          <w:sz w:val="24"/>
          <w:szCs w:val="24"/>
          <w:highlight w:val="none"/>
        </w:rPr>
      </w:pPr>
      <w:bookmarkStart w:id="68" w:name="_Toc197530132"/>
      <w:bookmarkStart w:id="69" w:name="_Toc181816487"/>
      <w:bookmarkStart w:id="70" w:name="_Toc195459457"/>
      <w:r>
        <w:rPr>
          <w:rFonts w:hint="eastAsia" w:ascii="宋体" w:hAnsi="宋体" w:eastAsia="宋体"/>
          <w:color w:val="auto"/>
          <w:sz w:val="24"/>
          <w:szCs w:val="24"/>
          <w:highlight w:val="none"/>
        </w:rPr>
        <w:t>十一、订立地点</w:t>
      </w:r>
      <w:bookmarkEnd w:id="68"/>
      <w:bookmarkEnd w:id="69"/>
      <w:bookmarkEnd w:id="70"/>
    </w:p>
    <w:p w14:paraId="369647D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本合同在</w:t>
      </w:r>
      <w:r>
        <w:rPr>
          <w:rFonts w:hint="eastAsia" w:ascii="宋体" w:hAnsi="宋体" w:eastAsia="宋体"/>
          <w:color w:val="auto"/>
          <w:szCs w:val="21"/>
          <w:highlight w:val="none"/>
          <w:u w:val="single"/>
        </w:rPr>
        <w:t>广西壮族自治区南宁市西乡塘区大学东路100号广西大学</w:t>
      </w:r>
      <w:r>
        <w:rPr>
          <w:rFonts w:hint="eastAsia" w:ascii="宋体" w:hAnsi="宋体" w:eastAsia="宋体"/>
          <w:color w:val="auto"/>
          <w:szCs w:val="21"/>
          <w:highlight w:val="none"/>
        </w:rPr>
        <w:t>订立。</w:t>
      </w:r>
    </w:p>
    <w:p w14:paraId="3E4E39FA">
      <w:pPr>
        <w:pStyle w:val="4"/>
        <w:shd w:val="clear"/>
        <w:spacing w:before="0" w:after="0" w:line="480" w:lineRule="auto"/>
        <w:rPr>
          <w:rFonts w:ascii="宋体" w:hAnsi="宋体" w:eastAsia="宋体"/>
          <w:color w:val="auto"/>
          <w:sz w:val="24"/>
          <w:szCs w:val="24"/>
          <w:highlight w:val="none"/>
        </w:rPr>
      </w:pPr>
      <w:bookmarkStart w:id="71" w:name="_Toc195459458"/>
      <w:bookmarkStart w:id="72" w:name="_Toc197530133"/>
      <w:r>
        <w:rPr>
          <w:rFonts w:hint="eastAsia" w:ascii="宋体" w:hAnsi="宋体" w:eastAsia="宋体"/>
          <w:color w:val="auto"/>
          <w:sz w:val="24"/>
          <w:szCs w:val="24"/>
          <w:highlight w:val="none"/>
        </w:rPr>
        <w:t>十二、补充协议</w:t>
      </w:r>
      <w:bookmarkEnd w:id="71"/>
      <w:bookmarkEnd w:id="72"/>
    </w:p>
    <w:p w14:paraId="5A12FAD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合同未尽事宜，合同当事人另行签订补充协议，补充协议是合同的组成部分。</w:t>
      </w:r>
    </w:p>
    <w:p w14:paraId="252F08B1">
      <w:pPr>
        <w:pStyle w:val="4"/>
        <w:shd w:val="clear"/>
        <w:spacing w:before="0" w:after="0" w:line="480" w:lineRule="auto"/>
        <w:rPr>
          <w:rFonts w:ascii="宋体" w:hAnsi="宋体" w:eastAsia="宋体"/>
          <w:color w:val="auto"/>
          <w:sz w:val="24"/>
          <w:szCs w:val="24"/>
          <w:highlight w:val="none"/>
        </w:rPr>
      </w:pPr>
      <w:bookmarkStart w:id="73" w:name="_Toc197530134"/>
      <w:bookmarkStart w:id="74" w:name="_Toc181816488"/>
      <w:bookmarkStart w:id="75" w:name="_Toc195459459"/>
      <w:r>
        <w:rPr>
          <w:rFonts w:hint="eastAsia" w:ascii="宋体" w:hAnsi="宋体" w:eastAsia="宋体"/>
          <w:color w:val="auto"/>
          <w:sz w:val="24"/>
          <w:szCs w:val="24"/>
          <w:highlight w:val="none"/>
        </w:rPr>
        <w:t>十三、合同生效</w:t>
      </w:r>
      <w:bookmarkEnd w:id="73"/>
      <w:bookmarkEnd w:id="74"/>
      <w:bookmarkEnd w:id="75"/>
    </w:p>
    <w:p w14:paraId="186D335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本合同经</w:t>
      </w:r>
      <w:r>
        <w:rPr>
          <w:rFonts w:hint="eastAsia" w:ascii="宋体" w:hAnsi="宋体" w:eastAsia="宋体"/>
          <w:color w:val="auto"/>
          <w:szCs w:val="21"/>
          <w:highlight w:val="none"/>
          <w:u w:val="single"/>
        </w:rPr>
        <w:t>双方法定代表人或授权委托代理人签章并加盖单位（公司）公章之日起</w:t>
      </w:r>
      <w:r>
        <w:rPr>
          <w:rFonts w:hint="eastAsia" w:ascii="宋体" w:hAnsi="宋体" w:eastAsia="宋体"/>
          <w:color w:val="auto"/>
          <w:szCs w:val="21"/>
          <w:highlight w:val="none"/>
        </w:rPr>
        <w:t>生效。</w:t>
      </w:r>
    </w:p>
    <w:p w14:paraId="305642B4">
      <w:pPr>
        <w:pStyle w:val="4"/>
        <w:shd w:val="clear"/>
        <w:spacing w:before="0" w:after="0" w:line="480" w:lineRule="auto"/>
        <w:rPr>
          <w:rFonts w:ascii="宋体" w:hAnsi="宋体" w:eastAsia="宋体"/>
          <w:color w:val="auto"/>
          <w:sz w:val="24"/>
          <w:szCs w:val="24"/>
          <w:highlight w:val="none"/>
        </w:rPr>
      </w:pPr>
      <w:bookmarkStart w:id="76" w:name="_Toc197530135"/>
      <w:bookmarkStart w:id="77" w:name="_Toc195459460"/>
      <w:bookmarkStart w:id="78" w:name="_Toc181816489"/>
      <w:r>
        <w:rPr>
          <w:rFonts w:hint="eastAsia" w:ascii="宋体" w:hAnsi="宋体" w:eastAsia="宋体"/>
          <w:color w:val="auto"/>
          <w:sz w:val="24"/>
          <w:szCs w:val="24"/>
          <w:highlight w:val="none"/>
        </w:rPr>
        <w:t>十四、合同份数</w:t>
      </w:r>
      <w:bookmarkEnd w:id="76"/>
      <w:bookmarkEnd w:id="77"/>
      <w:bookmarkEnd w:id="78"/>
    </w:p>
    <w:p w14:paraId="7849C78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本合同一式</w:t>
      </w:r>
      <w:r>
        <w:rPr>
          <w:rFonts w:hint="eastAsia" w:ascii="宋体" w:hAnsi="宋体" w:eastAsia="宋体"/>
          <w:color w:val="auto"/>
          <w:szCs w:val="21"/>
          <w:highlight w:val="none"/>
          <w:u w:val="single"/>
        </w:rPr>
        <w:t>壹拾叁</w:t>
      </w:r>
      <w:r>
        <w:rPr>
          <w:rFonts w:hint="eastAsia" w:ascii="宋体" w:hAnsi="宋体" w:eastAsia="宋体"/>
          <w:color w:val="auto"/>
          <w:szCs w:val="21"/>
          <w:highlight w:val="none"/>
        </w:rPr>
        <w:t>份，发包人执</w:t>
      </w:r>
      <w:r>
        <w:rPr>
          <w:rFonts w:hint="eastAsia" w:ascii="宋体" w:hAnsi="宋体" w:eastAsia="宋体"/>
          <w:color w:val="auto"/>
          <w:szCs w:val="21"/>
          <w:highlight w:val="none"/>
          <w:u w:val="single"/>
        </w:rPr>
        <w:t>拾</w:t>
      </w:r>
      <w:r>
        <w:rPr>
          <w:rFonts w:hint="eastAsia" w:ascii="宋体" w:hAnsi="宋体" w:eastAsia="宋体"/>
          <w:color w:val="auto"/>
          <w:szCs w:val="21"/>
          <w:highlight w:val="none"/>
        </w:rPr>
        <w:t>份，承包人执</w:t>
      </w:r>
      <w:r>
        <w:rPr>
          <w:rFonts w:hint="eastAsia" w:ascii="宋体" w:hAnsi="宋体" w:eastAsia="宋体"/>
          <w:color w:val="auto"/>
          <w:szCs w:val="21"/>
          <w:highlight w:val="none"/>
          <w:u w:val="single"/>
        </w:rPr>
        <w:t>贰</w:t>
      </w:r>
      <w:r>
        <w:rPr>
          <w:rFonts w:hint="eastAsia" w:ascii="宋体" w:hAnsi="宋体" w:eastAsia="宋体"/>
          <w:color w:val="auto"/>
          <w:szCs w:val="21"/>
          <w:highlight w:val="none"/>
        </w:rPr>
        <w:t>份，代理机构壹份，均具有同等法律效力。</w:t>
      </w:r>
    </w:p>
    <w:tbl>
      <w:tblPr>
        <w:tblStyle w:val="38"/>
        <w:tblW w:w="0" w:type="auto"/>
        <w:jc w:val="center"/>
        <w:tblLayout w:type="autofit"/>
        <w:tblCellMar>
          <w:top w:w="0" w:type="dxa"/>
          <w:left w:w="108" w:type="dxa"/>
          <w:bottom w:w="0" w:type="dxa"/>
          <w:right w:w="108" w:type="dxa"/>
        </w:tblCellMar>
      </w:tblPr>
      <w:tblGrid>
        <w:gridCol w:w="4672"/>
        <w:gridCol w:w="4672"/>
      </w:tblGrid>
      <w:tr w14:paraId="48F34615">
        <w:trPr>
          <w:trHeight w:val="567" w:hRule="atLeast"/>
          <w:jc w:val="center"/>
        </w:trPr>
        <w:tc>
          <w:tcPr>
            <w:tcW w:w="4672" w:type="dxa"/>
            <w:vAlign w:val="center"/>
          </w:tcPr>
          <w:p w14:paraId="4178ABEF">
            <w:pPr>
              <w:shd w:val="clear"/>
              <w:jc w:val="left"/>
              <w:rPr>
                <w:rFonts w:ascii="宋体" w:hAnsi="宋体"/>
                <w:color w:val="auto"/>
                <w:szCs w:val="21"/>
                <w:highlight w:val="none"/>
              </w:rPr>
            </w:pPr>
            <w:r>
              <w:rPr>
                <w:rFonts w:hint="eastAsia" w:ascii="宋体" w:hAnsi="宋体"/>
                <w:color w:val="auto"/>
                <w:szCs w:val="21"/>
                <w:highlight w:val="none"/>
              </w:rPr>
              <w:t>发包人：</w:t>
            </w:r>
            <w:r>
              <w:rPr>
                <w:rFonts w:hint="eastAsia" w:ascii="宋体" w:hAnsi="宋体"/>
                <w:color w:val="auto"/>
                <w:szCs w:val="21"/>
                <w:highlight w:val="none"/>
                <w:u w:val="single"/>
              </w:rPr>
              <w:t>广西大学</w:t>
            </w:r>
            <w:r>
              <w:rPr>
                <w:rFonts w:hint="eastAsia" w:ascii="宋体" w:hAnsi="宋体"/>
                <w:color w:val="auto"/>
                <w:szCs w:val="21"/>
                <w:highlight w:val="none"/>
              </w:rPr>
              <w:t>（公章）</w:t>
            </w:r>
          </w:p>
        </w:tc>
        <w:tc>
          <w:tcPr>
            <w:tcW w:w="4672" w:type="dxa"/>
            <w:vAlign w:val="center"/>
          </w:tcPr>
          <w:p w14:paraId="4D68CFA8">
            <w:pPr>
              <w:shd w:val="clear"/>
              <w:jc w:val="left"/>
              <w:rPr>
                <w:rFonts w:ascii="宋体" w:hAnsi="宋体"/>
                <w:color w:val="auto"/>
                <w:szCs w:val="21"/>
                <w:highlight w:val="none"/>
              </w:rPr>
            </w:pPr>
            <w:r>
              <w:rPr>
                <w:rFonts w:hint="eastAsia" w:ascii="宋体" w:hAnsi="宋体"/>
                <w:color w:val="auto"/>
                <w:szCs w:val="21"/>
                <w:highlight w:val="none"/>
              </w:rPr>
              <w:t>承包人：（公章）</w:t>
            </w:r>
          </w:p>
        </w:tc>
      </w:tr>
      <w:tr w14:paraId="12B9C614">
        <w:tblPrEx>
          <w:tblCellMar>
            <w:top w:w="0" w:type="dxa"/>
            <w:left w:w="108" w:type="dxa"/>
            <w:bottom w:w="0" w:type="dxa"/>
            <w:right w:w="108" w:type="dxa"/>
          </w:tblCellMar>
        </w:tblPrEx>
        <w:trPr>
          <w:trHeight w:val="567" w:hRule="atLeast"/>
          <w:jc w:val="center"/>
        </w:trPr>
        <w:tc>
          <w:tcPr>
            <w:tcW w:w="4672" w:type="dxa"/>
            <w:vAlign w:val="center"/>
          </w:tcPr>
          <w:p w14:paraId="37D47C9B">
            <w:pPr>
              <w:shd w:val="clear"/>
              <w:jc w:val="left"/>
              <w:rPr>
                <w:rFonts w:ascii="宋体" w:hAnsi="宋体"/>
                <w:color w:val="auto"/>
                <w:szCs w:val="21"/>
                <w:highlight w:val="none"/>
              </w:rPr>
            </w:pPr>
            <w:r>
              <w:rPr>
                <w:rFonts w:hint="eastAsia" w:ascii="宋体" w:hAnsi="宋体"/>
                <w:color w:val="auto"/>
                <w:szCs w:val="21"/>
                <w:highlight w:val="none"/>
              </w:rPr>
              <w:t>法定代表人或其委托代理人：</w:t>
            </w:r>
          </w:p>
          <w:p w14:paraId="6DBD0C24">
            <w:pPr>
              <w:shd w:val="clear"/>
              <w:jc w:val="left"/>
              <w:rPr>
                <w:rFonts w:ascii="宋体" w:hAnsi="宋体"/>
                <w:color w:val="auto"/>
                <w:szCs w:val="21"/>
                <w:highlight w:val="none"/>
              </w:rPr>
            </w:pPr>
            <w:r>
              <w:rPr>
                <w:rFonts w:hint="eastAsia" w:ascii="宋体" w:hAnsi="宋体"/>
                <w:color w:val="auto"/>
                <w:szCs w:val="21"/>
                <w:highlight w:val="none"/>
              </w:rPr>
              <w:t>（签字）</w:t>
            </w:r>
          </w:p>
        </w:tc>
        <w:tc>
          <w:tcPr>
            <w:tcW w:w="4672" w:type="dxa"/>
            <w:vAlign w:val="center"/>
          </w:tcPr>
          <w:p w14:paraId="0887A603">
            <w:pPr>
              <w:shd w:val="clear"/>
              <w:jc w:val="left"/>
              <w:rPr>
                <w:rFonts w:ascii="宋体" w:hAnsi="宋体"/>
                <w:color w:val="auto"/>
                <w:szCs w:val="21"/>
                <w:highlight w:val="none"/>
              </w:rPr>
            </w:pPr>
            <w:r>
              <w:rPr>
                <w:rFonts w:hint="eastAsia" w:ascii="宋体" w:hAnsi="宋体"/>
                <w:color w:val="auto"/>
                <w:szCs w:val="21"/>
                <w:highlight w:val="none"/>
              </w:rPr>
              <w:t>法定代表人或其委托代理人：</w:t>
            </w:r>
          </w:p>
          <w:p w14:paraId="56F867FA">
            <w:pPr>
              <w:shd w:val="clear"/>
              <w:jc w:val="left"/>
              <w:rPr>
                <w:rFonts w:ascii="宋体" w:hAnsi="宋体"/>
                <w:color w:val="auto"/>
                <w:szCs w:val="21"/>
                <w:highlight w:val="none"/>
              </w:rPr>
            </w:pPr>
            <w:r>
              <w:rPr>
                <w:rFonts w:hint="eastAsia" w:ascii="宋体" w:hAnsi="宋体"/>
                <w:color w:val="auto"/>
                <w:szCs w:val="21"/>
                <w:highlight w:val="none"/>
              </w:rPr>
              <w:t>（签字）</w:t>
            </w:r>
          </w:p>
        </w:tc>
      </w:tr>
      <w:tr w14:paraId="31247A16">
        <w:tblPrEx>
          <w:tblCellMar>
            <w:top w:w="0" w:type="dxa"/>
            <w:left w:w="108" w:type="dxa"/>
            <w:bottom w:w="0" w:type="dxa"/>
            <w:right w:w="108" w:type="dxa"/>
          </w:tblCellMar>
        </w:tblPrEx>
        <w:trPr>
          <w:trHeight w:val="567" w:hRule="atLeast"/>
          <w:jc w:val="center"/>
        </w:trPr>
        <w:tc>
          <w:tcPr>
            <w:tcW w:w="4672" w:type="dxa"/>
            <w:vAlign w:val="center"/>
          </w:tcPr>
          <w:p w14:paraId="7BF0A216">
            <w:pPr>
              <w:shd w:val="clear"/>
              <w:jc w:val="left"/>
              <w:rPr>
                <w:rFonts w:ascii="宋体" w:hAnsi="宋体"/>
                <w:color w:val="auto"/>
                <w:szCs w:val="21"/>
                <w:highlight w:val="none"/>
              </w:rPr>
            </w:pPr>
            <w:r>
              <w:rPr>
                <w:rFonts w:hint="eastAsia" w:ascii="宋体" w:hAnsi="宋体"/>
                <w:color w:val="auto"/>
                <w:szCs w:val="21"/>
                <w:highlight w:val="none"/>
              </w:rPr>
              <w:t>统一社会信用代码：</w:t>
            </w:r>
            <w:r>
              <w:rPr>
                <w:rFonts w:hint="eastAsia" w:ascii="宋体" w:hAnsi="宋体"/>
                <w:color w:val="auto"/>
                <w:szCs w:val="21"/>
                <w:highlight w:val="none"/>
                <w:u w:val="single"/>
              </w:rPr>
              <w:t>124500004985009929</w:t>
            </w:r>
          </w:p>
        </w:tc>
        <w:tc>
          <w:tcPr>
            <w:tcW w:w="4672" w:type="dxa"/>
            <w:vAlign w:val="center"/>
          </w:tcPr>
          <w:p w14:paraId="5987285E">
            <w:pPr>
              <w:shd w:val="clear"/>
              <w:jc w:val="left"/>
              <w:rPr>
                <w:rFonts w:ascii="宋体" w:hAnsi="宋体"/>
                <w:color w:val="auto"/>
                <w:szCs w:val="21"/>
                <w:highlight w:val="none"/>
              </w:rPr>
            </w:pPr>
            <w:r>
              <w:rPr>
                <w:rFonts w:hint="eastAsia" w:ascii="宋体" w:hAnsi="宋体"/>
                <w:color w:val="auto"/>
                <w:szCs w:val="21"/>
                <w:highlight w:val="none"/>
              </w:rPr>
              <w:t>统一社会信用代码：</w:t>
            </w:r>
          </w:p>
        </w:tc>
      </w:tr>
      <w:tr w14:paraId="67810138">
        <w:tblPrEx>
          <w:tblCellMar>
            <w:top w:w="0" w:type="dxa"/>
            <w:left w:w="108" w:type="dxa"/>
            <w:bottom w:w="0" w:type="dxa"/>
            <w:right w:w="108" w:type="dxa"/>
          </w:tblCellMar>
        </w:tblPrEx>
        <w:trPr>
          <w:trHeight w:val="567" w:hRule="atLeast"/>
          <w:jc w:val="center"/>
        </w:trPr>
        <w:tc>
          <w:tcPr>
            <w:tcW w:w="4672" w:type="dxa"/>
            <w:vAlign w:val="center"/>
          </w:tcPr>
          <w:p w14:paraId="5F6C72F6">
            <w:pPr>
              <w:shd w:val="clear"/>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广西壮族自治区南宁市大学东路100号</w:t>
            </w:r>
          </w:p>
        </w:tc>
        <w:tc>
          <w:tcPr>
            <w:tcW w:w="4672" w:type="dxa"/>
            <w:vAlign w:val="center"/>
          </w:tcPr>
          <w:p w14:paraId="5E832075">
            <w:pPr>
              <w:shd w:val="clear"/>
              <w:jc w:val="left"/>
              <w:rPr>
                <w:rFonts w:ascii="宋体" w:hAnsi="宋体"/>
                <w:color w:val="auto"/>
                <w:szCs w:val="21"/>
                <w:highlight w:val="none"/>
              </w:rPr>
            </w:pPr>
            <w:r>
              <w:rPr>
                <w:rFonts w:hint="eastAsia" w:ascii="宋体" w:hAnsi="宋体"/>
                <w:color w:val="auto"/>
                <w:szCs w:val="21"/>
                <w:highlight w:val="none"/>
              </w:rPr>
              <w:t>地址：</w:t>
            </w:r>
          </w:p>
        </w:tc>
      </w:tr>
      <w:tr w14:paraId="02965448">
        <w:tblPrEx>
          <w:tblCellMar>
            <w:top w:w="0" w:type="dxa"/>
            <w:left w:w="108" w:type="dxa"/>
            <w:bottom w:w="0" w:type="dxa"/>
            <w:right w:w="108" w:type="dxa"/>
          </w:tblCellMar>
        </w:tblPrEx>
        <w:trPr>
          <w:trHeight w:val="567" w:hRule="atLeast"/>
          <w:jc w:val="center"/>
        </w:trPr>
        <w:tc>
          <w:tcPr>
            <w:tcW w:w="4672" w:type="dxa"/>
            <w:vAlign w:val="center"/>
          </w:tcPr>
          <w:p w14:paraId="5B189D94">
            <w:pPr>
              <w:shd w:val="clear"/>
              <w:jc w:val="left"/>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530004</w:t>
            </w:r>
          </w:p>
        </w:tc>
        <w:tc>
          <w:tcPr>
            <w:tcW w:w="4672" w:type="dxa"/>
            <w:vAlign w:val="center"/>
          </w:tcPr>
          <w:p w14:paraId="5A62279B">
            <w:pPr>
              <w:shd w:val="clear"/>
              <w:jc w:val="left"/>
              <w:rPr>
                <w:rFonts w:ascii="宋体" w:hAnsi="宋体"/>
                <w:color w:val="auto"/>
                <w:szCs w:val="21"/>
                <w:highlight w:val="none"/>
              </w:rPr>
            </w:pPr>
            <w:r>
              <w:rPr>
                <w:rFonts w:hint="eastAsia" w:ascii="宋体" w:hAnsi="宋体"/>
                <w:color w:val="auto"/>
                <w:szCs w:val="21"/>
                <w:highlight w:val="none"/>
              </w:rPr>
              <w:t>邮政编码：</w:t>
            </w:r>
          </w:p>
        </w:tc>
      </w:tr>
      <w:tr w14:paraId="3AD49787">
        <w:tblPrEx>
          <w:tblCellMar>
            <w:top w:w="0" w:type="dxa"/>
            <w:left w:w="108" w:type="dxa"/>
            <w:bottom w:w="0" w:type="dxa"/>
            <w:right w:w="108" w:type="dxa"/>
          </w:tblCellMar>
        </w:tblPrEx>
        <w:trPr>
          <w:trHeight w:val="567" w:hRule="atLeast"/>
          <w:jc w:val="center"/>
        </w:trPr>
        <w:tc>
          <w:tcPr>
            <w:tcW w:w="4672" w:type="dxa"/>
            <w:vAlign w:val="center"/>
          </w:tcPr>
          <w:p w14:paraId="5C2C0201">
            <w:pPr>
              <w:shd w:val="clear"/>
              <w:jc w:val="left"/>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韩林海</w:t>
            </w:r>
          </w:p>
        </w:tc>
        <w:tc>
          <w:tcPr>
            <w:tcW w:w="4672" w:type="dxa"/>
            <w:vAlign w:val="center"/>
          </w:tcPr>
          <w:p w14:paraId="1F55D4E2">
            <w:pPr>
              <w:shd w:val="clear"/>
              <w:jc w:val="left"/>
              <w:rPr>
                <w:rFonts w:ascii="宋体" w:hAnsi="宋体"/>
                <w:color w:val="auto"/>
                <w:szCs w:val="21"/>
                <w:highlight w:val="none"/>
              </w:rPr>
            </w:pPr>
            <w:r>
              <w:rPr>
                <w:rFonts w:hint="eastAsia" w:ascii="宋体" w:hAnsi="宋体"/>
                <w:color w:val="auto"/>
                <w:szCs w:val="21"/>
                <w:highlight w:val="none"/>
              </w:rPr>
              <w:t>法定代表人：</w:t>
            </w:r>
          </w:p>
        </w:tc>
      </w:tr>
      <w:tr w14:paraId="1FEBECC4">
        <w:tblPrEx>
          <w:tblCellMar>
            <w:top w:w="0" w:type="dxa"/>
            <w:left w:w="108" w:type="dxa"/>
            <w:bottom w:w="0" w:type="dxa"/>
            <w:right w:w="108" w:type="dxa"/>
          </w:tblCellMar>
        </w:tblPrEx>
        <w:trPr>
          <w:trHeight w:val="567" w:hRule="atLeast"/>
          <w:jc w:val="center"/>
        </w:trPr>
        <w:tc>
          <w:tcPr>
            <w:tcW w:w="4672" w:type="dxa"/>
            <w:vAlign w:val="center"/>
          </w:tcPr>
          <w:p w14:paraId="08C5DD14">
            <w:pPr>
              <w:shd w:val="clear"/>
              <w:jc w:val="left"/>
              <w:rPr>
                <w:rFonts w:ascii="宋体" w:hAnsi="宋体"/>
                <w:color w:val="auto"/>
                <w:szCs w:val="21"/>
                <w:highlight w:val="none"/>
              </w:rPr>
            </w:pPr>
            <w:r>
              <w:rPr>
                <w:rFonts w:hint="eastAsia" w:ascii="宋体" w:hAnsi="宋体"/>
                <w:color w:val="auto"/>
                <w:szCs w:val="21"/>
                <w:highlight w:val="none"/>
              </w:rPr>
              <w:t>委托代理人：</w:t>
            </w:r>
            <w:r>
              <w:rPr>
                <w:rFonts w:hint="eastAsia" w:ascii="宋体" w:hAnsi="宋体"/>
                <w:color w:val="auto"/>
                <w:szCs w:val="21"/>
                <w:highlight w:val="none"/>
                <w:u w:val="single"/>
              </w:rPr>
              <w:t>/</w:t>
            </w:r>
          </w:p>
        </w:tc>
        <w:tc>
          <w:tcPr>
            <w:tcW w:w="4672" w:type="dxa"/>
            <w:vAlign w:val="center"/>
          </w:tcPr>
          <w:p w14:paraId="29BF033C">
            <w:pPr>
              <w:shd w:val="clear"/>
              <w:jc w:val="left"/>
              <w:rPr>
                <w:rFonts w:ascii="宋体" w:hAnsi="宋体"/>
                <w:color w:val="auto"/>
                <w:szCs w:val="21"/>
                <w:highlight w:val="none"/>
              </w:rPr>
            </w:pPr>
            <w:r>
              <w:rPr>
                <w:rFonts w:hint="eastAsia" w:ascii="宋体" w:hAnsi="宋体"/>
                <w:color w:val="auto"/>
                <w:szCs w:val="21"/>
                <w:highlight w:val="none"/>
              </w:rPr>
              <w:t>委托代理人：</w:t>
            </w:r>
          </w:p>
        </w:tc>
      </w:tr>
      <w:tr w14:paraId="4A1D67B7">
        <w:tblPrEx>
          <w:tblCellMar>
            <w:top w:w="0" w:type="dxa"/>
            <w:left w:w="108" w:type="dxa"/>
            <w:bottom w:w="0" w:type="dxa"/>
            <w:right w:w="108" w:type="dxa"/>
          </w:tblCellMar>
        </w:tblPrEx>
        <w:trPr>
          <w:trHeight w:val="567" w:hRule="atLeast"/>
          <w:jc w:val="center"/>
        </w:trPr>
        <w:tc>
          <w:tcPr>
            <w:tcW w:w="4672" w:type="dxa"/>
            <w:vAlign w:val="center"/>
          </w:tcPr>
          <w:p w14:paraId="38E6D81F">
            <w:pPr>
              <w:shd w:val="clear"/>
              <w:jc w:val="left"/>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0771-3233183</w:t>
            </w:r>
          </w:p>
        </w:tc>
        <w:tc>
          <w:tcPr>
            <w:tcW w:w="4672" w:type="dxa"/>
            <w:vAlign w:val="center"/>
          </w:tcPr>
          <w:p w14:paraId="0AFDEA97">
            <w:pPr>
              <w:shd w:val="clear"/>
              <w:jc w:val="left"/>
              <w:rPr>
                <w:rFonts w:ascii="宋体" w:hAnsi="宋体"/>
                <w:color w:val="auto"/>
                <w:szCs w:val="21"/>
                <w:highlight w:val="none"/>
              </w:rPr>
            </w:pPr>
            <w:r>
              <w:rPr>
                <w:rFonts w:hint="eastAsia" w:ascii="宋体" w:hAnsi="宋体"/>
                <w:color w:val="auto"/>
                <w:szCs w:val="21"/>
                <w:highlight w:val="none"/>
              </w:rPr>
              <w:t>电话：</w:t>
            </w:r>
          </w:p>
        </w:tc>
      </w:tr>
      <w:tr w14:paraId="556A024D">
        <w:tblPrEx>
          <w:tblCellMar>
            <w:top w:w="0" w:type="dxa"/>
            <w:left w:w="108" w:type="dxa"/>
            <w:bottom w:w="0" w:type="dxa"/>
            <w:right w:w="108" w:type="dxa"/>
          </w:tblCellMar>
        </w:tblPrEx>
        <w:trPr>
          <w:trHeight w:val="567" w:hRule="atLeast"/>
          <w:jc w:val="center"/>
        </w:trPr>
        <w:tc>
          <w:tcPr>
            <w:tcW w:w="4672" w:type="dxa"/>
            <w:vAlign w:val="center"/>
          </w:tcPr>
          <w:p w14:paraId="6520AE8C">
            <w:pPr>
              <w:shd w:val="clear"/>
              <w:jc w:val="left"/>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u w:val="single"/>
              </w:rPr>
              <w:t>0771-3272160</w:t>
            </w:r>
          </w:p>
        </w:tc>
        <w:tc>
          <w:tcPr>
            <w:tcW w:w="4672" w:type="dxa"/>
            <w:vAlign w:val="center"/>
          </w:tcPr>
          <w:p w14:paraId="31D50D3F">
            <w:pPr>
              <w:shd w:val="clear"/>
              <w:jc w:val="left"/>
              <w:rPr>
                <w:rFonts w:ascii="宋体" w:hAnsi="宋体"/>
                <w:color w:val="auto"/>
                <w:szCs w:val="21"/>
                <w:highlight w:val="none"/>
              </w:rPr>
            </w:pPr>
            <w:r>
              <w:rPr>
                <w:rFonts w:hint="eastAsia" w:ascii="宋体" w:hAnsi="宋体"/>
                <w:color w:val="auto"/>
                <w:szCs w:val="21"/>
                <w:highlight w:val="none"/>
              </w:rPr>
              <w:t>传真：</w:t>
            </w:r>
          </w:p>
        </w:tc>
      </w:tr>
      <w:tr w14:paraId="5FCCAA61">
        <w:tblPrEx>
          <w:tblCellMar>
            <w:top w:w="0" w:type="dxa"/>
            <w:left w:w="108" w:type="dxa"/>
            <w:bottom w:w="0" w:type="dxa"/>
            <w:right w:w="108" w:type="dxa"/>
          </w:tblCellMar>
        </w:tblPrEx>
        <w:trPr>
          <w:trHeight w:val="567" w:hRule="atLeast"/>
          <w:jc w:val="center"/>
        </w:trPr>
        <w:tc>
          <w:tcPr>
            <w:tcW w:w="4672" w:type="dxa"/>
            <w:vAlign w:val="center"/>
          </w:tcPr>
          <w:p w14:paraId="5EE72AB3">
            <w:pPr>
              <w:shd w:val="clear"/>
              <w:jc w:val="left"/>
              <w:rPr>
                <w:rFonts w:ascii="宋体" w:hAnsi="宋体"/>
                <w:color w:val="auto"/>
                <w:szCs w:val="21"/>
                <w:highlight w:val="none"/>
              </w:rPr>
            </w:pPr>
            <w:r>
              <w:rPr>
                <w:rFonts w:hint="eastAsia" w:ascii="宋体" w:hAnsi="宋体"/>
                <w:color w:val="auto"/>
                <w:szCs w:val="21"/>
                <w:highlight w:val="none"/>
              </w:rPr>
              <w:t>电子信箱：</w:t>
            </w:r>
            <w:r>
              <w:rPr>
                <w:color w:val="auto"/>
                <w:highlight w:val="none"/>
              </w:rPr>
              <w:fldChar w:fldCharType="begin"/>
            </w:r>
            <w:r>
              <w:rPr>
                <w:color w:val="auto"/>
                <w:highlight w:val="none"/>
              </w:rPr>
              <w:instrText xml:space="preserve"> HYPERLINK "mailto:gxdxsbk@163.com" </w:instrText>
            </w:r>
            <w:r>
              <w:rPr>
                <w:color w:val="auto"/>
                <w:highlight w:val="none"/>
              </w:rPr>
              <w:fldChar w:fldCharType="separate"/>
            </w:r>
            <w:r>
              <w:rPr>
                <w:rStyle w:val="45"/>
                <w:rFonts w:hint="eastAsia" w:ascii="宋体" w:hAnsi="宋体"/>
                <w:color w:val="auto"/>
                <w:szCs w:val="21"/>
                <w:highlight w:val="none"/>
              </w:rPr>
              <w:t>gxdxsbk@163.com</w:t>
            </w:r>
            <w:r>
              <w:rPr>
                <w:rStyle w:val="45"/>
                <w:rFonts w:hint="eastAsia" w:ascii="宋体" w:hAnsi="宋体"/>
                <w:color w:val="auto"/>
                <w:szCs w:val="21"/>
                <w:highlight w:val="none"/>
              </w:rPr>
              <w:fldChar w:fldCharType="end"/>
            </w:r>
          </w:p>
        </w:tc>
        <w:tc>
          <w:tcPr>
            <w:tcW w:w="4672" w:type="dxa"/>
            <w:vAlign w:val="center"/>
          </w:tcPr>
          <w:p w14:paraId="655DEFFD">
            <w:pPr>
              <w:shd w:val="clear"/>
              <w:jc w:val="left"/>
              <w:rPr>
                <w:rFonts w:ascii="宋体" w:hAnsi="宋体"/>
                <w:color w:val="auto"/>
                <w:szCs w:val="21"/>
                <w:highlight w:val="none"/>
              </w:rPr>
            </w:pPr>
            <w:r>
              <w:rPr>
                <w:rFonts w:hint="eastAsia" w:ascii="宋体" w:hAnsi="宋体"/>
                <w:color w:val="auto"/>
                <w:szCs w:val="21"/>
                <w:highlight w:val="none"/>
              </w:rPr>
              <w:t>电子信箱：</w:t>
            </w:r>
          </w:p>
        </w:tc>
      </w:tr>
      <w:tr w14:paraId="2B4C427A">
        <w:tblPrEx>
          <w:tblCellMar>
            <w:top w:w="0" w:type="dxa"/>
            <w:left w:w="108" w:type="dxa"/>
            <w:bottom w:w="0" w:type="dxa"/>
            <w:right w:w="108" w:type="dxa"/>
          </w:tblCellMar>
        </w:tblPrEx>
        <w:trPr>
          <w:trHeight w:val="567" w:hRule="atLeast"/>
          <w:jc w:val="center"/>
        </w:trPr>
        <w:tc>
          <w:tcPr>
            <w:tcW w:w="4672" w:type="dxa"/>
            <w:vAlign w:val="center"/>
          </w:tcPr>
          <w:p w14:paraId="49B1338A">
            <w:pPr>
              <w:shd w:val="clear"/>
              <w:jc w:val="left"/>
              <w:rPr>
                <w:rFonts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u w:val="single"/>
              </w:rPr>
              <w:t xml:space="preserve">中国银行广西南宁市西大支行 </w:t>
            </w:r>
          </w:p>
        </w:tc>
        <w:tc>
          <w:tcPr>
            <w:tcW w:w="4672" w:type="dxa"/>
            <w:vAlign w:val="center"/>
          </w:tcPr>
          <w:p w14:paraId="2E1308FB">
            <w:pPr>
              <w:shd w:val="clear"/>
              <w:jc w:val="left"/>
              <w:rPr>
                <w:rFonts w:ascii="宋体" w:hAnsi="宋体"/>
                <w:color w:val="auto"/>
                <w:szCs w:val="21"/>
                <w:highlight w:val="none"/>
              </w:rPr>
            </w:pPr>
            <w:r>
              <w:rPr>
                <w:rFonts w:hint="eastAsia" w:ascii="宋体" w:hAnsi="宋体"/>
                <w:color w:val="auto"/>
                <w:szCs w:val="21"/>
                <w:highlight w:val="none"/>
              </w:rPr>
              <w:t>开户银行：</w:t>
            </w:r>
          </w:p>
        </w:tc>
      </w:tr>
      <w:tr w14:paraId="0A466978">
        <w:tblPrEx>
          <w:tblCellMar>
            <w:top w:w="0" w:type="dxa"/>
            <w:left w:w="108" w:type="dxa"/>
            <w:bottom w:w="0" w:type="dxa"/>
            <w:right w:w="108" w:type="dxa"/>
          </w:tblCellMar>
        </w:tblPrEx>
        <w:trPr>
          <w:trHeight w:val="567" w:hRule="atLeast"/>
          <w:jc w:val="center"/>
        </w:trPr>
        <w:tc>
          <w:tcPr>
            <w:tcW w:w="4672" w:type="dxa"/>
            <w:vAlign w:val="center"/>
          </w:tcPr>
          <w:p w14:paraId="279F0C20">
            <w:pPr>
              <w:shd w:val="clear"/>
              <w:jc w:val="left"/>
              <w:rPr>
                <w:rFonts w:ascii="宋体" w:hAnsi="宋体"/>
                <w:color w:val="auto"/>
                <w:szCs w:val="21"/>
                <w:highlight w:val="none"/>
              </w:rPr>
            </w:pPr>
            <w:r>
              <w:rPr>
                <w:rFonts w:hint="eastAsia" w:ascii="宋体" w:hAnsi="宋体"/>
                <w:color w:val="auto"/>
                <w:szCs w:val="21"/>
                <w:highlight w:val="none"/>
              </w:rPr>
              <w:t>账号：</w:t>
            </w:r>
            <w:r>
              <w:rPr>
                <w:rFonts w:hint="eastAsia" w:ascii="宋体" w:hAnsi="宋体"/>
                <w:color w:val="auto"/>
                <w:szCs w:val="21"/>
                <w:highlight w:val="none"/>
                <w:u w:val="single"/>
              </w:rPr>
              <w:t>618457484938</w:t>
            </w:r>
          </w:p>
        </w:tc>
        <w:tc>
          <w:tcPr>
            <w:tcW w:w="4672" w:type="dxa"/>
            <w:vAlign w:val="center"/>
          </w:tcPr>
          <w:p w14:paraId="1BA0FE3F">
            <w:pPr>
              <w:shd w:val="clear"/>
              <w:jc w:val="left"/>
              <w:rPr>
                <w:rFonts w:ascii="宋体" w:hAnsi="宋体"/>
                <w:color w:val="auto"/>
                <w:szCs w:val="21"/>
                <w:highlight w:val="none"/>
              </w:rPr>
            </w:pPr>
            <w:r>
              <w:rPr>
                <w:rFonts w:hint="eastAsia" w:ascii="宋体" w:hAnsi="宋体"/>
                <w:color w:val="auto"/>
                <w:szCs w:val="21"/>
                <w:highlight w:val="none"/>
              </w:rPr>
              <w:t>账号：</w:t>
            </w:r>
          </w:p>
        </w:tc>
      </w:tr>
    </w:tbl>
    <w:p w14:paraId="4A48C502">
      <w:pPr>
        <w:shd w:val="clear"/>
        <w:spacing w:line="360" w:lineRule="auto"/>
        <w:ind w:firstLine="420" w:firstLineChars="200"/>
        <w:rPr>
          <w:rFonts w:ascii="宋体" w:hAnsi="宋体" w:eastAsia="宋体"/>
          <w:color w:val="auto"/>
          <w:szCs w:val="21"/>
          <w:highlight w:val="none"/>
        </w:rPr>
      </w:pPr>
    </w:p>
    <w:p w14:paraId="64BAC234">
      <w:pPr>
        <w:shd w:val="clea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6BB934FB">
      <w:pPr>
        <w:pStyle w:val="3"/>
        <w:shd w:val="clear"/>
        <w:spacing w:before="0" w:after="0" w:line="240" w:lineRule="auto"/>
        <w:jc w:val="center"/>
        <w:rPr>
          <w:rFonts w:ascii="宋体" w:hAnsi="宋体" w:eastAsia="宋体"/>
          <w:color w:val="auto"/>
          <w:sz w:val="30"/>
          <w:szCs w:val="30"/>
          <w:highlight w:val="none"/>
        </w:rPr>
      </w:pPr>
      <w:bookmarkStart w:id="79" w:name="_Toc195459461"/>
      <w:bookmarkStart w:id="80" w:name="_Toc197530136"/>
      <w:r>
        <w:rPr>
          <w:rFonts w:hint="eastAsia" w:ascii="宋体" w:hAnsi="宋体" w:eastAsia="宋体"/>
          <w:color w:val="auto"/>
          <w:sz w:val="30"/>
          <w:szCs w:val="30"/>
          <w:highlight w:val="none"/>
        </w:rPr>
        <w:t>第二部分 通用合同条款</w:t>
      </w:r>
      <w:bookmarkEnd w:id="79"/>
      <w:bookmarkEnd w:id="80"/>
    </w:p>
    <w:p w14:paraId="3B327732">
      <w:pPr>
        <w:shd w:val="clear"/>
        <w:spacing w:line="360" w:lineRule="auto"/>
        <w:ind w:firstLine="420" w:firstLineChars="200"/>
        <w:rPr>
          <w:rFonts w:hAnsi="宋体"/>
          <w:color w:val="auto"/>
          <w:kern w:val="0"/>
          <w:highlight w:val="none"/>
        </w:rPr>
      </w:pPr>
    </w:p>
    <w:p w14:paraId="1A13964D">
      <w:pPr>
        <w:shd w:val="clear"/>
        <w:spacing w:line="360" w:lineRule="auto"/>
        <w:ind w:firstLine="422" w:firstLineChars="200"/>
        <w:rPr>
          <w:rFonts w:hAnsi="宋体" w:cs="宋体"/>
          <w:b/>
          <w:bCs/>
          <w:color w:val="auto"/>
          <w:kern w:val="0"/>
          <w:highlight w:val="none"/>
        </w:rPr>
      </w:pPr>
      <w:r>
        <w:rPr>
          <w:rFonts w:hint="eastAsia" w:hAnsi="宋体" w:cs="宋体"/>
          <w:b/>
          <w:bCs/>
          <w:color w:val="auto"/>
          <w:kern w:val="0"/>
          <w:highlight w:val="none"/>
        </w:rPr>
        <w:t>采用《建设工程施工合同（示范文本）》（</w:t>
      </w:r>
      <w:r>
        <w:rPr>
          <w:rFonts w:hAnsi="宋体"/>
          <w:b/>
          <w:bCs/>
          <w:color w:val="auto"/>
          <w:kern w:val="0"/>
          <w:highlight w:val="none"/>
        </w:rPr>
        <w:t>GF</w:t>
      </w:r>
      <w:r>
        <w:rPr>
          <w:rFonts w:hAnsi="宋体" w:cs="宋体"/>
          <w:b/>
          <w:bCs/>
          <w:color w:val="auto"/>
          <w:kern w:val="0"/>
          <w:highlight w:val="none"/>
        </w:rPr>
        <w:t>—</w:t>
      </w:r>
      <w:r>
        <w:rPr>
          <w:rFonts w:hAnsi="宋体"/>
          <w:b/>
          <w:bCs/>
          <w:color w:val="auto"/>
          <w:kern w:val="0"/>
          <w:highlight w:val="none"/>
        </w:rPr>
        <w:t>201</w:t>
      </w:r>
      <w:r>
        <w:rPr>
          <w:rFonts w:hint="eastAsia" w:hAnsi="宋体"/>
          <w:b/>
          <w:bCs/>
          <w:color w:val="auto"/>
          <w:kern w:val="0"/>
          <w:highlight w:val="none"/>
        </w:rPr>
        <w:t>7</w:t>
      </w:r>
      <w:r>
        <w:rPr>
          <w:rFonts w:hAnsi="宋体" w:cs="宋体"/>
          <w:b/>
          <w:bCs/>
          <w:color w:val="auto"/>
          <w:kern w:val="0"/>
          <w:highlight w:val="none"/>
        </w:rPr>
        <w:t>—</w:t>
      </w:r>
      <w:r>
        <w:rPr>
          <w:rFonts w:hAnsi="宋体"/>
          <w:b/>
          <w:bCs/>
          <w:color w:val="auto"/>
          <w:kern w:val="0"/>
          <w:highlight w:val="none"/>
        </w:rPr>
        <w:t>0201</w:t>
      </w:r>
      <w:r>
        <w:rPr>
          <w:rFonts w:hint="eastAsia" w:hAnsi="宋体" w:cs="宋体"/>
          <w:b/>
          <w:bCs/>
          <w:color w:val="auto"/>
          <w:kern w:val="0"/>
          <w:highlight w:val="none"/>
        </w:rPr>
        <w:t>）。</w:t>
      </w:r>
    </w:p>
    <w:p w14:paraId="7C79D957">
      <w:pPr>
        <w:pStyle w:val="4"/>
        <w:shd w:val="clear"/>
        <w:jc w:val="left"/>
        <w:rPr>
          <w:rFonts w:ascii="宋体" w:hAnsi="宋体" w:eastAsia="宋体"/>
          <w:color w:val="auto"/>
          <w:sz w:val="28"/>
          <w:szCs w:val="28"/>
          <w:highlight w:val="none"/>
        </w:rPr>
      </w:pPr>
      <w:bookmarkStart w:id="81" w:name="_Toc195459462"/>
      <w:bookmarkStart w:id="82" w:name="_Toc197530137"/>
      <w:r>
        <w:rPr>
          <w:rFonts w:hint="eastAsia" w:ascii="宋体" w:hAnsi="宋体" w:eastAsia="宋体"/>
          <w:color w:val="auto"/>
          <w:sz w:val="28"/>
          <w:szCs w:val="28"/>
          <w:highlight w:val="none"/>
        </w:rPr>
        <w:t>1.一般约定</w:t>
      </w:r>
      <w:bookmarkEnd w:id="81"/>
      <w:bookmarkEnd w:id="82"/>
    </w:p>
    <w:p w14:paraId="6993E8D9">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1.1词语定义与解释</w:t>
      </w:r>
    </w:p>
    <w:p w14:paraId="6A58AB9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合同协议书、通用合同条款、专用合同条款中的下列词语具有本款所赋予的含义：</w:t>
      </w:r>
    </w:p>
    <w:p w14:paraId="66BC9D9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1.1.1合同</w:t>
      </w:r>
    </w:p>
    <w:p w14:paraId="6CF7B2B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1.1.1.1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14:paraId="758F8A5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1.1.1.2合同协议书：是指构成合同的由发包人和承包人共同签署的称为“合同协议书”的书面文件。</w:t>
      </w:r>
    </w:p>
    <w:p w14:paraId="1EBB1BA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1.1.1.3中标通知书：是指构成合同的由发包人通知承包人中标的书面文件。</w:t>
      </w:r>
    </w:p>
    <w:p w14:paraId="0B1F91E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1.1.1.4投标函：是指构成合同的由承包人填写并签署的用于投标的称为“投标函”的文件。</w:t>
      </w:r>
    </w:p>
    <w:p w14:paraId="552C4CE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1.1.1.5投标函附录：是指构成合同的附在投标函后的称为“投标函附录”的文件。</w:t>
      </w:r>
    </w:p>
    <w:p w14:paraId="1F8E8CB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1.1.1.6技术标准和要求：是指构成合同的施工应当遵守的或指导施工的国家、行业或地方的技术标准和要求，以及合同约定的技术标准和要求。</w:t>
      </w:r>
    </w:p>
    <w:p w14:paraId="3AB9F43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1.1.1.7图纸：是指构成合同的图纸，包括由发包人按照合同约定提供或经发包人批准的设计文件、施工图、鸟瞰图及模型等，以及在合同履行过程中形成的图纸文件。图纸应当按照法律规定审查合格。</w:t>
      </w:r>
    </w:p>
    <w:p w14:paraId="0AD9EB3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1.1.1.8已标价工程量清单：是指构成合同的由承包人按照规定的格式和要求填写并标明价格的工程量清单，包括说明和表格。</w:t>
      </w:r>
    </w:p>
    <w:p w14:paraId="6521A10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1.1.1.9预算书：是指构成合同的由承包人按照发包人规定的格式和要求编制的工程预算文件。</w:t>
      </w:r>
    </w:p>
    <w:p w14:paraId="562A7F2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1.1.1.10其他合同文件：是指经合同当事人约定的与工程施工有关的具有合同约束力的文件或书面协议。合同当事人可以在专用合同条款中进行约定。</w:t>
      </w:r>
    </w:p>
    <w:p w14:paraId="375CC23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1.1.2合同当事人及其他相关方</w:t>
      </w:r>
    </w:p>
    <w:p w14:paraId="7C92FFD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1.1.2.1合同当事人：是指发包人和（或）承包人。</w:t>
      </w:r>
    </w:p>
    <w:p w14:paraId="2E6E72E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1.1.2.2发包人：是指与承包人签订合同协议书的当事人及取得该当事人资格的合法继承人。</w:t>
      </w:r>
    </w:p>
    <w:p w14:paraId="5E3A51E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1.1.2.3承包人：是指与发包人签订合同协议书的，具有相应工程施工承包资质的当事人及取得该当事人资格的合法继承人。</w:t>
      </w:r>
    </w:p>
    <w:p w14:paraId="7E64997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1.1.2.4监理人：是指在专用合同条款中指明的，受发包人委托按照法律规定进行工程监督管理的法人或其他组织。</w:t>
      </w:r>
    </w:p>
    <w:p w14:paraId="745FDA1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1.1.2.5设计人：是指在专用合同条款中指明的，受发包人委托负责工程设计并具备相应工程设计资质的法人或其他组织。</w:t>
      </w:r>
    </w:p>
    <w:p w14:paraId="1C3FAF2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1.1.2.6分包人：是指按照法律规定和合同约定，分包部分工程或工作，并与承包人签订分包合同的具有相应资质的法人。</w:t>
      </w:r>
    </w:p>
    <w:p w14:paraId="522F478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1.1.2.7发包人代表：是指由发包人任命并派驻施工现场在发包人授权范围内行使发包人权利的人。</w:t>
      </w:r>
    </w:p>
    <w:p w14:paraId="7AD8EB0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1.1.2.8项目经理：是指由承包人任命并派驻施工现场，在承包人授权范围内负责合同履行，且按照法律规定具有相应资格的项目负责人。</w:t>
      </w:r>
    </w:p>
    <w:p w14:paraId="6EBC45B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1.1.2.9总监理工程师：是指由监理人任命并派驻施工现场进行工程监理的总负责人。</w:t>
      </w:r>
    </w:p>
    <w:p w14:paraId="47CBCB9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1.1.3工程和设备</w:t>
      </w:r>
    </w:p>
    <w:p w14:paraId="704EEDD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1.1.3.1工程：是指与合同协议书中工程承包范围对应的永久工程和（或）临时工程。</w:t>
      </w:r>
    </w:p>
    <w:p w14:paraId="1F067C7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1.1.3.2永久工程：是指按合同约定建造并移交给发包人的工程，包括工程设备。</w:t>
      </w:r>
    </w:p>
    <w:p w14:paraId="56E0A4E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1.1.3.3临时工程：是指为完成合同约定的永久工程所修建的各类临时性工程，不包括施工设备。</w:t>
      </w:r>
    </w:p>
    <w:p w14:paraId="0324534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1.1.3.4单位工程：是指在合同协议书中指明的，具备独立施工条件并能形成独立使用功能的永久工程。</w:t>
      </w:r>
    </w:p>
    <w:p w14:paraId="239B4DD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1.1.3.5工程设备：是指构成永久工程的机电设备、金属结构设备、仪器及其他类似的设备和装置。</w:t>
      </w:r>
    </w:p>
    <w:p w14:paraId="1807024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1.1.3.6施工设备：是指为完成合同约定的各项工作所需的设备、器具和其他物品，但不包括工程设备、临时工程和材料。</w:t>
      </w:r>
    </w:p>
    <w:p w14:paraId="5FEF83A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1.1.3.7施工现场：是指用于工程施工的场所，以及在专用合同条款中指明作为施工场所组成部分的其他场所，包括永久占地和临时占地。</w:t>
      </w:r>
    </w:p>
    <w:p w14:paraId="029BB04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1.1.3.8临时设施：是指为完成合同约定的各项工作所服务的临时性生产和生活设施。</w:t>
      </w:r>
    </w:p>
    <w:p w14:paraId="29C5AC1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1.1.3.9永久占地：是指专用合同条款中指明为实施工程需永久占用的土地。</w:t>
      </w:r>
    </w:p>
    <w:p w14:paraId="1F67DF9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1.1.3.10临时占地：是指专用合同条款中指明为实施工程需要临时占用的土地。</w:t>
      </w:r>
    </w:p>
    <w:p w14:paraId="6EF8E67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1.1.4日期和期限</w:t>
      </w:r>
    </w:p>
    <w:p w14:paraId="5DAF2C5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1.1.4.1开工日期：包括计划开工日期和实际开工日期。计划开工日期是指合同协议书约定的开工日期；实际开工日期是指监理人按照第7.3.2项〔开工通知〕约定发出的符合法律规定的开工通知中载明的开工日期。</w:t>
      </w:r>
    </w:p>
    <w:p w14:paraId="2443F04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1.1.4.2竣工日期：包括计划竣工日期和实际竣工日期。计划竣工日期是指合同协议书约定的竣工日期；实际竣工日期按照第13.2.3项〔竣工日期〕的约定确定。</w:t>
      </w:r>
    </w:p>
    <w:p w14:paraId="5D6586E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1.1.4.3工期：是指在合同协议书约定的承包人完成工程所需的期限，包括按照合同约定所作的期限变更。</w:t>
      </w:r>
    </w:p>
    <w:p w14:paraId="1AF4D46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1.1.4.4缺陷责任期：是指承包人按照合同约定承担缺陷修复义务，且发包人预留质量保证金（已缴纳履约保证金的除外）的期限，自工程实际竣工日期起计算。</w:t>
      </w:r>
    </w:p>
    <w:p w14:paraId="3D84A19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1.1.4.5保修期：是指承包人按照合同约定对工程承担保修责任的期限，从工程竣工验收合格之日起计算。</w:t>
      </w:r>
    </w:p>
    <w:p w14:paraId="243836F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1.1.4.6基准日期：招标发包的工程以投标截止日前28天的日期为基准日期，直接发包的工程以合同签订日前28天的日期为基准日期。</w:t>
      </w:r>
    </w:p>
    <w:p w14:paraId="1BA04C3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1.1.4.7天：除特别指明外，均指日历天。合同中按天计算时间的，开始当天不计入，从次日开始计算，期限最后一天的截止时间为当天24：00时。</w:t>
      </w:r>
    </w:p>
    <w:p w14:paraId="6F978D5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1.1.5合同价格和费用</w:t>
      </w:r>
    </w:p>
    <w:p w14:paraId="24168D3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1.1.5.1签约合同价：是指发包人和承包人在合同协议书中确定的总金额，包括安全文明施工费、暂估价及暂列金额等。</w:t>
      </w:r>
    </w:p>
    <w:p w14:paraId="1034307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1.1.5.2合同价格：是指发包人用于支付承包人按照合同约定完成承包范围内全部工作的金额，包括合同履行过程中按合同约定发生的价格变化。</w:t>
      </w:r>
    </w:p>
    <w:p w14:paraId="3D3391D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1.1.5.3费用：是指为履行合同所发生的或将要发生的所有必需的开支，包括管理费和应分摊的其他费用，但不包括利润。</w:t>
      </w:r>
    </w:p>
    <w:p w14:paraId="7E6E5AF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1.1.5.4暂估价：是指发包人在工程量清单或预算书中提供的用于支付必然发生但暂时不能确定价格的材料、工程设备的单价、专业工程以及服务工作的金额。</w:t>
      </w:r>
    </w:p>
    <w:p w14:paraId="6AA5881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1.1.5.5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6B6358B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1.1.5.6计日工：是指合同履行过程中，承包人完成发包人提出的零星工作或需要采用计日工计价的变更工作时，按合同中约定的单价计价的一种方式。</w:t>
      </w:r>
    </w:p>
    <w:p w14:paraId="5D5017D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1.1.5.7质量保证金：是指按照第15.3款〔质量保证金〕约定承包人用于保证其在缺陷责任期内履行缺陷修补义务的担保。</w:t>
      </w:r>
    </w:p>
    <w:p w14:paraId="64AF4A2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1.1.5.8总价项目：是指在现行国家、行业以及地方的计量规则中无工程量计算规则，在已标价工程量清单或预算书中以总价或以费率形式计算的项目。</w:t>
      </w:r>
    </w:p>
    <w:p w14:paraId="33BD8D9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1.1.6其他</w:t>
      </w:r>
    </w:p>
    <w:p w14:paraId="09EDD39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1.1.6.1书面形式：是指合同文件、信函、电报、传真等可以有形地表现所载内容的形式。</w:t>
      </w:r>
    </w:p>
    <w:p w14:paraId="03DC0E3F">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1.2语言文字</w:t>
      </w:r>
    </w:p>
    <w:p w14:paraId="2C1B430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合同以中国的汉语简体文字编写、解释和说明。合同当事人在专用合同条款中约定使用两种以上语言时，汉语为优先解释和说明合同的语言。</w:t>
      </w:r>
    </w:p>
    <w:p w14:paraId="2CE84475">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1.3法律</w:t>
      </w:r>
    </w:p>
    <w:p w14:paraId="6597043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合同所称法律是指中华人民共和国法律、行政法规、部门规章，以及工程所在地的地方性法规、自治条例、单行条例和地方政府规章等。</w:t>
      </w:r>
    </w:p>
    <w:p w14:paraId="6D895EE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合同当事人可以在专用合同条款中约定合同适用的其他规范性文件。</w:t>
      </w:r>
    </w:p>
    <w:p w14:paraId="4A0BF66D">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1.4标准和规范</w:t>
      </w:r>
    </w:p>
    <w:p w14:paraId="47F99A5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1.4.1适用于工程的国家标准、行业标准、工程所在地的地方性标准，以及相应的规范、规程等，合同当事人有特别要求的，应在专用合同条款中约定。</w:t>
      </w:r>
    </w:p>
    <w:p w14:paraId="4DA23D1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1.4.2发包人要求使用国外标准、规范的，发包人负责提供原文版本和中文译本，并在专用合同条款中约定提供标准规范的名称、份数和时间。</w:t>
      </w:r>
    </w:p>
    <w:p w14:paraId="640F6F0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1.4.3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3F2261AA">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1.5合同文件的优先顺序</w:t>
      </w:r>
    </w:p>
    <w:p w14:paraId="25098A9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组成合同的各项文件应互相解释，互为说明。除专用合同条款另有约定外，解释合同文件的优先顺序如下：</w:t>
      </w:r>
    </w:p>
    <w:p w14:paraId="7A17199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（1）合同协议书；</w:t>
      </w:r>
    </w:p>
    <w:p w14:paraId="633DF2B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（2）中标通知书（如果有）；</w:t>
      </w:r>
    </w:p>
    <w:p w14:paraId="5A96867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（3）投标函及其附录（如果有）；</w:t>
      </w:r>
    </w:p>
    <w:p w14:paraId="5BB07CF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（4）专用合同条款及其附件；</w:t>
      </w:r>
    </w:p>
    <w:p w14:paraId="1CB6B00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（5）通用合同条款；</w:t>
      </w:r>
    </w:p>
    <w:p w14:paraId="278BBB0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（6）技术标准和要求；</w:t>
      </w:r>
    </w:p>
    <w:p w14:paraId="36930E7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（7）图纸；</w:t>
      </w:r>
    </w:p>
    <w:p w14:paraId="429F3FB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（8）已标价工程量清单或预算书；</w:t>
      </w:r>
    </w:p>
    <w:p w14:paraId="725CA18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（9）其他合同文件。</w:t>
      </w:r>
    </w:p>
    <w:p w14:paraId="66ACB10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上述各项合同文件包括合同当事人就该项合同文件所作出的补充和修改，属于同一类内容的文件，应以最新签署的为准。</w:t>
      </w:r>
    </w:p>
    <w:p w14:paraId="0A10010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在合同订立及履行过程中形成的与合同有关的文件均构成合同文件组成部分，并根据其性质确定优先解释顺序。</w:t>
      </w:r>
    </w:p>
    <w:p w14:paraId="23045F2F">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1.6图纸和承包人文件</w:t>
      </w:r>
    </w:p>
    <w:p w14:paraId="79C4484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1.6.1图纸的提供和交底</w:t>
      </w:r>
    </w:p>
    <w:p w14:paraId="7A16444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434557B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因发包人未按合同约定提供图纸导致承包人费用增加和（或）工期延误的，按照第7.5.1项〔因发包人原因导致工期延误〕约定办理。</w:t>
      </w:r>
    </w:p>
    <w:p w14:paraId="5643DDA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1.6.2图纸的错误</w:t>
      </w:r>
    </w:p>
    <w:p w14:paraId="049C24E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7540200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1.6.3图纸的修改和补充</w:t>
      </w:r>
    </w:p>
    <w:p w14:paraId="3818DD1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2CE7B36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1.6.4承包人文件</w:t>
      </w:r>
    </w:p>
    <w:p w14:paraId="4FDB02C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承包人应按照专用合同条款的约定提供应当由其编制的与工程施工有关的文件，并按照专用合同条款约定的期限、数量和形式提交监理人，并由监理人报送发包人。</w:t>
      </w:r>
    </w:p>
    <w:p w14:paraId="2007B17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622FFC2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1.6.5图纸和承包人文件的保管</w:t>
      </w:r>
    </w:p>
    <w:p w14:paraId="65E8F01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除专用合同条款另有约定外，承包人应在施工现场另外保存一套完整的图纸和承包人文件，供发包人、监理人及有关人员进行工程检查时使用。</w:t>
      </w:r>
    </w:p>
    <w:p w14:paraId="344F2AE6">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1.7联络</w:t>
      </w:r>
    </w:p>
    <w:p w14:paraId="5C2D882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1.7.1与合同有关的通知、批准、证明、证书、指示、指令、要求、请求、同意、意见、确定和决定等，均应采用书面形式，并应在合同约定的期限内送达接收人和送达地点。</w:t>
      </w:r>
    </w:p>
    <w:p w14:paraId="59CD2EC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1.7.2发包人和承包人应在专用合同条款中约定各自的送达接收人和送达地点。任何一方合同当事人指定的接收人或送达地点发生变动的，应提前3天以书面形式通知对方。</w:t>
      </w:r>
    </w:p>
    <w:p w14:paraId="2F87CC9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1.7.3发包人和承包人应当及时签收另一方送达至送达地点和指定接收人的来往信函。拒不签收的，由此增加的费用和（或）延误的工期由拒绝接收一方承担。</w:t>
      </w:r>
    </w:p>
    <w:p w14:paraId="07C00629">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1.8严禁贿赂</w:t>
      </w:r>
    </w:p>
    <w:p w14:paraId="6CB915C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合同当事人不得以贿赂或变相贿赂的方式，谋取非法利益或损害对方权益。因一方合同当事人的贿赂造成对方损失的，应赔偿损失，并承担相应的法律责任。</w:t>
      </w:r>
    </w:p>
    <w:p w14:paraId="1386618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2558E5F1">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1.9化石、文物</w:t>
      </w:r>
    </w:p>
    <w:p w14:paraId="5E7A1D3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0DC0094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发包人、监理人和承包人应按有关政府行政管理部门要求采取妥善的保护措施，由此增加的费用和（或）延误的工期由发包人承担。</w:t>
      </w:r>
    </w:p>
    <w:p w14:paraId="1B3075A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承包人发现文物后不及时报告或隐瞒不报，致使文物丢失或损坏的，应赔偿损失，并承担相应的法律责任。</w:t>
      </w:r>
    </w:p>
    <w:p w14:paraId="2D1F7758">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1.10交通运输</w:t>
      </w:r>
    </w:p>
    <w:p w14:paraId="2B322A5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1.10.1出入现场的权利</w:t>
      </w:r>
    </w:p>
    <w:p w14:paraId="3E8FD88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2F72630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524CB41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1.10.2场外交通</w:t>
      </w:r>
    </w:p>
    <w:p w14:paraId="63A4CB7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441D6AA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1.10.3场内交通</w:t>
      </w:r>
    </w:p>
    <w:p w14:paraId="3791F9F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762E418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6794D3F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场外交通和场内交通的边界由合同当事人在专用合同条款中约定。</w:t>
      </w:r>
    </w:p>
    <w:p w14:paraId="5394E21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1.10.4超大件和超重件的运输</w:t>
      </w:r>
    </w:p>
    <w:p w14:paraId="11B2055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582A50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1.10.5道路和桥梁的损坏责任</w:t>
      </w:r>
    </w:p>
    <w:p w14:paraId="3002DF8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因承包人运输造成施工场地内外公共道路和桥梁损坏的，由承包人承担修复损坏的全部费用和可能引起的赔偿。</w:t>
      </w:r>
    </w:p>
    <w:p w14:paraId="7945346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1.10.6水路和航空运输</w:t>
      </w:r>
    </w:p>
    <w:p w14:paraId="6EF8136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本款前述各项的内容适用于水路运输和航空运输，其中“道路”一词的涵义包括河道、航线、船闸、机场、码头、堤防以及水路或航空运输中其他相似结构物；“车辆”一词的涵义包括船舶和飞机等。</w:t>
      </w:r>
    </w:p>
    <w:p w14:paraId="3E0D5B6B">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1.11知识产权</w:t>
      </w:r>
    </w:p>
    <w:p w14:paraId="2178DB3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1.11.1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347F4B9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1.11.2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2839B9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1.11.3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5DF4275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1.11.4除专用合同条款另有约定外，承包人在合同签订前和签订时已确定采用的专利、专有技术、技术秘密的使用费已包含在签约合同价中。</w:t>
      </w:r>
    </w:p>
    <w:p w14:paraId="7A957B95">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1.12保密</w:t>
      </w:r>
    </w:p>
    <w:p w14:paraId="53B2FA9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除法律规定或合同另有约定外，未经发包人同意，承包人不得将发包人提供的图纸、文件以及声明需要保密的资料信息等商业秘密泄露给第三方。</w:t>
      </w:r>
    </w:p>
    <w:p w14:paraId="144354D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除法律规定或合同另有约定外，未经承包人同意，发包人不得将承包人提供的技术秘密及声明需要保密的资料信息等商业秘密泄露给第三方。</w:t>
      </w:r>
    </w:p>
    <w:p w14:paraId="761A4625">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1.13工程量清单错误的修正</w:t>
      </w:r>
    </w:p>
    <w:p w14:paraId="6901E05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除专用合同条款另有约定外，发包人提供的工程量清单，应被认为是准确的和完整的。出现下列情形之一时，发包人应予以修正，并相应调整合同价格：</w:t>
      </w:r>
    </w:p>
    <w:p w14:paraId="08076C6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（1）工程量清单存在缺项、漏项的；</w:t>
      </w:r>
    </w:p>
    <w:p w14:paraId="1FD6714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（2）工程量清单偏差超出专用合同条款约定的工程量偏差范围的；</w:t>
      </w:r>
    </w:p>
    <w:p w14:paraId="00C3892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（3）未按照国家现行计量规范强制性规定计量的。</w:t>
      </w:r>
    </w:p>
    <w:p w14:paraId="687276E3">
      <w:pPr>
        <w:pStyle w:val="4"/>
        <w:shd w:val="clear"/>
        <w:jc w:val="left"/>
        <w:rPr>
          <w:rFonts w:ascii="宋体" w:hAnsi="宋体" w:eastAsia="宋体"/>
          <w:color w:val="auto"/>
          <w:sz w:val="28"/>
          <w:szCs w:val="28"/>
          <w:highlight w:val="none"/>
        </w:rPr>
      </w:pPr>
      <w:bookmarkStart w:id="83" w:name="_Toc197530138"/>
      <w:bookmarkStart w:id="84" w:name="_Toc195459463"/>
      <w:r>
        <w:rPr>
          <w:rFonts w:hint="eastAsia" w:ascii="宋体" w:hAnsi="宋体" w:eastAsia="宋体"/>
          <w:color w:val="auto"/>
          <w:sz w:val="28"/>
          <w:szCs w:val="28"/>
          <w:highlight w:val="none"/>
        </w:rPr>
        <w:t>2.发包人</w:t>
      </w:r>
      <w:bookmarkEnd w:id="83"/>
      <w:bookmarkEnd w:id="84"/>
    </w:p>
    <w:p w14:paraId="0A47BFC1">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2.1许可或批准</w:t>
      </w:r>
    </w:p>
    <w:p w14:paraId="7D94138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34BDCF4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因发包人原因未能及时办理完毕前述许可、批准或备案，由发包人承担由此增加的费用和（或）延误的工期，并支付承包人合理的利润。</w:t>
      </w:r>
    </w:p>
    <w:p w14:paraId="70C68BB8">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2.2发包人代表</w:t>
      </w:r>
    </w:p>
    <w:p w14:paraId="0BEB0E6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53934E8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发包人代表不能按照合同约定履行其职责及义务，并导致合同无法继续正常履行的，承包人可以要求发包人撤换发包人代表。</w:t>
      </w:r>
    </w:p>
    <w:p w14:paraId="55380F6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不属于法定必须监理的工程，监理人的职权可以由发包人代表或发包人指定的其他人员行使。</w:t>
      </w:r>
    </w:p>
    <w:p w14:paraId="62B36FAE">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2.3发包人人员</w:t>
      </w:r>
    </w:p>
    <w:p w14:paraId="18D045D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发包人应要求在施工现场的发包人人员遵守法律及有关安全、质量、环境保护、文明施工等规定，并保障承包人免于承受因发包人人员未遵守上述要求给承包人造成的损失和责任。</w:t>
      </w:r>
    </w:p>
    <w:p w14:paraId="09135A7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发包人人员包括发包人代表及其他由发包人派驻施工现场的人员。</w:t>
      </w:r>
    </w:p>
    <w:p w14:paraId="468149A9">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2.4施工现场、施工条件和基础资料的提供</w:t>
      </w:r>
    </w:p>
    <w:p w14:paraId="68F3C37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2.4.1提供施工现场</w:t>
      </w:r>
    </w:p>
    <w:p w14:paraId="6A9E9BB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除专用合同条款另有约定外，发包人应最迟于开工日期7天前向承包人移交施工现场。</w:t>
      </w:r>
    </w:p>
    <w:p w14:paraId="61C8ECD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2.4.2提供施工条件</w:t>
      </w:r>
    </w:p>
    <w:p w14:paraId="7432A56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除专用合同条款另有约定外，发包人应负责提供施工所需要的条件，包括：</w:t>
      </w:r>
    </w:p>
    <w:p w14:paraId="5600748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（1）将施工用水、电力、通讯线路等施工所必需的条件接至施工现场内；</w:t>
      </w:r>
    </w:p>
    <w:p w14:paraId="6A84231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（2）保证向承包人提供正常施工所需要的进入施工现场的交通条件；</w:t>
      </w:r>
    </w:p>
    <w:p w14:paraId="6A43B38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（3）协调处理施工现场周围地下管线和邻近建筑物、构筑物、古树名木的保护工作，并承担相关费用；</w:t>
      </w:r>
    </w:p>
    <w:p w14:paraId="424A168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（4）按照专用合同条款约定应提供的其他设施和条件。</w:t>
      </w:r>
    </w:p>
    <w:p w14:paraId="2F4F41D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2.4.3提供基础资料</w:t>
      </w:r>
    </w:p>
    <w:p w14:paraId="0E9E88B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72EE93C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按照法律规定确需在开工后方能提供的基础资料，发包人应尽其努力及时地在相应工程施工前的合理期限内提供，合理期限应以不影响承包人的正常施工为限。</w:t>
      </w:r>
    </w:p>
    <w:p w14:paraId="45A7992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2.4.4逾期提供的责任</w:t>
      </w:r>
    </w:p>
    <w:p w14:paraId="49AB23A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因发包人原因未能按合同约定及时向承包人提供施工现场、施工条件、基础资料的，由发包人承担由此增加的费用和（或）延误的工期。</w:t>
      </w:r>
    </w:p>
    <w:p w14:paraId="45832671">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2.5资金来源证明及支付担保</w:t>
      </w:r>
    </w:p>
    <w:p w14:paraId="53668B0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除专用合同条款另有约定外，发包人应在收到承包人要求提供资金来源证明的书面通知后28天内，向承包人提供能够按照合同约定支付合同价款的相应资金来源证明。</w:t>
      </w:r>
    </w:p>
    <w:p w14:paraId="1FF14EF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076DFF2B">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2.6支付合同价款</w:t>
      </w:r>
    </w:p>
    <w:p w14:paraId="21E2CE0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发包人应按合同约定向承包人及时支付合同价款。</w:t>
      </w:r>
    </w:p>
    <w:p w14:paraId="15064E8A">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2.7组织竣工验收</w:t>
      </w:r>
    </w:p>
    <w:p w14:paraId="2DFFCAD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发包人应按合同约定及时组织竣工验收。</w:t>
      </w:r>
    </w:p>
    <w:p w14:paraId="49166C1B">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2.8现场统一管理协议</w:t>
      </w:r>
    </w:p>
    <w:p w14:paraId="7C3E304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发包人应与承包人、由发包人直接发包的专业工程的承包人签订施工现场统一管理协议，明确各方的权利义务。施工现场统一管理协议作为专用合同条款的附件。</w:t>
      </w:r>
    </w:p>
    <w:p w14:paraId="78CE35C1">
      <w:pPr>
        <w:pStyle w:val="4"/>
        <w:shd w:val="clear"/>
        <w:jc w:val="left"/>
        <w:rPr>
          <w:rFonts w:ascii="宋体" w:hAnsi="宋体" w:eastAsia="宋体"/>
          <w:color w:val="auto"/>
          <w:sz w:val="28"/>
          <w:szCs w:val="28"/>
          <w:highlight w:val="none"/>
        </w:rPr>
      </w:pPr>
      <w:bookmarkStart w:id="85" w:name="_Toc197530139"/>
      <w:bookmarkStart w:id="86" w:name="_Toc195459464"/>
      <w:r>
        <w:rPr>
          <w:rFonts w:hint="eastAsia" w:ascii="宋体" w:hAnsi="宋体" w:eastAsia="宋体"/>
          <w:color w:val="auto"/>
          <w:sz w:val="28"/>
          <w:szCs w:val="28"/>
          <w:highlight w:val="none"/>
        </w:rPr>
        <w:t>3.承包人</w:t>
      </w:r>
      <w:bookmarkEnd w:id="85"/>
      <w:bookmarkEnd w:id="86"/>
    </w:p>
    <w:p w14:paraId="19F12EF7">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3.1承包人的一般义务</w:t>
      </w:r>
    </w:p>
    <w:p w14:paraId="54A38B5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承包人在履行合同过程中应遵守法律和工程建设标准规范，并履行以下义务：</w:t>
      </w:r>
    </w:p>
    <w:p w14:paraId="2124E7F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（1）办理法律规定应由承包人办理的许可和批准，并将办理结果书面报送发包人留存；</w:t>
      </w:r>
    </w:p>
    <w:p w14:paraId="1FE2B48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（2）按法律规定和合同约定完成工程，并在保修期内承担保修义务；</w:t>
      </w:r>
    </w:p>
    <w:p w14:paraId="5734B72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（3）按法律规定和合同约定采取施工安全和环境保护措施，办理工伤保险，确保工程及人员、材料、设备和设施的安全；</w:t>
      </w:r>
    </w:p>
    <w:p w14:paraId="1C62FC4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（4）按合同约定的工作内容和施工进度要求，编制施工组织设计和施工措施计划，并对所有施工作业和施工方法的完备性和安全可靠性负责；</w:t>
      </w:r>
    </w:p>
    <w:p w14:paraId="1C760B7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7A2808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（6）按照第6.3款〔环境保护〕约定负责施工场地及其周边环境与生态的保护工作；</w:t>
      </w:r>
    </w:p>
    <w:p w14:paraId="302908D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（7）按照第6.1款〔安全文明施工〕约定采取施工安全措施，确保工程及其人员、材料、设备和设施的安全，防止因工程施工造成的人身伤害和财产损失；</w:t>
      </w:r>
    </w:p>
    <w:p w14:paraId="314505A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（8）将发包人按合同约定支付的各项价款专用于合同工程，且应及时支付其雇用人员工资，并及时向分包人支付合同价款；</w:t>
      </w:r>
    </w:p>
    <w:p w14:paraId="3FF5F66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（9）按照法律规定和合同约定编制竣工资料，完成竣工资料立卷及归档，并按专用合同条款约定的竣工资料的套数、内容、时间等要求移交发包人；</w:t>
      </w:r>
    </w:p>
    <w:p w14:paraId="59FAFCD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（10）应履行的其他义务。</w:t>
      </w:r>
    </w:p>
    <w:p w14:paraId="0CC20CF6">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3.2项目经理</w:t>
      </w:r>
    </w:p>
    <w:p w14:paraId="0B77F8D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3.2.1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1491D77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3A0328F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承包人违反上述约定的，应按照专用合同条款的约定，承担违约责任。</w:t>
      </w:r>
    </w:p>
    <w:p w14:paraId="2647BC4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3.2.2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290E2E1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3.2.3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00AAA0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3.2.4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5428C20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3.2.5项目经理因特殊情况授权其下属人员履行其某项工作职责的，该下属人员应具备履行相应职责的能力，并应提前7天将上述人员的姓名和授权范围书面通知监理人，并征得发包人书面同意。</w:t>
      </w:r>
    </w:p>
    <w:p w14:paraId="3AA956D2">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3.3承包人人员</w:t>
      </w:r>
    </w:p>
    <w:p w14:paraId="0D7497E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3.3.1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4CF5063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3.3.2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6EFC186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特殊工种作业人员均应持有相应的资格证明，监理人可以随时检查。</w:t>
      </w:r>
    </w:p>
    <w:p w14:paraId="5841695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3.3.3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6072BF0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3.3.4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2D16CDD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3.3.5承包人擅自更换主要施工管理人员，或前述人员未经监理人或发包人同意擅自离开施工现场的，应按照专用合同条款约定承担违约责任。</w:t>
      </w:r>
    </w:p>
    <w:p w14:paraId="5EE2FB88">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3.4承包人现场查勘</w:t>
      </w:r>
    </w:p>
    <w:p w14:paraId="44D86F1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承包人应对基于发包人按照第2.4.3项〔提供基础资料〕提交的基础资料所做出的解释和推断负责，但因基础资料存在错误、遗漏导致承包人解释或推断失实的，由发包人承担责任。</w:t>
      </w:r>
    </w:p>
    <w:p w14:paraId="3E2B9C2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2A125E3C">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3.5分包</w:t>
      </w:r>
    </w:p>
    <w:p w14:paraId="1DB5E40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3.5.1分包的一般约定</w:t>
      </w:r>
    </w:p>
    <w:p w14:paraId="65F9141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1F85924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承包人不得以劳务分包的名义转包或违法分包工程。</w:t>
      </w:r>
    </w:p>
    <w:p w14:paraId="6248627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3.5.2分包的确定</w:t>
      </w:r>
    </w:p>
    <w:p w14:paraId="0DF53D9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144816E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3.5.3分包管理</w:t>
      </w:r>
    </w:p>
    <w:p w14:paraId="2CA3885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承包人应向监理人提交分包人的主要施工管理人员表，并对分包人的施工人员进行实名制管理，包括但不限于进出场管理、登记造册以及各种证照的办理。</w:t>
      </w:r>
    </w:p>
    <w:p w14:paraId="18B2451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3.5.4分包合同价款</w:t>
      </w:r>
    </w:p>
    <w:p w14:paraId="0A10D11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（1）除本项第（2）目约定的情况或专用合同条款另有约定外，分包合同价款由承包人与分包人结算，未经承包人同意，发包人不得向分包人支付分包工程价款；</w:t>
      </w:r>
    </w:p>
    <w:p w14:paraId="4231CAA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（2）生效法律文书要求发包人向分包人支付分包合同价款的，发包人有权从应付承包人工程款中扣除该部分款项。</w:t>
      </w:r>
    </w:p>
    <w:p w14:paraId="0B39239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3.5.5分包合同权益的转让</w:t>
      </w:r>
    </w:p>
    <w:p w14:paraId="2A17426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14:paraId="595B4E7F">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3.6工程照管与成品、半成品保护</w:t>
      </w:r>
    </w:p>
    <w:p w14:paraId="1EDF394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（1）除专用合同条款另有约定外，自发包人向承包人移交施工现场之日起，承包人应负责照管工程及工程相关的材料、工程设备，直到颁发工程接收证书之日止。</w:t>
      </w:r>
    </w:p>
    <w:p w14:paraId="74A4214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（2）在承包人负责照管期间，因承包人原因造成工程、材料、工程设备损坏的，由承包人负责修复或更换，并承担由此增加的费用和（或）延误的工期。</w:t>
      </w:r>
    </w:p>
    <w:p w14:paraId="579E1A4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6763F714">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3.7履约担保</w:t>
      </w:r>
    </w:p>
    <w:p w14:paraId="010AA4D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1061A4A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因承包人原因导致工期延长的，继续提供履约担保所增加的费用由承包人承担；非因承包人原因导致工期延长的，继续提供履约担保所增加的费用由发包人承担。</w:t>
      </w:r>
    </w:p>
    <w:p w14:paraId="0CF602B2">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3.8联合体</w:t>
      </w:r>
    </w:p>
    <w:p w14:paraId="54D220D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3.8.1联合体各方应共同与发包人签订合同协议书。联合体各方应为履行合同向发包人承担连带责任。</w:t>
      </w:r>
    </w:p>
    <w:p w14:paraId="1C42ED2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3.8.2联合体协议经发包人确认后作为合同附件。在履行合同过程中，未经发包人同意，不得修改联合体协议。</w:t>
      </w:r>
    </w:p>
    <w:p w14:paraId="4E91AC5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3.8.3联合体牵头人负责与发包人和监理人联系，并接受指示，负责组织联合体各成员全面履行合同。</w:t>
      </w:r>
    </w:p>
    <w:p w14:paraId="458C7884">
      <w:pPr>
        <w:pStyle w:val="4"/>
        <w:shd w:val="clear"/>
        <w:jc w:val="left"/>
        <w:rPr>
          <w:rFonts w:ascii="宋体" w:hAnsi="宋体" w:eastAsia="宋体"/>
          <w:color w:val="auto"/>
          <w:sz w:val="28"/>
          <w:szCs w:val="28"/>
          <w:highlight w:val="none"/>
        </w:rPr>
      </w:pPr>
      <w:bookmarkStart w:id="87" w:name="_Toc195459465"/>
      <w:bookmarkStart w:id="88" w:name="_Toc197530140"/>
      <w:r>
        <w:rPr>
          <w:rFonts w:hint="eastAsia" w:ascii="宋体" w:hAnsi="宋体" w:eastAsia="宋体"/>
          <w:color w:val="auto"/>
          <w:sz w:val="28"/>
          <w:szCs w:val="28"/>
          <w:highlight w:val="none"/>
        </w:rPr>
        <w:t>4.监理人</w:t>
      </w:r>
      <w:bookmarkEnd w:id="87"/>
      <w:bookmarkEnd w:id="88"/>
    </w:p>
    <w:p w14:paraId="38F838AB">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4.1监理人的一般规定</w:t>
      </w:r>
    </w:p>
    <w:p w14:paraId="25A2D45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72B997E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除专用合同条款另有约定外，监理人在施工现场的办公场所、生活场所由承包人提供，所发生的费用由发包人承担。</w:t>
      </w:r>
    </w:p>
    <w:p w14:paraId="55054186">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4.2监理人员</w:t>
      </w:r>
    </w:p>
    <w:p w14:paraId="45AF8BF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7A997E36">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4.3监理人的指示</w:t>
      </w:r>
    </w:p>
    <w:p w14:paraId="6D8BC4A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2603BE7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78AFA57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承包人对监理人发出的指示有疑问的，应向监理人提出书面异议，监理人应在48小时内对该指示予以确认、更改或撤销，监理人逾期未回复的，承包人有权拒绝执行上述指示。</w:t>
      </w:r>
    </w:p>
    <w:p w14:paraId="056AA65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677BF367">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4.4商定或确定</w:t>
      </w:r>
    </w:p>
    <w:p w14:paraId="19359F2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合同当事人进行商定或确定时，总监理工程师应当会同合同当事人尽量通过协商达成一致，不能达成一致的，由总监理工程师按照合同约定审慎做出公正的确定。</w:t>
      </w:r>
    </w:p>
    <w:p w14:paraId="39280BE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505DDAEF">
      <w:pPr>
        <w:pStyle w:val="4"/>
        <w:shd w:val="clear"/>
        <w:jc w:val="left"/>
        <w:rPr>
          <w:rFonts w:ascii="宋体" w:hAnsi="宋体" w:eastAsia="宋体"/>
          <w:color w:val="auto"/>
          <w:sz w:val="28"/>
          <w:szCs w:val="28"/>
          <w:highlight w:val="none"/>
        </w:rPr>
      </w:pPr>
      <w:bookmarkStart w:id="89" w:name="_Toc197530141"/>
      <w:bookmarkStart w:id="90" w:name="_Toc195459466"/>
      <w:r>
        <w:rPr>
          <w:rFonts w:hint="eastAsia" w:ascii="宋体" w:hAnsi="宋体" w:eastAsia="宋体"/>
          <w:color w:val="auto"/>
          <w:sz w:val="28"/>
          <w:szCs w:val="28"/>
          <w:highlight w:val="none"/>
        </w:rPr>
        <w:t>5.工程质量</w:t>
      </w:r>
      <w:bookmarkEnd w:id="89"/>
      <w:bookmarkEnd w:id="90"/>
    </w:p>
    <w:p w14:paraId="3BA4F53E">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5.1质量要求</w:t>
      </w:r>
    </w:p>
    <w:p w14:paraId="42610D0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5.1.1工程质量标准必须符合现行国家有关工程施工质量验收规范和标准的要求。有关工程质量的特殊标准或要求由合同当事人在专用合同条款中约定。</w:t>
      </w:r>
    </w:p>
    <w:p w14:paraId="203CFC7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5.1.2因发包人原因造成工程质量未达到合同约定标准的，由发包人承担由此增加的费用和（或）延误的工期，并支付承包人合理的利润。</w:t>
      </w:r>
    </w:p>
    <w:p w14:paraId="5EAF1D6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5.1.3因承包人原因造成工程质量未达到合同约定标准的，发包人有权要求承包人返工直至工程质量达到合同约定的标准为止，并由承包人承担由此增加的费用和（或）延误的工期。</w:t>
      </w:r>
    </w:p>
    <w:p w14:paraId="7F08CC84">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5.2质量保证措施</w:t>
      </w:r>
    </w:p>
    <w:p w14:paraId="0F9ACFB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5.2.1发包人的质量管理</w:t>
      </w:r>
    </w:p>
    <w:p w14:paraId="411EE7A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发包人应按照法律规定及合同约定完成与工程质量有关的各项工作。</w:t>
      </w:r>
    </w:p>
    <w:p w14:paraId="59AA0BD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5.2.2承包人的质量管理</w:t>
      </w:r>
    </w:p>
    <w:p w14:paraId="6B963CC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7DA7A00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承包人应对施工人员进行质量教育和技术培训，定期考核施工人员的劳动技能，严格执行施工规范和操作规程。</w:t>
      </w:r>
    </w:p>
    <w:p w14:paraId="22B2E35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43C76BD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5.2.3监理人的质量检查和检验</w:t>
      </w:r>
    </w:p>
    <w:p w14:paraId="548234D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2232B68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0E908A39">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5.3隐蔽工程检查</w:t>
      </w:r>
    </w:p>
    <w:p w14:paraId="5A135CE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5.3.1承包人自检</w:t>
      </w:r>
    </w:p>
    <w:p w14:paraId="33DF427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承包人应当对工程隐蔽部位进行自检，并经自检确认是否具备覆盖条件。</w:t>
      </w:r>
    </w:p>
    <w:p w14:paraId="1704919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5.3.2检查程序</w:t>
      </w:r>
    </w:p>
    <w:p w14:paraId="25520B9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5793B9D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594D04A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7AB7960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5.3.3重新检查</w:t>
      </w:r>
    </w:p>
    <w:p w14:paraId="7003D9A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5EC16AE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5.3.4承包人私自覆盖</w:t>
      </w:r>
    </w:p>
    <w:p w14:paraId="3D2E0EC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2AF9EEB7">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5.4不合格工程的处理</w:t>
      </w:r>
    </w:p>
    <w:p w14:paraId="5147B71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5.4.1因承包人原因造成工程不合格的，发包人有权随时要求承包人采取补救措施，直至达到合同要求的质量标准，由此增加的费用和（或）延误的工期由承包人承担。无法补救的，按照第13.2.4项〔拒绝接收全部或部分工程〕约定执行。</w:t>
      </w:r>
    </w:p>
    <w:p w14:paraId="4747308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5.4.2因发包人原因造成工程不合格的，由此增加的费用和（或）延误的工期由发包人承担，并支付承包人合理的利润。</w:t>
      </w:r>
    </w:p>
    <w:p w14:paraId="111CFEEA">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5.5质量争议检测</w:t>
      </w:r>
    </w:p>
    <w:p w14:paraId="206C0B0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合同当事人对工程质量有争议的，由双方协商确定的工程质量检测机构鉴定，由此产生的费用及因此造成的损失，由责任方承担。</w:t>
      </w:r>
    </w:p>
    <w:p w14:paraId="6BEF27D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合同当事人均有责任的，由双方根据其责任分别承担。合同当事人无法达成一致的，按照第4.4款〔商定或确定〕执行。</w:t>
      </w:r>
    </w:p>
    <w:p w14:paraId="50D73978">
      <w:pPr>
        <w:pStyle w:val="4"/>
        <w:shd w:val="clear"/>
        <w:jc w:val="left"/>
        <w:rPr>
          <w:rFonts w:ascii="宋体" w:hAnsi="宋体" w:eastAsia="宋体"/>
          <w:color w:val="auto"/>
          <w:sz w:val="28"/>
          <w:szCs w:val="28"/>
          <w:highlight w:val="none"/>
        </w:rPr>
      </w:pPr>
      <w:bookmarkStart w:id="91" w:name="_Toc195459467"/>
      <w:bookmarkStart w:id="92" w:name="_Toc197530142"/>
      <w:r>
        <w:rPr>
          <w:rFonts w:hint="eastAsia" w:ascii="宋体" w:hAnsi="宋体" w:eastAsia="宋体"/>
          <w:color w:val="auto"/>
          <w:sz w:val="28"/>
          <w:szCs w:val="28"/>
          <w:highlight w:val="none"/>
        </w:rPr>
        <w:t>6.安全文明施工与环境保护</w:t>
      </w:r>
      <w:bookmarkEnd w:id="91"/>
      <w:bookmarkEnd w:id="92"/>
    </w:p>
    <w:p w14:paraId="6BC48170">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6.1安全文明施工</w:t>
      </w:r>
    </w:p>
    <w:p w14:paraId="6CA6A58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6.1.1安全生产要求</w:t>
      </w:r>
    </w:p>
    <w:p w14:paraId="50288E4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EE7CF4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5E06BBB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因安全生产需要暂停施工的，按照第7.8款〔暂停施工〕的约定执行。</w:t>
      </w:r>
    </w:p>
    <w:p w14:paraId="435B4F4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6.1.2安全生产保证措施</w:t>
      </w:r>
    </w:p>
    <w:p w14:paraId="20FDA97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3E5C17E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6.1.3特别安全生产事项</w:t>
      </w:r>
    </w:p>
    <w:p w14:paraId="6E0E87B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3E7915D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承包人在动力设备、输电线路、地下管道、密封防震车间、易燃易爆地段以及临街交通要道附近施工时，施工开始前应向发包人和监理人提出安全防护措施，经发包人认可后实施。</w:t>
      </w:r>
    </w:p>
    <w:p w14:paraId="46472F3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33EB62F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需单独编制危险性较大分部分项专项工程施工方案的，及要求进行专家论证的超过一定规模的危险性较大的分部分项工程，承包人应及时编制和组织论证。</w:t>
      </w:r>
    </w:p>
    <w:p w14:paraId="683F8B1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6.1.4治安保卫</w:t>
      </w:r>
    </w:p>
    <w:p w14:paraId="68C805D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除专用合同条款另有约定外，发包人应与当地公安部门协商，在现场建立治安管理机构或联防组织，统一管理施工场地的治安保卫事项，履行合同工程的治安保卫职责。</w:t>
      </w:r>
    </w:p>
    <w:p w14:paraId="5C95C99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发包人和承包人除应协助现场治安管理机构或联防组织维护施工场地的社会治安外，还应做好包括生活区在内的各自管辖区的治安保卫工作。</w:t>
      </w:r>
    </w:p>
    <w:p w14:paraId="7962E18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6172925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6.1.5文明施工</w:t>
      </w:r>
    </w:p>
    <w:p w14:paraId="03650A8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56514DE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0826A2F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6.1.6安全文明施工费</w:t>
      </w:r>
    </w:p>
    <w:p w14:paraId="4D467D8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安全文明施工费由发包人承担，发包人不得以任何形式扣减该部分费用。因基准日期后合同所适用的法律或政府有关规定发生变化，增加的安全文明施工费由发包人承担。</w:t>
      </w:r>
    </w:p>
    <w:p w14:paraId="244971F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30A4E73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4148144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053FEBE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6.1.7紧急情况处理</w:t>
      </w:r>
    </w:p>
    <w:p w14:paraId="004A92A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47E9DDC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6.1.8事故处理</w:t>
      </w:r>
    </w:p>
    <w:p w14:paraId="71EECAF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70EDC85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6.1.9安全生产责任</w:t>
      </w:r>
    </w:p>
    <w:p w14:paraId="6D2A89B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6.1.9.1发包人的安全责任</w:t>
      </w:r>
    </w:p>
    <w:p w14:paraId="13F1230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发包人应负责赔偿以下各种情况造成的损失：</w:t>
      </w:r>
    </w:p>
    <w:p w14:paraId="24DA2B7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（1）工程或工程的任何部分对土地的占用所造成的第三者财产损失；</w:t>
      </w:r>
    </w:p>
    <w:p w14:paraId="60C1951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（2）由于发包人原因在施工场地及其毗邻地带造成的第三者人身伤亡和财产损失；</w:t>
      </w:r>
    </w:p>
    <w:p w14:paraId="7D80B98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（3）由于发包人原因对承包人、监理人造成的人员人身伤亡和财产损失；</w:t>
      </w:r>
    </w:p>
    <w:p w14:paraId="4E59DEF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（4）由于发包人原因造成的发包人自身人员的人身伤害以及财产损失。</w:t>
      </w:r>
    </w:p>
    <w:p w14:paraId="68CB4D5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6.1.9.2承包人的安全责任</w:t>
      </w:r>
    </w:p>
    <w:p w14:paraId="5A62275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由于承包人原因在施工场地内及其毗邻地带造成的发包人、监理人以及第三者人员伤亡和财产损失，由承包人负责赔偿。</w:t>
      </w:r>
    </w:p>
    <w:p w14:paraId="028C2BAC">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6.2职业健康</w:t>
      </w:r>
    </w:p>
    <w:p w14:paraId="56740AA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6.2.1劳动保护</w:t>
      </w:r>
    </w:p>
    <w:p w14:paraId="3CC95FB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146AD9E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623689F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6157F67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6.2.2生活条件</w:t>
      </w:r>
    </w:p>
    <w:p w14:paraId="0697FBD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在远离城镇的施工场地，还应配备必要的伤病防治和急救的医务人员与医疗设施。</w:t>
      </w:r>
    </w:p>
    <w:p w14:paraId="0FA6410D">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6.3环境保护</w:t>
      </w:r>
    </w:p>
    <w:p w14:paraId="781A5B8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2637032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承包人应当承担因其原因引起的环境污染侵权损害赔偿责任，因上述环境污染引起纠纷而导致暂停施工的，由此增加的费用和（或）延误的工期由承包人承担。</w:t>
      </w:r>
    </w:p>
    <w:p w14:paraId="27816576">
      <w:pPr>
        <w:pStyle w:val="4"/>
        <w:shd w:val="clear"/>
        <w:jc w:val="left"/>
        <w:rPr>
          <w:rFonts w:ascii="宋体" w:hAnsi="宋体" w:eastAsia="宋体"/>
          <w:color w:val="auto"/>
          <w:sz w:val="28"/>
          <w:szCs w:val="28"/>
          <w:highlight w:val="none"/>
        </w:rPr>
      </w:pPr>
      <w:bookmarkStart w:id="93" w:name="_Toc195459468"/>
      <w:bookmarkStart w:id="94" w:name="_Toc197530143"/>
      <w:r>
        <w:rPr>
          <w:rFonts w:hint="eastAsia" w:ascii="宋体" w:hAnsi="宋体" w:eastAsia="宋体"/>
          <w:color w:val="auto"/>
          <w:sz w:val="28"/>
          <w:szCs w:val="28"/>
          <w:highlight w:val="none"/>
        </w:rPr>
        <w:t>7.工期和进度</w:t>
      </w:r>
      <w:bookmarkEnd w:id="93"/>
      <w:bookmarkEnd w:id="94"/>
    </w:p>
    <w:p w14:paraId="2A1E155E">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7.1施工组织设计</w:t>
      </w:r>
    </w:p>
    <w:p w14:paraId="5F26852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7.1.1施工组织设计的内容</w:t>
      </w:r>
    </w:p>
    <w:p w14:paraId="63CEE00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施工组织设计应包含以下内容：</w:t>
      </w:r>
    </w:p>
    <w:p w14:paraId="1274D1C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（1）施工方案；</w:t>
      </w:r>
    </w:p>
    <w:p w14:paraId="26A1388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（2）施工现场平面布置图；</w:t>
      </w:r>
    </w:p>
    <w:p w14:paraId="12018BF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（3）施工进度计划和保证措施；</w:t>
      </w:r>
    </w:p>
    <w:p w14:paraId="6062B00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（4）劳动力及材料供应计划；</w:t>
      </w:r>
    </w:p>
    <w:p w14:paraId="4507288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（5）施工机械设备的选用；</w:t>
      </w:r>
    </w:p>
    <w:p w14:paraId="3EAB6B4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（6）质量保证体系及措施；</w:t>
      </w:r>
    </w:p>
    <w:p w14:paraId="5140977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（7）安全生产、文明施工措施；</w:t>
      </w:r>
    </w:p>
    <w:p w14:paraId="3600251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（8）环境保护、成本控制措施；</w:t>
      </w:r>
    </w:p>
    <w:p w14:paraId="3E9BFAA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（9）合同当事人约定的其他内容。</w:t>
      </w:r>
    </w:p>
    <w:p w14:paraId="00EB0EC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7.1.2施工组织设计的提交和修改</w:t>
      </w:r>
    </w:p>
    <w:p w14:paraId="54A3317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13ADE3D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施工进度计划的编制和修改按照第7.2款〔施工进度计划〕执行。</w:t>
      </w:r>
    </w:p>
    <w:p w14:paraId="110AC890">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7.2施工进度计划</w:t>
      </w:r>
    </w:p>
    <w:p w14:paraId="65BCEFC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7.2.1施工进度计划的编制</w:t>
      </w:r>
    </w:p>
    <w:p w14:paraId="1C47EA0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0DEAF47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7.2.2施工进度计划的修订</w:t>
      </w:r>
    </w:p>
    <w:p w14:paraId="09B1BA8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024E589E">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7.3开工</w:t>
      </w:r>
    </w:p>
    <w:p w14:paraId="12AA4B0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7.3.1开工准备</w:t>
      </w:r>
    </w:p>
    <w:p w14:paraId="2A0C92F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3F6F45F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除专用合同条款另有约定外，合同当事人应按约定完成开工准备工作。</w:t>
      </w:r>
    </w:p>
    <w:p w14:paraId="2ADC7AC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7.3.2开工通知</w:t>
      </w:r>
    </w:p>
    <w:p w14:paraId="675E56B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93290F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13EF1FD5">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7.4测量放线</w:t>
      </w:r>
    </w:p>
    <w:p w14:paraId="57A4DD4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7.4.1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6ACA081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63A6557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7.4.2承包人负责施工过程中的全部施工测量放线工作，并配置具有相应资质的人员、合格的仪器、设备和其他物品。承包人应矫正工程的位置、标高、尺寸或准线中出现的任何差错，并对工程各部分的定位负责。</w:t>
      </w:r>
    </w:p>
    <w:p w14:paraId="7F2AA08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施工过程中对施工现场内水准点等测量标志物的保护工作由承包人负责。</w:t>
      </w:r>
    </w:p>
    <w:p w14:paraId="215C7DFC">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7.5工期延误</w:t>
      </w:r>
    </w:p>
    <w:p w14:paraId="7459EF9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7.5.1因发包人原因导致工期延误</w:t>
      </w:r>
    </w:p>
    <w:p w14:paraId="3949FCF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在合同履行过程中，因下列情况导致工期延误和（或）费用增加的，由发包人承担由此延误的工期和（或）增加的费用，且发包人应支付承包人合理的利润：</w:t>
      </w:r>
    </w:p>
    <w:p w14:paraId="6679E8F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（1）发包人未能按合同约定提供图纸或所提供图纸不符合合同约定的；</w:t>
      </w:r>
    </w:p>
    <w:p w14:paraId="6DEC35A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（2）发包人未能按合同约定提供施工现场、施工条件、基础资料、许可、批准等开工条件的；</w:t>
      </w:r>
    </w:p>
    <w:p w14:paraId="19D26E2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（3）发包人提供的测量基准点、基准线和水准点及其书面资料存在错误或疏漏的；</w:t>
      </w:r>
    </w:p>
    <w:p w14:paraId="38D7BF9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（4）发包人未能在计划开工日期之日起7天内同意下达开工通知的；</w:t>
      </w:r>
    </w:p>
    <w:p w14:paraId="47DD779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（5）发包人未能按合同约定日期支付工程预付款、进度款或竣工结算款的；</w:t>
      </w:r>
    </w:p>
    <w:p w14:paraId="1640D79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（6）监理人未按合同约定发出指示、批准等文件的；</w:t>
      </w:r>
    </w:p>
    <w:p w14:paraId="509C3EA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（7）专用合同条款中约定的其他情形。</w:t>
      </w:r>
    </w:p>
    <w:p w14:paraId="151C9BB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058E3F1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7.5.2因承包人原因导致工期延误</w:t>
      </w:r>
    </w:p>
    <w:p w14:paraId="3D16B15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因承包人原因造成工期延误的，可以在专用合同条款中约定逾期竣工违约金的计算方法和逾期竣工违约金的上限。承包人支付逾期竣工违约金后，不免除承包人继续完成工程及修补缺陷的义务。</w:t>
      </w:r>
    </w:p>
    <w:p w14:paraId="2A9D3C1B">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7.6不利物质条件</w:t>
      </w:r>
    </w:p>
    <w:p w14:paraId="6D179CD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3DE7E2E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03F9989C">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7.7异常恶劣的气候条件</w:t>
      </w:r>
    </w:p>
    <w:p w14:paraId="19604B7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1E3C40A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14:paraId="0888ABB3">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7.8暂停施工</w:t>
      </w:r>
    </w:p>
    <w:p w14:paraId="7E2F968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7.8.1发包人原因引起的暂停施工</w:t>
      </w:r>
    </w:p>
    <w:p w14:paraId="02AE316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因发包人原因引起暂停施工的，监理人经发包人同意后，应及时下达暂停施工指示。情况紧急且监理人未及时下达暂停施工指示的，按照第7.8.4项〔紧急情况下的暂停施工〕执行。</w:t>
      </w:r>
    </w:p>
    <w:p w14:paraId="6FAA022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因发包人原因引起的暂停施工，发包人应承担由此增加的费用和（或）延误的工期，并支付承包人合理的利润。</w:t>
      </w:r>
    </w:p>
    <w:p w14:paraId="6822564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7.8.2承包人原因引起的暂停施工</w:t>
      </w:r>
    </w:p>
    <w:p w14:paraId="0855FD1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65DA9CB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7.8.3指示暂停施工</w:t>
      </w:r>
    </w:p>
    <w:p w14:paraId="0EBAF80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监理人认为有必要时，并经发包人批准后，可向承包人作出暂停施工的指示，承包人应按监理人指示暂停施工。</w:t>
      </w:r>
    </w:p>
    <w:p w14:paraId="35C97BA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7.8.4紧急情况下的暂停施工</w:t>
      </w:r>
    </w:p>
    <w:p w14:paraId="0D98C8F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3961D69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7.8.5暂停施工后的复工</w:t>
      </w:r>
    </w:p>
    <w:p w14:paraId="797311A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4E7A5FC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承包人无故拖延和拒绝复工的，承包人承担由此增加的费用和（或）延误的工期；因发包人原因无法按时复工的，按照第7.5.1项〔因发包人原因导致工期延误〕约定办理。</w:t>
      </w:r>
    </w:p>
    <w:p w14:paraId="47BA5E2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7.8.6暂停施工持续56天以上</w:t>
      </w:r>
    </w:p>
    <w:p w14:paraId="53BA720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32B5666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7426AB4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7.8.7暂停施工期间的工程照管</w:t>
      </w:r>
    </w:p>
    <w:p w14:paraId="0A849FA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暂停施工期间，承包人应负责妥善照管工程并提供安全保障，由此增加的费用由责任方承担。</w:t>
      </w:r>
    </w:p>
    <w:p w14:paraId="1CEE793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7.8.8暂停施工的措施</w:t>
      </w:r>
    </w:p>
    <w:p w14:paraId="03AC931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暂停施工期间，发包人和承包人均应采取必要的措施确保工程质量及安全，防止因暂停施工扩大损失。</w:t>
      </w:r>
    </w:p>
    <w:p w14:paraId="0E92981E">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7.9提前竣工</w:t>
      </w:r>
    </w:p>
    <w:p w14:paraId="28E27F6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7.9.1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143F723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7.9.2发包人要求承包人提前竣工，或承包人提出提前竣工的建议能够给发包人带来效益的，合同当事人可以在专用合同条款中约定提前竣工的奖励。</w:t>
      </w:r>
    </w:p>
    <w:p w14:paraId="610D2D86">
      <w:pPr>
        <w:pStyle w:val="4"/>
        <w:shd w:val="clear"/>
        <w:jc w:val="left"/>
        <w:rPr>
          <w:rFonts w:ascii="宋体" w:hAnsi="宋体" w:eastAsia="宋体"/>
          <w:color w:val="auto"/>
          <w:sz w:val="28"/>
          <w:szCs w:val="28"/>
          <w:highlight w:val="none"/>
        </w:rPr>
      </w:pPr>
      <w:bookmarkStart w:id="95" w:name="_Toc197530144"/>
      <w:bookmarkStart w:id="96" w:name="_Toc195459469"/>
      <w:r>
        <w:rPr>
          <w:rFonts w:hint="eastAsia" w:ascii="宋体" w:hAnsi="宋体" w:eastAsia="宋体"/>
          <w:color w:val="auto"/>
          <w:sz w:val="28"/>
          <w:szCs w:val="28"/>
          <w:highlight w:val="none"/>
        </w:rPr>
        <w:t>8.材料与设备</w:t>
      </w:r>
      <w:bookmarkEnd w:id="95"/>
      <w:bookmarkEnd w:id="96"/>
    </w:p>
    <w:p w14:paraId="51985874">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8.1发包人供应材料与工程设备</w:t>
      </w:r>
    </w:p>
    <w:p w14:paraId="5C862DC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发包人自行供应材料、工程设备的，应在签订合同时在专用合同条款的附件《发包人供应材料设备一览表》中明确材料、工程设备的品种、规格、型号、数量、单价、质量等级和送达地点。</w:t>
      </w:r>
    </w:p>
    <w:p w14:paraId="2296609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7E045705">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8.2承包人采购材料与工程设备</w:t>
      </w:r>
    </w:p>
    <w:p w14:paraId="078B56A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0788E811">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8.3材料与工程设备的接收与拒收</w:t>
      </w:r>
    </w:p>
    <w:p w14:paraId="2A3B970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8.3.1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4B1D28D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发包人提供的材料和工程设备的规格、数量或质量不符合合同约定的，或因发包人原因导致交货日期延误或交货地点变更等情况的，按照第16.1款〔发包人违约〕约定办理。</w:t>
      </w:r>
    </w:p>
    <w:p w14:paraId="38B4259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8.3.2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14:paraId="7212936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4DAEB5AE">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8.4材料与工程设备的保管与使用</w:t>
      </w:r>
    </w:p>
    <w:p w14:paraId="427CC26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8.4.1发包人供应材料与工程设备的保管与使用</w:t>
      </w:r>
    </w:p>
    <w:p w14:paraId="473BD73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5DBC505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发包人供应的材料和工程设备使用前，由承包人负责检验，检验费用由发包人承担，不合格的不得使用。</w:t>
      </w:r>
    </w:p>
    <w:p w14:paraId="1C63010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8.4.2承包人采购材料与工程设备的保管与使用</w:t>
      </w:r>
    </w:p>
    <w:p w14:paraId="1D2A76A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0117B99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发包人或监理人发现承包人使用不符合设计或有关标准要求的材料和工程设备时，有权要求承包人进行修复、拆除或重新采购，由此增加的费用和（或）延误的工期，由承包人承担。</w:t>
      </w:r>
    </w:p>
    <w:p w14:paraId="0637C188">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8.5禁止使用不合格的材料和工程设备</w:t>
      </w:r>
    </w:p>
    <w:p w14:paraId="2408328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8.5.1监理人有权拒绝承包人提供的不合格材料或工程设备，并要求承包人立即进行更换。监理人应在更换后再次进行检查和检验，由此增加的费用和（或）延误的工期由承包人承担。</w:t>
      </w:r>
    </w:p>
    <w:p w14:paraId="6988671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8.5.2监理人发现承包人使用了不合格的材料和工程设备，承包人应按照监理人的指示立即改正，并禁止在工程中继续使用不合格的材料和工程设备。</w:t>
      </w:r>
    </w:p>
    <w:p w14:paraId="30E8587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8.5.3发包人提供的材料或工程设备不符合合同要求的，承包人有权拒绝，并可要求发包人更换，由此增加的费用和（或）延误的工期由发包人承担，并支付承包人合理的利润。</w:t>
      </w:r>
    </w:p>
    <w:p w14:paraId="5C97246C">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8.6样品</w:t>
      </w:r>
    </w:p>
    <w:p w14:paraId="2D5D36D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8.6.1样品的报送与封存</w:t>
      </w:r>
    </w:p>
    <w:p w14:paraId="6C0E071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需要承包人报送样品的材料或工程设备，样品的种类、名称、规格、数量等要求均应在专用合同条款中约定。样品的报送程序如下：</w:t>
      </w:r>
    </w:p>
    <w:p w14:paraId="7132B22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40EA6AC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7C0FF71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（3）经发包人和监理人审批确认的样品应按约定的方法封样，封存的样品作为检验工程相关部分的标准之一。承包人在施工过程中不得使用与样品不符的材料或工程设备。</w:t>
      </w:r>
    </w:p>
    <w:p w14:paraId="0B87052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55DE3E5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8.6.2样品的保管</w:t>
      </w:r>
    </w:p>
    <w:p w14:paraId="4A09F21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经批准的样品应由监理人负责封存于现场，承包人应在现场为保存样品提供适当和固定的场所并保持适当和良好的存储环境条件。</w:t>
      </w:r>
    </w:p>
    <w:p w14:paraId="7A98FA19">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8.7材料与工程设备的替代</w:t>
      </w:r>
    </w:p>
    <w:p w14:paraId="59BF958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8.7.1出现下列情况需要使用替代材料和工程设备的，承包人应按照第8.7.2项约定的程序执行：</w:t>
      </w:r>
    </w:p>
    <w:p w14:paraId="25D947D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（1）基准日期后生效的法律规定禁止使用的；</w:t>
      </w:r>
    </w:p>
    <w:p w14:paraId="1BA517F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（2）发包人要求使用替代品的；</w:t>
      </w:r>
    </w:p>
    <w:p w14:paraId="2794F59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（3）因其他原因必须使用替代品的。</w:t>
      </w:r>
    </w:p>
    <w:p w14:paraId="189E3E5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8.7.2承包人应在使用替代材料和工程设备28天前书面通知监理人，并附下列文件：</w:t>
      </w:r>
    </w:p>
    <w:p w14:paraId="09C9F74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（1）被替代的材料和工程设备的名称、数量、规格、型号、品牌、性能、价格及其他相关资料；</w:t>
      </w:r>
    </w:p>
    <w:p w14:paraId="241F512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（2）替代品的名称、数量、规格、型号、品牌、性能、价格及其他相关资料；</w:t>
      </w:r>
    </w:p>
    <w:p w14:paraId="607A200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（3）替代品与被替代产品之间的差异以及使用替代品可能对工程产生的影响；</w:t>
      </w:r>
    </w:p>
    <w:p w14:paraId="482AE5C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（4）替代品与被替代产品的价格差异；</w:t>
      </w:r>
    </w:p>
    <w:p w14:paraId="30BF246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（5）使用替代品的理由和原因说明；</w:t>
      </w:r>
    </w:p>
    <w:p w14:paraId="2FE4FE2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（6）监理人要求的其他文件。</w:t>
      </w:r>
    </w:p>
    <w:p w14:paraId="7EF608F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监理人应在收到通知后14天内向承包人发出经发包人签认的书面指示；监理人逾期发出书面指示的，视为发包人和监理人同意使用替代品。</w:t>
      </w:r>
    </w:p>
    <w:p w14:paraId="3FC392F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8.7.3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4CE9413A">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8.8施工设备和临时设施</w:t>
      </w:r>
    </w:p>
    <w:p w14:paraId="2B783CD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8.8.1承包人提供的施工设备和临时设施</w:t>
      </w:r>
    </w:p>
    <w:p w14:paraId="3EC1E33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2F374F5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除专用合同条款另有约定外，承包人应自行承担修建临时设施的费用，需要临时占地的，应由发包人办理申请手续并承担相应费用。</w:t>
      </w:r>
    </w:p>
    <w:p w14:paraId="77EA73B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8.8.2发包人提供的施工设备和临时设施</w:t>
      </w:r>
    </w:p>
    <w:p w14:paraId="78665AD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发包人提供的施工设备或临时设施在专用合同条款中约定。</w:t>
      </w:r>
    </w:p>
    <w:p w14:paraId="09B8EEC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8.8.3要求承包人增加或更换施工设备</w:t>
      </w:r>
    </w:p>
    <w:p w14:paraId="16AC68E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6F4183B7">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8.9材料与设备专用要求</w:t>
      </w:r>
    </w:p>
    <w:p w14:paraId="3F66F1D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14:paraId="6B590119">
      <w:pPr>
        <w:pStyle w:val="4"/>
        <w:shd w:val="clear"/>
        <w:jc w:val="left"/>
        <w:rPr>
          <w:rFonts w:ascii="宋体" w:hAnsi="宋体" w:eastAsia="宋体"/>
          <w:color w:val="auto"/>
          <w:sz w:val="28"/>
          <w:szCs w:val="28"/>
          <w:highlight w:val="none"/>
        </w:rPr>
      </w:pPr>
      <w:bookmarkStart w:id="97" w:name="_Toc197530145"/>
      <w:bookmarkStart w:id="98" w:name="_Toc195459470"/>
      <w:r>
        <w:rPr>
          <w:rFonts w:hint="eastAsia" w:ascii="宋体" w:hAnsi="宋体" w:eastAsia="宋体"/>
          <w:color w:val="auto"/>
          <w:sz w:val="28"/>
          <w:szCs w:val="28"/>
          <w:highlight w:val="none"/>
        </w:rPr>
        <w:t>9.试验与检验</w:t>
      </w:r>
      <w:bookmarkEnd w:id="97"/>
      <w:bookmarkEnd w:id="98"/>
    </w:p>
    <w:p w14:paraId="508C122B">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9.1试验设备与试验人员</w:t>
      </w:r>
    </w:p>
    <w:p w14:paraId="28A1DFA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9.1.1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650DCFF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9.1.2承包人应按专用合同条款的约定提供试验设备、取样装置、试验场所和试验条件，并向监理人提交相应进场计划表。</w:t>
      </w:r>
    </w:p>
    <w:p w14:paraId="5DEF85A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承包人配置的试验设备要符合相应试验规程的要求并经过具有资质的检测单位检测，且在正式使用该试验设备前，需要经过监理人与承包人共同校定。</w:t>
      </w:r>
    </w:p>
    <w:p w14:paraId="48E7327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9.1.3承包人应向监理人提交试验人员的名单及其岗位、资格等证明资料，试验人员必须能够熟练进行相应的检测试验，承包人对试验人员的试验程序和试验结果的正确性负责。</w:t>
      </w:r>
    </w:p>
    <w:p w14:paraId="68887837">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9.2取样</w:t>
      </w:r>
    </w:p>
    <w:p w14:paraId="5678C68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试验属于自检性质的，承包人可以单独取样。试验属于监理人抽检性质的，可由监理人取样，也可由承包人的试验人员在监理人的监督下取样。</w:t>
      </w:r>
    </w:p>
    <w:p w14:paraId="7264D5C6">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9.3材料、工程设备和工程的试验和检验</w:t>
      </w:r>
    </w:p>
    <w:p w14:paraId="2169F7A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794DA82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33383FF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0FFA2339">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9.4现场工艺试验</w:t>
      </w:r>
    </w:p>
    <w:p w14:paraId="0A26024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承包人应按合同约定或监理人指示进行现场工艺试验。对大型的现场工艺试验，监理人认为必要时，承包人应根据监理人提出的工艺试验要求，编制工艺试验措施计划，报送监理人审查。</w:t>
      </w:r>
    </w:p>
    <w:p w14:paraId="6F32E71D">
      <w:pPr>
        <w:pStyle w:val="4"/>
        <w:shd w:val="clear"/>
        <w:jc w:val="left"/>
        <w:rPr>
          <w:rFonts w:ascii="宋体" w:hAnsi="宋体" w:eastAsia="宋体"/>
          <w:color w:val="auto"/>
          <w:sz w:val="28"/>
          <w:szCs w:val="28"/>
          <w:highlight w:val="none"/>
        </w:rPr>
      </w:pPr>
      <w:bookmarkStart w:id="99" w:name="_Toc197530146"/>
      <w:bookmarkStart w:id="100" w:name="_Toc195459471"/>
      <w:r>
        <w:rPr>
          <w:rFonts w:hint="eastAsia" w:ascii="宋体" w:hAnsi="宋体" w:eastAsia="宋体"/>
          <w:color w:val="auto"/>
          <w:sz w:val="28"/>
          <w:szCs w:val="28"/>
          <w:highlight w:val="none"/>
        </w:rPr>
        <w:t>10.变更</w:t>
      </w:r>
      <w:bookmarkEnd w:id="99"/>
      <w:bookmarkEnd w:id="100"/>
    </w:p>
    <w:p w14:paraId="0ED924A5">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10.1变更的范围</w:t>
      </w:r>
    </w:p>
    <w:p w14:paraId="3B5F910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除专用合同条款另有约定外，合同履行过程中发生以下情形的，应按照本条约定进行变更：</w:t>
      </w:r>
    </w:p>
    <w:p w14:paraId="5C4A9CA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（1）增加或减少合同中任何工作，或追加额外的工作；</w:t>
      </w:r>
    </w:p>
    <w:p w14:paraId="3568322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（2）取消合同中任何工作，但转由他人实施的工作除外；</w:t>
      </w:r>
    </w:p>
    <w:p w14:paraId="795884D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（3）改变合同中任何工作的质量标准或其他特性；</w:t>
      </w:r>
    </w:p>
    <w:p w14:paraId="53EE00C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（4）改变工程的基线、标高、位置和尺寸；</w:t>
      </w:r>
    </w:p>
    <w:p w14:paraId="6CA1B5A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（5）改变工程的时间安排或实施顺序。</w:t>
      </w:r>
    </w:p>
    <w:p w14:paraId="12C39BB2">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10.2变更权</w:t>
      </w:r>
    </w:p>
    <w:p w14:paraId="7538BA3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1C4D369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涉及设计变更的，应由设计人提供变更后的图纸和说明。如变更超过原设计标准或批准的建设规模时，发包人应及时办理规划、设计变更等审批手续。</w:t>
      </w:r>
    </w:p>
    <w:p w14:paraId="5934DC1B">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10.3变更程序</w:t>
      </w:r>
    </w:p>
    <w:p w14:paraId="5BECE50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10.3.1发包人提出变更</w:t>
      </w:r>
    </w:p>
    <w:p w14:paraId="2A1C1D7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发包人提出变更的，应通过监理人向承包人发出变更指示，变更指示应说明计划变更的工程范围和变更的内容。</w:t>
      </w:r>
    </w:p>
    <w:p w14:paraId="13A3D7E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10.3.2监理人提出变更建议</w:t>
      </w:r>
    </w:p>
    <w:p w14:paraId="0F9E285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417F25C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10.3.3变更执行</w:t>
      </w:r>
    </w:p>
    <w:p w14:paraId="45D9A47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4986C976">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10.4变更估价</w:t>
      </w:r>
    </w:p>
    <w:p w14:paraId="52EB8D1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10.4.1变更估价原则</w:t>
      </w:r>
    </w:p>
    <w:p w14:paraId="31912B7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除专用合同条款另有约定外，变更估价按照本款约定处理：</w:t>
      </w:r>
    </w:p>
    <w:p w14:paraId="293D21D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（1）已标价工程量清单或预算书有相同项目的，按照相同项目单价认定；</w:t>
      </w:r>
    </w:p>
    <w:p w14:paraId="2948E68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（2）已标价工程量清单或预算书中无相同项目，但有类似项目的，参照类似项目的单价认定；</w:t>
      </w:r>
    </w:p>
    <w:p w14:paraId="6CC0178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2052FA5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10.4.2变更估价程序</w:t>
      </w:r>
    </w:p>
    <w:p w14:paraId="2A59EDD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5706009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因变更引起的价格调整应计入最近一期的进度款中支付。</w:t>
      </w:r>
    </w:p>
    <w:p w14:paraId="1C5240A8">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10.5承包人的合理化建议</w:t>
      </w:r>
    </w:p>
    <w:p w14:paraId="1A873AA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承包人提出合理化建议的，应向监理人提交合理化建议说明，说明建议的内容和理由，以及实施该建议对合同价格和工期的影响。</w:t>
      </w:r>
    </w:p>
    <w:p w14:paraId="50E21FC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0DE968C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合理化建议降低了合同价格或者提高了工程经济效益的，发包人可对承包人给予奖励，奖励的方法和金额在专用合同条款中约定。</w:t>
      </w:r>
    </w:p>
    <w:p w14:paraId="4E65C4E7">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10.6变更引起的工期调整</w:t>
      </w:r>
    </w:p>
    <w:p w14:paraId="313FC29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因变更引起工期变化的，合同当事人均可要求调整合同工期，由合同当事人按照第4.4款〔商定或确定〕并参考工程所在地的工期定额标准确定增减工期天数。</w:t>
      </w:r>
    </w:p>
    <w:p w14:paraId="7619BBB3">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10.7暂估价</w:t>
      </w:r>
    </w:p>
    <w:p w14:paraId="5442CAD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暂估价专业分包工程、服务、材料和工程设备的明细由合同当事人在专用合同条款中约定。</w:t>
      </w:r>
    </w:p>
    <w:p w14:paraId="216CB46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10.7.1依法必须招标的暂估价项目</w:t>
      </w:r>
    </w:p>
    <w:p w14:paraId="6250ED5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对于依法必须招标的暂估价项目，采取以下第1种方式确定。合同当事人也可以在专用合同条款中选择其他招标方式。</w:t>
      </w:r>
    </w:p>
    <w:p w14:paraId="55AEF9D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第1种方式：对于依法必须招标的暂估价项目，由承包人招标，对该暂估价项目的确认和批准按照以下约定执行：</w:t>
      </w:r>
    </w:p>
    <w:p w14:paraId="34B3FDB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7818D69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6BEDC79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1C0E7FD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734C07F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10.7.2不属于依法必须招标的暂估价项目</w:t>
      </w:r>
    </w:p>
    <w:p w14:paraId="46D98D6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除专用合同条款另有约定外，对于不属于依法必须招标的暂估价项目，采取以下第1种方式确定：</w:t>
      </w:r>
    </w:p>
    <w:p w14:paraId="2312952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第1种方式：对于不属于依法必须招标的暂估价项目，按本项约定确认和批准：</w:t>
      </w:r>
    </w:p>
    <w:p w14:paraId="1AF04F1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1015C92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（2）发包人认为承包人确定的供应商、分包人无法满足工程质量或合同要求的，发包人可以要求承包人重新确定暂估价项目的供应商、分包人；</w:t>
      </w:r>
    </w:p>
    <w:p w14:paraId="2ED249F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（3）承包人应当在签订暂估价合同后7天内，将暂估价合同副本报送发包人留存。</w:t>
      </w:r>
    </w:p>
    <w:p w14:paraId="546D359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第2种方式：承包人按照第10.7.1项〔依法必须招标的暂估价项目〕约定的第1种方式确定暂估价项目。</w:t>
      </w:r>
    </w:p>
    <w:p w14:paraId="7CACE08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第3种方式：承包人直接实施的暂估价项目</w:t>
      </w:r>
    </w:p>
    <w:p w14:paraId="0F2E879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承包人具备实施暂估价项目的资格和条件的，经发包人和承包人协商一致后，可由承包人自行实施暂估价项目，合同当事人可以在专用合同条款约定具体事项。</w:t>
      </w:r>
    </w:p>
    <w:p w14:paraId="0715738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10.7.3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5CFD74DB">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10.8暂列金额</w:t>
      </w:r>
    </w:p>
    <w:p w14:paraId="0278D09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暂列金额应按照发包人的要求使用，发包人的要求应通过监理人发出。合同当事人可以在专用合同条款中协商确定有关事项。</w:t>
      </w:r>
    </w:p>
    <w:p w14:paraId="6FE74BA8">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10.9计日工</w:t>
      </w:r>
    </w:p>
    <w:p w14:paraId="174E503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326812D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采用计日工计价的任何一项工作，承包人应在该项工作实施过程中，每天提交以下报表和有关凭证报送监理人审查：</w:t>
      </w:r>
    </w:p>
    <w:p w14:paraId="5DA7992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（1）工作名称、内容和数量；</w:t>
      </w:r>
    </w:p>
    <w:p w14:paraId="01AC096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（2）投入该工作的所有人员的姓名、专业、工种、级别和耗用工时；</w:t>
      </w:r>
    </w:p>
    <w:p w14:paraId="3FF059E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（3）投入该工作的材料类别和数量；</w:t>
      </w:r>
    </w:p>
    <w:p w14:paraId="02B6BFD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（4）投入该工作的施工设备型号、台数和耗用台时；</w:t>
      </w:r>
    </w:p>
    <w:p w14:paraId="37E9F39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（5）其他有关资料和凭证。</w:t>
      </w:r>
    </w:p>
    <w:p w14:paraId="2533D8C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计日工由承包人汇总后，列入最近一期进度付款申请单，由监理人审查并经发包人批准后列入进度付款。</w:t>
      </w:r>
    </w:p>
    <w:p w14:paraId="51113099">
      <w:pPr>
        <w:pStyle w:val="4"/>
        <w:shd w:val="clear"/>
        <w:jc w:val="left"/>
        <w:rPr>
          <w:rFonts w:ascii="宋体" w:hAnsi="宋体" w:eastAsia="宋体"/>
          <w:color w:val="auto"/>
          <w:sz w:val="28"/>
          <w:szCs w:val="28"/>
          <w:highlight w:val="none"/>
        </w:rPr>
      </w:pPr>
      <w:bookmarkStart w:id="101" w:name="_Toc195459472"/>
      <w:bookmarkStart w:id="102" w:name="_Toc197530147"/>
      <w:r>
        <w:rPr>
          <w:rFonts w:hint="eastAsia" w:ascii="宋体" w:hAnsi="宋体" w:eastAsia="宋体"/>
          <w:color w:val="auto"/>
          <w:sz w:val="28"/>
          <w:szCs w:val="28"/>
          <w:highlight w:val="none"/>
        </w:rPr>
        <w:t>11.价格调整</w:t>
      </w:r>
      <w:bookmarkEnd w:id="101"/>
      <w:bookmarkEnd w:id="102"/>
    </w:p>
    <w:p w14:paraId="1B824EA7">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11.1市场价格波动引起的调整</w:t>
      </w:r>
    </w:p>
    <w:p w14:paraId="711013D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除专用合同条款另有约定外，市场价格波动超过合同当事人约定的范围，合同价格应当调整。合同当事人可以在专用合同条款中约定选择以下一种方式对合同价格进行调整：</w:t>
      </w:r>
    </w:p>
    <w:p w14:paraId="10D506C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第1种方式：采用价格指数进行价格调整。</w:t>
      </w:r>
    </w:p>
    <w:p w14:paraId="5771CFA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（1）价格调整公式</w:t>
      </w:r>
    </w:p>
    <w:p w14:paraId="4437AE2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因人工、材料和设备等价格波动影响合同价格时，根据专用合同条款中约定的数据，按以下公式计算差额并调整合同价格：</w:t>
      </w:r>
    </w:p>
    <w:p w14:paraId="272002E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公式中：ΔP——需调整的价格差额；</w:t>
      </w:r>
    </w:p>
    <w:p w14:paraId="121B31E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38554AC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A——定值权重（即不调部分的权重）；</w:t>
      </w:r>
    </w:p>
    <w:p w14:paraId="3B23479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——各可调因子的变值权重（即可调部分的权重），为各可调因子在签约合同价中所占的比例；</w:t>
      </w:r>
    </w:p>
    <w:p w14:paraId="537DDFF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——各可调因子的现行价格指数，指约定的付款证书相关周期最后一天的前42天的各可调因子的价格指数；</w:t>
      </w:r>
    </w:p>
    <w:p w14:paraId="1F04FEF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——各可调因子的基本价格指数，指基准日期的各可调因子的价格指数。</w:t>
      </w:r>
    </w:p>
    <w:p w14:paraId="1DB5F81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68FC34B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（2）暂时确定调整差额</w:t>
      </w:r>
    </w:p>
    <w:p w14:paraId="2E7F5BE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在计算调整差额时无现行价格指数的，合同当事人同意暂用前次价格指数计算。实际价格指数有调整的，合同当事人进行相应调整。</w:t>
      </w:r>
    </w:p>
    <w:p w14:paraId="66F647D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（3）权重的调整</w:t>
      </w:r>
    </w:p>
    <w:p w14:paraId="112F24E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因变更导致合同约定的权重不合理时，按照第4.4款〔商定或确定〕执行。</w:t>
      </w:r>
    </w:p>
    <w:p w14:paraId="58A6856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（4）因承包人原因工期延误后的价格调整</w:t>
      </w:r>
    </w:p>
    <w:p w14:paraId="0759C7E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1A575EF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第2种方式：采用造价信息进行价格调整。</w:t>
      </w:r>
    </w:p>
    <w:p w14:paraId="24E3B08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4DF71F3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1C75D02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（2）材料、工程设备价格变化的价款调整按照发包人提供的基准价格，按以下风险范围规定执行：</w:t>
      </w:r>
    </w:p>
    <w:p w14:paraId="6EBF716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416FA68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7354AF4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14:paraId="12D645D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4142F2F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406F089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（3）施工机械台班单价或施工机械使用费发生变化超过省级或行业建设主管部门或其授权的工程造价管理机构规定的范围时，按规定调整合同价格。</w:t>
      </w:r>
    </w:p>
    <w:p w14:paraId="7EA8E75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第3种方式：专用合同条款约定的其他方式。</w:t>
      </w:r>
    </w:p>
    <w:p w14:paraId="30C0AD35">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11.2法律变化引起的调整</w:t>
      </w:r>
    </w:p>
    <w:p w14:paraId="6AC19C9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20A18B5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因法律变化引起的合同价格和工期调整，合同当事人无法达成一致的，由总监理工程师按第4.4款〔商定或确定〕的约定处理。</w:t>
      </w:r>
    </w:p>
    <w:p w14:paraId="706ABEA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因承包人原因造成工期延误，在工期延误期间出现法律变化的，由此增加的费用和（或）延误的工期由承包人承担。</w:t>
      </w:r>
    </w:p>
    <w:p w14:paraId="4A20DBCB">
      <w:pPr>
        <w:pStyle w:val="4"/>
        <w:shd w:val="clear"/>
        <w:jc w:val="left"/>
        <w:rPr>
          <w:rFonts w:ascii="宋体" w:hAnsi="宋体" w:eastAsia="宋体"/>
          <w:color w:val="auto"/>
          <w:sz w:val="28"/>
          <w:szCs w:val="28"/>
          <w:highlight w:val="none"/>
        </w:rPr>
      </w:pPr>
      <w:bookmarkStart w:id="103" w:name="_Toc195459473"/>
      <w:bookmarkStart w:id="104" w:name="_Toc197530148"/>
      <w:r>
        <w:rPr>
          <w:rFonts w:hint="eastAsia" w:ascii="宋体" w:hAnsi="宋体" w:eastAsia="宋体"/>
          <w:color w:val="auto"/>
          <w:sz w:val="28"/>
          <w:szCs w:val="28"/>
          <w:highlight w:val="none"/>
        </w:rPr>
        <w:t>12.合同价格、计量与支付</w:t>
      </w:r>
      <w:bookmarkEnd w:id="103"/>
      <w:bookmarkEnd w:id="104"/>
    </w:p>
    <w:p w14:paraId="699CCD64">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12.1合同价格形式</w:t>
      </w:r>
    </w:p>
    <w:p w14:paraId="3F805C9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发包人和承包人应在合同协议书中选择下列一种合同价格形式：</w:t>
      </w:r>
    </w:p>
    <w:p w14:paraId="3A6C7F2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1.单价合同</w:t>
      </w:r>
    </w:p>
    <w:p w14:paraId="6F567F1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645573B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2.总价合同</w:t>
      </w:r>
    </w:p>
    <w:p w14:paraId="3D45D4E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3B067BF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3.其它价格形式</w:t>
      </w:r>
    </w:p>
    <w:p w14:paraId="02CD78F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合同当事人可在专用合同条款中约定其他合同价格形式。</w:t>
      </w:r>
    </w:p>
    <w:p w14:paraId="1FA72A60">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12.2预付款</w:t>
      </w:r>
    </w:p>
    <w:p w14:paraId="6B115BA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12.2.1预付款的支付</w:t>
      </w:r>
    </w:p>
    <w:p w14:paraId="13F5D7A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预付款的支付按照专用合同条款约定执行，但至迟应在开工通知载明的开工日期7天前支付。预付款应当用于材料、工程设备、施工设备的采购及修建临时工程、组织施工队伍进场等。</w:t>
      </w:r>
    </w:p>
    <w:p w14:paraId="5960091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除专用合同条款另有约定外，预付款在进度付款中同比例扣回。在颁发工程接收证书前，提前解除合同的，尚未扣完的预付款应与合同价款一并结算。</w:t>
      </w:r>
    </w:p>
    <w:p w14:paraId="5449EA9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发包人逾期支付预付款超过7天的，承包人有权向发包人发出要求预付的催告通知，发包人收到通知后7天内仍未支付的，承包人有权暂停施工，并按第16.1.1项〔发包人违约的情形〕执行。</w:t>
      </w:r>
    </w:p>
    <w:p w14:paraId="32B9428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12.2.2预付款担保</w:t>
      </w:r>
    </w:p>
    <w:p w14:paraId="083AEEB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57E3E37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发包人在工程款中逐期扣回预付款后，预付款担保额度应相应减少，但剩余的预付款担保金额不得低于未被扣回的预付款金额。</w:t>
      </w:r>
    </w:p>
    <w:p w14:paraId="5C9A9DBB">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12.3计量</w:t>
      </w:r>
    </w:p>
    <w:p w14:paraId="32A1E3A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12.3.1计量原则</w:t>
      </w:r>
    </w:p>
    <w:p w14:paraId="07A84E6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工程量计量按照合同约定的工程量计算规则、图纸及变更指示等进行计量。工程量计算规则应以相关的国家标准、行业标准等为依据，由合同当事人在专用合同条款中约定。</w:t>
      </w:r>
    </w:p>
    <w:p w14:paraId="5ED45DC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12.3.2计量周期</w:t>
      </w:r>
    </w:p>
    <w:p w14:paraId="141E29A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除专用合同条款另有约定外，工程量的计量按月进行。</w:t>
      </w:r>
    </w:p>
    <w:p w14:paraId="6431CD4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12.3.3单价合同的计量</w:t>
      </w:r>
    </w:p>
    <w:p w14:paraId="659C16A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除专用合同条款另有约定外，单价合同的计量按照本项约定执行：</w:t>
      </w:r>
    </w:p>
    <w:p w14:paraId="301E991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（1）承包人应于每月25日向监理人报送上月20日至当月19日已完成的工程量报告，并附具进度付款申请单、已完成工程量报表和有关资料。</w:t>
      </w:r>
    </w:p>
    <w:p w14:paraId="20E370E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506E2EB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（3）监理人未在收到承包人提交的工程量报表后的7天内完成审核的，承包人报送的工程量报告中的工程量视为承包人实际完成的工程量，据此计算工程价款。</w:t>
      </w:r>
    </w:p>
    <w:p w14:paraId="2E023D0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12.3.4总价合同的计量</w:t>
      </w:r>
    </w:p>
    <w:p w14:paraId="26EC11A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除专用合同条款另有约定外，按月计量支付的总价合同，按照本项约定执行：</w:t>
      </w:r>
    </w:p>
    <w:p w14:paraId="496D306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（1）承包人应于每月25日向监理人报送上月20日至当月19日已完成的工程量报告，并附具进度付款申请单、已完成工程量报表和有关资料。</w:t>
      </w:r>
    </w:p>
    <w:p w14:paraId="7CE6638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2D857E9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（3）监理人未在收到承包人提交的工程量报表后的7天内完成复核的，承包人提交的工程量报告中的工程量视为承包人实际完成的工程量。</w:t>
      </w:r>
    </w:p>
    <w:p w14:paraId="755688E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12.3.5总价合同采用支付分解表计量支付的，可以按照第12.3.4项〔总价合同的计量〕约定进行计量，但合同价款按照支付分解表进行支付。</w:t>
      </w:r>
    </w:p>
    <w:p w14:paraId="13CFC1A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12.3.6其他价格形式合同的计量</w:t>
      </w:r>
    </w:p>
    <w:p w14:paraId="2445816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合同当事人可在专用合同条款中约定其他价格形式合同的计量方式和程序。</w:t>
      </w:r>
    </w:p>
    <w:p w14:paraId="1981524A">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12.4工程进度款支付</w:t>
      </w:r>
    </w:p>
    <w:p w14:paraId="113E918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12.4.1付款周期</w:t>
      </w:r>
    </w:p>
    <w:p w14:paraId="2861240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除专用合同条款另有约定外，付款周期应按照第12.3.2项〔计量周期〕的约定与计量周期保持一致。</w:t>
      </w:r>
    </w:p>
    <w:p w14:paraId="31AF3D4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12.4.2进度付款申请单的编制</w:t>
      </w:r>
    </w:p>
    <w:p w14:paraId="2ACE19B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除专用合同条款另有约定外，进度付款申请单应包括下列内容：</w:t>
      </w:r>
    </w:p>
    <w:p w14:paraId="3FBC79C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（1）截至本次付款周期已完成工作对应的金额；</w:t>
      </w:r>
    </w:p>
    <w:p w14:paraId="3C98EFB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（2）根据第10条〔变更〕应增加和扣减的变更金额；</w:t>
      </w:r>
    </w:p>
    <w:p w14:paraId="5231BF5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（3）根据第12.2款〔预付款〕约定应支付的预付款和扣减的返还预付款；</w:t>
      </w:r>
    </w:p>
    <w:p w14:paraId="598711E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（4）根据第15.3款〔质量保证金〕约定应扣减的质量保证金；</w:t>
      </w:r>
    </w:p>
    <w:p w14:paraId="2DC595F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（5）根据第19条〔索赔〕应增加和扣减的索赔金额；</w:t>
      </w:r>
    </w:p>
    <w:p w14:paraId="10170B8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（6）对已签发的进度款支付证书中出现错误的修正，应在本次进度付款中支付或扣除的金额；</w:t>
      </w:r>
    </w:p>
    <w:p w14:paraId="5F22425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（7）根据合同约定应增加和扣减的其他金额。</w:t>
      </w:r>
    </w:p>
    <w:p w14:paraId="4057C69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12.4.3进度付款申请单的提交</w:t>
      </w:r>
    </w:p>
    <w:p w14:paraId="026A778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（1）单价合同进度付款申请单的提交</w:t>
      </w:r>
    </w:p>
    <w:p w14:paraId="49786CB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2BF010F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（2）总价合同进度付款申请单的提交</w:t>
      </w:r>
    </w:p>
    <w:p w14:paraId="33C8763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总价合同按月计量支付的，承包人按照第12.3.4项〔总价合同的计量〕约定的时间按月向监理人提交进度付款申请单，并附上已完成工程量报表和有关资料。</w:t>
      </w:r>
    </w:p>
    <w:p w14:paraId="2C6C716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总价合同按支付分解表支付的，承包人应按照第12.4.6项〔支付分解表〕及第12.4.2项〔进度付款申请单的编制〕的约定向监理人提交进度付款申请单。</w:t>
      </w:r>
    </w:p>
    <w:p w14:paraId="574655B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（3）其他价格形式合同的进度付款申请单的提交</w:t>
      </w:r>
    </w:p>
    <w:p w14:paraId="4052AE7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合同当事人可在专用合同条款中约定其他价格形式合同的进度付款申请单的编制和提交程序。</w:t>
      </w:r>
    </w:p>
    <w:p w14:paraId="3EFBB71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12.4.4进度款审核和支付</w:t>
      </w:r>
    </w:p>
    <w:p w14:paraId="59AAC49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0745B92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18DC687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5AA003D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（3）发包人签发进度款支付证书或临时进度款支付证书，不表明发包人已同意、批准或接受了承包人完成的相应部分的工作。</w:t>
      </w:r>
    </w:p>
    <w:p w14:paraId="47BFC61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12.4.5进度付款的修正</w:t>
      </w:r>
    </w:p>
    <w:p w14:paraId="2320282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14:paraId="23B1C71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12.4.6支付分解表</w:t>
      </w:r>
    </w:p>
    <w:p w14:paraId="762FDCE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1.支付分解表的编制要求</w:t>
      </w:r>
    </w:p>
    <w:p w14:paraId="2539729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（1）支付分解表中所列的每期付款金额，应为第12.4.2项〔进度付款申请单的编制〕第（1）目的估算金额；</w:t>
      </w:r>
    </w:p>
    <w:p w14:paraId="27ECDB7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（2）实际进度与施工进度计划不一致的，合同当事人可按照第4.4款〔商定或确定〕修改支付分解表；</w:t>
      </w:r>
    </w:p>
    <w:p w14:paraId="44AB9C2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（3）不采用支付分解表的，承包人应向发包人和监理人提交按季度编制的支付估算分解表，用于支付参考。</w:t>
      </w:r>
    </w:p>
    <w:p w14:paraId="069241B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2.总价合同支付分解表的编制与审批</w:t>
      </w:r>
    </w:p>
    <w:p w14:paraId="33EEB54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67AD7BC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（2）监理人应在收到支付分解表后7天内完成审核并报送发包人。发包人应在收到经监理人审核的支付分解表后7天内完成审批，经发包人批准的支付分解表为有约束力的支付分解表。</w:t>
      </w:r>
    </w:p>
    <w:p w14:paraId="057234F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（3）发包人逾期未完成支付分解表审批的，也未及时要求承包人进行修正和提供补充资料的，则承包人提交的支付分解表视为已经获得发包人批准。</w:t>
      </w:r>
    </w:p>
    <w:p w14:paraId="0967DAD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3.单价合同的总价项目支付分解表的编制与审批</w:t>
      </w:r>
    </w:p>
    <w:p w14:paraId="7043AA3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6EE61C0E">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12.5支付账户</w:t>
      </w:r>
    </w:p>
    <w:p w14:paraId="0CCF2CB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发包人应将合同价款支付至合同协议书中约定的承包人账户。</w:t>
      </w:r>
    </w:p>
    <w:p w14:paraId="02F3240D">
      <w:pPr>
        <w:pStyle w:val="4"/>
        <w:shd w:val="clear"/>
        <w:jc w:val="left"/>
        <w:rPr>
          <w:rFonts w:ascii="宋体" w:hAnsi="宋体" w:eastAsia="宋体"/>
          <w:color w:val="auto"/>
          <w:sz w:val="28"/>
          <w:szCs w:val="28"/>
          <w:highlight w:val="none"/>
        </w:rPr>
      </w:pPr>
      <w:bookmarkStart w:id="105" w:name="_Toc197530149"/>
      <w:bookmarkStart w:id="106" w:name="_Toc195459474"/>
      <w:r>
        <w:rPr>
          <w:rFonts w:hint="eastAsia" w:ascii="宋体" w:hAnsi="宋体" w:eastAsia="宋体"/>
          <w:color w:val="auto"/>
          <w:sz w:val="28"/>
          <w:szCs w:val="28"/>
          <w:highlight w:val="none"/>
        </w:rPr>
        <w:t>13.验收和工程试车</w:t>
      </w:r>
      <w:bookmarkEnd w:id="105"/>
      <w:bookmarkEnd w:id="106"/>
    </w:p>
    <w:p w14:paraId="44BAC9B5">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13.1分部分项工程验收</w:t>
      </w:r>
    </w:p>
    <w:p w14:paraId="4CD90D6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13.1.1分部分项工程质量应符合国家有关工程施工验收规范、标准及合同约定，承包人应按照施工组织设计的要求完成分部分项工程施工。</w:t>
      </w:r>
    </w:p>
    <w:p w14:paraId="3DE51C4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13.1.2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197B08D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分部分项工程的验收资料应当作为竣工资料的组成部分。</w:t>
      </w:r>
    </w:p>
    <w:p w14:paraId="200FF927">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13.2竣工验收</w:t>
      </w:r>
    </w:p>
    <w:p w14:paraId="1FD6121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13.2.1竣工验收条件</w:t>
      </w:r>
    </w:p>
    <w:p w14:paraId="72814D7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工程具备以下条件的，承包人可以申请竣工验收：</w:t>
      </w:r>
    </w:p>
    <w:p w14:paraId="65863FF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（1）除发包人同意的甩项工作和缺陷修补工作外，合同范围内的全部工程以及有关工作，包括合同要求的试验、试运行以及检验均已完成，并符合合同要求；</w:t>
      </w:r>
    </w:p>
    <w:p w14:paraId="6A50263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（2）已按合同约定编制了甩项工作和缺陷修补工作清单以及相应的施工计划；</w:t>
      </w:r>
    </w:p>
    <w:p w14:paraId="1FD6FD2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（3）已按合同约定的内容和份数备齐竣工资料。</w:t>
      </w:r>
    </w:p>
    <w:p w14:paraId="15B972B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13.2.2竣工验收程序</w:t>
      </w:r>
    </w:p>
    <w:p w14:paraId="0673ACC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除专用合同条款另有约定外，承包人申请竣工验收的，应当按照以下程序进行：</w:t>
      </w:r>
    </w:p>
    <w:p w14:paraId="1EB737C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75E310E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230C385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（3）竣工验收合格的，发包人应在验收合格后14天内向承包人签发工程接收证书。发包人无正当理由逾期不颁发工程接收证书的，自验收合格后第15天起视为已颁发工程接收证书。</w:t>
      </w:r>
    </w:p>
    <w:p w14:paraId="26D989D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028AC89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213E128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6558F44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13.2.3竣工日期</w:t>
      </w:r>
    </w:p>
    <w:p w14:paraId="209FF34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14:paraId="3343C59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13.2.4拒绝接收全部或部分工程</w:t>
      </w:r>
    </w:p>
    <w:p w14:paraId="49FF84C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6A94864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13.2.5移交、接收全部与部分工程</w:t>
      </w:r>
    </w:p>
    <w:p w14:paraId="5EEF308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除专用合同条款另有约定外，合同当事人应当在颁发工程接收证书后7天内完成工程的移交。</w:t>
      </w:r>
    </w:p>
    <w:p w14:paraId="192648E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6CC7517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358CCE4B">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13.3工程试车</w:t>
      </w:r>
    </w:p>
    <w:p w14:paraId="75D2F68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13.3.1试车程序</w:t>
      </w:r>
    </w:p>
    <w:p w14:paraId="3948665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工程需要试车的，除专用合同条款另有约定外，试车内容应与承包人承包范围相一致，试车费用由承包人承担。工程试车应按如下程序进行：</w:t>
      </w:r>
    </w:p>
    <w:p w14:paraId="298C0F5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7D36869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2FD5B82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350688A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13.3.2试车中的责任</w:t>
      </w:r>
    </w:p>
    <w:p w14:paraId="56B582B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0C64F06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1767D9F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13.3.3投料试车</w:t>
      </w:r>
    </w:p>
    <w:p w14:paraId="0622A3B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如需进行投料试车的，发包人应在工程竣工验收后组织投料试车。发包人要求在工程竣工验收前进行或需要承包人配合时，应征得承包人同意，并在专用合同条款中约定有关事项。</w:t>
      </w:r>
    </w:p>
    <w:p w14:paraId="79EE7C8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4D2C9FA9">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13.4提前交付单位工程的验收</w:t>
      </w:r>
    </w:p>
    <w:p w14:paraId="43F5F50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13.4.1发包人需要在工程竣工前使用单位工程的，或承包人提出提前交付已经竣工的单位工程且经发包人同意的，可进行单位工程验收，验收的程序按照第13.2款〔竣工验收〕的约定进行。</w:t>
      </w:r>
    </w:p>
    <w:p w14:paraId="4DC5F73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3EA8F0F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13.4.2发包人要求在工程竣工前交付单位工程，由此导致承包人费用增加和（或）工期延误的，由发包人承担由此增加的费用和（或）延误的工期，并支付承包人合理的利润。</w:t>
      </w:r>
    </w:p>
    <w:p w14:paraId="7231D9BF">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13.5施工期运行</w:t>
      </w:r>
    </w:p>
    <w:p w14:paraId="7D7B6B4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13.5.1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02D026A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13.5.2在施工期运行中发现工程或工程设备损坏或存在缺陷的，由承包人按第15.2款〔缺陷责任期〕约定进行修复。</w:t>
      </w:r>
    </w:p>
    <w:p w14:paraId="066727F1">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13.6竣工退场</w:t>
      </w:r>
    </w:p>
    <w:p w14:paraId="3E73EB2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13.6.1竣工退场</w:t>
      </w:r>
    </w:p>
    <w:p w14:paraId="0011BE5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颁发工程接收证书后，承包人应按以下要求对施工现场进行清理：</w:t>
      </w:r>
    </w:p>
    <w:p w14:paraId="43BEA44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（1）施工现场内残留的垃圾已全部清除出场；</w:t>
      </w:r>
    </w:p>
    <w:p w14:paraId="03B03D5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（2）临时工程已拆除，场地已进行清理、平整或复原；</w:t>
      </w:r>
    </w:p>
    <w:p w14:paraId="1B2EE18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（3）按合同约定应撤离的人员、承包人施工设备和剩余的材料，包括废弃的施工设备和材料，已按计划撤离施工现场；</w:t>
      </w:r>
    </w:p>
    <w:p w14:paraId="708F534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（4）施工现场周边及其附近道路、河道的施工堆积物，已全部清理；</w:t>
      </w:r>
    </w:p>
    <w:p w14:paraId="457ADD6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（5）施工现场其他场地清理工作已全部完成。</w:t>
      </w:r>
    </w:p>
    <w:p w14:paraId="158D8A9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7209D30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13.6.2地表还原</w:t>
      </w:r>
    </w:p>
    <w:p w14:paraId="7DF2E65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6A7BE6EE">
      <w:pPr>
        <w:pStyle w:val="4"/>
        <w:shd w:val="clear"/>
        <w:jc w:val="left"/>
        <w:rPr>
          <w:rFonts w:ascii="宋体" w:hAnsi="宋体" w:eastAsia="宋体"/>
          <w:color w:val="auto"/>
          <w:sz w:val="28"/>
          <w:szCs w:val="28"/>
          <w:highlight w:val="none"/>
        </w:rPr>
      </w:pPr>
      <w:bookmarkStart w:id="107" w:name="_Toc195459475"/>
      <w:bookmarkStart w:id="108" w:name="_Toc197530150"/>
      <w:r>
        <w:rPr>
          <w:rFonts w:hint="eastAsia" w:ascii="宋体" w:hAnsi="宋体" w:eastAsia="宋体"/>
          <w:color w:val="auto"/>
          <w:sz w:val="28"/>
          <w:szCs w:val="28"/>
          <w:highlight w:val="none"/>
        </w:rPr>
        <w:t>14.竣工结算</w:t>
      </w:r>
      <w:bookmarkEnd w:id="107"/>
      <w:bookmarkEnd w:id="108"/>
    </w:p>
    <w:p w14:paraId="2E572961">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14.1竣工结算申请</w:t>
      </w:r>
    </w:p>
    <w:p w14:paraId="60DB3DC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55DF2AA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除专用合同条款另有约定外，竣工结算申请单应包括以下内容：</w:t>
      </w:r>
    </w:p>
    <w:p w14:paraId="6D743D8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（1）竣工结算合同价格；</w:t>
      </w:r>
    </w:p>
    <w:p w14:paraId="1F6A583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（2）发包人已支付承包人的款项；</w:t>
      </w:r>
    </w:p>
    <w:p w14:paraId="4DC6F18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（3）应扣留的质量保证金。已缴纳履约保证金的或提供其他工程质量担保方式的除外；</w:t>
      </w:r>
    </w:p>
    <w:p w14:paraId="642D713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（4）发包人应支付承包人的合同价款。</w:t>
      </w:r>
    </w:p>
    <w:p w14:paraId="3E5CE6EE">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14.2竣工结算审核</w:t>
      </w:r>
    </w:p>
    <w:p w14:paraId="0D1408C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54A1D61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5F9E3C3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除专用合同条款另有约定外，发包人应在签发竣工付款证书后的14天内，完成对承包人的竣工付款。发包人逾期支付的，按照中国人民银行发布的同期同类贷款基准利率支付违约金；逾期支付超过56天的，按照中国人民银行发布的同期同类贷款基准利率的两倍支付违约金。</w:t>
      </w:r>
    </w:p>
    <w:p w14:paraId="5478F55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3F6962B3">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14.3甩项竣工协议</w:t>
      </w:r>
    </w:p>
    <w:p w14:paraId="48FC412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105D0E27">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14.4最终结清</w:t>
      </w:r>
    </w:p>
    <w:p w14:paraId="5CF4A77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14.4.1最终结清申请单</w:t>
      </w:r>
    </w:p>
    <w:p w14:paraId="30CA3E8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（1）除专用合同条款另有约定外，承包人应在缺陷责任期终止证书颁发后7天内，按专用合同条款约定的份数向发包人提交最终结清申请单，并提供相关证明材料。</w:t>
      </w:r>
    </w:p>
    <w:p w14:paraId="59CD8BE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除专用合同条款另有约定外，最终结清申请单应列明质量保证金、应扣除的质量保证金、缺陷责任期内发生的增减费用。</w:t>
      </w:r>
    </w:p>
    <w:p w14:paraId="3D7CBBA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（2）发包人对最终结清申请单内容有异议的，有权要求承包人进行修正和提供补充资料，承包人应向发包人提交修正后的最终结清申请单。</w:t>
      </w:r>
    </w:p>
    <w:p w14:paraId="7537482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14.4.2最终结清证书和支付</w:t>
      </w:r>
    </w:p>
    <w:p w14:paraId="64D9297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7A186D6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162A0AF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（3）承包人对发包人颁发的最终结清证书有异议的，按第20条〔争议解决〕的约定办理。</w:t>
      </w:r>
    </w:p>
    <w:p w14:paraId="65F2A993">
      <w:pPr>
        <w:pStyle w:val="4"/>
        <w:shd w:val="clear"/>
        <w:jc w:val="left"/>
        <w:rPr>
          <w:rFonts w:ascii="宋体" w:hAnsi="宋体" w:eastAsia="宋体"/>
          <w:color w:val="auto"/>
          <w:sz w:val="28"/>
          <w:szCs w:val="28"/>
          <w:highlight w:val="none"/>
        </w:rPr>
      </w:pPr>
      <w:bookmarkStart w:id="109" w:name="_Toc197530151"/>
      <w:bookmarkStart w:id="110" w:name="_Toc195459476"/>
      <w:r>
        <w:rPr>
          <w:rFonts w:hint="eastAsia" w:ascii="宋体" w:hAnsi="宋体" w:eastAsia="宋体"/>
          <w:color w:val="auto"/>
          <w:sz w:val="28"/>
          <w:szCs w:val="28"/>
          <w:highlight w:val="none"/>
        </w:rPr>
        <w:t>15.缺陷责任与保修</w:t>
      </w:r>
      <w:bookmarkEnd w:id="109"/>
      <w:bookmarkEnd w:id="110"/>
    </w:p>
    <w:p w14:paraId="29604711">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15.1工程保修的原则</w:t>
      </w:r>
    </w:p>
    <w:p w14:paraId="6D9328C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在工程移交发包人后，因承包人原因产生的质量缺陷，承包人应承担质量缺陷责任和保修义务。缺陷责任期届满，承包人仍应按合同约定的工程各部位保修年限承担保修义务。</w:t>
      </w:r>
    </w:p>
    <w:p w14:paraId="4190065A">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15.2缺陷责任期</w:t>
      </w:r>
    </w:p>
    <w:p w14:paraId="4D507D0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15.2.1缺陷责任期从工程通过竣工验收之日起计算，合同当事人应在专用合同条款约定缺陷责任期的具体期限，但该期限最长不超过24个月。</w:t>
      </w:r>
    </w:p>
    <w:p w14:paraId="23D9DA6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779B645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1F66860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由他人原因造成的缺陷，发包人负责组织维修，承包人不承担费用，且发包人不得从保证金中扣除费用。</w:t>
      </w:r>
    </w:p>
    <w:p w14:paraId="3B2F80A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15.2.3任何一项缺陷或损坏修复后，经检查证明其影响了工程或工程设备的使用性能，承包人应重新进行合同约定的试验和试运行，试验和试运行的全部费用应由责任方承担。</w:t>
      </w:r>
    </w:p>
    <w:p w14:paraId="2867213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15.2.4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17713A2E">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15.3质量保证金</w:t>
      </w:r>
    </w:p>
    <w:p w14:paraId="6DD1C75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经合同当事人协商一致扣留质量保证金的，应在专用合同条款中予以明确。</w:t>
      </w:r>
    </w:p>
    <w:p w14:paraId="23D8F2C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在工程项目竣工前，承包人已经提供履约担保的，发包人不得同时预留工程质量保证金。</w:t>
      </w:r>
    </w:p>
    <w:p w14:paraId="54E7841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15.3.1承包人提供质量保证金的方式</w:t>
      </w:r>
    </w:p>
    <w:p w14:paraId="50C3CD4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承包人提供质量保证金有以下三种方式：</w:t>
      </w:r>
    </w:p>
    <w:p w14:paraId="02A73C5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（1）质量保证金保函；</w:t>
      </w:r>
    </w:p>
    <w:p w14:paraId="64C1BE4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（2）相应比例的工程款；</w:t>
      </w:r>
    </w:p>
    <w:p w14:paraId="77AC7A6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（3）双方约定的其他方式。</w:t>
      </w:r>
    </w:p>
    <w:p w14:paraId="2EE0105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除专用合同条款另有约定外，质量保证金原则上采用上述第（1）种方式。</w:t>
      </w:r>
    </w:p>
    <w:p w14:paraId="64DFB47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15.3.2质量保证金的扣留</w:t>
      </w:r>
    </w:p>
    <w:p w14:paraId="751C2C4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质量保证金的扣留有以下三种方式：</w:t>
      </w:r>
    </w:p>
    <w:p w14:paraId="54DB65D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（1）在支付工程进度款时逐次扣留，在此情形下，质量保证金的计算基数不包括预付款的支付、扣回以及价格调整的金额；</w:t>
      </w:r>
    </w:p>
    <w:p w14:paraId="7FDF2FB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（2）工程竣工结算时一次性扣留质量保证金；</w:t>
      </w:r>
    </w:p>
    <w:p w14:paraId="303753C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（3）双方约定的其他扣留方式。</w:t>
      </w:r>
    </w:p>
    <w:p w14:paraId="5596E04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除专用合同条款另有约定外，质量保证金的扣留原则上采用上述第（1）种方式。</w:t>
      </w:r>
    </w:p>
    <w:p w14:paraId="1826C07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21B333D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发包人在退还质量保证金的同时按照中国人民银行发布的同期同类贷款基准利率支付利息。</w:t>
      </w:r>
    </w:p>
    <w:p w14:paraId="72D8439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15.3.3质量保证金的退还</w:t>
      </w:r>
    </w:p>
    <w:p w14:paraId="6DA640E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缺陷责任期内，承包人认真履行合同约定的责任，到期后，承包人可向发包人申请返还保证金。</w:t>
      </w:r>
    </w:p>
    <w:p w14:paraId="1E142B7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06D5515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发包人和承包人对保证金预留、返还以及工程维修质量、费用有争议的，按本合同第20条约定的争议和纠纷解决程序处理。</w:t>
      </w:r>
    </w:p>
    <w:p w14:paraId="409D9ABE">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15.4保修</w:t>
      </w:r>
    </w:p>
    <w:p w14:paraId="794650B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15.4.1保修责任</w:t>
      </w:r>
    </w:p>
    <w:p w14:paraId="1992CF8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3030221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发包人未经竣工验收擅自使用工程的，保修期自转移占有之日起算。</w:t>
      </w:r>
    </w:p>
    <w:p w14:paraId="4199BBF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15.4.2修复费用</w:t>
      </w:r>
    </w:p>
    <w:p w14:paraId="41CC5E6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保修期内，修复的费用按照以下约定处理：</w:t>
      </w:r>
    </w:p>
    <w:p w14:paraId="584F4CD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（1）保修期内，因承包人原因造成工程的缺陷、损坏，承包人应负责修复，并承担修复的费用以及因工程的缺陷、损坏造成的人身伤害和财产损失；</w:t>
      </w:r>
    </w:p>
    <w:p w14:paraId="7542EA3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（2）保修期内，因发包人使用不当造成工程的缺陷、损坏，可以委托承包人修复，但发包人应承担修复的费用，并支付承包人合理利润；</w:t>
      </w:r>
    </w:p>
    <w:p w14:paraId="2320C06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（3）因其他原因造成工程的缺陷、损坏，可以委托承包人修复，发包人应承担修复的费用，并支付承包人合理的利润，因工程的缺陷、损坏造成的人身伤害和财产损失由责任方承担。</w:t>
      </w:r>
    </w:p>
    <w:p w14:paraId="3A815F9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15.4.3修复通知</w:t>
      </w:r>
    </w:p>
    <w:p w14:paraId="103E1F7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3A49133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15.4.4未能修复</w:t>
      </w:r>
    </w:p>
    <w:p w14:paraId="2073AED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1106C02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15.4.5承包人出入权</w:t>
      </w:r>
    </w:p>
    <w:p w14:paraId="4B074AE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71D231FF">
      <w:pPr>
        <w:pStyle w:val="4"/>
        <w:shd w:val="clear"/>
        <w:jc w:val="left"/>
        <w:rPr>
          <w:rFonts w:ascii="宋体" w:hAnsi="宋体" w:eastAsia="宋体"/>
          <w:color w:val="auto"/>
          <w:sz w:val="28"/>
          <w:szCs w:val="28"/>
          <w:highlight w:val="none"/>
        </w:rPr>
      </w:pPr>
      <w:bookmarkStart w:id="111" w:name="_Toc195459477"/>
      <w:bookmarkStart w:id="112" w:name="_Toc197530152"/>
      <w:r>
        <w:rPr>
          <w:rFonts w:hint="eastAsia" w:ascii="宋体" w:hAnsi="宋体" w:eastAsia="宋体"/>
          <w:color w:val="auto"/>
          <w:sz w:val="28"/>
          <w:szCs w:val="28"/>
          <w:highlight w:val="none"/>
        </w:rPr>
        <w:t>16.违约</w:t>
      </w:r>
      <w:bookmarkEnd w:id="111"/>
      <w:bookmarkEnd w:id="112"/>
    </w:p>
    <w:p w14:paraId="27D503EA">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16.1发包人违约</w:t>
      </w:r>
    </w:p>
    <w:p w14:paraId="320400A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16.1.1发包人违约的情形</w:t>
      </w:r>
    </w:p>
    <w:p w14:paraId="5E99B59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在合同履行过程中发生的下列情形，属于发包人违约：</w:t>
      </w:r>
    </w:p>
    <w:p w14:paraId="49D7970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（1）因发包人原因未能在计划开工日期前7天内下达开工通知的；</w:t>
      </w:r>
    </w:p>
    <w:p w14:paraId="6EC8C99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（2）因发包人原因未能按合同约定支付合同价款的；</w:t>
      </w:r>
    </w:p>
    <w:p w14:paraId="27EAA9F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（3）发包人违反第10.1款〔变更的范围〕第（2）项约定，自行实施被取消的工作或转由他人实施的；</w:t>
      </w:r>
    </w:p>
    <w:p w14:paraId="7086D87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（4）发包人提供的材料、工程设备的规格、数量或质量不符合合同约定，或因发包人原因导致交货日期延误或交货地点变更等情况的；</w:t>
      </w:r>
    </w:p>
    <w:p w14:paraId="002B63D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（5）因发包人违反合同约定造成暂停施工的；</w:t>
      </w:r>
    </w:p>
    <w:p w14:paraId="1BA1E67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（6）发包人无正当理由没有在约定期限内发出复工指示，导致承包人无法复工的；</w:t>
      </w:r>
    </w:p>
    <w:p w14:paraId="2D13B91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（7）发包人明确表示或者以其行为表明不履行合同主要义务的；</w:t>
      </w:r>
    </w:p>
    <w:p w14:paraId="68B0059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（8）发包人未能按照合同约定履行其他义务的。</w:t>
      </w:r>
    </w:p>
    <w:p w14:paraId="43D2423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7443678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16.1.2发包人违约的责任</w:t>
      </w:r>
    </w:p>
    <w:p w14:paraId="58E7E30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发包人应承担因其违约给承包人增加的费用和（或）延误的工期，并支付承包人合理的利润。此外，合同当事人可在专用合同条款中另行约定发包人违约责任的承担方式和计算方法。</w:t>
      </w:r>
    </w:p>
    <w:p w14:paraId="52FCC7D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16.1.3因发包人违约解除合同</w:t>
      </w:r>
    </w:p>
    <w:p w14:paraId="468ACC6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55D09B0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16.1.4因发包人违约解除合同后的付款</w:t>
      </w:r>
    </w:p>
    <w:p w14:paraId="3ED949C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承包人按照本款约定解除合同的，发包人应在解除合同后28天内支付下列款项，并解除履约担保：</w:t>
      </w:r>
    </w:p>
    <w:p w14:paraId="30F0C53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（1）合同解除前所完成工作的价款；</w:t>
      </w:r>
    </w:p>
    <w:p w14:paraId="1FC9B77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（2）承包人为工程施工订购并已付款的材料、工程设备和其他物品的价款；</w:t>
      </w:r>
    </w:p>
    <w:p w14:paraId="1890928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（3）承包人撤离施工现场以及遣散承包人人员的款项；</w:t>
      </w:r>
    </w:p>
    <w:p w14:paraId="7D51D1E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（4）按照合同约定在合同解除前应支付的违约金；</w:t>
      </w:r>
    </w:p>
    <w:p w14:paraId="46EF7A9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（5）按照合同约定应当支付给承包人的其他款项；</w:t>
      </w:r>
    </w:p>
    <w:p w14:paraId="6C3ED8A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（6）按照合同约定应退还的质量保证金；</w:t>
      </w:r>
    </w:p>
    <w:p w14:paraId="420B85A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（7）因解除合同给承包人造成的损失。</w:t>
      </w:r>
    </w:p>
    <w:p w14:paraId="4F12DD4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合同当事人未能就解除合同后的结清达成一致的，按照第20条〔争议解决〕的约定处理。</w:t>
      </w:r>
    </w:p>
    <w:p w14:paraId="21C02B4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承包人应妥善做好已完工程和与工程有关的已购材料、工程设备的保护和移交工作，并将施工设备和人员撤出施工现场，发包人应为承包人撤出提供必要条件。</w:t>
      </w:r>
    </w:p>
    <w:p w14:paraId="644878D6">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16.2承包人违约</w:t>
      </w:r>
    </w:p>
    <w:p w14:paraId="4B509F3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16.2.1承包人违约的情形</w:t>
      </w:r>
    </w:p>
    <w:p w14:paraId="6EF96D1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在合同履行过程中发生的下列情形，属于承包人违约：</w:t>
      </w:r>
    </w:p>
    <w:p w14:paraId="71DA7F8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（1）承包人违反合同约定进行转包或违法分包的；</w:t>
      </w:r>
    </w:p>
    <w:p w14:paraId="665AD07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（2）承包人违反合同约定采购和使用不合格的材料和工程设备的；</w:t>
      </w:r>
    </w:p>
    <w:p w14:paraId="44FCDD5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（3）因承包人原因导致工程质量不符合合同要求的；</w:t>
      </w:r>
    </w:p>
    <w:p w14:paraId="33C3561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（4）承包人违反第8.9款〔材料与设备专用要求〕的约定，未经批准，私自将已按照合同约定进入施工现场的材料或设备撤离施工现场的；</w:t>
      </w:r>
    </w:p>
    <w:p w14:paraId="67C9F51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（5）承包人未能按施工进度计划及时完成合同约定的工作，造成工期延误的；</w:t>
      </w:r>
    </w:p>
    <w:p w14:paraId="49CC333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（6）承包人在缺陷责任期及保修期内，未能在合理期限对工程缺陷进行修复，或拒绝按发包人要求进行修复的；</w:t>
      </w:r>
    </w:p>
    <w:p w14:paraId="39D4D5B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（7）承包人明确表示或者以其行为表明不履行合同主要义务的；</w:t>
      </w:r>
    </w:p>
    <w:p w14:paraId="35178B1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（8）承包人未能按照合同约定履行其他义务的。</w:t>
      </w:r>
    </w:p>
    <w:p w14:paraId="633F173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承包人发生除本项第（7）目约定以外的其他违约情况时，监理人可向承包人发出整改通知，要求其在指定的期限内改正。</w:t>
      </w:r>
    </w:p>
    <w:p w14:paraId="066A857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16.2.2承包人违约的责任</w:t>
      </w:r>
    </w:p>
    <w:p w14:paraId="3F8F73C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承包人应承担因其违约行为而增加的费用和（或）延误的工期。此外，合同当事人可在专用合同条款中另行约定承包人违约责任的承担方式和计算方法。</w:t>
      </w:r>
    </w:p>
    <w:p w14:paraId="7D58BC8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16.2.3因承包人违约解除合同</w:t>
      </w:r>
    </w:p>
    <w:p w14:paraId="50458C3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1720051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16.2.4因承包人违约解除合同后的处理</w:t>
      </w:r>
    </w:p>
    <w:p w14:paraId="42706CF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因承包人原因导致合同解除的，则合同当事人应在合同解除后28天内完成估价、付款和清算，并按以下约定执行：</w:t>
      </w:r>
    </w:p>
    <w:p w14:paraId="6E122F1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（1）合同解除后，按第4.4款〔商定或确定〕商定或确定承包人实际完成工作对应的合同价款，以及承包人已提供的材料、工程设备、施工设备和临时工程等的价值；</w:t>
      </w:r>
    </w:p>
    <w:p w14:paraId="4AA5E8B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（2）合同解除后，承包人应支付的违约金；</w:t>
      </w:r>
    </w:p>
    <w:p w14:paraId="59DC85A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（3）合同解除后，因解除合同给发包人造成的损失；</w:t>
      </w:r>
    </w:p>
    <w:p w14:paraId="7C00FA3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（4）合同解除后，承包人应按照发包人要求和监理人的指示完成现场的清理和撤离；</w:t>
      </w:r>
    </w:p>
    <w:p w14:paraId="4C8CDF6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（5）发包人和承包人应在合同解除后进行清算，出具最终结清付款证书，结清全部款项。</w:t>
      </w:r>
    </w:p>
    <w:p w14:paraId="5364871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529FF23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16.2.5采购合同权益转让</w:t>
      </w:r>
    </w:p>
    <w:p w14:paraId="5D1C3F4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1FB3BCEA">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16.3第三人造成的违约</w:t>
      </w:r>
    </w:p>
    <w:p w14:paraId="4D63331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在履行合同过程中，一方当事人因第三人的原因造成违约的，应当向对方当事人承担违约责任。一方当事人和第三人之间的纠纷，依照法律规定或者按照约定解决。</w:t>
      </w:r>
    </w:p>
    <w:p w14:paraId="71AC3AF8">
      <w:pPr>
        <w:pStyle w:val="4"/>
        <w:shd w:val="clear"/>
        <w:jc w:val="left"/>
        <w:rPr>
          <w:rFonts w:ascii="宋体" w:hAnsi="宋体" w:eastAsia="宋体"/>
          <w:color w:val="auto"/>
          <w:sz w:val="28"/>
          <w:szCs w:val="28"/>
          <w:highlight w:val="none"/>
        </w:rPr>
      </w:pPr>
      <w:bookmarkStart w:id="113" w:name="_Toc197530153"/>
      <w:bookmarkStart w:id="114" w:name="_Toc195459478"/>
      <w:r>
        <w:rPr>
          <w:rFonts w:hint="eastAsia" w:ascii="宋体" w:hAnsi="宋体" w:eastAsia="宋体"/>
          <w:color w:val="auto"/>
          <w:sz w:val="28"/>
          <w:szCs w:val="28"/>
          <w:highlight w:val="none"/>
        </w:rPr>
        <w:t>17.不可抗力</w:t>
      </w:r>
      <w:bookmarkEnd w:id="113"/>
      <w:bookmarkEnd w:id="114"/>
    </w:p>
    <w:p w14:paraId="775F23B7">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17.1不可抗力的确认</w:t>
      </w:r>
    </w:p>
    <w:p w14:paraId="17EA2BC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0D9E345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094B5058">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17.2不可抗力的通知</w:t>
      </w:r>
    </w:p>
    <w:p w14:paraId="2955E5C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合同一方当事人遇到不可抗力事件，使其履行合同义务受到阻碍时，应立即通知合同另一方当事人和监理人，书面说明不可抗力和受阻碍的详细情况，并提供必要的证明。</w:t>
      </w:r>
    </w:p>
    <w:p w14:paraId="5F5E059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350A9348">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17.3不可抗力后果的承担</w:t>
      </w:r>
    </w:p>
    <w:p w14:paraId="71C107E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17.3.1不可抗力引起的后果及造成的损失由合同当事人按照法律规定及合同约定各自承担。不可抗力发生前已完成的工程应当按照合同约定进行计量支付。</w:t>
      </w:r>
    </w:p>
    <w:p w14:paraId="1559CF9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17.3.2不可抗力导致的人员伤亡、财产损失、费用增加和（或）工期延误等后果，由合同当事人按以下原则承担：</w:t>
      </w:r>
    </w:p>
    <w:p w14:paraId="317E7CA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（1）永久工程、已运至施工现场的材料和工程设备的损坏，以及因工程损坏造成的第三人人员伤亡和财产损失由发包人承担；</w:t>
      </w:r>
    </w:p>
    <w:p w14:paraId="5C80B22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（2）承包人施工设备的损坏由承包人承担；</w:t>
      </w:r>
    </w:p>
    <w:p w14:paraId="503ECDA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（3）发包人和承包人承担各自人员伤亡和财产的损失；</w:t>
      </w:r>
    </w:p>
    <w:p w14:paraId="1464001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5B655C2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（5）因不可抗力引起或将引起工期延误，发包人要求赶工的，由此增加的赶工费用由发包人承担；</w:t>
      </w:r>
    </w:p>
    <w:p w14:paraId="5A8E566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（6）承包人在停工期间按照发包人要求照管、清理和修复工程的费用由发包人承担。</w:t>
      </w:r>
    </w:p>
    <w:p w14:paraId="2194C93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不可抗力发生后，合同当事人均应采取措施尽量避免和减少损失的扩大，任何一方当事人没有采取有效措施导致损失扩大的，应对扩大的损失承担责任。</w:t>
      </w:r>
    </w:p>
    <w:p w14:paraId="63F9089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因合同一方迟延履行合同义务，在迟延履行期间遭遇不可抗力的，不免除其违约责任。</w:t>
      </w:r>
    </w:p>
    <w:p w14:paraId="63CC7EF8">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17.4因不可抗力解除合同</w:t>
      </w:r>
    </w:p>
    <w:p w14:paraId="372FEDA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44BDC9C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（1）合同解除前承包人已完成工作的价款；</w:t>
      </w:r>
    </w:p>
    <w:p w14:paraId="3FF3DA5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（2）承包人为工程订购的并已交付给承包人，或承包人有责任接受交付的材料、工程设备和其他物品的价款；</w:t>
      </w:r>
    </w:p>
    <w:p w14:paraId="090D55F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（3）发包人要求承包人退货或解除订货合同而产生的费用，或因不能退货或解除合同而产生的损失；</w:t>
      </w:r>
    </w:p>
    <w:p w14:paraId="5FA89ED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（4）承包人撤离施工现场以及遣散承包人人员的费用；</w:t>
      </w:r>
    </w:p>
    <w:p w14:paraId="62E215A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（5）按照合同约定在合同解除前应支付给承包人的其他款项；</w:t>
      </w:r>
    </w:p>
    <w:p w14:paraId="1664FA4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（6）扣减承包人按照合同约定应向发包人支付的款项；</w:t>
      </w:r>
    </w:p>
    <w:p w14:paraId="3AE1B35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（7）双方商定或确定的其他款项。</w:t>
      </w:r>
    </w:p>
    <w:p w14:paraId="7FA9994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除专用合同条款另有约定外，合同解除后，发包人应在商定或确定上述款项后28天内完成上述款项的支付。</w:t>
      </w:r>
    </w:p>
    <w:p w14:paraId="286AD526">
      <w:pPr>
        <w:pStyle w:val="4"/>
        <w:shd w:val="clear"/>
        <w:jc w:val="left"/>
        <w:rPr>
          <w:rFonts w:ascii="宋体" w:hAnsi="宋体" w:eastAsia="宋体"/>
          <w:color w:val="auto"/>
          <w:sz w:val="28"/>
          <w:szCs w:val="28"/>
          <w:highlight w:val="none"/>
        </w:rPr>
      </w:pPr>
      <w:bookmarkStart w:id="115" w:name="_Toc197530154"/>
      <w:bookmarkStart w:id="116" w:name="_Toc195459479"/>
      <w:r>
        <w:rPr>
          <w:rFonts w:hint="eastAsia" w:ascii="宋体" w:hAnsi="宋体" w:eastAsia="宋体"/>
          <w:color w:val="auto"/>
          <w:sz w:val="28"/>
          <w:szCs w:val="28"/>
          <w:highlight w:val="none"/>
        </w:rPr>
        <w:t>18.保险</w:t>
      </w:r>
      <w:bookmarkEnd w:id="115"/>
      <w:bookmarkEnd w:id="116"/>
    </w:p>
    <w:p w14:paraId="257FD2DF">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18.1工程保险</w:t>
      </w:r>
    </w:p>
    <w:p w14:paraId="33C9741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除专用合同条款另有约定外，发包人应投保建筑工程一切险或安装工程一切险；发包人委托承包人投保的，因投保产生的保险费和其他相关费用由发包人承担。</w:t>
      </w:r>
    </w:p>
    <w:p w14:paraId="5277E109">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18.2工伤保险</w:t>
      </w:r>
    </w:p>
    <w:p w14:paraId="5C00FD1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18.2.1发包人应依照法律规定参加工伤保险，并为在施工现场的全部员工办理工伤保险，缴纳工伤保险费，并要求监理人及由发包人为履行合同聘请的第三方依法参加工伤保险。</w:t>
      </w:r>
    </w:p>
    <w:p w14:paraId="2CF97D7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18.2.2承包人应依照法律规定参加工伤保险，并为其履行合同的全部员工办理工伤保险，缴纳工伤保险费，并要求分包人及由承包人为履行合同聘请的第三方依法参加工伤保险。</w:t>
      </w:r>
    </w:p>
    <w:p w14:paraId="7A4F4DF1">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18.3其他保险</w:t>
      </w:r>
    </w:p>
    <w:p w14:paraId="4F6DFF3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发包人和承包人可以为其施工现场的全部人员办理意外伤害保险并支付保险费，包括其员工及为履行合同聘请的第三方的人员，具体事项由合同当事人在专用合同条款约定。</w:t>
      </w:r>
    </w:p>
    <w:p w14:paraId="49E5247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除专用合同条款另有约定外，承包人应为其施工设备等办理财产保险。</w:t>
      </w:r>
    </w:p>
    <w:p w14:paraId="76B4E59C">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18.4持续保险</w:t>
      </w:r>
    </w:p>
    <w:p w14:paraId="14D97F9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合同当事人应与保险人保持联系，使保险人能够随时了解工程实施中的变动，并确保按保险合同条款要求持续保险。</w:t>
      </w:r>
    </w:p>
    <w:p w14:paraId="7700AFAD">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18.5保险凭证</w:t>
      </w:r>
    </w:p>
    <w:p w14:paraId="7060684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合同当事人应及时向另一方当事人提交其已投保的各项保险的凭证和保险单复印件。</w:t>
      </w:r>
    </w:p>
    <w:p w14:paraId="3D8E0D8B">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18.6未按约定投保的补救</w:t>
      </w:r>
    </w:p>
    <w:p w14:paraId="0DAA508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14:paraId="59E1473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14:paraId="32766EA3">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18.7通知义务</w:t>
      </w:r>
    </w:p>
    <w:p w14:paraId="047F32A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1EC685B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保险事故发生时，投保人应按照保险合同规定的条件和期限及时向保险人报告。发包人和承包人应当在知道保险事故发生后及时通知对方。</w:t>
      </w:r>
    </w:p>
    <w:p w14:paraId="41055410">
      <w:pPr>
        <w:pStyle w:val="4"/>
        <w:shd w:val="clear"/>
        <w:jc w:val="left"/>
        <w:rPr>
          <w:rFonts w:ascii="宋体" w:hAnsi="宋体" w:eastAsia="宋体"/>
          <w:color w:val="auto"/>
          <w:sz w:val="28"/>
          <w:szCs w:val="28"/>
          <w:highlight w:val="none"/>
        </w:rPr>
      </w:pPr>
      <w:bookmarkStart w:id="117" w:name="_Toc195459480"/>
      <w:bookmarkStart w:id="118" w:name="_Toc197530155"/>
      <w:r>
        <w:rPr>
          <w:rFonts w:hint="eastAsia" w:ascii="宋体" w:hAnsi="宋体" w:eastAsia="宋体"/>
          <w:color w:val="auto"/>
          <w:sz w:val="28"/>
          <w:szCs w:val="28"/>
          <w:highlight w:val="none"/>
        </w:rPr>
        <w:t>19.索赔</w:t>
      </w:r>
      <w:bookmarkEnd w:id="117"/>
      <w:bookmarkEnd w:id="118"/>
    </w:p>
    <w:p w14:paraId="0476D0B1">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19.1承包人的索赔</w:t>
      </w:r>
    </w:p>
    <w:p w14:paraId="5D30D8D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根据合同约定，承包人认为有权得到追加付款和（或）延长工期的，应按以下程序向发包人提出索赔：</w:t>
      </w:r>
    </w:p>
    <w:p w14:paraId="35FB6EF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09DD092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（2）承包人应在发出索赔意向通知书后28天内，向监理人正式递交索赔报告；索赔报告应详细说明索赔理由以及要求追加的付款金额和（或）延长的工期，并附必要的记录和证明材料；</w:t>
      </w:r>
    </w:p>
    <w:p w14:paraId="7FB49D3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（3）索赔事件具有持续影响的，承包人应按合理时间间隔继续递交延续索赔通知，说明持续影响的实际情况和记录，列出累计的追加付款金额和（或）工期延长天数；</w:t>
      </w:r>
    </w:p>
    <w:p w14:paraId="4F013455">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（4）在索赔事件影响结束后28天内，承包人应向监理人递交最终索赔报告，说明最终要求索赔的追加付款金额和（或）延长的工期，并附必要的记录和证明材料。</w:t>
      </w:r>
    </w:p>
    <w:p w14:paraId="7C416E6D">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19.2对承包人索赔的处理</w:t>
      </w:r>
    </w:p>
    <w:p w14:paraId="75364BB9">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对承包人索赔的处理如下：</w:t>
      </w:r>
    </w:p>
    <w:p w14:paraId="3F03E96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（1）监理人应在收到索赔报告后14天内完成审查并报送发包人。监理人对索赔报告存在异议的，有权要求承包人提交全部原始记录副本；</w:t>
      </w:r>
    </w:p>
    <w:p w14:paraId="141EBFC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14:paraId="7AAF420D">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（3）承包人接受索赔处理结果的，索赔款项在当期进度款中进行支付；承包人不接受索赔处理结果的，按照第20条〔争议解决〕约定处理。</w:t>
      </w:r>
    </w:p>
    <w:p w14:paraId="3085DEFD">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19.3发包人的索赔</w:t>
      </w:r>
    </w:p>
    <w:p w14:paraId="1AC869E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根据合同约定，发包人认为有权得到赔付金额和（或）延长缺陷责任期的，监理人应向承包人发出通知并附有详细的证明。</w:t>
      </w:r>
    </w:p>
    <w:p w14:paraId="15937C2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560F2867">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19.4对发包人索赔的处理</w:t>
      </w:r>
    </w:p>
    <w:p w14:paraId="1E8DECC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对发包人索赔的处理如下：</w:t>
      </w:r>
    </w:p>
    <w:p w14:paraId="45C09330">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（1）承包人收到发包人提交的索赔报告后，应及时审查索赔报告的内容、查验发包人证明材料；</w:t>
      </w:r>
    </w:p>
    <w:p w14:paraId="07DB619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（2）承包人应在收到索赔报告或有关索赔的进一步证明材料后28天内，将索赔处理结果答复发包人。如果承包人未在上述期限内作出答复的，则视为对发包人索赔要求的认可；</w:t>
      </w:r>
    </w:p>
    <w:p w14:paraId="063ADC4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（3）承包人接受索赔处理结果的，发包人可从应支付给承包人的合同价款中扣除赔付的金额或延长缺陷责任期；发包人不接受索赔处理结果的，按第20条〔争议解决〕约定处理。</w:t>
      </w:r>
    </w:p>
    <w:p w14:paraId="1B227401">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19.5提出索赔的期限</w:t>
      </w:r>
    </w:p>
    <w:p w14:paraId="13C911C6">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（1）承包人按第14.2款〔竣工结算审核〕约定接收竣工付款证书后，应被视为已无权再提出在工程接收证书颁发前所发生的任何索赔。</w:t>
      </w:r>
    </w:p>
    <w:p w14:paraId="23BB906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（2）承包人按第14.4款〔最终结清〕提交的最终结清申请单中，只限于提出工程接收证书颁发后发生的索赔。提出索赔的期限自接受最终结清证书时终止。</w:t>
      </w:r>
    </w:p>
    <w:p w14:paraId="6D9E9C99">
      <w:pPr>
        <w:pStyle w:val="4"/>
        <w:shd w:val="clear"/>
        <w:jc w:val="left"/>
        <w:rPr>
          <w:rFonts w:ascii="宋体" w:hAnsi="宋体" w:eastAsia="宋体"/>
          <w:color w:val="auto"/>
          <w:sz w:val="28"/>
          <w:szCs w:val="28"/>
          <w:highlight w:val="none"/>
        </w:rPr>
      </w:pPr>
      <w:bookmarkStart w:id="119" w:name="_Toc197530156"/>
      <w:bookmarkStart w:id="120" w:name="_Toc195459481"/>
      <w:r>
        <w:rPr>
          <w:rFonts w:hint="eastAsia" w:ascii="宋体" w:hAnsi="宋体" w:eastAsia="宋体"/>
          <w:color w:val="auto"/>
          <w:sz w:val="28"/>
          <w:szCs w:val="28"/>
          <w:highlight w:val="none"/>
        </w:rPr>
        <w:t>20.争议解决</w:t>
      </w:r>
      <w:bookmarkEnd w:id="119"/>
      <w:bookmarkEnd w:id="120"/>
    </w:p>
    <w:p w14:paraId="78EA7EBB">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20.1和解</w:t>
      </w:r>
    </w:p>
    <w:p w14:paraId="570CD48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合同当事人可以就争议自行和解，自行和解达成协议的经双方签字并盖章后作为合同补充文件，双方均应遵照执行。</w:t>
      </w:r>
    </w:p>
    <w:p w14:paraId="22421DFB">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20.2调解</w:t>
      </w:r>
    </w:p>
    <w:p w14:paraId="5D84DEFA">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合同当事人可以就争议请求建设行政主管部门、行业协会或其他第三方进行调解，调解达成协议的，经双方签字并盖章后作为合同补充文件，双方均应遵照执行。</w:t>
      </w:r>
    </w:p>
    <w:p w14:paraId="4D6B10E2">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20.3争议评审</w:t>
      </w:r>
    </w:p>
    <w:p w14:paraId="1F7395CE">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合同当事人在专用合同条款中约定采取争议评审方式解决争议以及评审规则，并按下列约定执行：</w:t>
      </w:r>
    </w:p>
    <w:p w14:paraId="3046C24C">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20.3.1争议评审小组的确定</w:t>
      </w:r>
    </w:p>
    <w:p w14:paraId="2598BBD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合同当事人可以共同选择一名或三名争议评审员，组成争议评审小组。除专用合同条款另有约定外，合同当事人应当自合同签订后28天内，或者争议发生后14天内，选定争议评审员。</w:t>
      </w:r>
    </w:p>
    <w:p w14:paraId="6F6C20D1">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14:paraId="2233E4B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除专用合同条款另有约定外，评审员报酬由发包人和承包人各承担一半。</w:t>
      </w:r>
    </w:p>
    <w:p w14:paraId="3BDA24C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20.3.2争议评审小组的决定</w:t>
      </w:r>
    </w:p>
    <w:p w14:paraId="3AC2FB5B">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6531A9F3">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20.3.3争议评审小组决定的效力</w:t>
      </w:r>
    </w:p>
    <w:p w14:paraId="3D51AB97">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争议评审小组作出的书面决定经合同当事人签字确认后，对双方具有约束力，双方应遵照执行。</w:t>
      </w:r>
    </w:p>
    <w:p w14:paraId="0130914F">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任何一方当事人不接受争议评审小组决定或不履行争议评审小组决定的，双方可选择采用其他争议解决方式。</w:t>
      </w:r>
    </w:p>
    <w:p w14:paraId="3F4321D2">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20.4仲裁或诉讼</w:t>
      </w:r>
    </w:p>
    <w:p w14:paraId="0D754FE2">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因合同及合同有关事项产生的争议，合同当事人可以在专用合同条款中约定以下一种方式解决争议：</w:t>
      </w:r>
    </w:p>
    <w:p w14:paraId="688640D4">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（1）向约定的仲裁委员会申请仲裁；</w:t>
      </w:r>
    </w:p>
    <w:p w14:paraId="0171F9E8">
      <w:pPr>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（2）向有管辖权的人民法院起诉。</w:t>
      </w:r>
    </w:p>
    <w:p w14:paraId="0C8CFA8C">
      <w:pPr>
        <w:pStyle w:val="5"/>
        <w:shd w:val="clear"/>
        <w:ind w:firstLine="422" w:firstLineChars="200"/>
        <w:rPr>
          <w:rFonts w:ascii="宋体" w:hAnsi="宋体"/>
          <w:color w:val="auto"/>
          <w:sz w:val="21"/>
          <w:szCs w:val="21"/>
          <w:highlight w:val="none"/>
        </w:rPr>
      </w:pPr>
      <w:r>
        <w:rPr>
          <w:rFonts w:hint="eastAsia" w:ascii="宋体" w:hAnsi="宋体"/>
          <w:color w:val="auto"/>
          <w:sz w:val="21"/>
          <w:szCs w:val="21"/>
          <w:highlight w:val="none"/>
        </w:rPr>
        <w:t>20.5争议解决条款效力</w:t>
      </w:r>
    </w:p>
    <w:p w14:paraId="1774885B">
      <w:pPr>
        <w:pStyle w:val="63"/>
        <w:shd w:val="clea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合同有关争议解决的条款独立存在，合同的变更、解除、终止、无效或者被撤销均不影响其效力。</w:t>
      </w:r>
    </w:p>
    <w:p w14:paraId="6C9FD293">
      <w:pPr>
        <w:pStyle w:val="63"/>
        <w:shd w:val="clear"/>
        <w:spacing w:line="360" w:lineRule="auto"/>
        <w:ind w:firstLine="420" w:firstLineChars="200"/>
        <w:rPr>
          <w:rFonts w:ascii="宋体" w:hAnsi="宋体"/>
          <w:color w:val="auto"/>
          <w:szCs w:val="21"/>
          <w:highlight w:val="none"/>
        </w:rPr>
        <w:sectPr>
          <w:pgSz w:w="11906" w:h="16838"/>
          <w:pgMar w:top="1440" w:right="1134" w:bottom="1440" w:left="1418" w:header="851" w:footer="992" w:gutter="0"/>
          <w:cols w:space="425" w:num="1"/>
          <w:docGrid w:type="lines" w:linePitch="312" w:charSpace="0"/>
        </w:sectPr>
      </w:pPr>
    </w:p>
    <w:p w14:paraId="4A5E4CD9">
      <w:pPr>
        <w:pStyle w:val="3"/>
        <w:shd w:val="clear"/>
        <w:spacing w:before="0" w:after="0" w:line="240" w:lineRule="auto"/>
        <w:jc w:val="center"/>
        <w:rPr>
          <w:rFonts w:ascii="宋体" w:hAnsi="宋体" w:eastAsia="宋体"/>
          <w:color w:val="auto"/>
          <w:sz w:val="30"/>
          <w:szCs w:val="30"/>
          <w:highlight w:val="none"/>
        </w:rPr>
      </w:pPr>
      <w:bookmarkStart w:id="121" w:name="_Toc195459482"/>
      <w:bookmarkStart w:id="122" w:name="_Toc197530157"/>
      <w:bookmarkStart w:id="123" w:name="_Toc181816511"/>
      <w:r>
        <w:rPr>
          <w:rFonts w:hint="eastAsia" w:ascii="宋体" w:hAnsi="宋体" w:eastAsia="宋体"/>
          <w:color w:val="auto"/>
          <w:sz w:val="30"/>
          <w:szCs w:val="30"/>
          <w:highlight w:val="none"/>
        </w:rPr>
        <w:t>第三部分 专用合同条款</w:t>
      </w:r>
      <w:bookmarkEnd w:id="121"/>
      <w:bookmarkEnd w:id="122"/>
      <w:bookmarkEnd w:id="123"/>
    </w:p>
    <w:p w14:paraId="1EB6F13C">
      <w:pPr>
        <w:pStyle w:val="4"/>
        <w:shd w:val="clear"/>
        <w:jc w:val="left"/>
        <w:rPr>
          <w:rFonts w:ascii="宋体" w:hAnsi="宋体" w:eastAsia="宋体"/>
          <w:color w:val="auto"/>
          <w:sz w:val="28"/>
          <w:szCs w:val="28"/>
          <w:highlight w:val="none"/>
        </w:rPr>
      </w:pPr>
      <w:bookmarkStart w:id="124" w:name="_Toc195459483"/>
      <w:bookmarkStart w:id="125" w:name="_Toc197530158"/>
      <w:bookmarkStart w:id="126" w:name="_Toc181816512"/>
      <w:r>
        <w:rPr>
          <w:rFonts w:hint="eastAsia" w:ascii="宋体" w:hAnsi="宋体" w:eastAsia="宋体"/>
          <w:color w:val="auto"/>
          <w:sz w:val="28"/>
          <w:szCs w:val="28"/>
          <w:highlight w:val="none"/>
        </w:rPr>
        <w:t>一、词语定义及合同文件</w:t>
      </w:r>
      <w:bookmarkEnd w:id="124"/>
      <w:bookmarkEnd w:id="125"/>
    </w:p>
    <w:p w14:paraId="6B513A7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1.语言文字和适用法律、标准及规范</w:t>
      </w:r>
    </w:p>
    <w:p w14:paraId="263C3BB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1.1本合同除使用汉语外，无其它语言文字。</w:t>
      </w:r>
    </w:p>
    <w:p w14:paraId="6FCB077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1.2适用法律和法规</w:t>
      </w:r>
    </w:p>
    <w:p w14:paraId="5AEB087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需要明示的法律、行政法规：</w:t>
      </w:r>
      <w:r>
        <w:rPr>
          <w:rFonts w:hint="eastAsia" w:ascii="宋体" w:hAnsi="宋体" w:eastAsia="宋体"/>
          <w:color w:val="auto"/>
          <w:szCs w:val="21"/>
          <w:highlight w:val="none"/>
          <w:u w:val="single"/>
        </w:rPr>
        <w:t>现行的国家法律、法规，工程所在地行政主管部门的规定、制度和文件</w:t>
      </w:r>
      <w:r>
        <w:rPr>
          <w:rFonts w:hint="eastAsia" w:ascii="宋体" w:hAnsi="宋体" w:eastAsia="宋体"/>
          <w:color w:val="auto"/>
          <w:szCs w:val="21"/>
          <w:highlight w:val="none"/>
        </w:rPr>
        <w:t>。</w:t>
      </w:r>
    </w:p>
    <w:p w14:paraId="05B1D21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1.3适用标准、规范</w:t>
      </w:r>
    </w:p>
    <w:p w14:paraId="11D4BF8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适用标准、规范的名称：</w:t>
      </w:r>
      <w:r>
        <w:rPr>
          <w:rFonts w:hint="eastAsia" w:ascii="宋体" w:hAnsi="宋体" w:eastAsia="宋体"/>
          <w:color w:val="auto"/>
          <w:szCs w:val="21"/>
          <w:highlight w:val="none"/>
          <w:u w:val="single"/>
        </w:rPr>
        <w:t>国家、行业、本工程所在地现行的标准、规范等</w:t>
      </w:r>
      <w:r>
        <w:rPr>
          <w:rFonts w:hint="eastAsia" w:ascii="宋体" w:hAnsi="宋体" w:eastAsia="宋体"/>
          <w:color w:val="auto"/>
          <w:szCs w:val="21"/>
          <w:highlight w:val="none"/>
        </w:rPr>
        <w:t>。</w:t>
      </w:r>
    </w:p>
    <w:p w14:paraId="29C4605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发包人提供标准、规范的时间：</w:t>
      </w:r>
      <w:r>
        <w:rPr>
          <w:rFonts w:hint="eastAsia" w:ascii="宋体" w:hAnsi="宋体" w:eastAsia="宋体"/>
          <w:color w:val="auto"/>
          <w:szCs w:val="21"/>
          <w:highlight w:val="none"/>
          <w:u w:val="single"/>
        </w:rPr>
        <w:t>/</w:t>
      </w:r>
      <w:r>
        <w:rPr>
          <w:rFonts w:hint="eastAsia" w:ascii="宋体" w:hAnsi="宋体" w:eastAsia="宋体"/>
          <w:color w:val="auto"/>
          <w:szCs w:val="21"/>
          <w:highlight w:val="none"/>
        </w:rPr>
        <w:t>。</w:t>
      </w:r>
    </w:p>
    <w:p w14:paraId="6DB1536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1.4合同文件的优先顺序</w:t>
      </w:r>
    </w:p>
    <w:p w14:paraId="46D8A5A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组成合同的各项文件应互相解释，互为说明。除专用合同条款另有约定外，解释合同文件的优先顺序如下：</w:t>
      </w:r>
    </w:p>
    <w:p w14:paraId="0057C36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（1）合同协议书；</w:t>
      </w:r>
    </w:p>
    <w:p w14:paraId="41F0D23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（2）成交通知书；</w:t>
      </w:r>
    </w:p>
    <w:p w14:paraId="4EBD428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（3）竞争性磋商函、竞争性磋商报价表及最终报价表；</w:t>
      </w:r>
    </w:p>
    <w:p w14:paraId="4DAD0B6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（4）本合同专用合同条款及其附件；</w:t>
      </w:r>
    </w:p>
    <w:p w14:paraId="029B65A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（5）通用合同条款；</w:t>
      </w:r>
    </w:p>
    <w:p w14:paraId="1E96AAF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（6）标准、规范及有关技术文件；</w:t>
      </w:r>
    </w:p>
    <w:p w14:paraId="152927D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（7）图纸；</w:t>
      </w:r>
    </w:p>
    <w:p w14:paraId="66EA1B6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（8）已标价工程量清单或预算书（须与发包人的</w:t>
      </w:r>
      <w:r>
        <w:rPr>
          <w:rFonts w:hint="eastAsia" w:ascii="宋体" w:hAnsi="宋体" w:eastAsia="宋体"/>
          <w:color w:val="auto"/>
          <w:szCs w:val="21"/>
          <w:highlight w:val="none"/>
          <w:u w:val="single"/>
        </w:rPr>
        <w:t>固定</w:t>
      </w:r>
      <w:r>
        <w:rPr>
          <w:rFonts w:hint="eastAsia" w:ascii="宋体" w:hAnsi="宋体" w:eastAsia="宋体"/>
          <w:color w:val="auto"/>
          <w:szCs w:val="21"/>
          <w:highlight w:val="none"/>
        </w:rPr>
        <w:t>综合单价相同，否则以发包人的为准）；</w:t>
      </w:r>
    </w:p>
    <w:p w14:paraId="3E291B8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其他合同文件：《中华人民共和国建筑法》《中华人民共和国民法典》《中华人民共和国政府采购法》《中华人民共和国政府采购法实施条例》《政府采购竞争性磋商采购方式管理暂行办法》《财政部关于政府采购竞争性磋商采购方式管理暂行办法有关问题的补充通知》《中华人民共和国土地管理法》《中华人民共和国城市规划法》《中华人民共和国环境保护法》《中华人民共和国环境影响评价法》《建设工程质量管理条例》《建设工程安全生产管理条例》《建设工程勘察设计管理条例》《中华人民共和国土地管理法实施条例》《工程勘察通用规范》（GB55017-2021）、《广西壮族自治区岩土工程勘察规范》（DBJ/T45-066--2018）、《建筑装饰装修工程质量验收标准》《建筑工程施工发包与承包计价管理办法》《建筑工程施工许可管理办法》《实施工程建设强制性标准监督规定》《房屋建筑工程质量保修办法》《房屋建筑工程和市政基础设施工程竣工验收备案管理暂行办法》《建设工程施工现场管理规定》《建筑安全生产监督管理规定》《工程建设重大事故报告和调查程序规定》《城市建设档案管理规定》《建设工程工程量清单计价规范（GB50500-2013）》及其广西实施细则及《关于建筑业实施营业税改征增值税后广西壮族自治区建设工程计价依据调整的通知》（桂建标〔2016〕17号）、《自治区住房城乡建设厅关于调整建设工程计价增值税税率的通知》（桂建标〔2019〕12号）、《建设工程工程量计算规范（GB50854～50862-2013）》及其广西实施细则（修订本）等国家、自治区颁布的计价定额及有关规定。其它有关本工程的洽商、变更等书面协议，经发包人认可的工程签证单，经发包人审核书面同意的施工组织设计及各项施工方案，经发包人、承包人确认的会议纪要、备忘录、往来函件等文件。</w:t>
      </w:r>
    </w:p>
    <w:p w14:paraId="4A11C1DD">
      <w:pPr>
        <w:shd w:val="clea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上述各项合同文件包括合同当事人就该项合同文件所作出的补充和修改，属于同一类内容的文件，应以最新签署的为准。</w:t>
      </w:r>
    </w:p>
    <w:p w14:paraId="2647217D">
      <w:pPr>
        <w:shd w:val="clea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在合同订立及履行过程中形成的与合同有关的文件均构成合同文件组成部分，并根据其性质确定优先解释顺序。</w:t>
      </w:r>
    </w:p>
    <w:p w14:paraId="11DC88F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2.图纸</w:t>
      </w:r>
    </w:p>
    <w:p w14:paraId="547F02F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2.1发包人向承包人提供图纸日期和套数：</w:t>
      </w:r>
      <w:r>
        <w:rPr>
          <w:rFonts w:hint="eastAsia" w:ascii="宋体" w:hAnsi="宋体" w:eastAsia="宋体"/>
          <w:color w:val="auto"/>
          <w:szCs w:val="21"/>
          <w:highlight w:val="none"/>
          <w:u w:val="single"/>
        </w:rPr>
        <w:t>开工前14日内提供一式肆套</w:t>
      </w:r>
      <w:r>
        <w:rPr>
          <w:rFonts w:hint="eastAsia" w:ascii="宋体" w:hAnsi="宋体" w:eastAsia="宋体"/>
          <w:color w:val="auto"/>
          <w:szCs w:val="21"/>
          <w:highlight w:val="none"/>
        </w:rPr>
        <w:t>。</w:t>
      </w:r>
    </w:p>
    <w:p w14:paraId="27A156A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发包人对图纸的保密要求：</w:t>
      </w:r>
      <w:r>
        <w:rPr>
          <w:rFonts w:hint="eastAsia" w:ascii="宋体" w:hAnsi="宋体" w:eastAsia="宋体"/>
          <w:color w:val="auto"/>
          <w:szCs w:val="21"/>
          <w:highlight w:val="none"/>
          <w:u w:val="single"/>
        </w:rPr>
        <w:t>保密</w:t>
      </w:r>
      <w:r>
        <w:rPr>
          <w:rFonts w:hint="eastAsia" w:ascii="宋体" w:hAnsi="宋体" w:eastAsia="宋体"/>
          <w:color w:val="auto"/>
          <w:szCs w:val="21"/>
          <w:highlight w:val="none"/>
        </w:rPr>
        <w:t>。</w:t>
      </w:r>
    </w:p>
    <w:p w14:paraId="73873DB4">
      <w:pPr>
        <w:pStyle w:val="4"/>
        <w:shd w:val="clear"/>
        <w:jc w:val="left"/>
        <w:rPr>
          <w:rFonts w:ascii="宋体" w:hAnsi="宋体" w:eastAsia="宋体"/>
          <w:color w:val="auto"/>
          <w:sz w:val="28"/>
          <w:szCs w:val="28"/>
          <w:highlight w:val="none"/>
        </w:rPr>
      </w:pPr>
      <w:bookmarkStart w:id="127" w:name="_Toc197530159"/>
      <w:bookmarkStart w:id="128" w:name="_Toc195459484"/>
      <w:r>
        <w:rPr>
          <w:rFonts w:hint="eastAsia" w:ascii="宋体" w:hAnsi="宋体" w:eastAsia="宋体"/>
          <w:color w:val="auto"/>
          <w:sz w:val="28"/>
          <w:szCs w:val="28"/>
          <w:highlight w:val="none"/>
        </w:rPr>
        <w:t>二、双方一般权利和义务</w:t>
      </w:r>
      <w:bookmarkEnd w:id="127"/>
      <w:bookmarkEnd w:id="128"/>
    </w:p>
    <w:p w14:paraId="2657233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3.工程师</w:t>
      </w:r>
    </w:p>
    <w:p w14:paraId="77EDF1E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3.1监理单位委派的工程师</w:t>
      </w:r>
    </w:p>
    <w:p w14:paraId="7E671D3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姓名：</w:t>
      </w:r>
      <w:r>
        <w:rPr>
          <w:rFonts w:ascii="宋体" w:hAnsi="宋体" w:eastAsia="宋体"/>
          <w:color w:val="auto"/>
          <w:szCs w:val="21"/>
          <w:highlight w:val="none"/>
        </w:rPr>
        <w:t>_________，</w:t>
      </w:r>
      <w:r>
        <w:rPr>
          <w:rFonts w:hint="eastAsia" w:ascii="宋体" w:hAnsi="宋体" w:eastAsia="宋体"/>
          <w:color w:val="auto"/>
          <w:szCs w:val="21"/>
          <w:highlight w:val="none"/>
        </w:rPr>
        <w:t>职务：</w:t>
      </w:r>
      <w:r>
        <w:rPr>
          <w:rFonts w:ascii="宋体" w:hAnsi="宋体" w:eastAsia="宋体"/>
          <w:color w:val="auto"/>
          <w:szCs w:val="21"/>
          <w:highlight w:val="none"/>
        </w:rPr>
        <w:t>_________</w:t>
      </w:r>
    </w:p>
    <w:p w14:paraId="54D8943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执业资格证书号：</w:t>
      </w:r>
      <w:r>
        <w:rPr>
          <w:rFonts w:ascii="宋体" w:hAnsi="宋体" w:eastAsia="宋体"/>
          <w:color w:val="auto"/>
          <w:szCs w:val="21"/>
          <w:highlight w:val="none"/>
        </w:rPr>
        <w:t>_________，</w:t>
      </w:r>
      <w:r>
        <w:rPr>
          <w:rFonts w:hint="eastAsia" w:ascii="宋体" w:hAnsi="宋体" w:eastAsia="宋体"/>
          <w:color w:val="auto"/>
          <w:szCs w:val="21"/>
          <w:highlight w:val="none"/>
        </w:rPr>
        <w:t>联系电话：</w:t>
      </w:r>
      <w:r>
        <w:rPr>
          <w:rFonts w:ascii="宋体" w:hAnsi="宋体" w:eastAsia="宋体"/>
          <w:color w:val="auto"/>
          <w:szCs w:val="21"/>
          <w:highlight w:val="none"/>
        </w:rPr>
        <w:t>_________</w:t>
      </w:r>
    </w:p>
    <w:p w14:paraId="13BB7FC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发包人委托的职权：</w:t>
      </w:r>
      <w:r>
        <w:rPr>
          <w:rFonts w:hint="eastAsia" w:ascii="宋体" w:hAnsi="宋体" w:eastAsia="宋体"/>
          <w:color w:val="auto"/>
          <w:szCs w:val="21"/>
          <w:highlight w:val="none"/>
          <w:u w:val="single"/>
        </w:rPr>
        <w:t>按监理合同约定</w:t>
      </w:r>
    </w:p>
    <w:p w14:paraId="1B213E0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需要取得发包人批准才能行使的职权：</w:t>
      </w:r>
      <w:r>
        <w:rPr>
          <w:rFonts w:hint="eastAsia" w:ascii="宋体" w:hAnsi="宋体" w:eastAsia="宋体"/>
          <w:color w:val="auto"/>
          <w:szCs w:val="21"/>
          <w:highlight w:val="none"/>
          <w:u w:val="single"/>
        </w:rPr>
        <w:t>/</w:t>
      </w:r>
      <w:r>
        <w:rPr>
          <w:rFonts w:hint="eastAsia" w:ascii="宋体" w:hAnsi="宋体" w:eastAsia="宋体"/>
          <w:color w:val="auto"/>
          <w:szCs w:val="21"/>
          <w:highlight w:val="none"/>
        </w:rPr>
        <w:t>。</w:t>
      </w:r>
    </w:p>
    <w:p w14:paraId="6554378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3.2发包人派驻的工程师</w:t>
      </w:r>
    </w:p>
    <w:p w14:paraId="6AE3125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姓名：</w:t>
      </w:r>
      <w:r>
        <w:rPr>
          <w:rFonts w:ascii="宋体" w:hAnsi="宋体" w:eastAsia="宋体"/>
          <w:color w:val="auto"/>
          <w:szCs w:val="21"/>
          <w:highlight w:val="none"/>
        </w:rPr>
        <w:t>_________，</w:t>
      </w:r>
      <w:r>
        <w:rPr>
          <w:rFonts w:hint="eastAsia" w:ascii="宋体" w:hAnsi="宋体" w:eastAsia="宋体"/>
          <w:color w:val="auto"/>
          <w:szCs w:val="21"/>
          <w:highlight w:val="none"/>
        </w:rPr>
        <w:t>职务：</w:t>
      </w:r>
      <w:r>
        <w:rPr>
          <w:rFonts w:ascii="宋体" w:hAnsi="宋体" w:eastAsia="宋体"/>
          <w:color w:val="auto"/>
          <w:szCs w:val="21"/>
          <w:highlight w:val="none"/>
        </w:rPr>
        <w:t>_________</w:t>
      </w:r>
    </w:p>
    <w:p w14:paraId="2443FE8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联系电话：</w:t>
      </w:r>
      <w:r>
        <w:rPr>
          <w:rFonts w:ascii="宋体" w:hAnsi="宋体" w:eastAsia="宋体"/>
          <w:color w:val="auto"/>
          <w:szCs w:val="21"/>
          <w:highlight w:val="none"/>
        </w:rPr>
        <w:t>_________</w:t>
      </w:r>
    </w:p>
    <w:p w14:paraId="5F8785C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职权：</w:t>
      </w:r>
      <w:r>
        <w:rPr>
          <w:rFonts w:hint="eastAsia" w:ascii="宋体" w:hAnsi="宋体" w:eastAsia="宋体"/>
          <w:color w:val="auto"/>
          <w:szCs w:val="21"/>
          <w:highlight w:val="none"/>
          <w:u w:val="single"/>
        </w:rPr>
        <w:t>发包人委派的职权范围</w:t>
      </w:r>
      <w:r>
        <w:rPr>
          <w:rFonts w:hint="eastAsia" w:ascii="宋体" w:hAnsi="宋体" w:eastAsia="宋体"/>
          <w:color w:val="auto"/>
          <w:szCs w:val="21"/>
          <w:highlight w:val="none"/>
        </w:rPr>
        <w:t>。</w:t>
      </w:r>
    </w:p>
    <w:p w14:paraId="6D24519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3.3不实行监理的，工程师的职权：</w:t>
      </w:r>
      <w:r>
        <w:rPr>
          <w:rFonts w:hint="eastAsia" w:ascii="宋体" w:hAnsi="宋体" w:eastAsia="宋体"/>
          <w:color w:val="auto"/>
          <w:szCs w:val="21"/>
          <w:highlight w:val="none"/>
          <w:u w:val="single"/>
        </w:rPr>
        <w:t>经发包人授权行使</w:t>
      </w:r>
    </w:p>
    <w:p w14:paraId="255A614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4.承包人项目经理</w:t>
      </w:r>
    </w:p>
    <w:p w14:paraId="1752916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4.1姓名：</w:t>
      </w:r>
      <w:r>
        <w:rPr>
          <w:rFonts w:ascii="宋体" w:hAnsi="宋体" w:eastAsia="宋体"/>
          <w:color w:val="auto"/>
          <w:szCs w:val="21"/>
          <w:highlight w:val="none"/>
        </w:rPr>
        <w:t>_________，</w:t>
      </w:r>
      <w:r>
        <w:rPr>
          <w:rFonts w:hint="eastAsia" w:ascii="宋体" w:hAnsi="宋体" w:eastAsia="宋体"/>
          <w:color w:val="auto"/>
          <w:szCs w:val="21"/>
          <w:highlight w:val="none"/>
        </w:rPr>
        <w:t>执业资格等级：</w:t>
      </w:r>
      <w:r>
        <w:rPr>
          <w:rFonts w:ascii="宋体" w:hAnsi="宋体" w:eastAsia="宋体"/>
          <w:color w:val="auto"/>
          <w:szCs w:val="21"/>
          <w:highlight w:val="none"/>
        </w:rPr>
        <w:t>_________</w:t>
      </w:r>
    </w:p>
    <w:p w14:paraId="55A1B1A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职务：</w:t>
      </w:r>
      <w:r>
        <w:rPr>
          <w:rFonts w:ascii="宋体" w:hAnsi="宋体" w:eastAsia="宋体"/>
          <w:color w:val="auto"/>
          <w:szCs w:val="21"/>
          <w:highlight w:val="none"/>
        </w:rPr>
        <w:t>_________，</w:t>
      </w:r>
      <w:r>
        <w:rPr>
          <w:rFonts w:hint="eastAsia" w:ascii="宋体" w:hAnsi="宋体" w:eastAsia="宋体"/>
          <w:color w:val="auto"/>
          <w:szCs w:val="21"/>
          <w:highlight w:val="none"/>
        </w:rPr>
        <w:t>联系电话：</w:t>
      </w:r>
      <w:r>
        <w:rPr>
          <w:rFonts w:ascii="宋体" w:hAnsi="宋体" w:eastAsia="宋体"/>
          <w:color w:val="auto"/>
          <w:szCs w:val="21"/>
          <w:highlight w:val="none"/>
        </w:rPr>
        <w:t>_________</w:t>
      </w:r>
    </w:p>
    <w:p w14:paraId="3729303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5.发包人工作</w:t>
      </w:r>
    </w:p>
    <w:p w14:paraId="422B213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5.1发包人应按约定的时间和要求完成以下工作：</w:t>
      </w:r>
    </w:p>
    <w:p w14:paraId="0BA7260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（1）施工场地具备施工条件的要求及完成的时间：</w:t>
      </w:r>
      <w:r>
        <w:rPr>
          <w:rFonts w:hint="eastAsia" w:ascii="宋体" w:hAnsi="宋体" w:eastAsia="宋体"/>
          <w:color w:val="auto"/>
          <w:szCs w:val="21"/>
          <w:highlight w:val="none"/>
          <w:u w:val="single"/>
        </w:rPr>
        <w:t>开工前3日内</w:t>
      </w:r>
      <w:r>
        <w:rPr>
          <w:rFonts w:hint="eastAsia" w:ascii="宋体" w:hAnsi="宋体" w:eastAsia="宋体"/>
          <w:color w:val="auto"/>
          <w:szCs w:val="21"/>
          <w:highlight w:val="none"/>
        </w:rPr>
        <w:t>。</w:t>
      </w:r>
    </w:p>
    <w:p w14:paraId="2669F67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（2）将施工所需的水、电、电讯线路接至施工场地的时间、地点和供应要求：</w:t>
      </w:r>
      <w:r>
        <w:rPr>
          <w:rFonts w:hint="eastAsia" w:ascii="宋体" w:hAnsi="宋体" w:eastAsia="宋体"/>
          <w:color w:val="auto"/>
          <w:szCs w:val="21"/>
          <w:highlight w:val="none"/>
          <w:u w:val="single"/>
        </w:rPr>
        <w:t>开工前3日内明确水、电、电讯接入点</w:t>
      </w:r>
      <w:r>
        <w:rPr>
          <w:rFonts w:hint="eastAsia" w:ascii="宋体" w:hAnsi="宋体" w:eastAsia="宋体"/>
          <w:color w:val="auto"/>
          <w:szCs w:val="21"/>
          <w:highlight w:val="none"/>
        </w:rPr>
        <w:t>。施工水电费用约定：</w:t>
      </w:r>
      <w:r>
        <w:rPr>
          <w:rFonts w:hint="eastAsia" w:ascii="宋体" w:hAnsi="宋体" w:eastAsia="宋体"/>
          <w:color w:val="auto"/>
          <w:szCs w:val="21"/>
          <w:highlight w:val="none"/>
          <w:u w:val="single"/>
        </w:rPr>
        <w:t>①开工前承包人应到发包人水电管理部门办理用水用电手续，签订施工用水用电协议，并以现金转账方式缴纳文明施工保证金，文明施工保证金为本工程签约合同价的3%（最高不超过50万元），发包人开通用水用电；②现场施工用水、用电费用按月以实际计量收费（单价：以发包人水电部门核准为准）向发包人缴纳；③项目竣工验收前，承包人应与发包人结算水电费用，待结算完成后，由承包人申请，发包人15个工作日内退还文明施工保证金（无息）</w:t>
      </w:r>
      <w:r>
        <w:rPr>
          <w:rFonts w:hint="eastAsia" w:ascii="宋体" w:hAnsi="宋体" w:eastAsia="宋体"/>
          <w:color w:val="auto"/>
          <w:szCs w:val="21"/>
          <w:highlight w:val="none"/>
        </w:rPr>
        <w:t>。</w:t>
      </w:r>
    </w:p>
    <w:p w14:paraId="4A200D1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（3）施工场地与公共道路的通道开通时间和要求：</w:t>
      </w:r>
      <w:r>
        <w:rPr>
          <w:rFonts w:hint="eastAsia" w:ascii="宋体" w:hAnsi="宋体" w:eastAsia="宋体"/>
          <w:color w:val="auto"/>
          <w:szCs w:val="21"/>
          <w:highlight w:val="none"/>
          <w:u w:val="single"/>
        </w:rPr>
        <w:t>使用现有道路</w:t>
      </w:r>
      <w:r>
        <w:rPr>
          <w:rFonts w:hint="eastAsia" w:ascii="宋体" w:hAnsi="宋体" w:eastAsia="宋体"/>
          <w:color w:val="auto"/>
          <w:szCs w:val="21"/>
          <w:highlight w:val="none"/>
        </w:rPr>
        <w:t>。</w:t>
      </w:r>
    </w:p>
    <w:p w14:paraId="4AA3F6F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（4）工程地质和地下管线资料的提供时间：</w:t>
      </w:r>
      <w:r>
        <w:rPr>
          <w:rFonts w:hint="eastAsia" w:ascii="宋体" w:hAnsi="宋体" w:eastAsia="宋体"/>
          <w:color w:val="auto"/>
          <w:szCs w:val="21"/>
          <w:highlight w:val="none"/>
          <w:u w:val="single"/>
        </w:rPr>
        <w:t>/</w:t>
      </w:r>
      <w:r>
        <w:rPr>
          <w:rFonts w:hint="eastAsia" w:ascii="宋体" w:hAnsi="宋体" w:eastAsia="宋体"/>
          <w:color w:val="auto"/>
          <w:szCs w:val="21"/>
          <w:highlight w:val="none"/>
        </w:rPr>
        <w:t>。</w:t>
      </w:r>
    </w:p>
    <w:p w14:paraId="0F471F8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（5）由发包人办理的施工所需证件、批件的名称和完成时间：</w:t>
      </w:r>
      <w:r>
        <w:rPr>
          <w:rFonts w:hint="eastAsia" w:ascii="宋体" w:hAnsi="宋体" w:eastAsia="宋体"/>
          <w:color w:val="auto"/>
          <w:szCs w:val="21"/>
          <w:highlight w:val="none"/>
          <w:u w:val="single"/>
        </w:rPr>
        <w:t>/</w:t>
      </w:r>
      <w:r>
        <w:rPr>
          <w:rFonts w:hint="eastAsia" w:ascii="宋体" w:hAnsi="宋体" w:eastAsia="宋体"/>
          <w:color w:val="auto"/>
          <w:szCs w:val="21"/>
          <w:highlight w:val="none"/>
        </w:rPr>
        <w:t>。</w:t>
      </w:r>
    </w:p>
    <w:p w14:paraId="3690584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（6）水准点与坐标控制点交验要求：</w:t>
      </w:r>
      <w:r>
        <w:rPr>
          <w:rFonts w:hint="eastAsia" w:ascii="宋体" w:hAnsi="宋体" w:eastAsia="宋体"/>
          <w:color w:val="auto"/>
          <w:szCs w:val="21"/>
          <w:highlight w:val="none"/>
          <w:u w:val="single"/>
        </w:rPr>
        <w:t>/</w:t>
      </w:r>
      <w:r>
        <w:rPr>
          <w:rFonts w:hint="eastAsia" w:ascii="宋体" w:hAnsi="宋体" w:eastAsia="宋体"/>
          <w:color w:val="auto"/>
          <w:szCs w:val="21"/>
          <w:highlight w:val="none"/>
        </w:rPr>
        <w:t>。</w:t>
      </w:r>
    </w:p>
    <w:p w14:paraId="5A9863E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（7）图纸会审和设计交底时间：</w:t>
      </w:r>
      <w:r>
        <w:rPr>
          <w:rFonts w:hint="eastAsia" w:ascii="宋体" w:hAnsi="宋体" w:eastAsia="宋体"/>
          <w:color w:val="auto"/>
          <w:szCs w:val="21"/>
          <w:highlight w:val="none"/>
          <w:u w:val="single"/>
        </w:rPr>
        <w:t>开工前3日内由发包人负责</w:t>
      </w:r>
      <w:r>
        <w:rPr>
          <w:rFonts w:hint="eastAsia" w:ascii="宋体" w:hAnsi="宋体" w:eastAsia="宋体"/>
          <w:color w:val="auto"/>
          <w:szCs w:val="21"/>
          <w:highlight w:val="none"/>
        </w:rPr>
        <w:t>。</w:t>
      </w:r>
    </w:p>
    <w:p w14:paraId="233D7E4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（8）协调处理施工场地周围地下管线和邻近建筑物、构筑物（含文物保护建筑）、古树名木的保护工作：</w:t>
      </w:r>
      <w:r>
        <w:rPr>
          <w:rFonts w:hint="eastAsia" w:ascii="宋体" w:hAnsi="宋体" w:eastAsia="宋体"/>
          <w:color w:val="auto"/>
          <w:szCs w:val="21"/>
          <w:highlight w:val="none"/>
          <w:u w:val="single"/>
        </w:rPr>
        <w:t>发包人负责与相关部门协商处理，承包人积极配合</w:t>
      </w:r>
      <w:r>
        <w:rPr>
          <w:rFonts w:hint="eastAsia" w:ascii="宋体" w:hAnsi="宋体" w:eastAsia="宋体"/>
          <w:color w:val="auto"/>
          <w:szCs w:val="21"/>
          <w:highlight w:val="none"/>
        </w:rPr>
        <w:t>。</w:t>
      </w:r>
    </w:p>
    <w:p w14:paraId="0921DF6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（9）双方约定发包人应做的其他工作：</w:t>
      </w:r>
      <w:r>
        <w:rPr>
          <w:rFonts w:hint="eastAsia" w:ascii="宋体" w:hAnsi="宋体" w:eastAsia="宋体"/>
          <w:color w:val="auto"/>
          <w:szCs w:val="21"/>
          <w:highlight w:val="none"/>
          <w:u w:val="single"/>
        </w:rPr>
        <w:t>无</w:t>
      </w:r>
    </w:p>
    <w:p w14:paraId="73835C8F">
      <w:pPr>
        <w:shd w:val="clea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5.2发包人委托承包人办理的工作：</w:t>
      </w:r>
      <w:r>
        <w:rPr>
          <w:rFonts w:hint="eastAsia" w:ascii="宋体" w:hAnsi="宋体" w:eastAsia="宋体"/>
          <w:color w:val="auto"/>
          <w:szCs w:val="21"/>
          <w:highlight w:val="none"/>
          <w:u w:val="single"/>
        </w:rPr>
        <w:t>无</w:t>
      </w:r>
    </w:p>
    <w:p w14:paraId="1182CF5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6.承包人工作</w:t>
      </w:r>
    </w:p>
    <w:p w14:paraId="6259EE8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6.1承包人应按约定时间和要求，完成以下工作：</w:t>
      </w:r>
    </w:p>
    <w:p w14:paraId="2F20F01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（1）需由设计资质等级和业务范围允许的承包人完成的设计文件提交时间：</w:t>
      </w:r>
      <w:r>
        <w:rPr>
          <w:rFonts w:hint="eastAsia" w:ascii="宋体" w:hAnsi="宋体" w:eastAsia="宋体"/>
          <w:color w:val="auto"/>
          <w:szCs w:val="21"/>
          <w:highlight w:val="none"/>
          <w:u w:val="single"/>
        </w:rPr>
        <w:t>无</w:t>
      </w:r>
      <w:r>
        <w:rPr>
          <w:rFonts w:hint="eastAsia" w:ascii="宋体" w:hAnsi="宋体" w:eastAsia="宋体"/>
          <w:color w:val="auto"/>
          <w:szCs w:val="21"/>
          <w:highlight w:val="none"/>
        </w:rPr>
        <w:t>。</w:t>
      </w:r>
    </w:p>
    <w:p w14:paraId="1DA8430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（2）应提供计划、报表的名称及完成时间：</w:t>
      </w:r>
      <w:r>
        <w:rPr>
          <w:rFonts w:hint="eastAsia" w:ascii="宋体" w:hAnsi="宋体" w:eastAsia="宋体"/>
          <w:color w:val="auto"/>
          <w:szCs w:val="21"/>
          <w:highlight w:val="none"/>
          <w:u w:val="single"/>
        </w:rPr>
        <w:t>每月25日前</w:t>
      </w:r>
      <w:r>
        <w:rPr>
          <w:rFonts w:hint="eastAsia" w:ascii="宋体" w:hAnsi="宋体" w:eastAsia="宋体"/>
          <w:color w:val="auto"/>
          <w:szCs w:val="21"/>
          <w:highlight w:val="none"/>
        </w:rPr>
        <w:t>。</w:t>
      </w:r>
    </w:p>
    <w:p w14:paraId="5B21449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（3）承担施工安全保卫工作及非夜间施工照明的责任和要求：</w:t>
      </w:r>
      <w:r>
        <w:rPr>
          <w:rFonts w:hint="eastAsia" w:ascii="宋体" w:hAnsi="宋体" w:eastAsia="宋体"/>
          <w:color w:val="auto"/>
          <w:szCs w:val="21"/>
          <w:highlight w:val="none"/>
          <w:u w:val="single"/>
        </w:rPr>
        <w:t>由承包人承担费用</w:t>
      </w:r>
      <w:r>
        <w:rPr>
          <w:rFonts w:hint="eastAsia" w:ascii="宋体" w:hAnsi="宋体" w:eastAsia="宋体"/>
          <w:color w:val="auto"/>
          <w:szCs w:val="21"/>
          <w:highlight w:val="none"/>
        </w:rPr>
        <w:t>。</w:t>
      </w:r>
    </w:p>
    <w:p w14:paraId="2651C3F4">
      <w:pPr>
        <w:shd w:val="clea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（4）向发包人提供的办公和生活房屋及设施的要求：</w:t>
      </w:r>
      <w:r>
        <w:rPr>
          <w:rFonts w:hint="eastAsia" w:ascii="宋体" w:hAnsi="宋体" w:eastAsia="宋体"/>
          <w:color w:val="auto"/>
          <w:szCs w:val="21"/>
          <w:highlight w:val="none"/>
          <w:u w:val="single"/>
        </w:rPr>
        <w:t>无</w:t>
      </w:r>
    </w:p>
    <w:p w14:paraId="29D732B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（5）需承包人办理的有关施工场地交通、环卫和施工噪音管理等手续：</w:t>
      </w:r>
      <w:r>
        <w:rPr>
          <w:rFonts w:hint="eastAsia" w:ascii="宋体" w:hAnsi="宋体" w:eastAsia="宋体"/>
          <w:color w:val="auto"/>
          <w:szCs w:val="21"/>
          <w:highlight w:val="none"/>
          <w:u w:val="single"/>
        </w:rPr>
        <w:t>由承包人办理，费用由承包人承担</w:t>
      </w:r>
      <w:r>
        <w:rPr>
          <w:rFonts w:hint="eastAsia" w:ascii="宋体" w:hAnsi="宋体" w:eastAsia="宋体"/>
          <w:color w:val="auto"/>
          <w:szCs w:val="21"/>
          <w:highlight w:val="none"/>
        </w:rPr>
        <w:t>。</w:t>
      </w:r>
    </w:p>
    <w:p w14:paraId="3FC196D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（6）已完工程成品保护的特殊要求及费用承担：</w:t>
      </w:r>
      <w:r>
        <w:rPr>
          <w:rFonts w:hint="eastAsia" w:ascii="宋体" w:hAnsi="宋体" w:eastAsia="宋体"/>
          <w:color w:val="auto"/>
          <w:szCs w:val="21"/>
          <w:highlight w:val="none"/>
          <w:u w:val="single"/>
        </w:rPr>
        <w:t>由承包人负责实施，费用由承包人承担</w:t>
      </w:r>
      <w:r>
        <w:rPr>
          <w:rFonts w:hint="eastAsia" w:ascii="宋体" w:hAnsi="宋体" w:eastAsia="宋体"/>
          <w:color w:val="auto"/>
          <w:szCs w:val="21"/>
          <w:highlight w:val="none"/>
        </w:rPr>
        <w:t>。</w:t>
      </w:r>
    </w:p>
    <w:p w14:paraId="00C448F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（7）施工场地周围地下管线和邻近建筑物、构筑物（含文物保护建筑）、古树名木的保护要求及费用承担：</w:t>
      </w:r>
      <w:r>
        <w:rPr>
          <w:rFonts w:hint="eastAsia" w:ascii="宋体" w:hAnsi="宋体" w:eastAsia="宋体"/>
          <w:color w:val="auto"/>
          <w:szCs w:val="21"/>
          <w:highlight w:val="none"/>
          <w:u w:val="single"/>
        </w:rPr>
        <w:t>由承包人负责实施，费用由发包人承担</w:t>
      </w:r>
      <w:r>
        <w:rPr>
          <w:rFonts w:hint="eastAsia" w:ascii="宋体" w:hAnsi="宋体" w:eastAsia="宋体"/>
          <w:color w:val="auto"/>
          <w:szCs w:val="21"/>
          <w:highlight w:val="none"/>
        </w:rPr>
        <w:t>。</w:t>
      </w:r>
    </w:p>
    <w:p w14:paraId="0530E31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（8）施工场清洁卫生的要求：</w:t>
      </w:r>
      <w:r>
        <w:rPr>
          <w:rFonts w:hint="eastAsia" w:ascii="宋体" w:hAnsi="宋体" w:eastAsia="宋体"/>
          <w:color w:val="auto"/>
          <w:szCs w:val="21"/>
          <w:highlight w:val="none"/>
          <w:u w:val="single"/>
        </w:rPr>
        <w:t>由承包人负责</w:t>
      </w:r>
      <w:r>
        <w:rPr>
          <w:rFonts w:hint="eastAsia" w:ascii="宋体" w:hAnsi="宋体" w:eastAsia="宋体"/>
          <w:color w:val="auto"/>
          <w:szCs w:val="21"/>
          <w:highlight w:val="none"/>
        </w:rPr>
        <w:t>。</w:t>
      </w:r>
    </w:p>
    <w:p w14:paraId="3F83856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（9）双方约定承包人应做的其他工作：</w:t>
      </w:r>
    </w:p>
    <w:p w14:paraId="33A276CE">
      <w:pPr>
        <w:shd w:val="clea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1）配合发包人做好安全文明宣传、领导检查宣传等工作，相关费用由承包人承担。</w:t>
      </w:r>
    </w:p>
    <w:p w14:paraId="7AB48D02">
      <w:pPr>
        <w:shd w:val="clea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2）承包人生活设施及施工场地，应自费配备消防设备，防止火灾发生。</w:t>
      </w:r>
    </w:p>
    <w:p w14:paraId="7B926D33">
      <w:pPr>
        <w:shd w:val="clea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3）承包人的临时用地（含项目部驻地等）租用费（含拆迁补偿）、临时用地的环保、恢复、临时用地的青苗补偿及地面附着物拆除等费用均由承包人负责，以上费用在磋商报价中综合考虑。</w:t>
      </w:r>
    </w:p>
    <w:p w14:paraId="3B7437E3">
      <w:pPr>
        <w:shd w:val="clea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4）取土场及弃土场由承包人自行解决，但不得违反相关管理规定，并承担相关费用。</w:t>
      </w:r>
    </w:p>
    <w:p w14:paraId="7490CAC4">
      <w:pPr>
        <w:shd w:val="clea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5）经过城市道路的施工车辆，必须按交警、城管、运输等部门相关规定执行。由于施工车辆造成的道路、环境等污染，其责任和费用均由承包人承担。</w:t>
      </w:r>
    </w:p>
    <w:p w14:paraId="71BFB018">
      <w:pPr>
        <w:shd w:val="clea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6）承包人负责合同实施期间其合同段内临时交通道路（含场内外连接公共交通道路）和交通设施的修建、维修、养护和交通管理工作，并承担一切费用。</w:t>
      </w:r>
    </w:p>
    <w:p w14:paraId="61D38253">
      <w:pPr>
        <w:shd w:val="clea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7）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0A3BA2D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6.2履约担保</w:t>
      </w:r>
    </w:p>
    <w:p w14:paraId="2CE3C3A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（1）承包人是否提供履约担保：</w:t>
      </w:r>
      <w:r>
        <w:rPr>
          <w:rFonts w:hint="eastAsia" w:ascii="宋体" w:hAnsi="宋体" w:eastAsia="宋体"/>
          <w:color w:val="auto"/>
          <w:szCs w:val="21"/>
          <w:highlight w:val="none"/>
          <w:u w:val="single"/>
        </w:rPr>
        <w:t>是</w:t>
      </w:r>
      <w:r>
        <w:rPr>
          <w:rFonts w:hint="eastAsia" w:ascii="宋体" w:hAnsi="宋体" w:eastAsia="宋体"/>
          <w:color w:val="auto"/>
          <w:szCs w:val="21"/>
          <w:highlight w:val="none"/>
        </w:rPr>
        <w:t>。</w:t>
      </w:r>
    </w:p>
    <w:p w14:paraId="38D6204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（2）承包人提供履约担保的形式、金额及期限：</w:t>
      </w:r>
      <w:r>
        <w:rPr>
          <w:rFonts w:hint="eastAsia" w:ascii="宋体" w:hAnsi="宋体" w:eastAsia="宋体"/>
          <w:color w:val="auto"/>
          <w:szCs w:val="21"/>
          <w:highlight w:val="none"/>
          <w:u w:val="single"/>
        </w:rPr>
        <w:t>承包人在收到成交通知书或任务委托书后须在1</w:t>
      </w:r>
      <w:r>
        <w:rPr>
          <w:rFonts w:ascii="宋体" w:hAnsi="宋体" w:eastAsia="宋体"/>
          <w:color w:val="auto"/>
          <w:szCs w:val="21"/>
          <w:highlight w:val="none"/>
          <w:u w:val="single"/>
        </w:rPr>
        <w:t>0</w:t>
      </w:r>
      <w:r>
        <w:rPr>
          <w:rFonts w:hint="eastAsia" w:ascii="宋体" w:hAnsi="宋体" w:eastAsia="宋体"/>
          <w:color w:val="auto"/>
          <w:szCs w:val="21"/>
          <w:highlight w:val="none"/>
          <w:u w:val="single"/>
        </w:rPr>
        <w:t>日历天内向发包人提交履约保证金（银行转账或者银行出具的无条件保函非现金方式、无息），履约保证金金额按签约合同价扣除发包人材料设备价款、暂估专业工程、暂列金额后的2%收取</w:t>
      </w:r>
      <w:r>
        <w:rPr>
          <w:rFonts w:hint="eastAsia" w:ascii="宋体" w:hAnsi="宋体" w:eastAsia="宋体"/>
          <w:color w:val="auto"/>
          <w:szCs w:val="21"/>
          <w:highlight w:val="none"/>
        </w:rPr>
        <w:t>。</w:t>
      </w:r>
    </w:p>
    <w:p w14:paraId="09A0531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履约担保的有效期应当自本合同生效之日起至发包人签认并由监理人向承包人出具竣工验收意见书或竣工验收报告之日止。如果承包人无法获得一份不带具体截止日期的担保，履约担保中应当有“变更工程竣工日期的，保证期间按照变更后的竣工日期做相应调整”或类似约定的条款。</w:t>
      </w:r>
    </w:p>
    <w:p w14:paraId="66A0DF1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同时，承包人应在原履约担保到期前提供新的履约担保，未能按时提供新的履约担保的，视为承包人违约，承包人按履约担保金额的4‰/日向发包人支付违约金，并且发包人有权终止向承包人支付任何合同款项，直至承包人提供新的履约担保。</w:t>
      </w:r>
    </w:p>
    <w:p w14:paraId="449B5C9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履约保证金提交方式：银行转账或者银行出具的无条件保函非现金方式。</w:t>
      </w:r>
    </w:p>
    <w:p w14:paraId="173C8BB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统一社会信用代码：124500004985009929</w:t>
      </w:r>
    </w:p>
    <w:p w14:paraId="08C7AF9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户名：广西大学</w:t>
      </w:r>
    </w:p>
    <w:p w14:paraId="6FA6EBD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开户行：中国银行广西南宁市西大支行</w:t>
      </w:r>
    </w:p>
    <w:p w14:paraId="71B3AB9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账号：618457484938</w:t>
      </w:r>
    </w:p>
    <w:p w14:paraId="14C9C6B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（3）履约保证金的退还：</w:t>
      </w:r>
      <w:r>
        <w:rPr>
          <w:rFonts w:hint="eastAsia" w:ascii="宋体" w:hAnsi="宋体" w:eastAsia="宋体"/>
          <w:color w:val="auto"/>
          <w:szCs w:val="21"/>
          <w:highlight w:val="none"/>
          <w:u w:val="single"/>
        </w:rPr>
        <w:t>履约保证金在工程竣工验收合格并对验收发现的问题完成整改后的7个日历天内，退付履约金的50%；承包人向发包人完成（施工）竣工资料移交手续后并提交完整的竣工结算资料，竣工结算审核完成，双方在竣工结算审定单签字盖章后14天可向发包人申请退还剩余的履约保证金，发包人应在收到申请之日起5个工作日内扣减承包人赔偿金和其他应从承包人扣回的款项后，将履约保证金的余额退还给承包人（无息）</w:t>
      </w:r>
      <w:r>
        <w:rPr>
          <w:rFonts w:hint="eastAsia" w:ascii="宋体" w:hAnsi="宋体" w:eastAsia="宋体"/>
          <w:color w:val="auto"/>
          <w:szCs w:val="21"/>
          <w:highlight w:val="none"/>
        </w:rPr>
        <w:t>。</w:t>
      </w:r>
    </w:p>
    <w:p w14:paraId="1BD87F98">
      <w:pPr>
        <w:pStyle w:val="4"/>
        <w:shd w:val="clear"/>
        <w:jc w:val="left"/>
        <w:rPr>
          <w:rFonts w:ascii="宋体" w:hAnsi="宋体" w:eastAsia="宋体"/>
          <w:color w:val="auto"/>
          <w:sz w:val="28"/>
          <w:szCs w:val="28"/>
          <w:highlight w:val="none"/>
        </w:rPr>
      </w:pPr>
      <w:bookmarkStart w:id="129" w:name="_Toc195459485"/>
      <w:bookmarkStart w:id="130" w:name="_Toc197530160"/>
      <w:r>
        <w:rPr>
          <w:rFonts w:hint="eastAsia" w:ascii="宋体" w:hAnsi="宋体" w:eastAsia="宋体"/>
          <w:color w:val="auto"/>
          <w:sz w:val="28"/>
          <w:szCs w:val="28"/>
          <w:highlight w:val="none"/>
        </w:rPr>
        <w:t>三、施工组织设计和工期</w:t>
      </w:r>
      <w:bookmarkEnd w:id="129"/>
      <w:bookmarkEnd w:id="130"/>
    </w:p>
    <w:p w14:paraId="5BA3B76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7.进度计划</w:t>
      </w:r>
    </w:p>
    <w:p w14:paraId="32BF7AF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7.1承包人提供施工组织设计（施工方案）和进度计划的时间：</w:t>
      </w:r>
      <w:r>
        <w:rPr>
          <w:rFonts w:hint="eastAsia" w:ascii="宋体" w:hAnsi="宋体" w:eastAsia="宋体"/>
          <w:color w:val="auto"/>
          <w:szCs w:val="21"/>
          <w:highlight w:val="none"/>
          <w:u w:val="single"/>
        </w:rPr>
        <w:t>开工前3日内</w:t>
      </w:r>
      <w:r>
        <w:rPr>
          <w:rFonts w:hint="eastAsia" w:ascii="宋体" w:hAnsi="宋体" w:eastAsia="宋体"/>
          <w:color w:val="auto"/>
          <w:szCs w:val="21"/>
          <w:highlight w:val="none"/>
        </w:rPr>
        <w:t>。</w:t>
      </w:r>
    </w:p>
    <w:p w14:paraId="76DDA82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7.2工程师确认的时间：</w:t>
      </w:r>
      <w:r>
        <w:rPr>
          <w:rFonts w:hint="eastAsia" w:ascii="宋体" w:hAnsi="宋体" w:eastAsia="宋体"/>
          <w:color w:val="auto"/>
          <w:szCs w:val="21"/>
          <w:highlight w:val="none"/>
          <w:u w:val="single"/>
        </w:rPr>
        <w:t>收到施工组织设计（施工方案）和进度计划后5日内</w:t>
      </w:r>
      <w:r>
        <w:rPr>
          <w:rFonts w:hint="eastAsia" w:ascii="宋体" w:hAnsi="宋体" w:eastAsia="宋体"/>
          <w:color w:val="auto"/>
          <w:szCs w:val="21"/>
          <w:highlight w:val="none"/>
        </w:rPr>
        <w:t>。</w:t>
      </w:r>
    </w:p>
    <w:p w14:paraId="3087D5A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8.工期延误</w:t>
      </w:r>
    </w:p>
    <w:p w14:paraId="661B3AA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8.1工期顺延的确认：</w:t>
      </w:r>
      <w:r>
        <w:rPr>
          <w:rFonts w:hint="eastAsia" w:ascii="宋体" w:hAnsi="宋体" w:eastAsia="宋体"/>
          <w:color w:val="auto"/>
          <w:szCs w:val="21"/>
          <w:highlight w:val="none"/>
          <w:u w:val="single"/>
        </w:rPr>
        <w:t>承包人填报工期签证单申请顺延天数，经发包人确认后工期相应顺延，发包人无需承担其他任何责任，也不需做任何补偿</w:t>
      </w:r>
      <w:r>
        <w:rPr>
          <w:rFonts w:hint="eastAsia" w:ascii="宋体" w:hAnsi="宋体" w:eastAsia="宋体"/>
          <w:color w:val="auto"/>
          <w:szCs w:val="21"/>
          <w:highlight w:val="none"/>
        </w:rPr>
        <w:t>。</w:t>
      </w:r>
    </w:p>
    <w:p w14:paraId="3DA62F9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8.1.1双方约定工期顺延的情形：</w:t>
      </w:r>
      <w:r>
        <w:rPr>
          <w:rFonts w:hint="eastAsia" w:ascii="宋体" w:hAnsi="宋体" w:eastAsia="宋体"/>
          <w:color w:val="auto"/>
          <w:szCs w:val="21"/>
          <w:highlight w:val="none"/>
          <w:u w:val="single"/>
        </w:rPr>
        <w:t>（1）不可抗力的原因（含异常恶劣的气候条件，如连续大于3天超过40摄氏度的高温天气，8级以上（含）大风及六级以上的地震等）；（2）因发包人原因不能开工或中途停工的；（3）设计变更导致施工内容增加且对工期造成影响的。</w:t>
      </w:r>
    </w:p>
    <w:p w14:paraId="2B7BED8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8.2除8.1.1约定的情形外，承包人不能按合同约定的时间竣工的，承包人应承担违约责任。承包人应向发包人支付误期违约金（每天违约金数额为合同价款的万分之肆），工期延误天数=实际工期-合同工期-同意顺延天数（实际工期：从规定开工日起至竣工验收合格日止；合同工期：合同协议书中合同工期总日历天数；顺延天数：发包人同意顺延的天数），违约金最多不超过签约合同价的10%。发包人从应向承包人支付的任何款项中扣除此项违约金或承包人直接缴纳违约金，此项违约金的支付并不能免除承包人完成工程的义务和按照合同约定应当履行的其他义务。</w:t>
      </w:r>
    </w:p>
    <w:p w14:paraId="21FFF01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除了支付上述约定的违约金外，如因承包人的原因造成项目不能按合同约定的时间竣工的，累计延误超工期15天或施工组织计划中关键节点（如卷材铺设、蓄水试验、砌筑隔热砖等工序）延误超10天，发包人有权清退承包人，并委托第三方接续施工，委托差价由承包人承担，同时承包人应向发包人支付合同价5%的违约金。</w:t>
      </w:r>
    </w:p>
    <w:p w14:paraId="72AB14D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8.3因工程量变化和设计变更的工期予以顺延，即工期相应变化，工程质量要求不变。</w:t>
      </w:r>
    </w:p>
    <w:p w14:paraId="284AB46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8.4承包人必须按照合同约定的工期或发包人同意顺延的工期竣工。</w:t>
      </w:r>
    </w:p>
    <w:p w14:paraId="54F78D7D">
      <w:pPr>
        <w:pStyle w:val="4"/>
        <w:shd w:val="clear"/>
        <w:jc w:val="left"/>
        <w:rPr>
          <w:rFonts w:ascii="宋体" w:hAnsi="宋体" w:eastAsia="宋体"/>
          <w:color w:val="auto"/>
          <w:sz w:val="28"/>
          <w:szCs w:val="28"/>
          <w:highlight w:val="none"/>
        </w:rPr>
      </w:pPr>
      <w:bookmarkStart w:id="131" w:name="_Toc197530161"/>
      <w:bookmarkStart w:id="132" w:name="_Toc195459486"/>
      <w:r>
        <w:rPr>
          <w:rFonts w:hint="eastAsia" w:ascii="宋体" w:hAnsi="宋体" w:eastAsia="宋体"/>
          <w:color w:val="auto"/>
          <w:sz w:val="28"/>
          <w:szCs w:val="28"/>
          <w:highlight w:val="none"/>
        </w:rPr>
        <w:t>四、质量与验收</w:t>
      </w:r>
      <w:bookmarkEnd w:id="131"/>
      <w:bookmarkEnd w:id="132"/>
    </w:p>
    <w:p w14:paraId="37FBC57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9.工程质量</w:t>
      </w:r>
    </w:p>
    <w:p w14:paraId="50D3EE0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9.1发包人对工程质量的要求：</w:t>
      </w:r>
      <w:r>
        <w:rPr>
          <w:rFonts w:hint="eastAsia" w:ascii="宋体" w:hAnsi="宋体" w:eastAsia="宋体"/>
          <w:color w:val="auto"/>
          <w:szCs w:val="21"/>
          <w:highlight w:val="none"/>
          <w:u w:val="single"/>
        </w:rPr>
        <w:t>符合国家、行业、工程所在地的标准和规范，并必须达到合格要求</w:t>
      </w:r>
      <w:r>
        <w:rPr>
          <w:rFonts w:hint="eastAsia" w:ascii="宋体" w:hAnsi="宋体" w:eastAsia="宋体"/>
          <w:color w:val="auto"/>
          <w:szCs w:val="21"/>
          <w:highlight w:val="none"/>
        </w:rPr>
        <w:t>。</w:t>
      </w:r>
    </w:p>
    <w:p w14:paraId="6D6057E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9.2双方对工程质量有争议时，委托第三方检测机构检测，检测后如无质量问题，检测费用由发包人负责，如检测结果有质量问题，则检测费用由承包人负责。</w:t>
      </w:r>
    </w:p>
    <w:p w14:paraId="24199B2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10.隐蔽工程和中间验收</w:t>
      </w:r>
    </w:p>
    <w:p w14:paraId="056102D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10.1双方约定中间验收部位：</w:t>
      </w:r>
      <w:r>
        <w:rPr>
          <w:rFonts w:hint="eastAsia" w:ascii="宋体" w:hAnsi="宋体" w:eastAsia="宋体"/>
          <w:color w:val="auto"/>
          <w:szCs w:val="21"/>
          <w:highlight w:val="none"/>
          <w:u w:val="single"/>
        </w:rPr>
        <w:t>工程隐蔽或中间验收前3个工作日内，承包人以书面形式通知监理单位和发包人参加验收，说明验收的内容、时间、地点，并在验收前准备好相关验收资料。验收合格，承包人可进行隐蔽和继续施工，验收不合格，承包人整改后按上述顺序重新验收</w:t>
      </w:r>
      <w:r>
        <w:rPr>
          <w:rFonts w:hint="eastAsia" w:ascii="宋体" w:hAnsi="宋体" w:eastAsia="宋体"/>
          <w:color w:val="auto"/>
          <w:szCs w:val="21"/>
          <w:highlight w:val="none"/>
        </w:rPr>
        <w:t>。</w:t>
      </w:r>
    </w:p>
    <w:p w14:paraId="75B73212">
      <w:pPr>
        <w:pStyle w:val="4"/>
        <w:shd w:val="clear"/>
        <w:jc w:val="left"/>
        <w:rPr>
          <w:rFonts w:ascii="宋体" w:hAnsi="宋体" w:eastAsia="宋体"/>
          <w:color w:val="auto"/>
          <w:sz w:val="28"/>
          <w:szCs w:val="28"/>
          <w:highlight w:val="none"/>
        </w:rPr>
      </w:pPr>
      <w:bookmarkStart w:id="133" w:name="_Toc197530162"/>
      <w:bookmarkStart w:id="134" w:name="_Toc195459487"/>
      <w:r>
        <w:rPr>
          <w:rFonts w:hint="eastAsia" w:ascii="宋体" w:hAnsi="宋体" w:eastAsia="宋体"/>
          <w:color w:val="auto"/>
          <w:sz w:val="28"/>
          <w:szCs w:val="28"/>
          <w:highlight w:val="none"/>
        </w:rPr>
        <w:t>五、合同价款与支付</w:t>
      </w:r>
      <w:bookmarkEnd w:id="133"/>
      <w:bookmarkEnd w:id="134"/>
    </w:p>
    <w:p w14:paraId="1008C45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11.合同价款及调整</w:t>
      </w:r>
    </w:p>
    <w:p w14:paraId="3B6020E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11.1签约合同价（暂定）：人民币（大写）：</w:t>
      </w:r>
      <w:r>
        <w:rPr>
          <w:rFonts w:ascii="宋体" w:hAnsi="宋体" w:eastAsia="宋体"/>
          <w:color w:val="auto"/>
          <w:szCs w:val="21"/>
          <w:highlight w:val="none"/>
        </w:rPr>
        <w:t>________</w:t>
      </w:r>
      <w:r>
        <w:rPr>
          <w:rFonts w:hint="eastAsia" w:ascii="宋体" w:hAnsi="宋体" w:eastAsia="宋体"/>
          <w:color w:val="auto"/>
          <w:szCs w:val="21"/>
          <w:highlight w:val="none"/>
        </w:rPr>
        <w:t>（¥</w:t>
      </w:r>
      <w:r>
        <w:rPr>
          <w:rFonts w:ascii="宋体" w:hAnsi="宋体" w:eastAsia="宋体"/>
          <w:color w:val="auto"/>
          <w:szCs w:val="21"/>
          <w:highlight w:val="none"/>
        </w:rPr>
        <w:t>________</w:t>
      </w:r>
      <w:r>
        <w:rPr>
          <w:rFonts w:hint="eastAsia" w:ascii="宋体" w:hAnsi="宋体" w:eastAsia="宋体"/>
          <w:color w:val="auto"/>
          <w:szCs w:val="21"/>
          <w:highlight w:val="none"/>
        </w:rPr>
        <w:t>）</w:t>
      </w:r>
    </w:p>
    <w:p w14:paraId="71DC2B9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其中：</w:t>
      </w:r>
    </w:p>
    <w:p w14:paraId="2680431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（1）安全文明施工费：人民币（大写）</w:t>
      </w:r>
      <w:r>
        <w:rPr>
          <w:rFonts w:ascii="宋体" w:hAnsi="宋体" w:eastAsia="宋体"/>
          <w:color w:val="auto"/>
          <w:szCs w:val="21"/>
          <w:highlight w:val="none"/>
        </w:rPr>
        <w:t>________</w:t>
      </w:r>
      <w:r>
        <w:rPr>
          <w:rFonts w:hint="eastAsia" w:ascii="宋体" w:hAnsi="宋体" w:eastAsia="宋体"/>
          <w:color w:val="auto"/>
          <w:szCs w:val="21"/>
          <w:highlight w:val="none"/>
        </w:rPr>
        <w:t>（¥</w:t>
      </w:r>
      <w:r>
        <w:rPr>
          <w:rFonts w:ascii="宋体" w:hAnsi="宋体" w:eastAsia="宋体"/>
          <w:color w:val="auto"/>
          <w:szCs w:val="21"/>
          <w:highlight w:val="none"/>
        </w:rPr>
        <w:t>________</w:t>
      </w:r>
      <w:r>
        <w:rPr>
          <w:rFonts w:hint="eastAsia" w:ascii="宋体" w:hAnsi="宋体" w:eastAsia="宋体"/>
          <w:color w:val="auto"/>
          <w:szCs w:val="21"/>
          <w:highlight w:val="none"/>
        </w:rPr>
        <w:t>）；</w:t>
      </w:r>
    </w:p>
    <w:p w14:paraId="219B05C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（2）材料和工程设备暂估价金额：人民币（大写）</w:t>
      </w:r>
      <w:r>
        <w:rPr>
          <w:rFonts w:ascii="宋体" w:hAnsi="宋体" w:eastAsia="宋体"/>
          <w:color w:val="auto"/>
          <w:szCs w:val="21"/>
          <w:highlight w:val="none"/>
        </w:rPr>
        <w:t>________</w:t>
      </w:r>
      <w:r>
        <w:rPr>
          <w:rFonts w:hint="eastAsia" w:ascii="宋体" w:hAnsi="宋体" w:eastAsia="宋体"/>
          <w:color w:val="auto"/>
          <w:szCs w:val="21"/>
          <w:highlight w:val="none"/>
        </w:rPr>
        <w:t>（¥</w:t>
      </w:r>
      <w:r>
        <w:rPr>
          <w:rFonts w:ascii="宋体" w:hAnsi="宋体" w:eastAsia="宋体"/>
          <w:color w:val="auto"/>
          <w:szCs w:val="21"/>
          <w:highlight w:val="none"/>
        </w:rPr>
        <w:t>________</w:t>
      </w:r>
      <w:r>
        <w:rPr>
          <w:rFonts w:hint="eastAsia" w:ascii="宋体" w:hAnsi="宋体" w:eastAsia="宋体"/>
          <w:color w:val="auto"/>
          <w:szCs w:val="21"/>
          <w:highlight w:val="none"/>
        </w:rPr>
        <w:t>）；</w:t>
      </w:r>
    </w:p>
    <w:p w14:paraId="533A5CA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（3）专业工程暂估价金额：人民币（大写）</w:t>
      </w:r>
      <w:r>
        <w:rPr>
          <w:rFonts w:ascii="宋体" w:hAnsi="宋体" w:eastAsia="宋体"/>
          <w:color w:val="auto"/>
          <w:szCs w:val="21"/>
          <w:highlight w:val="none"/>
        </w:rPr>
        <w:t>________</w:t>
      </w:r>
      <w:r>
        <w:rPr>
          <w:rFonts w:hint="eastAsia" w:ascii="宋体" w:hAnsi="宋体" w:eastAsia="宋体"/>
          <w:color w:val="auto"/>
          <w:szCs w:val="21"/>
          <w:highlight w:val="none"/>
        </w:rPr>
        <w:t>（¥</w:t>
      </w:r>
      <w:r>
        <w:rPr>
          <w:rFonts w:ascii="宋体" w:hAnsi="宋体" w:eastAsia="宋体"/>
          <w:color w:val="auto"/>
          <w:szCs w:val="21"/>
          <w:highlight w:val="none"/>
        </w:rPr>
        <w:t>________</w:t>
      </w:r>
      <w:r>
        <w:rPr>
          <w:rFonts w:hint="eastAsia" w:ascii="宋体" w:hAnsi="宋体" w:eastAsia="宋体"/>
          <w:color w:val="auto"/>
          <w:szCs w:val="21"/>
          <w:highlight w:val="none"/>
        </w:rPr>
        <w:t>）；</w:t>
      </w:r>
    </w:p>
    <w:p w14:paraId="0100F14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（4）暂列金额：人民币（大写）</w:t>
      </w:r>
      <w:r>
        <w:rPr>
          <w:rFonts w:ascii="宋体" w:hAnsi="宋体" w:eastAsia="宋体"/>
          <w:color w:val="auto"/>
          <w:szCs w:val="21"/>
          <w:highlight w:val="none"/>
        </w:rPr>
        <w:t>________</w:t>
      </w:r>
      <w:r>
        <w:rPr>
          <w:rFonts w:hint="eastAsia" w:ascii="宋体" w:hAnsi="宋体" w:eastAsia="宋体"/>
          <w:color w:val="auto"/>
          <w:szCs w:val="21"/>
          <w:highlight w:val="none"/>
        </w:rPr>
        <w:t>（¥</w:t>
      </w:r>
      <w:r>
        <w:rPr>
          <w:rFonts w:ascii="宋体" w:hAnsi="宋体" w:eastAsia="宋体"/>
          <w:color w:val="auto"/>
          <w:szCs w:val="21"/>
          <w:highlight w:val="none"/>
        </w:rPr>
        <w:t>________</w:t>
      </w:r>
      <w:r>
        <w:rPr>
          <w:rFonts w:hint="eastAsia" w:ascii="宋体" w:hAnsi="宋体" w:eastAsia="宋体"/>
          <w:color w:val="auto"/>
          <w:szCs w:val="21"/>
          <w:highlight w:val="none"/>
        </w:rPr>
        <w:t>）。</w:t>
      </w:r>
    </w:p>
    <w:p w14:paraId="1C33C66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11.1.1招标控制价：人民币（大写）：</w:t>
      </w:r>
      <w:r>
        <w:rPr>
          <w:rFonts w:ascii="宋体" w:hAnsi="宋体" w:eastAsia="宋体"/>
          <w:color w:val="auto"/>
          <w:szCs w:val="21"/>
          <w:highlight w:val="none"/>
        </w:rPr>
        <w:t>________</w:t>
      </w:r>
      <w:r>
        <w:rPr>
          <w:rFonts w:hint="eastAsia" w:ascii="宋体" w:hAnsi="宋体" w:eastAsia="宋体"/>
          <w:color w:val="auto"/>
          <w:szCs w:val="21"/>
          <w:highlight w:val="none"/>
        </w:rPr>
        <w:t>（¥</w:t>
      </w:r>
      <w:r>
        <w:rPr>
          <w:rFonts w:ascii="宋体" w:hAnsi="宋体" w:eastAsia="宋体"/>
          <w:color w:val="auto"/>
          <w:szCs w:val="21"/>
          <w:highlight w:val="none"/>
        </w:rPr>
        <w:t>________</w:t>
      </w:r>
      <w:r>
        <w:rPr>
          <w:rFonts w:hint="eastAsia" w:ascii="宋体" w:hAnsi="宋体" w:eastAsia="宋体"/>
          <w:color w:val="auto"/>
          <w:szCs w:val="21"/>
          <w:highlight w:val="none"/>
        </w:rPr>
        <w:t>）</w:t>
      </w:r>
    </w:p>
    <w:p w14:paraId="094FCA1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其中：</w:t>
      </w:r>
    </w:p>
    <w:p w14:paraId="5509BEA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（1）安全文明施工费：人民币（大写）</w:t>
      </w:r>
      <w:r>
        <w:rPr>
          <w:rFonts w:ascii="宋体" w:hAnsi="宋体" w:eastAsia="宋体"/>
          <w:color w:val="auto"/>
          <w:szCs w:val="21"/>
          <w:highlight w:val="none"/>
        </w:rPr>
        <w:t>________</w:t>
      </w:r>
      <w:r>
        <w:rPr>
          <w:rFonts w:hint="eastAsia" w:ascii="宋体" w:hAnsi="宋体" w:eastAsia="宋体"/>
          <w:color w:val="auto"/>
          <w:szCs w:val="21"/>
          <w:highlight w:val="none"/>
        </w:rPr>
        <w:t>（¥</w:t>
      </w:r>
      <w:r>
        <w:rPr>
          <w:rFonts w:ascii="宋体" w:hAnsi="宋体" w:eastAsia="宋体"/>
          <w:color w:val="auto"/>
          <w:szCs w:val="21"/>
          <w:highlight w:val="none"/>
        </w:rPr>
        <w:t>________</w:t>
      </w:r>
      <w:r>
        <w:rPr>
          <w:rFonts w:hint="eastAsia" w:ascii="宋体" w:hAnsi="宋体" w:eastAsia="宋体"/>
          <w:color w:val="auto"/>
          <w:szCs w:val="21"/>
          <w:highlight w:val="none"/>
        </w:rPr>
        <w:t>）；</w:t>
      </w:r>
    </w:p>
    <w:p w14:paraId="71E49F8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（2）材料和工程设备暂估价金额：人民币（大写）</w:t>
      </w:r>
      <w:r>
        <w:rPr>
          <w:rFonts w:ascii="宋体" w:hAnsi="宋体" w:eastAsia="宋体"/>
          <w:color w:val="auto"/>
          <w:szCs w:val="21"/>
          <w:highlight w:val="none"/>
        </w:rPr>
        <w:t>________</w:t>
      </w:r>
      <w:r>
        <w:rPr>
          <w:rFonts w:hint="eastAsia" w:ascii="宋体" w:hAnsi="宋体" w:eastAsia="宋体"/>
          <w:color w:val="auto"/>
          <w:szCs w:val="21"/>
          <w:highlight w:val="none"/>
        </w:rPr>
        <w:t>（¥</w:t>
      </w:r>
      <w:r>
        <w:rPr>
          <w:rFonts w:ascii="宋体" w:hAnsi="宋体" w:eastAsia="宋体"/>
          <w:color w:val="auto"/>
          <w:szCs w:val="21"/>
          <w:highlight w:val="none"/>
        </w:rPr>
        <w:t>________</w:t>
      </w:r>
      <w:r>
        <w:rPr>
          <w:rFonts w:hint="eastAsia" w:ascii="宋体" w:hAnsi="宋体" w:eastAsia="宋体"/>
          <w:color w:val="auto"/>
          <w:szCs w:val="21"/>
          <w:highlight w:val="none"/>
        </w:rPr>
        <w:t>）；</w:t>
      </w:r>
    </w:p>
    <w:p w14:paraId="6AC96B9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（3）专业工程暂估价金额：人民币（大写）</w:t>
      </w:r>
      <w:r>
        <w:rPr>
          <w:rFonts w:ascii="宋体" w:hAnsi="宋体" w:eastAsia="宋体"/>
          <w:color w:val="auto"/>
          <w:szCs w:val="21"/>
          <w:highlight w:val="none"/>
        </w:rPr>
        <w:t>________</w:t>
      </w:r>
      <w:r>
        <w:rPr>
          <w:rFonts w:hint="eastAsia" w:ascii="宋体" w:hAnsi="宋体" w:eastAsia="宋体"/>
          <w:color w:val="auto"/>
          <w:szCs w:val="21"/>
          <w:highlight w:val="none"/>
        </w:rPr>
        <w:t>（¥</w:t>
      </w:r>
      <w:r>
        <w:rPr>
          <w:rFonts w:ascii="宋体" w:hAnsi="宋体" w:eastAsia="宋体"/>
          <w:color w:val="auto"/>
          <w:szCs w:val="21"/>
          <w:highlight w:val="none"/>
        </w:rPr>
        <w:t>________</w:t>
      </w:r>
      <w:r>
        <w:rPr>
          <w:rFonts w:hint="eastAsia" w:ascii="宋体" w:hAnsi="宋体" w:eastAsia="宋体"/>
          <w:color w:val="auto"/>
          <w:szCs w:val="21"/>
          <w:highlight w:val="none"/>
        </w:rPr>
        <w:t>）；</w:t>
      </w:r>
    </w:p>
    <w:p w14:paraId="4C306C0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（4）暂列金额：人民币（大写）</w:t>
      </w:r>
      <w:r>
        <w:rPr>
          <w:rFonts w:ascii="宋体" w:hAnsi="宋体" w:eastAsia="宋体"/>
          <w:color w:val="auto"/>
          <w:szCs w:val="21"/>
          <w:highlight w:val="none"/>
        </w:rPr>
        <w:t>________</w:t>
      </w:r>
      <w:r>
        <w:rPr>
          <w:rFonts w:hint="eastAsia" w:ascii="宋体" w:hAnsi="宋体" w:eastAsia="宋体"/>
          <w:color w:val="auto"/>
          <w:szCs w:val="21"/>
          <w:highlight w:val="none"/>
        </w:rPr>
        <w:t>（¥</w:t>
      </w:r>
      <w:r>
        <w:rPr>
          <w:rFonts w:ascii="宋体" w:hAnsi="宋体" w:eastAsia="宋体"/>
          <w:color w:val="auto"/>
          <w:szCs w:val="21"/>
          <w:highlight w:val="none"/>
        </w:rPr>
        <w:t>________</w:t>
      </w:r>
      <w:r>
        <w:rPr>
          <w:rFonts w:hint="eastAsia" w:ascii="宋体" w:hAnsi="宋体" w:eastAsia="宋体"/>
          <w:color w:val="auto"/>
          <w:szCs w:val="21"/>
          <w:highlight w:val="none"/>
        </w:rPr>
        <w:t>）。</w:t>
      </w:r>
    </w:p>
    <w:p w14:paraId="78ACEDA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（5）合同下浮系数：</w:t>
      </w:r>
      <w:r>
        <w:rPr>
          <w:rFonts w:ascii="宋体" w:hAnsi="宋体" w:eastAsia="宋体"/>
          <w:color w:val="auto"/>
          <w:szCs w:val="21"/>
          <w:highlight w:val="none"/>
        </w:rPr>
        <w:t>________</w:t>
      </w:r>
    </w:p>
    <w:p w14:paraId="1D25365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11.2合同价格形式：</w:t>
      </w:r>
      <w:r>
        <w:rPr>
          <w:rFonts w:hint="eastAsia" w:ascii="宋体" w:hAnsi="宋体" w:eastAsia="宋体"/>
          <w:color w:val="auto"/>
          <w:szCs w:val="21"/>
          <w:highlight w:val="none"/>
          <w:u w:val="single"/>
        </w:rPr>
        <w:t>固定综合单价合同</w:t>
      </w:r>
      <w:r>
        <w:rPr>
          <w:rFonts w:hint="eastAsia" w:ascii="宋体" w:hAnsi="宋体" w:eastAsia="宋体"/>
          <w:color w:val="auto"/>
          <w:szCs w:val="21"/>
          <w:highlight w:val="none"/>
        </w:rPr>
        <w:t>。</w:t>
      </w:r>
    </w:p>
    <w:p w14:paraId="37A1B2F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11.2.1合同计价原则（含工程变更）：工程量按实际完成量，固定综合单价按以下顺序计取：</w:t>
      </w:r>
      <w:r>
        <w:rPr>
          <w:rFonts w:hint="eastAsia" w:ascii="宋体" w:hAnsi="宋体" w:eastAsia="宋体"/>
          <w:color w:val="auto"/>
          <w:szCs w:val="21"/>
          <w:highlight w:val="none"/>
          <w:u w:val="single"/>
        </w:rPr>
        <w:t>（1）招标控制价（最高限价）公布的单价乘以（1-下浮系数）；（2）《广西大学零星工程包干单价目录》（2025年第1期）有相同或类似子目的按该子目计价，并乘以（1-下浮系数）；（3）《广西大学零星工程包干单价目录》（2025年第1期）没有相同或类似子目，但有现行定额可套的，按定额计算后乘以（1-下浮系数），材料价格按施工期间的《南宁建设工程造价信息》（2025年第2期下半月刊）相应价格信息的算术平均值计取；（4）以上规则都不适用的，除发包人明确由甲供材的以外，其他的按市场价格计取，由承包人提供相应供应商的合同、供货单、发票、联系电话及地址、产品规格型号、合格证等支撑材料，经发包人查证后结算。若承包人无法提供的则按发包人核实的价格为准，若承包人提供的支撑材料弄虚作假或提供的报价超过经核查价格的15%的，发包人按超过部分的三倍扣罚承包人违约金；（5）《广西大学零星工程包干单价目录》（2025年第1期）中单价为固定综合单价，已包含所有相关费用</w:t>
      </w:r>
      <w:r>
        <w:rPr>
          <w:rFonts w:hint="eastAsia" w:ascii="宋体" w:hAnsi="宋体" w:eastAsia="宋体"/>
          <w:color w:val="auto"/>
          <w:szCs w:val="21"/>
          <w:highlight w:val="none"/>
        </w:rPr>
        <w:t>。</w:t>
      </w:r>
    </w:p>
    <w:p w14:paraId="515AA88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11.2.3允许调价的情形：</w:t>
      </w:r>
    </w:p>
    <w:p w14:paraId="4FDB88F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lang w:val="en-US" w:eastAsia="zh-CN"/>
        </w:rPr>
        <w:t>☑</w:t>
      </w:r>
      <w:r>
        <w:rPr>
          <w:rFonts w:hint="eastAsia" w:ascii="宋体" w:hAnsi="宋体" w:eastAsia="宋体"/>
          <w:color w:val="auto"/>
          <w:szCs w:val="21"/>
          <w:highlight w:val="none"/>
        </w:rPr>
        <w:t>不允许调价。本合同材料价格、人工费不因市场价格波动和政策变化而调整。</w:t>
      </w:r>
    </w:p>
    <w:p w14:paraId="4984A77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□允许调价，调价的情形按以下规定执行。</w:t>
      </w:r>
    </w:p>
    <w:p w14:paraId="1DFF5EB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（1）政策性调整：</w:t>
      </w:r>
      <w:r>
        <w:rPr>
          <w:rFonts w:hint="eastAsia" w:ascii="宋体" w:hAnsi="宋体" w:eastAsia="宋体"/>
          <w:color w:val="auto"/>
          <w:szCs w:val="21"/>
          <w:highlight w:val="none"/>
          <w:u w:val="single"/>
        </w:rPr>
        <w:t>按国家、自治区、南宁市建设行政主管部门颁布的文件执行</w:t>
      </w:r>
      <w:r>
        <w:rPr>
          <w:rFonts w:hint="eastAsia" w:ascii="宋体" w:hAnsi="宋体" w:eastAsia="宋体"/>
          <w:color w:val="auto"/>
          <w:szCs w:val="21"/>
          <w:highlight w:val="none"/>
        </w:rPr>
        <w:t>；</w:t>
      </w:r>
    </w:p>
    <w:p w14:paraId="68E1640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合同计价原则（1）中涉及的主要材料单价（含钢筋、水泥、商品混凝土、电线电缆、砌块、砂）变动超过招标控制价编制当期的《南宁建设工程造价信息》（2025年第2月下半月刊）公布价的±15%时，则超出部分按施工期间《南宁建设工程造价信息》（2025年第2月下半月刊）公布价的算术平均值调整，调整部分仅计差额及相应税金。</w:t>
      </w:r>
    </w:p>
    <w:p w14:paraId="29C645D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（3）合同计价原则（2）中涉及的材料单价变动超过《</w:t>
      </w:r>
      <w:r>
        <w:rPr>
          <w:rFonts w:hint="eastAsia" w:ascii="宋体" w:hAnsi="宋体" w:eastAsia="宋体"/>
          <w:color w:val="auto"/>
          <w:szCs w:val="21"/>
          <w:highlight w:val="none"/>
          <w:u w:val="single"/>
        </w:rPr>
        <w:t>广西大学维修（零星）工程全费用综合单价目录</w:t>
      </w:r>
      <w:r>
        <w:rPr>
          <w:rFonts w:hint="eastAsia" w:ascii="宋体" w:hAnsi="宋体" w:eastAsia="宋体"/>
          <w:color w:val="auto"/>
          <w:szCs w:val="21"/>
          <w:highlight w:val="none"/>
        </w:rPr>
        <w:t>》</w:t>
      </w:r>
      <w:r>
        <w:rPr>
          <w:rFonts w:ascii="宋体" w:hAnsi="宋体" w:eastAsia="宋体"/>
          <w:color w:val="auto"/>
          <w:szCs w:val="21"/>
          <w:highlight w:val="none"/>
        </w:rPr>
        <w:t>2025</w:t>
      </w:r>
      <w:r>
        <w:rPr>
          <w:rFonts w:hint="eastAsia" w:ascii="宋体" w:hAnsi="宋体" w:eastAsia="宋体"/>
          <w:color w:val="auto"/>
          <w:szCs w:val="21"/>
          <w:highlight w:val="none"/>
        </w:rPr>
        <w:t>年第</w:t>
      </w:r>
      <w:r>
        <w:rPr>
          <w:rFonts w:ascii="宋体" w:hAnsi="宋体" w:eastAsia="宋体"/>
          <w:color w:val="auto"/>
          <w:szCs w:val="21"/>
          <w:highlight w:val="none"/>
        </w:rPr>
        <w:t>1</w:t>
      </w:r>
      <w:r>
        <w:rPr>
          <w:rFonts w:hint="eastAsia" w:ascii="宋体" w:hAnsi="宋体" w:eastAsia="宋体"/>
          <w:color w:val="auto"/>
          <w:szCs w:val="21"/>
          <w:highlight w:val="none"/>
        </w:rPr>
        <w:t>期公布的±15%时，则超出部分按施工期间《广西大学维修（零星）工程全费用综合单价目录》公布价的算术平均值调整，调整部分仅计差额及相应税金。</w:t>
      </w:r>
    </w:p>
    <w:p w14:paraId="3671396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12.工程量确认：</w:t>
      </w:r>
    </w:p>
    <w:p w14:paraId="30B3A2B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12.1承包人向工程师提交已完工程量报告的时间：</w:t>
      </w:r>
      <w:r>
        <w:rPr>
          <w:rFonts w:hint="eastAsia" w:ascii="宋体" w:hAnsi="宋体" w:eastAsia="宋体"/>
          <w:color w:val="auto"/>
          <w:szCs w:val="21"/>
          <w:highlight w:val="none"/>
          <w:u w:val="single"/>
        </w:rPr>
        <w:t>每月25日前</w:t>
      </w:r>
      <w:r>
        <w:rPr>
          <w:rFonts w:hint="eastAsia" w:ascii="宋体" w:hAnsi="宋体" w:eastAsia="宋体"/>
          <w:color w:val="auto"/>
          <w:szCs w:val="21"/>
          <w:highlight w:val="none"/>
        </w:rPr>
        <w:t>。</w:t>
      </w:r>
    </w:p>
    <w:p w14:paraId="767559A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12.1.1工程量清单所列的工程量，不能作为承包人按合同履行其责任依据，实际施工中发生的工程量增加或减少并不影响承包人履行合同的责任，工程结算以完成的实际工程量为准。</w:t>
      </w:r>
    </w:p>
    <w:p w14:paraId="0EFE724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12.2除另有规定外，工程师应按照合同通过计量来核实确定已完成的工程量和价值，承包人应得到该价值扣除保留金后的价款。当工程师要对已完工的工程量进行计量时，应适时地通知承包人参加。</w:t>
      </w:r>
    </w:p>
    <w:p w14:paraId="5273EB2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12.3计量方法</w:t>
      </w:r>
    </w:p>
    <w:p w14:paraId="4412438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工程的计量均以国家标准《建设工程工程量计算规范》（GB50854-50862－2013）和《建设工程工程量计算规范（GB50854-50862－2013）广西壮族自治区实施细则》计算的净值为准，如有不明之处，应以造价管理部门或发包人指定的计量方法为准。</w:t>
      </w:r>
    </w:p>
    <w:p w14:paraId="0BB5DA5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12.4计量单位</w:t>
      </w:r>
    </w:p>
    <w:p w14:paraId="5A85902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除了合同另有规定外，所有计量单位均应符合本工程的工程量清单。</w:t>
      </w:r>
    </w:p>
    <w:p w14:paraId="50F7CE2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13.工程款（预付款、进度款）支付</w:t>
      </w:r>
    </w:p>
    <w:p w14:paraId="4DACB1E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13.1预付款</w:t>
      </w:r>
    </w:p>
    <w:p w14:paraId="75315E1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13.1.1预付款按以下第</w:t>
      </w:r>
      <w:r>
        <w:rPr>
          <w:rFonts w:hint="eastAsia" w:ascii="宋体" w:hAnsi="宋体" w:eastAsia="宋体"/>
          <w:color w:val="auto"/>
          <w:szCs w:val="21"/>
          <w:highlight w:val="none"/>
          <w:u w:val="single"/>
        </w:rPr>
        <w:t>（1）</w:t>
      </w:r>
      <w:r>
        <w:rPr>
          <w:rFonts w:hint="eastAsia" w:ascii="宋体" w:hAnsi="宋体" w:eastAsia="宋体"/>
          <w:color w:val="auto"/>
          <w:szCs w:val="21"/>
          <w:highlight w:val="none"/>
        </w:rPr>
        <w:t>种方式支付。</w:t>
      </w:r>
    </w:p>
    <w:p w14:paraId="01F4095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（1）无预付款</w:t>
      </w:r>
    </w:p>
    <w:p w14:paraId="0A1694F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（2）按合同价款（扣除发包人材料价款、暂估专业工程、暂列金额）的</w:t>
      </w:r>
      <w:r>
        <w:rPr>
          <w:rFonts w:hint="eastAsia" w:ascii="宋体" w:hAnsi="宋体" w:eastAsia="宋体"/>
          <w:color w:val="auto"/>
          <w:szCs w:val="21"/>
          <w:highlight w:val="none"/>
          <w:u w:val="single"/>
        </w:rPr>
        <w:t>/</w:t>
      </w:r>
      <w:r>
        <w:rPr>
          <w:rFonts w:hint="eastAsia" w:ascii="宋体" w:hAnsi="宋体" w:eastAsia="宋体"/>
          <w:color w:val="auto"/>
          <w:szCs w:val="21"/>
          <w:highlight w:val="none"/>
        </w:rPr>
        <w:t>％</w:t>
      </w:r>
    </w:p>
    <w:p w14:paraId="1F5E6D9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13.1.2预付款支付时间：</w:t>
      </w:r>
      <w:r>
        <w:rPr>
          <w:rFonts w:hint="eastAsia" w:ascii="宋体" w:hAnsi="宋体" w:eastAsia="宋体"/>
          <w:color w:val="auto"/>
          <w:szCs w:val="21"/>
          <w:highlight w:val="none"/>
          <w:u w:val="single"/>
        </w:rPr>
        <w:t>/</w:t>
      </w:r>
    </w:p>
    <w:p w14:paraId="049F868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13.1.3预付款的扣回：</w:t>
      </w:r>
      <w:r>
        <w:rPr>
          <w:rFonts w:hint="eastAsia" w:ascii="宋体" w:hAnsi="宋体" w:eastAsia="宋体"/>
          <w:color w:val="auto"/>
          <w:szCs w:val="21"/>
          <w:highlight w:val="none"/>
          <w:u w:val="single"/>
        </w:rPr>
        <w:t>/</w:t>
      </w:r>
    </w:p>
    <w:p w14:paraId="76F9A31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13.2进度款</w:t>
      </w:r>
    </w:p>
    <w:p w14:paraId="61F316C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13.2.1进度款按以下第</w:t>
      </w:r>
      <w:r>
        <w:rPr>
          <w:rFonts w:hint="eastAsia" w:ascii="宋体" w:hAnsi="宋体" w:eastAsia="宋体"/>
          <w:color w:val="auto"/>
          <w:szCs w:val="21"/>
          <w:highlight w:val="none"/>
          <w:u w:val="single"/>
        </w:rPr>
        <w:t>（2）</w:t>
      </w:r>
      <w:r>
        <w:rPr>
          <w:rFonts w:hint="eastAsia" w:ascii="宋体" w:hAnsi="宋体" w:eastAsia="宋体"/>
          <w:color w:val="auto"/>
          <w:szCs w:val="21"/>
          <w:highlight w:val="none"/>
        </w:rPr>
        <w:t>种方式支付。</w:t>
      </w:r>
    </w:p>
    <w:p w14:paraId="45BD383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（1）工程施工阶段无进度款（含变更部分），待工程竣工验收合格后</w:t>
      </w:r>
      <w:r>
        <w:rPr>
          <w:rFonts w:ascii="宋体" w:hAnsi="宋体" w:eastAsia="宋体"/>
          <w:color w:val="auto"/>
          <w:szCs w:val="21"/>
          <w:highlight w:val="none"/>
        </w:rPr>
        <w:t>3</w:t>
      </w:r>
      <w:r>
        <w:rPr>
          <w:rFonts w:hint="eastAsia" w:ascii="宋体" w:hAnsi="宋体" w:eastAsia="宋体"/>
          <w:color w:val="auto"/>
          <w:szCs w:val="21"/>
          <w:highlight w:val="none"/>
        </w:rPr>
        <w:t>个月内，承包人递交结算书及全部结算资料，经发包人检查完整合格，双方在《工程项目竣工结算送审资料表》签字确认后，发包人按照递交的结算价与签约合同价（扣除发包人材料价款、暂估专业工程、暂列金额）二者的低价，拨付工程进度款至70％。工程完工验收达到质量要求，结算经发包人审定，并提交完整合格的竣工资料给发包人，承包人先将工程价款结算总额的3%工程质量保修金缴纳至发包人的指定账户，发包人再将工程款支付至结算总价的100%（含已支付的工程进度款）。</w:t>
      </w:r>
    </w:p>
    <w:p w14:paraId="15F2713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工程款原则上按月支付，在确保不影响工程结算工作顺利开展的前提下，合同内进度款支付限额为已完成工程量的70%，工程变更部分无进度款，待工程竣工验收合格后3个月内，承包人按要求递交结算报告及全部结算资料，经发包人检查完整合格，双方在《工程项目竣工结算送审资料表》签字确认后,发包人按照递交的结算价与签约合同价（扣除发包人材料价款、暂估专业工程、暂列金额）二者的低价，拨付工程进度款至已完成工程量的70%。发包人按经审定的每期工程进度款的20%的比例拨付到承包人设立的农民工工资专用账户；其它工程进度款转入承包人指定账户。承包人在申请支付工程进度款时，必须提供上月关于农民工工资已按实发放的书面承诺书。因承包人原因造成工程资料与工程进度不同步，或者资料不真实，发包人暂停支付工程进度款，另按（人民币）1000元/次的标准计收违约金。</w:t>
      </w:r>
    </w:p>
    <w:p w14:paraId="0723709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工程完工验收达到质量要求，结算经发包人审定，并提交完整合格的竣工资料给发包人，承包人先将工程价款结算总额的3%工程质量保修金缴纳至发包人的指定账户，发包人再将工程款支付至结算总价的100%（含已支付的工程进度款）。</w:t>
      </w:r>
    </w:p>
    <w:p w14:paraId="75A381C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（3）其他方式：</w:t>
      </w:r>
      <w:r>
        <w:rPr>
          <w:rFonts w:ascii="宋体" w:hAnsi="宋体" w:eastAsia="宋体"/>
          <w:color w:val="auto"/>
          <w:szCs w:val="21"/>
          <w:highlight w:val="none"/>
        </w:rPr>
        <w:t>/</w:t>
      </w:r>
      <w:r>
        <w:rPr>
          <w:rFonts w:hint="eastAsia" w:ascii="宋体" w:hAnsi="宋体" w:eastAsia="宋体"/>
          <w:color w:val="auto"/>
          <w:szCs w:val="21"/>
          <w:highlight w:val="none"/>
        </w:rPr>
        <w:t>。</w:t>
      </w:r>
    </w:p>
    <w:p w14:paraId="1CB5EA1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13.2.2进度付款申请</w:t>
      </w:r>
    </w:p>
    <w:p w14:paraId="09E1219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（1）进度付款申请单的份数：</w:t>
      </w:r>
      <w:r>
        <w:rPr>
          <w:rFonts w:hint="eastAsia" w:ascii="宋体" w:hAnsi="宋体" w:eastAsia="宋体"/>
          <w:color w:val="auto"/>
          <w:szCs w:val="21"/>
          <w:highlight w:val="none"/>
          <w:u w:val="single"/>
        </w:rPr>
        <w:t>一式伍份</w:t>
      </w:r>
      <w:r>
        <w:rPr>
          <w:rFonts w:hint="eastAsia" w:ascii="宋体" w:hAnsi="宋体" w:eastAsia="宋体"/>
          <w:color w:val="auto"/>
          <w:szCs w:val="21"/>
          <w:highlight w:val="none"/>
        </w:rPr>
        <w:t>。</w:t>
      </w:r>
    </w:p>
    <w:p w14:paraId="1CD22CB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（2）进度付款申请单的内容：</w:t>
      </w:r>
      <w:r>
        <w:rPr>
          <w:rFonts w:hint="eastAsia" w:ascii="宋体" w:hAnsi="宋体" w:eastAsia="宋体"/>
          <w:color w:val="auto"/>
          <w:szCs w:val="21"/>
          <w:highlight w:val="none"/>
          <w:u w:val="single"/>
        </w:rPr>
        <w:t>本次已完成工程的价款、累计已完成的工程价款、累计已支付的工程价款、增加和扣减的其他金额等</w:t>
      </w:r>
      <w:r>
        <w:rPr>
          <w:rFonts w:hint="eastAsia" w:ascii="宋体" w:hAnsi="宋体" w:eastAsia="宋体"/>
          <w:color w:val="auto"/>
          <w:szCs w:val="21"/>
          <w:highlight w:val="none"/>
        </w:rPr>
        <w:t>。</w:t>
      </w:r>
    </w:p>
    <w:p w14:paraId="46095AC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为保证进度款申请额的准确性，双方约定，承包人报送的工程进度款（以下简称送审款），与发包人最终审定的工程进度款（以下简称审定款）相比，应保证其误差率≤5％，如误差率＞5％，承包人应承担违约责任并支付违约金；误差率为5％—10％（含）的，违约金＝（送审款-审定款）×5%×50％；误差率大于10％的，违约金=（送审款-审定款）×5%。</w:t>
      </w:r>
    </w:p>
    <w:p w14:paraId="6FECE51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注：误差率=（送审价-审定价）/送审价*100%</w:t>
      </w:r>
    </w:p>
    <w:p w14:paraId="6E1D071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（4）承包人应及时开具发票，未开具发票给发包人的，发包人不予支付工程进度款。</w:t>
      </w:r>
    </w:p>
    <w:p w14:paraId="232E1C4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13.2.3进度款支付</w:t>
      </w:r>
    </w:p>
    <w:p w14:paraId="3AFF641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（1）进度款支付方式：银行转账。</w:t>
      </w:r>
    </w:p>
    <w:p w14:paraId="72AFF58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（2）人工费用是指发包人向承包人专用账户拨付的专项用于支付农民工工资的工程款；人工费应与工程进度款分账管理。</w:t>
      </w:r>
    </w:p>
    <w:p w14:paraId="636B7C8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（3）发包人依据工程进度，审核承包人申报的工程进度款，将人工费及时足额拨付至承包人的农民工工资专用账户，其余工程进度款项由发包人支付到承包人的单位基本户。</w:t>
      </w:r>
    </w:p>
    <w:p w14:paraId="2D955FA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（4）凡未向付款单位提供农民工工资专用账户的，或者请款单位在申请工程进度款时未将人工费单列的，付款单位有权拒绝支付工程进度款。</w:t>
      </w:r>
    </w:p>
    <w:p w14:paraId="5684236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（5）人工费使用要求：人工费专款专用，除发放农民工工资外，不得用于其他用途。</w:t>
      </w:r>
    </w:p>
    <w:p w14:paraId="264ED8B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（6）承包人将人工费支付情况定期报告发包人和监理单位，并提供相应的材料接受建设行政主管部门和劳动保障行政主管部门对此事项监管。</w:t>
      </w:r>
    </w:p>
    <w:p w14:paraId="39DBF9E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（7）人工费支付专用账户：</w:t>
      </w:r>
    </w:p>
    <w:p w14:paraId="4710146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户名：</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农民工工资支付专用账户</w:t>
      </w:r>
    </w:p>
    <w:p w14:paraId="4EEC61D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账号：</w:t>
      </w:r>
      <w:r>
        <w:rPr>
          <w:rFonts w:hint="eastAsia" w:ascii="宋体" w:hAnsi="宋体" w:eastAsia="宋体"/>
          <w:color w:val="auto"/>
          <w:szCs w:val="21"/>
          <w:highlight w:val="none"/>
          <w:u w:val="single"/>
        </w:rPr>
        <w:t xml:space="preserve">      </w:t>
      </w:r>
    </w:p>
    <w:p w14:paraId="5D71DFC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开户行：</w:t>
      </w:r>
      <w:r>
        <w:rPr>
          <w:rFonts w:hint="eastAsia" w:ascii="宋体" w:hAnsi="宋体" w:eastAsia="宋体"/>
          <w:color w:val="auto"/>
          <w:szCs w:val="21"/>
          <w:highlight w:val="none"/>
          <w:u w:val="single"/>
        </w:rPr>
        <w:t xml:space="preserve">      </w:t>
      </w:r>
    </w:p>
    <w:p w14:paraId="74A1AB8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【详见附件6《广西壮族自治区工程建设领域农民工工资专用账户资金管理三方协议》】</w:t>
      </w:r>
    </w:p>
    <w:p w14:paraId="793D5D2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（8）承包人应及时开具发票，未开具发票给发包人的，发包人不予支付工程进度款。</w:t>
      </w:r>
    </w:p>
    <w:p w14:paraId="422AE97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（9）由于账户问题导致工程款无法按时支付的由承包人负责。</w:t>
      </w:r>
    </w:p>
    <w:p w14:paraId="034C88A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（10）承包人未按时向农民工支付工资而导致工程进度受到影响，发包人有权直接从承包人工程款代扣支付给农民工。</w:t>
      </w:r>
    </w:p>
    <w:p w14:paraId="38E033D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11）承包人不得以任何借口将承包人与包括农民工在内的雇用人员的劳酬纠纷引发的矛盾转嫁发包人，如果出现雇用人员聚众向发包方闹事的情形，承包人须按（人民币）5万元/次的标准向发包人计付违约金，若因此造成发包人工作人员人身伤害、财产损毁的，承包人还须承担赔偿损失等法律责任。</w:t>
      </w:r>
    </w:p>
    <w:p w14:paraId="6AA684BA">
      <w:pPr>
        <w:pStyle w:val="4"/>
        <w:shd w:val="clear"/>
        <w:jc w:val="left"/>
        <w:rPr>
          <w:rFonts w:ascii="宋体" w:hAnsi="宋体" w:eastAsia="宋体"/>
          <w:color w:val="auto"/>
          <w:sz w:val="28"/>
          <w:szCs w:val="28"/>
          <w:highlight w:val="none"/>
        </w:rPr>
      </w:pPr>
      <w:bookmarkStart w:id="135" w:name="_Toc197530163"/>
      <w:bookmarkStart w:id="136" w:name="_Toc195459488"/>
      <w:r>
        <w:rPr>
          <w:rFonts w:hint="eastAsia" w:ascii="宋体" w:hAnsi="宋体" w:eastAsia="宋体"/>
          <w:color w:val="auto"/>
          <w:sz w:val="28"/>
          <w:szCs w:val="28"/>
          <w:highlight w:val="none"/>
        </w:rPr>
        <w:t>六、材料设备供应</w:t>
      </w:r>
      <w:bookmarkEnd w:id="135"/>
      <w:bookmarkEnd w:id="136"/>
    </w:p>
    <w:p w14:paraId="113EBF6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14.发包人供应材料设备</w:t>
      </w:r>
    </w:p>
    <w:p w14:paraId="2F4147C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14.1发包人供应的材料设备与一览表不符时，双方约定发包人承担责任如下：</w:t>
      </w:r>
    </w:p>
    <w:p w14:paraId="766B7F1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（l）材料设备单价与一览表不符：</w:t>
      </w:r>
      <w:r>
        <w:rPr>
          <w:rFonts w:hint="eastAsia" w:ascii="宋体" w:hAnsi="宋体" w:eastAsia="宋体"/>
          <w:color w:val="auto"/>
          <w:szCs w:val="21"/>
          <w:highlight w:val="none"/>
          <w:u w:val="single"/>
        </w:rPr>
        <w:t>无</w:t>
      </w:r>
      <w:r>
        <w:rPr>
          <w:rFonts w:hint="eastAsia" w:ascii="宋体" w:hAnsi="宋体" w:eastAsia="宋体"/>
          <w:color w:val="auto"/>
          <w:szCs w:val="21"/>
          <w:highlight w:val="none"/>
        </w:rPr>
        <w:t>。</w:t>
      </w:r>
    </w:p>
    <w:p w14:paraId="14F6D75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（2）材料设备的品种、规格、型号、质量等级与一览表不符：</w:t>
      </w:r>
      <w:r>
        <w:rPr>
          <w:rFonts w:hint="eastAsia" w:ascii="宋体" w:hAnsi="宋体" w:eastAsia="宋体"/>
          <w:color w:val="auto"/>
          <w:szCs w:val="21"/>
          <w:highlight w:val="none"/>
          <w:u w:val="single"/>
        </w:rPr>
        <w:t>无</w:t>
      </w:r>
      <w:r>
        <w:rPr>
          <w:rFonts w:hint="eastAsia" w:ascii="宋体" w:hAnsi="宋体" w:eastAsia="宋体"/>
          <w:color w:val="auto"/>
          <w:szCs w:val="21"/>
          <w:highlight w:val="none"/>
        </w:rPr>
        <w:t>。</w:t>
      </w:r>
    </w:p>
    <w:p w14:paraId="5CAF08F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（3）承包人可代为调剂串换的材料：</w:t>
      </w:r>
      <w:r>
        <w:rPr>
          <w:rFonts w:hint="eastAsia" w:ascii="宋体" w:hAnsi="宋体" w:eastAsia="宋体"/>
          <w:color w:val="auto"/>
          <w:szCs w:val="21"/>
          <w:highlight w:val="none"/>
          <w:u w:val="single"/>
        </w:rPr>
        <w:t>无</w:t>
      </w:r>
      <w:r>
        <w:rPr>
          <w:rFonts w:hint="eastAsia" w:ascii="宋体" w:hAnsi="宋体" w:eastAsia="宋体"/>
          <w:color w:val="auto"/>
          <w:szCs w:val="21"/>
          <w:highlight w:val="none"/>
        </w:rPr>
        <w:t>。</w:t>
      </w:r>
    </w:p>
    <w:p w14:paraId="41F854C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（4）到货地点与一览表不符：</w:t>
      </w:r>
      <w:r>
        <w:rPr>
          <w:rFonts w:hint="eastAsia" w:ascii="宋体" w:hAnsi="宋体" w:eastAsia="宋体"/>
          <w:color w:val="auto"/>
          <w:szCs w:val="21"/>
          <w:highlight w:val="none"/>
          <w:u w:val="single"/>
        </w:rPr>
        <w:t>无</w:t>
      </w:r>
      <w:r>
        <w:rPr>
          <w:rFonts w:hint="eastAsia" w:ascii="宋体" w:hAnsi="宋体" w:eastAsia="宋体"/>
          <w:color w:val="auto"/>
          <w:szCs w:val="21"/>
          <w:highlight w:val="none"/>
        </w:rPr>
        <w:t>。</w:t>
      </w:r>
    </w:p>
    <w:p w14:paraId="6ED86C9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（5）供应数量与一览表不符：</w:t>
      </w:r>
      <w:r>
        <w:rPr>
          <w:rFonts w:hint="eastAsia" w:ascii="宋体" w:hAnsi="宋体" w:eastAsia="宋体"/>
          <w:color w:val="auto"/>
          <w:szCs w:val="21"/>
          <w:highlight w:val="none"/>
          <w:u w:val="single"/>
        </w:rPr>
        <w:t>无</w:t>
      </w:r>
      <w:r>
        <w:rPr>
          <w:rFonts w:hint="eastAsia" w:ascii="宋体" w:hAnsi="宋体" w:eastAsia="宋体"/>
          <w:color w:val="auto"/>
          <w:szCs w:val="21"/>
          <w:highlight w:val="none"/>
        </w:rPr>
        <w:t>。</w:t>
      </w:r>
    </w:p>
    <w:p w14:paraId="7FC9EB8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（6）到货时间与一览表不符：</w:t>
      </w:r>
      <w:r>
        <w:rPr>
          <w:rFonts w:hint="eastAsia" w:ascii="宋体" w:hAnsi="宋体" w:eastAsia="宋体"/>
          <w:color w:val="auto"/>
          <w:szCs w:val="21"/>
          <w:highlight w:val="none"/>
          <w:u w:val="single"/>
        </w:rPr>
        <w:t>如发生上述情况，发包人应立即补救改正</w:t>
      </w:r>
      <w:r>
        <w:rPr>
          <w:rFonts w:hint="eastAsia" w:ascii="宋体" w:hAnsi="宋体" w:eastAsia="宋体"/>
          <w:color w:val="auto"/>
          <w:szCs w:val="21"/>
          <w:highlight w:val="none"/>
        </w:rPr>
        <w:t>。</w:t>
      </w:r>
    </w:p>
    <w:p w14:paraId="005EDAF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15.承包人采购材料设备</w:t>
      </w:r>
    </w:p>
    <w:p w14:paraId="52020B1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15.1承包人采购材料设备的约定：</w:t>
      </w:r>
      <w:r>
        <w:rPr>
          <w:rFonts w:hint="eastAsia" w:ascii="宋体" w:hAnsi="宋体" w:eastAsia="宋体"/>
          <w:color w:val="auto"/>
          <w:szCs w:val="21"/>
          <w:highlight w:val="none"/>
          <w:u w:val="single"/>
        </w:rPr>
        <w:t>承包人采购材料设备的约定：本工程由承包人自行采购的工程材料和设备（政府集中采购的除外），采购前须征得发包人或其授权人认可同意。发包人在工程量清单中有“参照或相当于”约定材料的，承包人在施工过程中必须按类似于或优于所约定材料品牌、厂家和型号（等级）进行采购，采购前必经发包人认可。当发包人对承包人采购的材料有异议的，发包人有权要求承包人按工程量清单中“参照或相当于”标明的材料品牌、厂家、型号（等级）进行采购，并在结算时按审定单价支付</w:t>
      </w:r>
      <w:r>
        <w:rPr>
          <w:rFonts w:hint="eastAsia" w:ascii="宋体" w:hAnsi="宋体" w:eastAsia="宋体"/>
          <w:color w:val="auto"/>
          <w:szCs w:val="21"/>
          <w:highlight w:val="none"/>
        </w:rPr>
        <w:t>。</w:t>
      </w:r>
    </w:p>
    <w:p w14:paraId="33716740">
      <w:pPr>
        <w:pStyle w:val="4"/>
        <w:shd w:val="clear"/>
        <w:jc w:val="left"/>
        <w:rPr>
          <w:rFonts w:ascii="宋体" w:hAnsi="宋体" w:eastAsia="宋体"/>
          <w:color w:val="auto"/>
          <w:sz w:val="28"/>
          <w:szCs w:val="28"/>
          <w:highlight w:val="none"/>
        </w:rPr>
      </w:pPr>
      <w:bookmarkStart w:id="137" w:name="_Toc197530164"/>
      <w:bookmarkStart w:id="138" w:name="_Toc195459489"/>
      <w:r>
        <w:rPr>
          <w:rFonts w:hint="eastAsia" w:ascii="宋体" w:hAnsi="宋体" w:eastAsia="宋体"/>
          <w:color w:val="auto"/>
          <w:sz w:val="28"/>
          <w:szCs w:val="28"/>
          <w:highlight w:val="none"/>
        </w:rPr>
        <w:t>七、竣工验收与结算</w:t>
      </w:r>
      <w:bookmarkEnd w:id="137"/>
      <w:bookmarkEnd w:id="138"/>
    </w:p>
    <w:p w14:paraId="2092D2F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16.竣工验收</w:t>
      </w:r>
    </w:p>
    <w:p w14:paraId="3BB37FC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16.1竣工验收条件：</w:t>
      </w:r>
      <w:r>
        <w:rPr>
          <w:rFonts w:hint="eastAsia" w:ascii="宋体" w:hAnsi="宋体" w:eastAsia="宋体"/>
          <w:color w:val="auto"/>
          <w:szCs w:val="21"/>
          <w:highlight w:val="none"/>
          <w:u w:val="single"/>
        </w:rPr>
        <w:t>承包人结清所有用水、用电费用后，提交符合要求的完整的竣工资料及竣工验收报告。</w:t>
      </w:r>
    </w:p>
    <w:p w14:paraId="703ADF4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16.2竣工验收程序：</w:t>
      </w:r>
      <w:r>
        <w:rPr>
          <w:rFonts w:hint="eastAsia" w:ascii="宋体" w:hAnsi="宋体" w:eastAsia="宋体"/>
          <w:color w:val="auto"/>
          <w:szCs w:val="21"/>
          <w:highlight w:val="none"/>
          <w:u w:val="single"/>
        </w:rPr>
        <w:t>按国家有关验收规范执行</w:t>
      </w:r>
    </w:p>
    <w:p w14:paraId="1D94475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16.3承包人提供竣工图的约定</w:t>
      </w:r>
      <w:r>
        <w:rPr>
          <w:rFonts w:hint="eastAsia" w:ascii="宋体" w:hAnsi="宋体" w:eastAsia="宋体"/>
          <w:color w:val="auto"/>
          <w:szCs w:val="21"/>
          <w:highlight w:val="none"/>
          <w:u w:val="single"/>
        </w:rPr>
        <w:t>：竣工验收正式通过后5天提交发包人，纸质版一式3套，电子版2份（刻录成光盘），如涉及到地下管线的工程及道路工程还应提供1：500电子地形图（包括地下管线标高、线径走向等测量数据）</w:t>
      </w:r>
      <w:r>
        <w:rPr>
          <w:rFonts w:hint="eastAsia" w:ascii="宋体" w:hAnsi="宋体" w:eastAsia="宋体"/>
          <w:color w:val="auto"/>
          <w:szCs w:val="21"/>
          <w:highlight w:val="none"/>
        </w:rPr>
        <w:t>。</w:t>
      </w:r>
    </w:p>
    <w:p w14:paraId="5C809B9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16.4中间交工工程的范围和竣工时间：</w:t>
      </w:r>
      <w:r>
        <w:rPr>
          <w:rFonts w:hint="eastAsia" w:ascii="宋体" w:hAnsi="宋体" w:eastAsia="宋体"/>
          <w:color w:val="auto"/>
          <w:szCs w:val="21"/>
          <w:highlight w:val="none"/>
          <w:u w:val="single"/>
        </w:rPr>
        <w:t>另行约定</w:t>
      </w:r>
    </w:p>
    <w:p w14:paraId="4CDE777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17.竣工结算</w:t>
      </w:r>
    </w:p>
    <w:p w14:paraId="0D99776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17.1为了竣工结算能够顺利完成，保证发包人和承包人的合法权益，双方约定：</w:t>
      </w:r>
    </w:p>
    <w:p w14:paraId="53878C14">
      <w:pPr>
        <w:shd w:val="clea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（1）承包人应在工程竣工验收合格后</w:t>
      </w:r>
      <w:r>
        <w:rPr>
          <w:rFonts w:ascii="宋体" w:hAnsi="宋体" w:eastAsia="宋体"/>
          <w:color w:val="auto"/>
          <w:szCs w:val="21"/>
          <w:highlight w:val="none"/>
          <w:u w:val="single"/>
        </w:rPr>
        <w:t>3</w:t>
      </w:r>
      <w:r>
        <w:rPr>
          <w:rFonts w:hint="eastAsia" w:ascii="宋体" w:hAnsi="宋体" w:eastAsia="宋体"/>
          <w:color w:val="auto"/>
          <w:szCs w:val="21"/>
          <w:highlight w:val="none"/>
          <w:u w:val="single"/>
        </w:rPr>
        <w:t>个月内，递交结算书及全部结算资料提交给发包人，具体要求详见合同附件3。</w:t>
      </w:r>
    </w:p>
    <w:p w14:paraId="1215C24C">
      <w:pPr>
        <w:shd w:val="clea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承包人有以下情形的，发包人有权在竣工结算审核完成后的下一年度再支付剩余工程款。</w:t>
      </w:r>
    </w:p>
    <w:p w14:paraId="67CB87B8">
      <w:pPr>
        <w:shd w:val="clea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1）因承包人原因导致工期延误，造成实际竣工日期超过合同约定的竣工日期所属年度。</w:t>
      </w:r>
    </w:p>
    <w:p w14:paraId="06227AD5">
      <w:pPr>
        <w:shd w:val="clea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2）因承包人不按合同约定的时限提供完整的竣工结算资料导致竣工结算延误，造成发包人竣工结算审核完成日期超过合同约定的竣工结算审核完成日期所属年度。</w:t>
      </w:r>
    </w:p>
    <w:p w14:paraId="73CF00D0">
      <w:pPr>
        <w:shd w:val="clea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2）承包人应保证竣工结算价送审款（以下简称送审款）的真实性、准确性，承包人报送的送审款与发包人最终审定的工程结算价款（以下简称审定款）相比，应保证其误差率≤5％，如误差率＞5％，承包人应承担违约责任并支付违约金；误差率为5％—10％（含）的，违约金＝（送审款-审定款）×5%×50％；误差率大于10％的，违约金=（送审款-审定款）×5%。违约金由发包人从承包人工程结算款中扣除。注：误差率=（送审款-审定款）/送审款*100%。</w:t>
      </w:r>
    </w:p>
    <w:p w14:paraId="675F17A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u w:val="single"/>
        </w:rPr>
        <w:t>（3）发包人应按本专用条款约定和《建设工程价款结算暂行办法》（财建〔2004〕369号）规定及时办理工程竣工结算。办理时间从发包人收到承包人提交的《竣工结算报告》及完整合格的结算资料起算，因承包人原因造成结算工作拖延的，发包人审查时间应相应顺延</w:t>
      </w:r>
      <w:r>
        <w:rPr>
          <w:rFonts w:hint="eastAsia" w:ascii="宋体" w:hAnsi="宋体" w:eastAsia="宋体"/>
          <w:color w:val="auto"/>
          <w:szCs w:val="21"/>
          <w:highlight w:val="none"/>
        </w:rPr>
        <w:t>。</w:t>
      </w:r>
    </w:p>
    <w:p w14:paraId="180A84A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承包人向发包人递交竣工结算报告及完整的结算资料二套（含结算用竣工图纸电子文件光盘一套，结算用图纸、图纸电子文件光盘及相关资料应与现场施工实际情况相符，并且须报监理人确认，经发包人现场代表签字确认后方可作为结算依据，否则发包人有权拒绝签收相关资料，责任概由承包人负责）。同时，承包人提供采用符合当地造价管理机构要求使用的计价、计量软件的结算文件的电子光盘一套。双方按照合同约定内容，进行工程竣工结算。</w:t>
      </w:r>
    </w:p>
    <w:p w14:paraId="6690AF7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（5）竣工结算资料包括但不限于以下的内容：</w:t>
      </w:r>
    </w:p>
    <w:p w14:paraId="57A7A28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1）施工合同及补充协议：</w:t>
      </w:r>
    </w:p>
    <w:p w14:paraId="5512419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2）竣工图纸（经发包人盖章确认）：</w:t>
      </w:r>
    </w:p>
    <w:p w14:paraId="386A70E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3）设计变更资料：</w:t>
      </w:r>
    </w:p>
    <w:p w14:paraId="667A393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4）施工现场签证：</w:t>
      </w:r>
    </w:p>
    <w:p w14:paraId="79F1D10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5）竣工结算书（另附电子版软件版）：</w:t>
      </w:r>
    </w:p>
    <w:p w14:paraId="4CEC5EB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6）工程量计算书（另附电子版软件版）：</w:t>
      </w:r>
    </w:p>
    <w:p w14:paraId="22FA91C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7）开工报告或开工令</w:t>
      </w:r>
    </w:p>
    <w:p w14:paraId="01B796C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8）竣工验收意见书：</w:t>
      </w:r>
    </w:p>
    <w:p w14:paraId="7B20F49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9）其他与结算有关的资料。</w:t>
      </w:r>
    </w:p>
    <w:p w14:paraId="3A540E9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17.2竣工结算审核</w:t>
      </w:r>
    </w:p>
    <w:p w14:paraId="45C0773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承包人在现场施工过程中应派专人负责结算相关资料的收集和整理。承包人报送的任何资料，如与现场实际情况不符时，发包人有权对该部分内容不予进行结算，无论其是否已经监理人和发包人现场代表确认。</w:t>
      </w:r>
    </w:p>
    <w:p w14:paraId="03AA7A5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（2）最终审定造价以发包人委托的造价咨询机构出具的审定单的造价为准。</w:t>
      </w:r>
    </w:p>
    <w:p w14:paraId="3E22EFC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（3）发包人收到承包人递交的竣工结算报告及结算资料后应及时组织人员进行核实，给予确认或提出修改意见。修改期间的时间，应从发包人审核结算审计报告时间中相应扣除。</w:t>
      </w:r>
    </w:p>
    <w:p w14:paraId="5D569A2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（4）工程竣工验收合格后3个月内,承包人未能向发包人递交竣工结算报告及完整的结算资料造成工程竣工结算不能正常进行或工程竣工结算价款不能及时支付，由承包人负责。</w:t>
      </w:r>
    </w:p>
    <w:p w14:paraId="5E64048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（5）发包人承包人对工程竣工结算价款发生争议时，按本合同第 19 条关于争议的约定处理。如承包人无实质性理由拒绝签认竣工结算审定单，发包人有权依据《建设工程造价咨询规范B51095-2015》第8.3.8条规定，会同造价咨询机构单独出具竣工结算审定单，自行结算。</w:t>
      </w:r>
    </w:p>
    <w:p w14:paraId="5EE91032">
      <w:pPr>
        <w:shd w:val="clear"/>
        <w:spacing w:line="360" w:lineRule="auto"/>
        <w:ind w:firstLine="420" w:firstLineChars="200"/>
        <w:rPr>
          <w:color w:val="auto"/>
          <w:highlight w:val="none"/>
        </w:rPr>
      </w:pPr>
      <w:r>
        <w:rPr>
          <w:rFonts w:hint="eastAsia" w:ascii="宋体" w:hAnsi="宋体" w:eastAsia="宋体"/>
          <w:color w:val="auto"/>
          <w:szCs w:val="21"/>
          <w:highlight w:val="none"/>
        </w:rPr>
        <w:t>（6）发包人委托的造价咨询机构对承包人提供的结算报告（或结算书）进行审核后提供结算审核初稿，承包人认为需要派造价人员和发包人委托的造价咨询机构核对的，承包人核对前必需提供授权委托书委托该造价人员处理结算对数所有事项，该造价人员签字认可的数据即为承包人认可的数据，且承包人必须对该造价人员确认的结算承担责任。承包人委托的造价人员必须具有中华人民共和国造价工程师执业资格证或造价员相关资格证书。</w:t>
      </w:r>
    </w:p>
    <w:p w14:paraId="79930C02">
      <w:pPr>
        <w:shd w:val="clear"/>
        <w:spacing w:line="360" w:lineRule="auto"/>
        <w:ind w:firstLine="420" w:firstLineChars="200"/>
        <w:rPr>
          <w:rFonts w:hint="eastAsia" w:eastAsiaTheme="minorEastAsia"/>
          <w:color w:val="auto"/>
          <w:highlight w:val="none"/>
          <w:lang w:eastAsia="zh-CN"/>
        </w:rPr>
      </w:pPr>
      <w:r>
        <w:rPr>
          <w:color w:val="auto"/>
          <w:highlight w:val="none"/>
        </w:rPr>
        <w:t>（</w:t>
      </w:r>
      <w:r>
        <w:rPr>
          <w:rFonts w:hint="eastAsia"/>
          <w:color w:val="auto"/>
          <w:highlight w:val="none"/>
        </w:rPr>
        <w:t>7</w:t>
      </w:r>
      <w:r>
        <w:rPr>
          <w:color w:val="auto"/>
          <w:highlight w:val="none"/>
        </w:rPr>
        <w:t>）</w:t>
      </w:r>
      <w:r>
        <w:rPr>
          <w:rFonts w:hint="eastAsia"/>
          <w:color w:val="auto"/>
          <w:highlight w:val="none"/>
        </w:rPr>
        <w:t>承包人结清所有用水、用电费用后，提交符合要求的完整的竣工资料及竣工验收报告</w:t>
      </w:r>
      <w:r>
        <w:rPr>
          <w:rFonts w:hint="eastAsia"/>
          <w:color w:val="auto"/>
          <w:highlight w:val="none"/>
          <w:lang w:eastAsia="zh-CN"/>
        </w:rPr>
        <w:t>。</w:t>
      </w:r>
    </w:p>
    <w:p w14:paraId="461C729C">
      <w:pPr>
        <w:pStyle w:val="4"/>
        <w:shd w:val="clear"/>
        <w:jc w:val="left"/>
        <w:rPr>
          <w:rFonts w:ascii="宋体" w:hAnsi="宋体" w:eastAsia="宋体"/>
          <w:color w:val="auto"/>
          <w:sz w:val="28"/>
          <w:szCs w:val="28"/>
          <w:highlight w:val="none"/>
        </w:rPr>
      </w:pPr>
      <w:bookmarkStart w:id="139" w:name="_Toc197530165"/>
      <w:bookmarkStart w:id="140" w:name="_Toc195459490"/>
      <w:r>
        <w:rPr>
          <w:rFonts w:hint="eastAsia" w:ascii="宋体" w:hAnsi="宋体" w:eastAsia="宋体"/>
          <w:color w:val="auto"/>
          <w:sz w:val="28"/>
          <w:szCs w:val="28"/>
          <w:highlight w:val="none"/>
        </w:rPr>
        <w:t>八、违约、索赔和争议</w:t>
      </w:r>
      <w:bookmarkEnd w:id="139"/>
      <w:bookmarkEnd w:id="140"/>
    </w:p>
    <w:p w14:paraId="4C65A2F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18.违约</w:t>
      </w:r>
    </w:p>
    <w:p w14:paraId="7228A9F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18.1本合同中关于发包人违约的具体责任：</w:t>
      </w:r>
      <w:r>
        <w:rPr>
          <w:rFonts w:hint="eastAsia" w:ascii="宋体" w:hAnsi="宋体" w:eastAsia="宋体"/>
          <w:color w:val="auto"/>
          <w:szCs w:val="21"/>
          <w:highlight w:val="none"/>
          <w:u w:val="single"/>
        </w:rPr>
        <w:t>除专用合同已有约定外，由双方另协商</w:t>
      </w:r>
      <w:r>
        <w:rPr>
          <w:rFonts w:hint="eastAsia" w:ascii="宋体" w:hAnsi="宋体" w:eastAsia="宋体"/>
          <w:color w:val="auto"/>
          <w:szCs w:val="21"/>
          <w:highlight w:val="none"/>
        </w:rPr>
        <w:t>。</w:t>
      </w:r>
    </w:p>
    <w:p w14:paraId="1D0DBF0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18.2本合同中关于承包人违约的具体责任：</w:t>
      </w:r>
      <w:r>
        <w:rPr>
          <w:rFonts w:hint="eastAsia" w:ascii="宋体" w:hAnsi="宋体" w:eastAsia="宋体"/>
          <w:color w:val="auto"/>
          <w:szCs w:val="21"/>
          <w:highlight w:val="none"/>
          <w:u w:val="single"/>
        </w:rPr>
        <w:t>承包人发生本合同通用条款中列出的违约情形的，应自行承担因其违约行为而增加的费用和工期延误损失，工期延误违约金按本专用条款第8.2条执行</w:t>
      </w:r>
      <w:r>
        <w:rPr>
          <w:rFonts w:hint="eastAsia" w:ascii="宋体" w:hAnsi="宋体" w:eastAsia="宋体"/>
          <w:color w:val="auto"/>
          <w:szCs w:val="21"/>
          <w:highlight w:val="none"/>
        </w:rPr>
        <w:t>。</w:t>
      </w:r>
    </w:p>
    <w:p w14:paraId="336635E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18.3因承包人违约解除合同：</w:t>
      </w:r>
      <w:r>
        <w:rPr>
          <w:rFonts w:hint="eastAsia" w:ascii="宋体" w:hAnsi="宋体" w:eastAsia="宋体"/>
          <w:color w:val="auto"/>
          <w:szCs w:val="21"/>
          <w:highlight w:val="none"/>
          <w:u w:val="single"/>
        </w:rPr>
        <w:t>（1）承包人出现《通用合同条款》（承包人违约的情形）约定的违约情况，监理人、发包人发出整改通知后15日内仍不纠正的；（2）承包人出现《专用合同条款》第20.2项的违约情况，监理人、发包人发出整改通知后15日内仍不纠正的；（3）承包人无故停工连续超过25天或累计超过30天的</w:t>
      </w:r>
      <w:r>
        <w:rPr>
          <w:rFonts w:hint="eastAsia" w:ascii="宋体" w:hAnsi="宋体" w:eastAsia="宋体"/>
          <w:color w:val="auto"/>
          <w:szCs w:val="21"/>
          <w:highlight w:val="none"/>
        </w:rPr>
        <w:t>。</w:t>
      </w:r>
    </w:p>
    <w:p w14:paraId="732EA7E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19.争议</w:t>
      </w:r>
    </w:p>
    <w:p w14:paraId="5FEBF93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19.1双方约定，凡因本合同引起的或与本合同有关的任何争议，应向本合同履行地有管辖权的人民法院起诉。</w:t>
      </w:r>
    </w:p>
    <w:p w14:paraId="7AC5C5DE">
      <w:pPr>
        <w:pStyle w:val="4"/>
        <w:shd w:val="clear"/>
        <w:jc w:val="left"/>
        <w:rPr>
          <w:rFonts w:ascii="宋体" w:hAnsi="宋体" w:eastAsia="宋体"/>
          <w:color w:val="auto"/>
          <w:sz w:val="28"/>
          <w:szCs w:val="28"/>
          <w:highlight w:val="none"/>
        </w:rPr>
      </w:pPr>
      <w:bookmarkStart w:id="141" w:name="_Toc195459491"/>
      <w:bookmarkStart w:id="142" w:name="_Toc197530166"/>
      <w:r>
        <w:rPr>
          <w:rFonts w:hint="eastAsia" w:ascii="宋体" w:hAnsi="宋体" w:eastAsia="宋体"/>
          <w:color w:val="auto"/>
          <w:sz w:val="28"/>
          <w:szCs w:val="28"/>
          <w:highlight w:val="none"/>
        </w:rPr>
        <w:t>九、其他</w:t>
      </w:r>
      <w:bookmarkEnd w:id="141"/>
      <w:bookmarkEnd w:id="142"/>
    </w:p>
    <w:p w14:paraId="1044C9A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20.工程分包</w:t>
      </w:r>
    </w:p>
    <w:p w14:paraId="39F852F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20.1本工程不允许分包，由发包人另行发包的专业工程除外。</w:t>
      </w:r>
    </w:p>
    <w:p w14:paraId="0692FAD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20.2承包人有以下情况之一者，应按合同总价的5％向发包人支付违约金，发包人有权解除合同，并向财政厅政府采购监督管理处反馈、投诉。</w:t>
      </w:r>
    </w:p>
    <w:p w14:paraId="4FAEA7C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20.2.1承包人交本单位或外单位人员个人承包本工程，发包人不承认其个人拥有任何资质等级及营业许可资格。</w:t>
      </w:r>
    </w:p>
    <w:p w14:paraId="7A687A8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20.2.2与其他人联合承包工程，就地组织暗分包队伍，不具备完成本工程的技术能力和必要设备条件。</w:t>
      </w:r>
    </w:p>
    <w:p w14:paraId="15316E1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20.2.3承包人就地转包全部的工程，以谋取高额转让费、管理费。</w:t>
      </w:r>
    </w:p>
    <w:p w14:paraId="2458B16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20.2.4承包人有部分分包行为（包括但不限于：冒充承包人下属单位的挂勾单位，凭口头协议参与施工的分包人及其他暗分包个体户），一经发现，发包人将驱逐该暗分包人。</w:t>
      </w:r>
    </w:p>
    <w:p w14:paraId="799BC3B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21.不可抗力</w:t>
      </w:r>
    </w:p>
    <w:p w14:paraId="67AF4B5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21.1双方关于不可抗力的约定：</w:t>
      </w:r>
      <w:r>
        <w:rPr>
          <w:rFonts w:hint="eastAsia" w:ascii="宋体" w:hAnsi="宋体" w:eastAsia="宋体"/>
          <w:color w:val="auto"/>
          <w:szCs w:val="21"/>
          <w:highlight w:val="none"/>
          <w:u w:val="single"/>
        </w:rPr>
        <w:t>按本合同通用条款约定和有关部门发布的文告或文件为准</w:t>
      </w:r>
      <w:r>
        <w:rPr>
          <w:rFonts w:hint="eastAsia" w:ascii="宋体" w:hAnsi="宋体" w:eastAsia="宋体"/>
          <w:color w:val="auto"/>
          <w:szCs w:val="21"/>
          <w:highlight w:val="none"/>
        </w:rPr>
        <w:t>。</w:t>
      </w:r>
    </w:p>
    <w:p w14:paraId="4AEB4EE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22.保险</w:t>
      </w:r>
    </w:p>
    <w:p w14:paraId="403EFA7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21.1本工程双方约定投保内容如下：</w:t>
      </w:r>
    </w:p>
    <w:p w14:paraId="4B1C6FF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（1）发包人投保内容：</w:t>
      </w:r>
      <w:r>
        <w:rPr>
          <w:rFonts w:hint="eastAsia" w:ascii="宋体" w:hAnsi="宋体" w:eastAsia="宋体"/>
          <w:color w:val="auto"/>
          <w:szCs w:val="21"/>
          <w:highlight w:val="none"/>
          <w:u w:val="single"/>
        </w:rPr>
        <w:t>自行负责办理</w:t>
      </w:r>
      <w:r>
        <w:rPr>
          <w:rFonts w:hint="eastAsia" w:ascii="宋体" w:hAnsi="宋体" w:eastAsia="宋体"/>
          <w:color w:val="auto"/>
          <w:szCs w:val="21"/>
          <w:highlight w:val="none"/>
        </w:rPr>
        <w:t>。</w:t>
      </w:r>
    </w:p>
    <w:p w14:paraId="1CFF44E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发包人委托承包人办理的保险事项：</w:t>
      </w:r>
      <w:r>
        <w:rPr>
          <w:rFonts w:hint="eastAsia" w:ascii="宋体" w:hAnsi="宋体" w:eastAsia="宋体"/>
          <w:color w:val="auto"/>
          <w:szCs w:val="21"/>
          <w:highlight w:val="none"/>
          <w:u w:val="single"/>
        </w:rPr>
        <w:t>无</w:t>
      </w:r>
      <w:r>
        <w:rPr>
          <w:rFonts w:hint="eastAsia" w:ascii="宋体" w:hAnsi="宋体" w:eastAsia="宋体"/>
          <w:color w:val="auto"/>
          <w:szCs w:val="21"/>
          <w:highlight w:val="none"/>
        </w:rPr>
        <w:t>。</w:t>
      </w:r>
    </w:p>
    <w:p w14:paraId="0803D97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（2）承包人投保内容：</w:t>
      </w:r>
      <w:r>
        <w:rPr>
          <w:rFonts w:hint="eastAsia" w:ascii="宋体" w:hAnsi="宋体" w:eastAsia="宋体"/>
          <w:color w:val="auto"/>
          <w:szCs w:val="21"/>
          <w:highlight w:val="none"/>
          <w:u w:val="single"/>
        </w:rPr>
        <w:t>承包人必须为施工现场从事施工的所有作业人员和管理人员办理意外伤害保险，并支付保险费</w:t>
      </w:r>
      <w:r>
        <w:rPr>
          <w:rFonts w:hint="eastAsia" w:ascii="宋体" w:hAnsi="宋体" w:eastAsia="宋体"/>
          <w:color w:val="auto"/>
          <w:szCs w:val="21"/>
          <w:highlight w:val="none"/>
        </w:rPr>
        <w:t>。</w:t>
      </w:r>
    </w:p>
    <w:p w14:paraId="16B9976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23.担保</w:t>
      </w:r>
    </w:p>
    <w:p w14:paraId="68F0F0C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23.1本工程双方约定担保事项如下：</w:t>
      </w:r>
      <w:r>
        <w:rPr>
          <w:rFonts w:hint="eastAsia" w:ascii="宋体" w:hAnsi="宋体" w:eastAsia="宋体"/>
          <w:color w:val="auto"/>
          <w:szCs w:val="21"/>
          <w:highlight w:val="none"/>
          <w:u w:val="single"/>
        </w:rPr>
        <w:t>无</w:t>
      </w:r>
    </w:p>
    <w:p w14:paraId="7E50DC6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23.2双方约定的其他担保事项：</w:t>
      </w:r>
      <w:r>
        <w:rPr>
          <w:rFonts w:hint="eastAsia" w:ascii="宋体" w:hAnsi="宋体" w:eastAsia="宋体"/>
          <w:color w:val="auto"/>
          <w:szCs w:val="21"/>
          <w:highlight w:val="none"/>
          <w:u w:val="single"/>
        </w:rPr>
        <w:t>无</w:t>
      </w:r>
    </w:p>
    <w:p w14:paraId="7F242F6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24.合同份数</w:t>
      </w:r>
    </w:p>
    <w:p w14:paraId="2A3BC0D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24.1双方约定合同份数：</w:t>
      </w:r>
      <w:r>
        <w:rPr>
          <w:rFonts w:hint="eastAsia" w:ascii="宋体" w:hAnsi="宋体" w:eastAsia="宋体"/>
          <w:color w:val="auto"/>
          <w:szCs w:val="21"/>
          <w:highlight w:val="none"/>
          <w:u w:val="single"/>
        </w:rPr>
        <w:t>壹拾伍份</w:t>
      </w:r>
      <w:r>
        <w:rPr>
          <w:rFonts w:hint="eastAsia" w:ascii="宋体" w:hAnsi="宋体" w:eastAsia="宋体"/>
          <w:color w:val="auto"/>
          <w:szCs w:val="21"/>
          <w:highlight w:val="none"/>
        </w:rPr>
        <w:t>。</w:t>
      </w:r>
    </w:p>
    <w:p w14:paraId="5160B42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25.补充条款</w:t>
      </w:r>
    </w:p>
    <w:p w14:paraId="05ECAFD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25.1发包人另行发包专业工程的，承包人应当给予配合、协调和服从管理，专业分包人需要承包人提供配合服务时，配合费由承包人与专业工程分包人根据配合、协调的内容另行协商。</w:t>
      </w:r>
    </w:p>
    <w:p w14:paraId="642272E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25.2承包人应按照合同约定（附件3）办理进度款申请、变更、签证、现场工程量收方、竣工验收、结算等事项，否则发包人不予办理相关事项，由此造成的损失由承包人负责。</w:t>
      </w:r>
    </w:p>
    <w:p w14:paraId="189E7FF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25.3承包人应按照竞争性磋商时响应文件的约定，配备服务于本项目的管理人员必须与响应文件一致，未经发包人同意不能擅自变更，否则发包人有权计收违约金1000元/次（人民币），如上述原因造成严重影响工程进度和质量的，发包人有权单方解除本合同。</w:t>
      </w:r>
    </w:p>
    <w:p w14:paraId="13A069E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25.4验收产生的费用由承包人承担。</w:t>
      </w:r>
    </w:p>
    <w:p w14:paraId="0C0C3CE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25.5室内空气、环境的检测按GB50325-2001《民用建筑工程室内环境污染控制规范》的标准执行，检测项目包括检测室内空气中的甲醛等指标参数。检测由发包人委托第三方检测机构进行检测，检测费用由发包人支付。若检测不合格，承担以下责任：（1）承包人按（人民币）10万元/次向发包人支付违约金，（2）因检测不合格导致发包人不能按时使用学生公寓，发包人将安排相应受到此状况影响的学生入住酒店，由此产生的一切费用（住宿费、交通费等）将由发包人从应向承包人支付的任何款项中扣除，（3）由承包人负责整改，直至检测合格为止，再次发生的检测费用由承包人支付。</w:t>
      </w:r>
    </w:p>
    <w:p w14:paraId="4C885BC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25.6本《专用条款》未作约定的事项，按本合同《通用条款》执行或由双方另行协商确定。</w:t>
      </w:r>
    </w:p>
    <w:p w14:paraId="2635CB8B">
      <w:pPr>
        <w:shd w:val="clea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78CE5CB3">
      <w:pPr>
        <w:pStyle w:val="3"/>
        <w:shd w:val="clear"/>
        <w:spacing w:before="0" w:after="0" w:line="240" w:lineRule="auto"/>
        <w:jc w:val="center"/>
        <w:rPr>
          <w:rFonts w:ascii="宋体" w:hAnsi="宋体" w:eastAsia="宋体"/>
          <w:color w:val="auto"/>
          <w:sz w:val="30"/>
          <w:szCs w:val="30"/>
          <w:highlight w:val="none"/>
        </w:rPr>
      </w:pPr>
      <w:bookmarkStart w:id="143" w:name="_Toc197530167"/>
      <w:bookmarkStart w:id="144" w:name="_Toc181816532"/>
      <w:bookmarkStart w:id="145" w:name="_Toc195459492"/>
      <w:r>
        <w:rPr>
          <w:rFonts w:hint="eastAsia" w:ascii="宋体" w:hAnsi="宋体" w:eastAsia="宋体"/>
          <w:color w:val="auto"/>
          <w:sz w:val="30"/>
          <w:szCs w:val="30"/>
          <w:highlight w:val="none"/>
        </w:rPr>
        <w:t>第四部分 专用合同条款附件</w:t>
      </w:r>
      <w:bookmarkEnd w:id="143"/>
      <w:bookmarkEnd w:id="144"/>
      <w:bookmarkEnd w:id="145"/>
    </w:p>
    <w:p w14:paraId="1FC72AA0">
      <w:pPr>
        <w:pStyle w:val="4"/>
        <w:shd w:val="clear"/>
        <w:jc w:val="left"/>
        <w:rPr>
          <w:rFonts w:ascii="宋体" w:hAnsi="宋体" w:eastAsia="宋体"/>
          <w:color w:val="auto"/>
          <w:sz w:val="28"/>
          <w:szCs w:val="28"/>
          <w:highlight w:val="none"/>
        </w:rPr>
      </w:pPr>
      <w:bookmarkStart w:id="146" w:name="_Toc197530168"/>
      <w:bookmarkStart w:id="147" w:name="_Toc195459493"/>
      <w:r>
        <w:rPr>
          <w:rFonts w:hint="eastAsia" w:ascii="宋体" w:hAnsi="宋体" w:eastAsia="宋体"/>
          <w:color w:val="auto"/>
          <w:sz w:val="28"/>
          <w:szCs w:val="28"/>
          <w:highlight w:val="none"/>
        </w:rPr>
        <w:t>附件1：工程质量保修书</w:t>
      </w:r>
      <w:bookmarkEnd w:id="146"/>
      <w:bookmarkEnd w:id="147"/>
    </w:p>
    <w:p w14:paraId="36BB0FAC">
      <w:pPr>
        <w:shd w:val="clea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工程质量保修书</w:t>
      </w:r>
    </w:p>
    <w:p w14:paraId="41550144">
      <w:pPr>
        <w:shd w:val="clear"/>
        <w:spacing w:line="360" w:lineRule="auto"/>
        <w:ind w:firstLine="420" w:firstLineChars="200"/>
        <w:rPr>
          <w:rFonts w:ascii="宋体" w:hAnsi="宋体" w:eastAsia="宋体"/>
          <w:color w:val="auto"/>
          <w:szCs w:val="21"/>
          <w:highlight w:val="none"/>
        </w:rPr>
      </w:pPr>
    </w:p>
    <w:p w14:paraId="751E67F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发包人（全称）：广西大学</w:t>
      </w:r>
    </w:p>
    <w:p w14:paraId="2A88506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承包人（全称）：</w:t>
      </w:r>
      <w:r>
        <w:rPr>
          <w:rFonts w:ascii="宋体" w:hAnsi="宋体" w:eastAsia="宋体"/>
          <w:color w:val="auto"/>
          <w:szCs w:val="21"/>
          <w:highlight w:val="none"/>
        </w:rPr>
        <w:t>________</w:t>
      </w:r>
    </w:p>
    <w:p w14:paraId="4A80F35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为保证</w:t>
      </w:r>
      <w:r>
        <w:rPr>
          <w:rFonts w:ascii="宋体" w:hAnsi="宋体" w:eastAsia="宋体"/>
          <w:color w:val="auto"/>
          <w:szCs w:val="21"/>
          <w:highlight w:val="none"/>
        </w:rPr>
        <w:t>________</w:t>
      </w:r>
      <w:r>
        <w:rPr>
          <w:rFonts w:hint="eastAsia" w:ascii="宋体" w:hAnsi="宋体" w:eastAsia="宋体"/>
          <w:color w:val="auto"/>
          <w:szCs w:val="21"/>
          <w:highlight w:val="none"/>
        </w:rPr>
        <w:t>（工程名称）在合理使用期限内可以正常使用，发包人、承包人协商一致签订本工程质量保修书。承包人在质量保修期内应当按照法律、法规、规章规定和其他有关规定及双方约定承担工程质量保修责任。</w:t>
      </w:r>
    </w:p>
    <w:p w14:paraId="5004BA88">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一、工程质量保修范围和内容</w:t>
      </w:r>
    </w:p>
    <w:p w14:paraId="6074D06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承包人在质量保修期内，按照有关法律、法规、规章规定和其他有关规定及双方约定，承担本工程质量保修责任。</w:t>
      </w:r>
    </w:p>
    <w:p w14:paraId="7C6B762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质量保修范围包括：地基基础工程、主体结构工程、屋面防水工程和双方约定的其他土建工程，以及电气管线、上下水管线的安装工程，供热、供冷系统工程等项目。</w:t>
      </w:r>
    </w:p>
    <w:p w14:paraId="419F95B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具体质量保修内容双方约定如下：</w:t>
      </w:r>
    </w:p>
    <w:p w14:paraId="22409E6D">
      <w:pPr>
        <w:shd w:val="clea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1.缺陷责任期内，如发生属承包人责任的质量问题，按工程质量保修书约定执行。承包人未按照法律法规有关规定和合同约定履行质量保修义务的，发包人有权从质量保证金中扣留用于质量保修的各项支出；若质量保证金不足以抵扣实际支出费用，发包人有权要求承包人补足差额。</w:t>
      </w:r>
    </w:p>
    <w:p w14:paraId="240A6D80">
      <w:pPr>
        <w:shd w:val="clea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2.缺陷责任期结束后质保期结束前，如发生属承包人责任的质量问题，由承包人负责维修并承担相关鉴定及维修费用。如承包人未及时履行保修义务，导致建筑物毁损或者造成人身损害、财产损失的，承包人应当承担赔偿责任，同时发包人可以委托他人修理，修理费用由承包人承担。如承包人拒绝履行支付，发包人有权通过法律途径要求承包人支付。</w:t>
      </w:r>
    </w:p>
    <w:p w14:paraId="3F17A04A">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二、质量保修期</w:t>
      </w:r>
    </w:p>
    <w:p w14:paraId="086D1A1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质量保修期从工程实际竣工验收通过之日起算。分单项竣工验收的工程，按单项工程分别计算质量保修期。</w:t>
      </w:r>
    </w:p>
    <w:p w14:paraId="5C8EAAB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双方根据国家有关规定，结合具体工程约定质量保修期如下：</w:t>
      </w:r>
    </w:p>
    <w:p w14:paraId="6837F77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1.地基基础工程和主体结构工程为设计文件规定的该工程合理使用年限；</w:t>
      </w:r>
    </w:p>
    <w:p w14:paraId="461D408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2.屋面防水工程、有防水要求的卫生间、房间和外墙面的防渗漏为5年；</w:t>
      </w:r>
    </w:p>
    <w:p w14:paraId="6B428DD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3.供热及供冷系统为</w:t>
      </w:r>
      <w:r>
        <w:rPr>
          <w:rFonts w:hint="eastAsia" w:ascii="宋体" w:hAnsi="宋体" w:eastAsia="宋体"/>
          <w:color w:val="auto"/>
          <w:szCs w:val="21"/>
          <w:highlight w:val="none"/>
          <w:u w:val="single"/>
        </w:rPr>
        <w:t>2</w:t>
      </w:r>
      <w:r>
        <w:rPr>
          <w:rFonts w:hint="eastAsia" w:ascii="宋体" w:hAnsi="宋体" w:eastAsia="宋体"/>
          <w:color w:val="auto"/>
          <w:szCs w:val="21"/>
          <w:highlight w:val="none"/>
        </w:rPr>
        <w:t>个采暖期及供冷期；</w:t>
      </w:r>
    </w:p>
    <w:p w14:paraId="7348F79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4.电气管线、给排水管道、设备安装[含电气（器）、通风、照明、消防、防雷等设备]为</w:t>
      </w:r>
      <w:r>
        <w:rPr>
          <w:rFonts w:hint="eastAsia" w:ascii="宋体" w:hAnsi="宋体" w:eastAsia="宋体"/>
          <w:color w:val="auto"/>
          <w:szCs w:val="21"/>
          <w:highlight w:val="none"/>
          <w:u w:val="single"/>
        </w:rPr>
        <w:t>2</w:t>
      </w:r>
      <w:r>
        <w:rPr>
          <w:rFonts w:hint="eastAsia" w:ascii="宋体" w:hAnsi="宋体" w:eastAsia="宋体"/>
          <w:color w:val="auto"/>
          <w:szCs w:val="21"/>
          <w:highlight w:val="none"/>
        </w:rPr>
        <w:t>年；</w:t>
      </w:r>
    </w:p>
    <w:p w14:paraId="514ECDB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5.装修工程为</w:t>
      </w:r>
      <w:r>
        <w:rPr>
          <w:rFonts w:hint="eastAsia" w:ascii="宋体" w:hAnsi="宋体" w:eastAsia="宋体"/>
          <w:color w:val="auto"/>
          <w:szCs w:val="21"/>
          <w:highlight w:val="none"/>
          <w:u w:val="single"/>
        </w:rPr>
        <w:t>2</w:t>
      </w:r>
      <w:r>
        <w:rPr>
          <w:rFonts w:hint="eastAsia" w:ascii="宋体" w:hAnsi="宋体" w:eastAsia="宋体"/>
          <w:color w:val="auto"/>
          <w:szCs w:val="21"/>
          <w:highlight w:val="none"/>
        </w:rPr>
        <w:t>年；</w:t>
      </w:r>
    </w:p>
    <w:p w14:paraId="5735F2E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6.住宅小区内的给排水设施、道路等配套工程为</w:t>
      </w:r>
      <w:r>
        <w:rPr>
          <w:rFonts w:hint="eastAsia" w:ascii="宋体" w:hAnsi="宋体" w:eastAsia="宋体"/>
          <w:color w:val="auto"/>
          <w:szCs w:val="21"/>
          <w:highlight w:val="none"/>
          <w:u w:val="single"/>
        </w:rPr>
        <w:t>2</w:t>
      </w:r>
      <w:r>
        <w:rPr>
          <w:rFonts w:hint="eastAsia" w:ascii="宋体" w:hAnsi="宋体" w:eastAsia="宋体"/>
          <w:color w:val="auto"/>
          <w:szCs w:val="21"/>
          <w:highlight w:val="none"/>
        </w:rPr>
        <w:t>年；</w:t>
      </w:r>
    </w:p>
    <w:p w14:paraId="4BB4DF4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7.绿化工程为工程验收合格后</w:t>
      </w:r>
      <w:r>
        <w:rPr>
          <w:rFonts w:hint="eastAsia" w:ascii="宋体" w:hAnsi="宋体" w:eastAsia="宋体"/>
          <w:color w:val="auto"/>
          <w:szCs w:val="21"/>
          <w:highlight w:val="none"/>
          <w:u w:val="single"/>
        </w:rPr>
        <w:t>6</w:t>
      </w:r>
      <w:r>
        <w:rPr>
          <w:rFonts w:hint="eastAsia" w:ascii="宋体" w:hAnsi="宋体" w:eastAsia="宋体"/>
          <w:color w:val="auto"/>
          <w:szCs w:val="21"/>
          <w:highlight w:val="none"/>
        </w:rPr>
        <w:t>个月（养护期以工程量清单为准）；</w:t>
      </w:r>
    </w:p>
    <w:p w14:paraId="74E5E88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8.其他项目：</w:t>
      </w:r>
      <w:r>
        <w:rPr>
          <w:rFonts w:hint="eastAsia" w:ascii="宋体" w:hAnsi="宋体" w:eastAsia="宋体"/>
          <w:color w:val="auto"/>
          <w:szCs w:val="21"/>
          <w:highlight w:val="none"/>
          <w:u w:val="single"/>
        </w:rPr>
        <w:t>1年</w:t>
      </w:r>
    </w:p>
    <w:p w14:paraId="33165F0E">
      <w:pPr>
        <w:shd w:val="clear"/>
        <w:spacing w:line="360" w:lineRule="auto"/>
        <w:ind w:firstLine="420" w:firstLineChars="200"/>
        <w:rPr>
          <w:rFonts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质量保修期自工程竣工验收合格之日起计算。供应商在响应文件中有优于上述要求的，按供应商承诺执行。</w:t>
      </w:r>
    </w:p>
    <w:p w14:paraId="7C497805">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三、缺陷责任期</w:t>
      </w:r>
    </w:p>
    <w:p w14:paraId="298E532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工程缺陷责任期为</w:t>
      </w:r>
      <w:r>
        <w:rPr>
          <w:rFonts w:hint="eastAsia" w:ascii="宋体" w:hAnsi="宋体" w:eastAsia="宋体"/>
          <w:color w:val="auto"/>
          <w:szCs w:val="21"/>
          <w:highlight w:val="none"/>
          <w:u w:val="single"/>
        </w:rPr>
        <w:t>24</w:t>
      </w:r>
      <w:r>
        <w:rPr>
          <w:rFonts w:hint="eastAsia" w:ascii="宋体" w:hAnsi="宋体" w:eastAsia="宋体"/>
          <w:color w:val="auto"/>
          <w:szCs w:val="21"/>
          <w:highlight w:val="none"/>
        </w:rPr>
        <w:t>个月（最长不超过24个月），缺陷责任期自工程竣工验收合格之日起计算。单位工程先于全部工程进行验收，单位工程缺陷责任期自单位工程验收合格之日起算。</w:t>
      </w:r>
    </w:p>
    <w:p w14:paraId="5418B20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缺陷责任期满之日起</w:t>
      </w:r>
      <w:r>
        <w:rPr>
          <w:rFonts w:hint="eastAsia" w:ascii="宋体" w:hAnsi="宋体" w:eastAsia="宋体"/>
          <w:color w:val="auto"/>
          <w:szCs w:val="21"/>
          <w:highlight w:val="none"/>
          <w:u w:val="single"/>
        </w:rPr>
        <w:t>14</w:t>
      </w:r>
      <w:r>
        <w:rPr>
          <w:rFonts w:hint="eastAsia" w:ascii="宋体" w:hAnsi="宋体" w:eastAsia="宋体"/>
          <w:color w:val="auto"/>
          <w:szCs w:val="21"/>
          <w:highlight w:val="none"/>
        </w:rPr>
        <w:t>天（按合同约定期限），发包人应退还剩余的工程质量保修金。</w:t>
      </w:r>
    </w:p>
    <w:p w14:paraId="527336A6">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四、质量保修保质责任</w:t>
      </w:r>
    </w:p>
    <w:p w14:paraId="2904524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1.属于保修范围和内容的项目，承包人应在接到修理通知之日后2天内派人修理。承包人不在约定期限内派人修理，发包人可委托其他人员修理，保修费用从工程质量保修金内扣除。</w:t>
      </w:r>
    </w:p>
    <w:p w14:paraId="25D61F3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2.发生须紧急抢修事故的，承包人接到事故通知后，应立即到达事故现场抢修。非承包人施工质量引起的事故，抢修费用由发包人承担。</w:t>
      </w:r>
    </w:p>
    <w:p w14:paraId="2277CF7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在保修期内，如发生涉及结构安全的质量问题，发包人和承包人应当立即向当地建设行政主管部门报告，并采取安全防范措施，由原设计单位或具有相应资质等级的设计单位提出保修方案，承包人负责实施保修。因承包人原因致使工程在合理使用期限内造成人身和财产损害的，承包人应承担损害赔偿责任。</w:t>
      </w:r>
    </w:p>
    <w:p w14:paraId="695E6C8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4.保修完成后，由发包人组织有关单位人员验收。</w:t>
      </w:r>
    </w:p>
    <w:p w14:paraId="6675891F">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五、其他</w:t>
      </w:r>
    </w:p>
    <w:p w14:paraId="461A588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双方约定的其他工程质量保修事项：</w:t>
      </w:r>
    </w:p>
    <w:p w14:paraId="7BC427C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本工程质量保修书作为施工合同附件，由施工合同发包人和承包人双方共同签署。</w:t>
      </w:r>
    </w:p>
    <w:p w14:paraId="2F382371">
      <w:pPr>
        <w:shd w:val="clear"/>
        <w:spacing w:line="360" w:lineRule="auto"/>
        <w:ind w:firstLine="420" w:firstLineChars="200"/>
        <w:rPr>
          <w:rFonts w:ascii="宋体" w:hAnsi="宋体" w:eastAsia="宋体"/>
          <w:color w:val="auto"/>
          <w:szCs w:val="21"/>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02F64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17B4679E">
            <w:pPr>
              <w:shd w:val="clea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发包人（公章）：广西大学</w:t>
            </w:r>
          </w:p>
        </w:tc>
        <w:tc>
          <w:tcPr>
            <w:tcW w:w="4672" w:type="dxa"/>
          </w:tcPr>
          <w:p w14:paraId="7EF7C966">
            <w:pPr>
              <w:shd w:val="clea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承包人（公章）：</w:t>
            </w:r>
          </w:p>
        </w:tc>
      </w:tr>
      <w:tr w14:paraId="7B33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3CF4596F">
            <w:pPr>
              <w:shd w:val="clea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法定代表人（签字或盖章）：</w:t>
            </w:r>
          </w:p>
        </w:tc>
        <w:tc>
          <w:tcPr>
            <w:tcW w:w="4672" w:type="dxa"/>
          </w:tcPr>
          <w:p w14:paraId="0517C029">
            <w:pPr>
              <w:shd w:val="clea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法定代表人（签字或盖章）：</w:t>
            </w:r>
          </w:p>
        </w:tc>
      </w:tr>
      <w:tr w14:paraId="3A70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2"/>
          </w:tcPr>
          <w:p w14:paraId="064C5BF8">
            <w:pPr>
              <w:shd w:val="clear"/>
              <w:spacing w:line="360" w:lineRule="auto"/>
              <w:jc w:val="center"/>
              <w:rPr>
                <w:rFonts w:ascii="宋体" w:hAnsi="宋体" w:eastAsia="宋体"/>
                <w:color w:val="auto"/>
                <w:szCs w:val="21"/>
                <w:highlight w:val="none"/>
              </w:rPr>
            </w:pPr>
            <w:r>
              <w:rPr>
                <w:rFonts w:ascii="宋体" w:hAnsi="宋体" w:eastAsia="宋体"/>
                <w:color w:val="auto"/>
                <w:szCs w:val="21"/>
                <w:highlight w:val="none"/>
              </w:rPr>
              <w:t>________</w:t>
            </w:r>
            <w:r>
              <w:rPr>
                <w:rFonts w:hint="eastAsia" w:ascii="宋体" w:hAnsi="宋体" w:eastAsia="宋体"/>
                <w:color w:val="auto"/>
                <w:szCs w:val="21"/>
                <w:highlight w:val="none"/>
              </w:rPr>
              <w:t>年</w:t>
            </w:r>
            <w:r>
              <w:rPr>
                <w:rFonts w:ascii="宋体" w:hAnsi="宋体" w:eastAsia="宋体"/>
                <w:color w:val="auto"/>
                <w:szCs w:val="21"/>
                <w:highlight w:val="none"/>
              </w:rPr>
              <w:t>________</w:t>
            </w:r>
            <w:r>
              <w:rPr>
                <w:rFonts w:hint="eastAsia" w:ascii="宋体" w:hAnsi="宋体" w:eastAsia="宋体"/>
                <w:color w:val="auto"/>
                <w:szCs w:val="21"/>
                <w:highlight w:val="none"/>
              </w:rPr>
              <w:t>月</w:t>
            </w:r>
            <w:r>
              <w:rPr>
                <w:rFonts w:ascii="宋体" w:hAnsi="宋体" w:eastAsia="宋体"/>
                <w:color w:val="auto"/>
                <w:szCs w:val="21"/>
                <w:highlight w:val="none"/>
              </w:rPr>
              <w:t>________</w:t>
            </w:r>
            <w:r>
              <w:rPr>
                <w:rFonts w:hint="eastAsia" w:ascii="宋体" w:hAnsi="宋体" w:eastAsia="宋体"/>
                <w:color w:val="auto"/>
                <w:szCs w:val="21"/>
                <w:highlight w:val="none"/>
              </w:rPr>
              <w:t>日</w:t>
            </w:r>
          </w:p>
        </w:tc>
      </w:tr>
    </w:tbl>
    <w:p w14:paraId="1C160D59">
      <w:pPr>
        <w:shd w:val="clear"/>
        <w:spacing w:line="360" w:lineRule="auto"/>
        <w:jc w:val="center"/>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150ACD4D">
      <w:pPr>
        <w:pStyle w:val="4"/>
        <w:shd w:val="clear"/>
        <w:jc w:val="left"/>
        <w:rPr>
          <w:rFonts w:ascii="宋体" w:hAnsi="宋体" w:eastAsia="宋体"/>
          <w:color w:val="auto"/>
          <w:sz w:val="28"/>
          <w:szCs w:val="28"/>
          <w:highlight w:val="none"/>
        </w:rPr>
      </w:pPr>
      <w:bookmarkStart w:id="148" w:name="_Toc195459494"/>
      <w:bookmarkStart w:id="149" w:name="_Toc197530169"/>
      <w:r>
        <w:rPr>
          <w:rFonts w:hint="eastAsia" w:ascii="宋体" w:hAnsi="宋体" w:eastAsia="宋体"/>
          <w:color w:val="auto"/>
          <w:sz w:val="28"/>
          <w:szCs w:val="28"/>
          <w:highlight w:val="none"/>
        </w:rPr>
        <w:t>附件2：安全生产合同</w:t>
      </w:r>
      <w:bookmarkEnd w:id="148"/>
      <w:bookmarkEnd w:id="149"/>
    </w:p>
    <w:p w14:paraId="5A72BEC4">
      <w:pPr>
        <w:shd w:val="clea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安全生产合同</w:t>
      </w:r>
    </w:p>
    <w:p w14:paraId="7F0D3D1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为在</w:t>
      </w:r>
      <w:r>
        <w:rPr>
          <w:rFonts w:ascii="宋体" w:hAnsi="宋体" w:eastAsia="宋体"/>
          <w:color w:val="auto"/>
          <w:szCs w:val="21"/>
          <w:highlight w:val="none"/>
        </w:rPr>
        <w:t>________</w:t>
      </w:r>
      <w:r>
        <w:rPr>
          <w:rFonts w:hint="eastAsia" w:ascii="宋体" w:hAnsi="宋体" w:eastAsia="宋体"/>
          <w:color w:val="auto"/>
          <w:szCs w:val="21"/>
          <w:highlight w:val="none"/>
        </w:rPr>
        <w:t>工程施工合同的实施过程中创造安全、高效的施工环境，切实做好本项目的安全管理工作，本项目发包人</w:t>
      </w:r>
      <w:r>
        <w:rPr>
          <w:rFonts w:hint="eastAsia" w:ascii="宋体" w:hAnsi="宋体" w:eastAsia="宋体"/>
          <w:color w:val="auto"/>
          <w:szCs w:val="21"/>
          <w:highlight w:val="none"/>
          <w:u w:val="single"/>
        </w:rPr>
        <w:t>广西大学</w:t>
      </w:r>
      <w:r>
        <w:rPr>
          <w:rFonts w:hint="eastAsia" w:ascii="宋体" w:hAnsi="宋体" w:eastAsia="宋体"/>
          <w:color w:val="auto"/>
          <w:szCs w:val="21"/>
          <w:highlight w:val="none"/>
        </w:rPr>
        <w:t>（以下简称“甲方”）与承包人</w:t>
      </w:r>
      <w:r>
        <w:rPr>
          <w:rFonts w:ascii="宋体" w:hAnsi="宋体" w:eastAsia="宋体"/>
          <w:color w:val="auto"/>
          <w:szCs w:val="21"/>
          <w:highlight w:val="none"/>
        </w:rPr>
        <w:t>________</w:t>
      </w:r>
      <w:r>
        <w:rPr>
          <w:rFonts w:hint="eastAsia" w:ascii="宋体" w:hAnsi="宋体" w:eastAsia="宋体"/>
          <w:color w:val="auto"/>
          <w:szCs w:val="21"/>
          <w:highlight w:val="none"/>
        </w:rPr>
        <w:t>（以下简称“乙方”）特此签订安全生产合同：</w:t>
      </w:r>
    </w:p>
    <w:p w14:paraId="39ED9E08">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一、甲方职责</w:t>
      </w:r>
    </w:p>
    <w:p w14:paraId="6BD46A5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1.严格遵守国家有关安全生产的法律法规，认真执行工程承包合同中的有关安全要求。</w:t>
      </w:r>
    </w:p>
    <w:p w14:paraId="4F00E98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2.按照“安全第一、预防为主”和坚持“管生产必须管安全”的原则进行安全生产管理，做到生产与安全工作同时计划、布置、检查、总结和评比。</w:t>
      </w:r>
    </w:p>
    <w:p w14:paraId="710C543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3.重要的安全设施必须坚持与主体工程“三同时”的原则，即：同时设计、审批，同时施工，同时验收，投入使用。</w:t>
      </w:r>
    </w:p>
    <w:p w14:paraId="01085A5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4.定期召开安全生产调度会，及时传达中央及地方有关安全生产的精神。</w:t>
      </w:r>
    </w:p>
    <w:p w14:paraId="387F703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5.组织对乙方施工现场安全生产检查，监督乙方及时处理发现的各种安全隐患。</w:t>
      </w:r>
    </w:p>
    <w:p w14:paraId="0C018E76">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二、乙方职责</w:t>
      </w:r>
    </w:p>
    <w:p w14:paraId="32C2E99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1.严格遵守国家有关安全生产的法律法规及建筑工程有关安全生产的规定，认真执行工程承包合同中的有关安全要求。</w:t>
      </w:r>
    </w:p>
    <w:p w14:paraId="7A87D31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47BB058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6CCF1D5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4.乙方在任何时候都应采取各种合理的预防措施，防止其员工发生任何违法、违禁、暴力或妨碍治安的行为。</w:t>
      </w:r>
    </w:p>
    <w:p w14:paraId="60A6BAD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14:paraId="775B020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796AAA2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7.操作人员上岗，必须按规定穿戴防护用品。项目经理和安全检查员应随时检查劳动防护用品的穿戴情况，不按规定穿戴防护用品的人员不得上岗。</w:t>
      </w:r>
    </w:p>
    <w:p w14:paraId="0C0E76B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8.所有施工机械设备和高空作业的设备均应定期检查，并有安全员的签字记录，保证其经常处于完好状态；不合格的机具、设备和劳动保护用品严禁使用。</w:t>
      </w:r>
    </w:p>
    <w:p w14:paraId="21ECBDD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9.施工中采用新技术、新工艺、新设备、新材料时，必须制定相应的安全技术措施，施工现场必须具有相关的安全标志牌。</w:t>
      </w:r>
    </w:p>
    <w:p w14:paraId="123AE06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14:paraId="77BEC0D4">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三、违约责任</w:t>
      </w:r>
    </w:p>
    <w:p w14:paraId="6BF86BD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甲方或乙方违反安全生产合同约定造成安全事故的，应按照法律、法规、规章的规定承担相应法律责任。</w:t>
      </w:r>
    </w:p>
    <w:p w14:paraId="344D12D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本合同作为主合同附件，正本和副本份数与本合同专用条款第24.1条的约定相同。由双方法定代表人或其授权的代理人签署与加盖公章后生效，全部工程竣工验收后失效。</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2"/>
        <w:gridCol w:w="4672"/>
      </w:tblGrid>
      <w:tr w14:paraId="6E1B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0BD944FC">
            <w:pPr>
              <w:shd w:val="clea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发包人（公章）：广西大学</w:t>
            </w:r>
          </w:p>
        </w:tc>
        <w:tc>
          <w:tcPr>
            <w:tcW w:w="4672" w:type="dxa"/>
          </w:tcPr>
          <w:p w14:paraId="293840D4">
            <w:pPr>
              <w:shd w:val="clea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承包人（公章）：</w:t>
            </w:r>
          </w:p>
        </w:tc>
      </w:tr>
      <w:tr w14:paraId="5D13A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3C3620C5">
            <w:pPr>
              <w:shd w:val="clea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法定代表人（签字或盖章）：</w:t>
            </w:r>
          </w:p>
        </w:tc>
        <w:tc>
          <w:tcPr>
            <w:tcW w:w="4672" w:type="dxa"/>
          </w:tcPr>
          <w:p w14:paraId="0393EDBA">
            <w:pPr>
              <w:shd w:val="clear"/>
              <w:spacing w:line="360" w:lineRule="auto"/>
              <w:jc w:val="left"/>
              <w:rPr>
                <w:rFonts w:ascii="宋体" w:hAnsi="宋体" w:eastAsia="宋体"/>
                <w:color w:val="auto"/>
                <w:szCs w:val="21"/>
                <w:highlight w:val="none"/>
              </w:rPr>
            </w:pPr>
            <w:r>
              <w:rPr>
                <w:rFonts w:hint="eastAsia" w:ascii="宋体" w:hAnsi="宋体" w:eastAsia="宋体"/>
                <w:color w:val="auto"/>
                <w:szCs w:val="21"/>
                <w:highlight w:val="none"/>
              </w:rPr>
              <w:t>法定代表人（签字或盖章）：</w:t>
            </w:r>
          </w:p>
        </w:tc>
      </w:tr>
      <w:tr w14:paraId="5FF88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4" w:type="dxa"/>
            <w:gridSpan w:val="2"/>
          </w:tcPr>
          <w:p w14:paraId="56463F55">
            <w:pPr>
              <w:shd w:val="clear"/>
              <w:spacing w:line="360" w:lineRule="auto"/>
              <w:jc w:val="center"/>
              <w:rPr>
                <w:rFonts w:ascii="宋体" w:hAnsi="宋体" w:eastAsia="宋体"/>
                <w:color w:val="auto"/>
                <w:szCs w:val="21"/>
                <w:highlight w:val="none"/>
              </w:rPr>
            </w:pPr>
            <w:r>
              <w:rPr>
                <w:rFonts w:ascii="宋体" w:hAnsi="宋体" w:eastAsia="宋体"/>
                <w:color w:val="auto"/>
                <w:szCs w:val="21"/>
                <w:highlight w:val="none"/>
              </w:rPr>
              <w:t>________</w:t>
            </w:r>
            <w:r>
              <w:rPr>
                <w:rFonts w:hint="eastAsia" w:ascii="宋体" w:hAnsi="宋体" w:eastAsia="宋体"/>
                <w:color w:val="auto"/>
                <w:szCs w:val="21"/>
                <w:highlight w:val="none"/>
              </w:rPr>
              <w:t>年</w:t>
            </w:r>
            <w:r>
              <w:rPr>
                <w:rFonts w:ascii="宋体" w:hAnsi="宋体" w:eastAsia="宋体"/>
                <w:color w:val="auto"/>
                <w:szCs w:val="21"/>
                <w:highlight w:val="none"/>
              </w:rPr>
              <w:t>________</w:t>
            </w:r>
            <w:r>
              <w:rPr>
                <w:rFonts w:hint="eastAsia" w:ascii="宋体" w:hAnsi="宋体" w:eastAsia="宋体"/>
                <w:color w:val="auto"/>
                <w:szCs w:val="21"/>
                <w:highlight w:val="none"/>
              </w:rPr>
              <w:t>月</w:t>
            </w:r>
            <w:r>
              <w:rPr>
                <w:rFonts w:ascii="宋体" w:hAnsi="宋体" w:eastAsia="宋体"/>
                <w:color w:val="auto"/>
                <w:szCs w:val="21"/>
                <w:highlight w:val="none"/>
              </w:rPr>
              <w:t>________</w:t>
            </w:r>
            <w:r>
              <w:rPr>
                <w:rFonts w:hint="eastAsia" w:ascii="宋体" w:hAnsi="宋体" w:eastAsia="宋体"/>
                <w:color w:val="auto"/>
                <w:szCs w:val="21"/>
                <w:highlight w:val="none"/>
              </w:rPr>
              <w:t>日</w:t>
            </w:r>
          </w:p>
        </w:tc>
      </w:tr>
    </w:tbl>
    <w:p w14:paraId="5CA41F85">
      <w:pPr>
        <w:shd w:val="clea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1F5A1A5E">
      <w:pPr>
        <w:pStyle w:val="4"/>
        <w:shd w:val="clear"/>
        <w:jc w:val="left"/>
        <w:rPr>
          <w:rFonts w:ascii="宋体" w:hAnsi="宋体" w:eastAsia="宋体"/>
          <w:color w:val="auto"/>
          <w:sz w:val="28"/>
          <w:szCs w:val="28"/>
          <w:highlight w:val="none"/>
        </w:rPr>
      </w:pPr>
      <w:bookmarkStart w:id="150" w:name="_Toc197530170"/>
      <w:bookmarkStart w:id="151" w:name="_Toc195459495"/>
      <w:r>
        <w:rPr>
          <w:rFonts w:hint="eastAsia" w:ascii="宋体" w:hAnsi="宋体" w:eastAsia="宋体"/>
          <w:color w:val="auto"/>
          <w:sz w:val="28"/>
          <w:szCs w:val="28"/>
          <w:highlight w:val="none"/>
        </w:rPr>
        <w:t>附件3：发包人施工管理要求</w:t>
      </w:r>
      <w:bookmarkEnd w:id="150"/>
      <w:bookmarkEnd w:id="151"/>
    </w:p>
    <w:p w14:paraId="5EB254F3">
      <w:pPr>
        <w:shd w:val="clea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发包人施工管理要求</w:t>
      </w:r>
    </w:p>
    <w:p w14:paraId="7A71CF15">
      <w:pPr>
        <w:shd w:val="clear"/>
        <w:spacing w:line="360" w:lineRule="auto"/>
        <w:ind w:firstLine="420" w:firstLineChars="200"/>
        <w:rPr>
          <w:rFonts w:ascii="宋体" w:hAnsi="宋体" w:eastAsia="宋体"/>
          <w:color w:val="auto"/>
          <w:szCs w:val="21"/>
          <w:highlight w:val="none"/>
        </w:rPr>
      </w:pPr>
    </w:p>
    <w:p w14:paraId="7B224C8A">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一、安全、文明施工及环境保护措施</w:t>
      </w:r>
    </w:p>
    <w:p w14:paraId="6DDF4A5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承包人应该按照国家、南宁市及学校有关安全生产的要求，做好安全生产保证措施、特别安全生产事项、治安保卫、文明施工、紧急情况处理、事故处理、安全生产责任、职业健康、环境保护等工作。</w:t>
      </w:r>
    </w:p>
    <w:p w14:paraId="2A3396FE">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二、承包人项目经理（或项目负责人）到位情况、业务水平</w:t>
      </w:r>
    </w:p>
    <w:p w14:paraId="1834485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（一）要求项目经理常驻现场管理，具备较强的责任心，良好的沟通能力；具备较强的专业技术水平，能及时发现施工问题，并提出较好的解决方案；配合发包人管理并办理相关手续。</w:t>
      </w:r>
    </w:p>
    <w:p w14:paraId="28C8290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（二）承包人项目经理负责与发包人对接所有事宜，承包人未经发包人同意，不得调换项目经理。</w:t>
      </w:r>
    </w:p>
    <w:p w14:paraId="21DB5301">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三、控制工程质量的检测与保证措施</w:t>
      </w:r>
    </w:p>
    <w:p w14:paraId="760C163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承包人工程质量标准必须符合现行国家有关工程质量验收规范和标准的要求，有关工程质量的特殊标准或要求应符合专用合同条款约定。</w:t>
      </w:r>
    </w:p>
    <w:p w14:paraId="48BC44EB">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四、工程感观质量</w:t>
      </w:r>
    </w:p>
    <w:p w14:paraId="79ACD39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承包人应通过观察和必要的测量，对工程外在的布局、表面、色泽、整体协调性、局部做法以及使用的方便性等的质量是否符合发包人要求。</w:t>
      </w:r>
    </w:p>
    <w:p w14:paraId="763E6175">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五、施工进度计划及保证措施（合同工期）</w:t>
      </w:r>
    </w:p>
    <w:p w14:paraId="522DAD6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除了按照合同约定的可以顺延的工期以外，承包人应该按期合同工期竣工验收。</w:t>
      </w:r>
    </w:p>
    <w:p w14:paraId="3D632C67">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六、主材及设备进场</w:t>
      </w:r>
    </w:p>
    <w:p w14:paraId="20AB444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（一）承包人采购的材料与设备应按照施工说明和设计有关标准要求采购，严禁以次充好；</w:t>
      </w:r>
    </w:p>
    <w:p w14:paraId="6567685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（二）主要材料及设备进场时，承包人应将其规格、品牌、合格证书等质保资料以及进场照片一并提交发包人确认</w:t>
      </w:r>
    </w:p>
    <w:p w14:paraId="4B1A471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（三）所有主料与设备必须经监理、发包人确认后方可安装。</w:t>
      </w:r>
    </w:p>
    <w:p w14:paraId="4A271341">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七、工程变更</w:t>
      </w:r>
    </w:p>
    <w:p w14:paraId="581A77C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（一）工程变更必须有发包人签发的变更通知单，否则发包人对该部分工程不予确认。</w:t>
      </w:r>
    </w:p>
    <w:p w14:paraId="0A72255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（二）承包人接到变更通知单后应立即实施，涉及工期顺延的应及时与发包人签证确认。</w:t>
      </w:r>
    </w:p>
    <w:p w14:paraId="580EA9A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（三）合同约定支付变更部分进度款的，承包人应及时编制变更预算报发包人审核，经发包人审核的变更预算仅作为支付变更部分工程进度款的依据，不作为结算依据。</w:t>
      </w:r>
    </w:p>
    <w:p w14:paraId="459071D2">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八、工程签证</w:t>
      </w:r>
    </w:p>
    <w:p w14:paraId="516B578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（一）工程签证必须由承包人填写签证单报发包人签认，签证单应写清楚签证原因、签证内容，因承包人填报签证不清楚所造成的一切后果由承包人负责。</w:t>
      </w:r>
    </w:p>
    <w:p w14:paraId="1E0AF3B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1.签证涉及工程量的，要有详细的图纸尺寸、计算式、说明及现场照片等资料，以满足在结算时能够准确的计算工程量和造价；</w:t>
      </w:r>
    </w:p>
    <w:p w14:paraId="2534D3D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2.发生零星用工或无法准确套用定额的用工，经发包人同意按工日数计算的，必须描述清楚事实、所需的工日数；</w:t>
      </w:r>
    </w:p>
    <w:p w14:paraId="76AF3AC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3.签机械台班的，要写明所用机械的名称、功率、斗容量及具体用时；</w:t>
      </w:r>
    </w:p>
    <w:p w14:paraId="3B6E475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4.发生二次搬运的要写清事由、运距；</w:t>
      </w:r>
    </w:p>
    <w:p w14:paraId="10B4DD2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5.工期签证要写清楚符合合同顺延工期条款约定的事实以及计算顺延天数的依据，并附支撑材料。</w:t>
      </w:r>
    </w:p>
    <w:p w14:paraId="0595129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（二）承包人应在签证事项发生后两周内及时填报签证单，承包人在递交竣工验收报告后填报签证的发包人不予签认，因承包人填报签证单不及时所造成的一切后果由承包人负责。</w:t>
      </w:r>
    </w:p>
    <w:p w14:paraId="42F7C4A9">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九、工程量收方</w:t>
      </w:r>
    </w:p>
    <w:p w14:paraId="3640670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工程变更、签证时不能确认工程量，或是不能以竣工图表示，需要现场收方确认工程量才能结算的，承包人应填写现场工程量收方单报发包人确认。因承包人填报工程量收方单不清楚、不详实所造成的一切后果由承包人负责。</w:t>
      </w:r>
    </w:p>
    <w:p w14:paraId="5FBC628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1.承包人需对现场收方工程量逐条列出，做到内容详实，条理清晰，尺寸准确，有必要的方位、部位等地点描述及每一单项的详细计算式及现场照片等资料；</w:t>
      </w:r>
    </w:p>
    <w:p w14:paraId="591C0A9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2.涉及隐蔽工程的现场收方，除以上要求外，承包人还需提交工程隐蔽前后的不少于10张且能清晰反映实际情况的纸质相片。</w:t>
      </w:r>
    </w:p>
    <w:p w14:paraId="23CE216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（二）承包人应在工程量收方事项发生后两周内及时填报工程量收方单，承包人在递交竣工验收报告后填报收方单的发包人不予签认，因承包人填报收方单不及时所造成的一切后果由承包人负责。</w:t>
      </w:r>
    </w:p>
    <w:p w14:paraId="35E39C19">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十、竣工结算</w:t>
      </w:r>
    </w:p>
    <w:p w14:paraId="77E8295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（一）承包人要对报送的结算资料的完整性、真实性、合法性负责，并按规范要求整理资料，因结算资料不完整、不真实、不合法所引起的一切责任及后果由承包人负责。</w:t>
      </w:r>
    </w:p>
    <w:p w14:paraId="2087130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发包人对结算资料中不合格的变更签证、收方等资料，如内容不明确、签字单位不齐全等情形按无效资料处理，不予计算相应造价。承包人有擅自篡改、伪造结算资料有关数据信息的，一经查实按篡改、伪造部分对应造价的三倍扣除承包人违约金。</w:t>
      </w:r>
    </w:p>
    <w:p w14:paraId="78F0AE8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（三）承包人应在工程竣工验收合格后3个月内，一次性递交结算书及全部结算资料给发包人，逾期未提交，每延期一天，按工程结算款的万分之 0.5 扣除违约金，违约金最多不超过合同价的 5 %，由发包人从承包人工程结算款中直接扣除，发包人在竣工结算审核过程中，承包人不得再补充任何项目资料。如有特殊情况，项目中确实存在因缺少或视同无效的计价依据（如收方、签证材料等）涉及金额超过结算送审金额3%且超过3万元（含）的，经发包人同意后，承包人将一次性在对数结束后14个工作日内补充要求提供的书面材料至发包人，逾期不提交的，则自动放弃补送机会，并视为同意前期对数的结算结果。但承包人补充材料的行为有可能会被发包人在考核中计为“较差”。因报送结算资料不完整并进行事后补充，被发包人列入“黑名单”的，其责任及后果由承包人承担。</w:t>
      </w:r>
    </w:p>
    <w:p w14:paraId="4465695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审核过程中发现送审的竣工结算资料中已有对应计价依据（含竣工图、收方或签证材料等），但送审工程量少计或漏计的，经审计部门同意，承包人可以补充报送该部分少计或漏计工程量的结算（说明）书，并同意按补充报送结算价的10%支付违约金，补充报送结算价送审误差率偏高的，按合同有关约定支付送审误差违约金。</w:t>
      </w:r>
    </w:p>
    <w:p w14:paraId="0186C38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（四）承包人应积极主动配合发包人勘察现场及开展其他相关工作。</w:t>
      </w:r>
    </w:p>
    <w:p w14:paraId="2A07461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承包人应在项目资料送审后10个工作日内作好相关准备工作，配合发包人现场实地核查，未能按时核查的，发包人有权中止结算审核工作，并退回所有项目结算资料，自停止之日起6个月内，不再安排对本工程项目的审核；</w:t>
      </w:r>
    </w:p>
    <w:p w14:paraId="7417CCF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承包人收到发包人结算审核初稿后6个工作日内，赴现场配合核对，未能按时对数的，每延误一天，发包人按合同金额的万分之伍扣除违约金，但累计不超过合同金额的3%，延误超过60天的，发包人有权中止结算审核工作，并退回所有项目结算资料，自中止之日起6个月内不再安排对本工程项目的审核。对现场核对后经过双方一致确认的内容，承包人在后期不再提出异议；</w:t>
      </w:r>
    </w:p>
    <w:p w14:paraId="501F46C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3.承包人在审核过程中需补充资料的，按第三条的要求；</w:t>
      </w:r>
    </w:p>
    <w:p w14:paraId="5AEB527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承包人在收到发包人的结算审核二稿后6个工作日内，应及时反馈意见，未能按时反馈的，每延误1天，发包人按合同金额的万分之伍扣除违约金，但累计不超过合同金额的3%，延误超过60天的，发包人则视为承包人同意审核结果，发包人出具正式结算审核报告，审核工作完结。</w:t>
      </w:r>
    </w:p>
    <w:p w14:paraId="10C7FAC6">
      <w:pPr>
        <w:shd w:val="clea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62EC3959">
      <w:pPr>
        <w:pStyle w:val="4"/>
        <w:shd w:val="clear"/>
        <w:jc w:val="left"/>
        <w:rPr>
          <w:rFonts w:ascii="宋体" w:hAnsi="宋体" w:eastAsia="宋体"/>
          <w:color w:val="auto"/>
          <w:sz w:val="28"/>
          <w:szCs w:val="28"/>
          <w:highlight w:val="none"/>
        </w:rPr>
      </w:pPr>
      <w:bookmarkStart w:id="152" w:name="_Toc195459496"/>
      <w:bookmarkStart w:id="153" w:name="_Toc197530171"/>
      <w:r>
        <w:rPr>
          <w:rFonts w:hint="eastAsia" w:ascii="宋体" w:hAnsi="宋体" w:eastAsia="宋体"/>
          <w:color w:val="auto"/>
          <w:sz w:val="28"/>
          <w:szCs w:val="28"/>
          <w:highlight w:val="none"/>
        </w:rPr>
        <w:t>附件4：施工单位项目考核表</w:t>
      </w:r>
      <w:bookmarkEnd w:id="152"/>
      <w:bookmarkEnd w:id="153"/>
    </w:p>
    <w:p w14:paraId="1B60E6BF">
      <w:pPr>
        <w:shd w:val="clea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施工单位项目考核表</w:t>
      </w:r>
    </w:p>
    <w:p w14:paraId="6F80F7F0">
      <w:pPr>
        <w:shd w:val="clear"/>
        <w:spacing w:line="360" w:lineRule="auto"/>
        <w:ind w:firstLine="420" w:firstLineChars="200"/>
        <w:rPr>
          <w:rFonts w:ascii="宋体" w:hAnsi="宋体" w:eastAsia="宋体"/>
          <w:color w:val="auto"/>
          <w:szCs w:val="21"/>
          <w:highlight w:val="none"/>
        </w:rPr>
      </w:pPr>
    </w:p>
    <w:p w14:paraId="41B4A82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项目名称：</w:t>
      </w:r>
      <w:r>
        <w:rPr>
          <w:rFonts w:ascii="宋体" w:hAnsi="宋体" w:eastAsia="宋体"/>
          <w:color w:val="auto"/>
          <w:szCs w:val="21"/>
          <w:highlight w:val="none"/>
        </w:rPr>
        <w:t>________</w:t>
      </w:r>
    </w:p>
    <w:p w14:paraId="4AA2A9D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施工单位（承包人）：</w:t>
      </w:r>
      <w:r>
        <w:rPr>
          <w:rFonts w:ascii="宋体" w:hAnsi="宋体" w:eastAsia="宋体"/>
          <w:color w:val="auto"/>
          <w:szCs w:val="21"/>
          <w:highlight w:val="none"/>
        </w:rPr>
        <w:t>________</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843"/>
        <w:gridCol w:w="4253"/>
        <w:gridCol w:w="708"/>
        <w:gridCol w:w="709"/>
        <w:gridCol w:w="702"/>
      </w:tblGrid>
      <w:tr w14:paraId="645F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14:paraId="5D5B861C">
            <w:pPr>
              <w:shd w:val="clea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考核阶段</w:t>
            </w:r>
          </w:p>
        </w:tc>
        <w:tc>
          <w:tcPr>
            <w:tcW w:w="1843" w:type="dxa"/>
            <w:vAlign w:val="center"/>
          </w:tcPr>
          <w:p w14:paraId="1B34BF8F">
            <w:pPr>
              <w:shd w:val="clea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评价项目</w:t>
            </w:r>
          </w:p>
        </w:tc>
        <w:tc>
          <w:tcPr>
            <w:tcW w:w="4253" w:type="dxa"/>
            <w:vAlign w:val="center"/>
          </w:tcPr>
          <w:p w14:paraId="51A58D31">
            <w:pPr>
              <w:shd w:val="clea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考核内容</w:t>
            </w:r>
          </w:p>
        </w:tc>
        <w:tc>
          <w:tcPr>
            <w:tcW w:w="708" w:type="dxa"/>
            <w:vAlign w:val="center"/>
          </w:tcPr>
          <w:p w14:paraId="57266C23">
            <w:pPr>
              <w:shd w:val="clea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良好</w:t>
            </w:r>
          </w:p>
        </w:tc>
        <w:tc>
          <w:tcPr>
            <w:tcW w:w="709" w:type="dxa"/>
            <w:vAlign w:val="center"/>
          </w:tcPr>
          <w:p w14:paraId="780F64A9">
            <w:pPr>
              <w:shd w:val="clea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一般</w:t>
            </w:r>
          </w:p>
        </w:tc>
        <w:tc>
          <w:tcPr>
            <w:tcW w:w="702" w:type="dxa"/>
            <w:vAlign w:val="center"/>
          </w:tcPr>
          <w:p w14:paraId="0195A175">
            <w:pPr>
              <w:shd w:val="clea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较差</w:t>
            </w:r>
          </w:p>
        </w:tc>
      </w:tr>
      <w:tr w14:paraId="437B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14:paraId="46AD0DD7">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施工阶段</w:t>
            </w:r>
          </w:p>
        </w:tc>
        <w:tc>
          <w:tcPr>
            <w:tcW w:w="1843" w:type="dxa"/>
            <w:vAlign w:val="center"/>
          </w:tcPr>
          <w:p w14:paraId="77F8CE50">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*安全、文明施工及环境保护措施</w:t>
            </w:r>
          </w:p>
        </w:tc>
        <w:tc>
          <w:tcPr>
            <w:tcW w:w="4253" w:type="dxa"/>
            <w:vAlign w:val="center"/>
          </w:tcPr>
          <w:p w14:paraId="1F0FD1C5">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按合同附件3发包人施工管理相关要求</w:t>
            </w:r>
          </w:p>
        </w:tc>
        <w:tc>
          <w:tcPr>
            <w:tcW w:w="708" w:type="dxa"/>
            <w:vAlign w:val="center"/>
          </w:tcPr>
          <w:p w14:paraId="3CEF2C09">
            <w:pPr>
              <w:shd w:val="clear"/>
              <w:spacing w:line="360" w:lineRule="auto"/>
              <w:jc w:val="center"/>
              <w:rPr>
                <w:rFonts w:ascii="宋体" w:hAnsi="宋体" w:eastAsia="宋体"/>
                <w:color w:val="auto"/>
                <w:szCs w:val="21"/>
                <w:highlight w:val="none"/>
              </w:rPr>
            </w:pPr>
          </w:p>
        </w:tc>
        <w:tc>
          <w:tcPr>
            <w:tcW w:w="709" w:type="dxa"/>
            <w:vAlign w:val="center"/>
          </w:tcPr>
          <w:p w14:paraId="3E793B53">
            <w:pPr>
              <w:shd w:val="clear"/>
              <w:spacing w:line="360" w:lineRule="auto"/>
              <w:jc w:val="center"/>
              <w:rPr>
                <w:rFonts w:ascii="宋体" w:hAnsi="宋体" w:eastAsia="宋体"/>
                <w:color w:val="auto"/>
                <w:szCs w:val="21"/>
                <w:highlight w:val="none"/>
              </w:rPr>
            </w:pPr>
          </w:p>
        </w:tc>
        <w:tc>
          <w:tcPr>
            <w:tcW w:w="702" w:type="dxa"/>
            <w:vAlign w:val="center"/>
          </w:tcPr>
          <w:p w14:paraId="4BE5A1C3">
            <w:pPr>
              <w:shd w:val="clear"/>
              <w:spacing w:line="360" w:lineRule="auto"/>
              <w:jc w:val="center"/>
              <w:rPr>
                <w:rFonts w:ascii="宋体" w:hAnsi="宋体" w:eastAsia="宋体"/>
                <w:color w:val="auto"/>
                <w:szCs w:val="21"/>
                <w:highlight w:val="none"/>
              </w:rPr>
            </w:pPr>
          </w:p>
        </w:tc>
      </w:tr>
      <w:tr w14:paraId="7938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79041832">
            <w:pPr>
              <w:shd w:val="clear"/>
              <w:spacing w:line="360" w:lineRule="auto"/>
              <w:jc w:val="center"/>
              <w:rPr>
                <w:rFonts w:ascii="宋体" w:hAnsi="宋体" w:eastAsia="宋体"/>
                <w:color w:val="auto"/>
                <w:szCs w:val="21"/>
                <w:highlight w:val="none"/>
              </w:rPr>
            </w:pPr>
          </w:p>
        </w:tc>
        <w:tc>
          <w:tcPr>
            <w:tcW w:w="1843" w:type="dxa"/>
            <w:vAlign w:val="center"/>
          </w:tcPr>
          <w:p w14:paraId="2D2129B4">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*项目经理（或项目负责人）到位情况、业务水平</w:t>
            </w:r>
          </w:p>
        </w:tc>
        <w:tc>
          <w:tcPr>
            <w:tcW w:w="4253" w:type="dxa"/>
            <w:vAlign w:val="center"/>
          </w:tcPr>
          <w:p w14:paraId="6C49BBD3">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按合同附3发包人施工管理相关要求</w:t>
            </w:r>
          </w:p>
        </w:tc>
        <w:tc>
          <w:tcPr>
            <w:tcW w:w="708" w:type="dxa"/>
            <w:vAlign w:val="center"/>
          </w:tcPr>
          <w:p w14:paraId="63B77AE5">
            <w:pPr>
              <w:shd w:val="clear"/>
              <w:spacing w:line="360" w:lineRule="auto"/>
              <w:jc w:val="center"/>
              <w:rPr>
                <w:rFonts w:ascii="宋体" w:hAnsi="宋体" w:eastAsia="宋体"/>
                <w:color w:val="auto"/>
                <w:szCs w:val="21"/>
                <w:highlight w:val="none"/>
              </w:rPr>
            </w:pPr>
          </w:p>
        </w:tc>
        <w:tc>
          <w:tcPr>
            <w:tcW w:w="709" w:type="dxa"/>
            <w:vAlign w:val="center"/>
          </w:tcPr>
          <w:p w14:paraId="10F29D1A">
            <w:pPr>
              <w:shd w:val="clear"/>
              <w:spacing w:line="360" w:lineRule="auto"/>
              <w:jc w:val="center"/>
              <w:rPr>
                <w:rFonts w:ascii="宋体" w:hAnsi="宋体" w:eastAsia="宋体"/>
                <w:color w:val="auto"/>
                <w:szCs w:val="21"/>
                <w:highlight w:val="none"/>
              </w:rPr>
            </w:pPr>
          </w:p>
        </w:tc>
        <w:tc>
          <w:tcPr>
            <w:tcW w:w="702" w:type="dxa"/>
            <w:vAlign w:val="center"/>
          </w:tcPr>
          <w:p w14:paraId="4681B63A">
            <w:pPr>
              <w:shd w:val="clear"/>
              <w:spacing w:line="360" w:lineRule="auto"/>
              <w:jc w:val="center"/>
              <w:rPr>
                <w:rFonts w:ascii="宋体" w:hAnsi="宋体" w:eastAsia="宋体"/>
                <w:color w:val="auto"/>
                <w:szCs w:val="21"/>
                <w:highlight w:val="none"/>
              </w:rPr>
            </w:pPr>
          </w:p>
        </w:tc>
      </w:tr>
      <w:tr w14:paraId="6ECDE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0DC6038B">
            <w:pPr>
              <w:shd w:val="clear"/>
              <w:spacing w:line="360" w:lineRule="auto"/>
              <w:jc w:val="center"/>
              <w:rPr>
                <w:rFonts w:ascii="宋体" w:hAnsi="宋体" w:eastAsia="宋体"/>
                <w:color w:val="auto"/>
                <w:szCs w:val="21"/>
                <w:highlight w:val="none"/>
              </w:rPr>
            </w:pPr>
          </w:p>
        </w:tc>
        <w:tc>
          <w:tcPr>
            <w:tcW w:w="1843" w:type="dxa"/>
            <w:vAlign w:val="center"/>
          </w:tcPr>
          <w:p w14:paraId="0082AC2A">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*控制工程质量的检测与保证措施</w:t>
            </w:r>
          </w:p>
        </w:tc>
        <w:tc>
          <w:tcPr>
            <w:tcW w:w="4253" w:type="dxa"/>
            <w:vAlign w:val="center"/>
          </w:tcPr>
          <w:p w14:paraId="3013715E">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按合同附件3发包人施工管理相关要求</w:t>
            </w:r>
          </w:p>
        </w:tc>
        <w:tc>
          <w:tcPr>
            <w:tcW w:w="708" w:type="dxa"/>
            <w:vAlign w:val="center"/>
          </w:tcPr>
          <w:p w14:paraId="74F10022">
            <w:pPr>
              <w:shd w:val="clear"/>
              <w:spacing w:line="360" w:lineRule="auto"/>
              <w:jc w:val="center"/>
              <w:rPr>
                <w:rFonts w:ascii="宋体" w:hAnsi="宋体" w:eastAsia="宋体"/>
                <w:color w:val="auto"/>
                <w:szCs w:val="21"/>
                <w:highlight w:val="none"/>
              </w:rPr>
            </w:pPr>
          </w:p>
        </w:tc>
        <w:tc>
          <w:tcPr>
            <w:tcW w:w="709" w:type="dxa"/>
            <w:vAlign w:val="center"/>
          </w:tcPr>
          <w:p w14:paraId="5C9F0DA6">
            <w:pPr>
              <w:shd w:val="clear"/>
              <w:spacing w:line="360" w:lineRule="auto"/>
              <w:jc w:val="center"/>
              <w:rPr>
                <w:rFonts w:ascii="宋体" w:hAnsi="宋体" w:eastAsia="宋体"/>
                <w:color w:val="auto"/>
                <w:szCs w:val="21"/>
                <w:highlight w:val="none"/>
              </w:rPr>
            </w:pPr>
          </w:p>
        </w:tc>
        <w:tc>
          <w:tcPr>
            <w:tcW w:w="702" w:type="dxa"/>
            <w:vAlign w:val="center"/>
          </w:tcPr>
          <w:p w14:paraId="5CDB941C">
            <w:pPr>
              <w:shd w:val="clear"/>
              <w:spacing w:line="360" w:lineRule="auto"/>
              <w:jc w:val="center"/>
              <w:rPr>
                <w:rFonts w:ascii="宋体" w:hAnsi="宋体" w:eastAsia="宋体"/>
                <w:color w:val="auto"/>
                <w:szCs w:val="21"/>
                <w:highlight w:val="none"/>
              </w:rPr>
            </w:pPr>
          </w:p>
        </w:tc>
      </w:tr>
      <w:tr w14:paraId="2EC4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6CC545D0">
            <w:pPr>
              <w:shd w:val="clear"/>
              <w:spacing w:line="360" w:lineRule="auto"/>
              <w:jc w:val="center"/>
              <w:rPr>
                <w:rFonts w:ascii="宋体" w:hAnsi="宋体" w:eastAsia="宋体"/>
                <w:color w:val="auto"/>
                <w:szCs w:val="21"/>
                <w:highlight w:val="none"/>
              </w:rPr>
            </w:pPr>
          </w:p>
        </w:tc>
        <w:tc>
          <w:tcPr>
            <w:tcW w:w="1843" w:type="dxa"/>
            <w:vAlign w:val="center"/>
          </w:tcPr>
          <w:p w14:paraId="67143C9D">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*工程感观质量</w:t>
            </w:r>
          </w:p>
        </w:tc>
        <w:tc>
          <w:tcPr>
            <w:tcW w:w="4253" w:type="dxa"/>
            <w:vAlign w:val="center"/>
          </w:tcPr>
          <w:p w14:paraId="0E663D36">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按合同附件3发包人施工管理相关要求</w:t>
            </w:r>
          </w:p>
        </w:tc>
        <w:tc>
          <w:tcPr>
            <w:tcW w:w="708" w:type="dxa"/>
            <w:vAlign w:val="center"/>
          </w:tcPr>
          <w:p w14:paraId="034702DC">
            <w:pPr>
              <w:shd w:val="clear"/>
              <w:spacing w:line="360" w:lineRule="auto"/>
              <w:jc w:val="center"/>
              <w:rPr>
                <w:rFonts w:ascii="宋体" w:hAnsi="宋体" w:eastAsia="宋体"/>
                <w:color w:val="auto"/>
                <w:szCs w:val="21"/>
                <w:highlight w:val="none"/>
              </w:rPr>
            </w:pPr>
          </w:p>
        </w:tc>
        <w:tc>
          <w:tcPr>
            <w:tcW w:w="709" w:type="dxa"/>
            <w:vAlign w:val="center"/>
          </w:tcPr>
          <w:p w14:paraId="564554EA">
            <w:pPr>
              <w:shd w:val="clear"/>
              <w:spacing w:line="360" w:lineRule="auto"/>
              <w:jc w:val="center"/>
              <w:rPr>
                <w:rFonts w:ascii="宋体" w:hAnsi="宋体" w:eastAsia="宋体"/>
                <w:color w:val="auto"/>
                <w:szCs w:val="21"/>
                <w:highlight w:val="none"/>
              </w:rPr>
            </w:pPr>
          </w:p>
        </w:tc>
        <w:tc>
          <w:tcPr>
            <w:tcW w:w="702" w:type="dxa"/>
            <w:vAlign w:val="center"/>
          </w:tcPr>
          <w:p w14:paraId="3CD7682E">
            <w:pPr>
              <w:shd w:val="clear"/>
              <w:spacing w:line="360" w:lineRule="auto"/>
              <w:jc w:val="center"/>
              <w:rPr>
                <w:rFonts w:ascii="宋体" w:hAnsi="宋体" w:eastAsia="宋体"/>
                <w:color w:val="auto"/>
                <w:szCs w:val="21"/>
                <w:highlight w:val="none"/>
              </w:rPr>
            </w:pPr>
          </w:p>
        </w:tc>
      </w:tr>
      <w:tr w14:paraId="564C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45AF7248">
            <w:pPr>
              <w:shd w:val="clear"/>
              <w:spacing w:line="360" w:lineRule="auto"/>
              <w:jc w:val="center"/>
              <w:rPr>
                <w:rFonts w:ascii="宋体" w:hAnsi="宋体" w:eastAsia="宋体"/>
                <w:color w:val="auto"/>
                <w:szCs w:val="21"/>
                <w:highlight w:val="none"/>
              </w:rPr>
            </w:pPr>
          </w:p>
        </w:tc>
        <w:tc>
          <w:tcPr>
            <w:tcW w:w="1843" w:type="dxa"/>
            <w:vAlign w:val="center"/>
          </w:tcPr>
          <w:p w14:paraId="76C00839">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*施工进度计划及保证措施（合同工期）</w:t>
            </w:r>
          </w:p>
        </w:tc>
        <w:tc>
          <w:tcPr>
            <w:tcW w:w="4253" w:type="dxa"/>
            <w:vAlign w:val="center"/>
          </w:tcPr>
          <w:p w14:paraId="40086B44">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按合同附件3发包人施工管理相关要求（注：扣除承包人确认的工期顺延天数后，按期竣工为“良好”；超工期不到20天的为“一般”；超工期20天以上的为“较差”）</w:t>
            </w:r>
          </w:p>
        </w:tc>
        <w:tc>
          <w:tcPr>
            <w:tcW w:w="708" w:type="dxa"/>
            <w:vAlign w:val="center"/>
          </w:tcPr>
          <w:p w14:paraId="1E07F396">
            <w:pPr>
              <w:shd w:val="clear"/>
              <w:spacing w:line="360" w:lineRule="auto"/>
              <w:jc w:val="center"/>
              <w:rPr>
                <w:rFonts w:ascii="宋体" w:hAnsi="宋体" w:eastAsia="宋体"/>
                <w:color w:val="auto"/>
                <w:szCs w:val="21"/>
                <w:highlight w:val="none"/>
              </w:rPr>
            </w:pPr>
          </w:p>
        </w:tc>
        <w:tc>
          <w:tcPr>
            <w:tcW w:w="709" w:type="dxa"/>
            <w:vAlign w:val="center"/>
          </w:tcPr>
          <w:p w14:paraId="321879D7">
            <w:pPr>
              <w:shd w:val="clear"/>
              <w:spacing w:line="360" w:lineRule="auto"/>
              <w:jc w:val="center"/>
              <w:rPr>
                <w:rFonts w:ascii="宋体" w:hAnsi="宋体" w:eastAsia="宋体"/>
                <w:color w:val="auto"/>
                <w:szCs w:val="21"/>
                <w:highlight w:val="none"/>
              </w:rPr>
            </w:pPr>
          </w:p>
        </w:tc>
        <w:tc>
          <w:tcPr>
            <w:tcW w:w="702" w:type="dxa"/>
            <w:vAlign w:val="center"/>
          </w:tcPr>
          <w:p w14:paraId="7006F75B">
            <w:pPr>
              <w:shd w:val="clear"/>
              <w:spacing w:line="360" w:lineRule="auto"/>
              <w:jc w:val="center"/>
              <w:rPr>
                <w:rFonts w:ascii="宋体" w:hAnsi="宋体" w:eastAsia="宋体"/>
                <w:color w:val="auto"/>
                <w:szCs w:val="21"/>
                <w:highlight w:val="none"/>
              </w:rPr>
            </w:pPr>
          </w:p>
        </w:tc>
      </w:tr>
      <w:tr w14:paraId="3323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4AD1A1C6">
            <w:pPr>
              <w:shd w:val="clear"/>
              <w:spacing w:line="360" w:lineRule="auto"/>
              <w:jc w:val="center"/>
              <w:rPr>
                <w:rFonts w:ascii="宋体" w:hAnsi="宋体" w:eastAsia="宋体"/>
                <w:color w:val="auto"/>
                <w:szCs w:val="21"/>
                <w:highlight w:val="none"/>
              </w:rPr>
            </w:pPr>
          </w:p>
        </w:tc>
        <w:tc>
          <w:tcPr>
            <w:tcW w:w="1843" w:type="dxa"/>
            <w:vAlign w:val="center"/>
          </w:tcPr>
          <w:p w14:paraId="673803E4">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材料与设备</w:t>
            </w:r>
          </w:p>
        </w:tc>
        <w:tc>
          <w:tcPr>
            <w:tcW w:w="4253" w:type="dxa"/>
            <w:vAlign w:val="center"/>
          </w:tcPr>
          <w:p w14:paraId="6AFA2F4C">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按合同附件3发包人施工管理相关要求</w:t>
            </w:r>
          </w:p>
        </w:tc>
        <w:tc>
          <w:tcPr>
            <w:tcW w:w="708" w:type="dxa"/>
            <w:vAlign w:val="center"/>
          </w:tcPr>
          <w:p w14:paraId="1AF55EEA">
            <w:pPr>
              <w:shd w:val="clear"/>
              <w:spacing w:line="360" w:lineRule="auto"/>
              <w:jc w:val="center"/>
              <w:rPr>
                <w:rFonts w:ascii="宋体" w:hAnsi="宋体" w:eastAsia="宋体"/>
                <w:color w:val="auto"/>
                <w:szCs w:val="21"/>
                <w:highlight w:val="none"/>
              </w:rPr>
            </w:pPr>
          </w:p>
        </w:tc>
        <w:tc>
          <w:tcPr>
            <w:tcW w:w="709" w:type="dxa"/>
            <w:vAlign w:val="center"/>
          </w:tcPr>
          <w:p w14:paraId="5246E47D">
            <w:pPr>
              <w:shd w:val="clear"/>
              <w:spacing w:line="360" w:lineRule="auto"/>
              <w:jc w:val="center"/>
              <w:rPr>
                <w:rFonts w:ascii="宋体" w:hAnsi="宋体" w:eastAsia="宋体"/>
                <w:color w:val="auto"/>
                <w:szCs w:val="21"/>
                <w:highlight w:val="none"/>
              </w:rPr>
            </w:pPr>
          </w:p>
        </w:tc>
        <w:tc>
          <w:tcPr>
            <w:tcW w:w="702" w:type="dxa"/>
            <w:vAlign w:val="center"/>
          </w:tcPr>
          <w:p w14:paraId="04B87312">
            <w:pPr>
              <w:shd w:val="clear"/>
              <w:spacing w:line="360" w:lineRule="auto"/>
              <w:jc w:val="center"/>
              <w:rPr>
                <w:rFonts w:ascii="宋体" w:hAnsi="宋体" w:eastAsia="宋体"/>
                <w:color w:val="auto"/>
                <w:szCs w:val="21"/>
                <w:highlight w:val="none"/>
              </w:rPr>
            </w:pPr>
          </w:p>
        </w:tc>
      </w:tr>
      <w:tr w14:paraId="543A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651B9FCC">
            <w:pPr>
              <w:shd w:val="clear"/>
              <w:spacing w:line="360" w:lineRule="auto"/>
              <w:jc w:val="center"/>
              <w:rPr>
                <w:rFonts w:ascii="宋体" w:hAnsi="宋体" w:eastAsia="宋体"/>
                <w:color w:val="auto"/>
                <w:szCs w:val="21"/>
                <w:highlight w:val="none"/>
              </w:rPr>
            </w:pPr>
          </w:p>
        </w:tc>
        <w:tc>
          <w:tcPr>
            <w:tcW w:w="1843" w:type="dxa"/>
            <w:vAlign w:val="center"/>
          </w:tcPr>
          <w:p w14:paraId="6FCE5469">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工程变更</w:t>
            </w:r>
          </w:p>
        </w:tc>
        <w:tc>
          <w:tcPr>
            <w:tcW w:w="4253" w:type="dxa"/>
            <w:vAlign w:val="center"/>
          </w:tcPr>
          <w:p w14:paraId="59893149">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按合同附件3发包人施工管理相关要求</w:t>
            </w:r>
          </w:p>
        </w:tc>
        <w:tc>
          <w:tcPr>
            <w:tcW w:w="708" w:type="dxa"/>
            <w:vAlign w:val="center"/>
          </w:tcPr>
          <w:p w14:paraId="7F34A225">
            <w:pPr>
              <w:shd w:val="clear"/>
              <w:spacing w:line="360" w:lineRule="auto"/>
              <w:jc w:val="center"/>
              <w:rPr>
                <w:rFonts w:ascii="宋体" w:hAnsi="宋体" w:eastAsia="宋体"/>
                <w:color w:val="auto"/>
                <w:szCs w:val="21"/>
                <w:highlight w:val="none"/>
              </w:rPr>
            </w:pPr>
          </w:p>
        </w:tc>
        <w:tc>
          <w:tcPr>
            <w:tcW w:w="709" w:type="dxa"/>
            <w:vAlign w:val="center"/>
          </w:tcPr>
          <w:p w14:paraId="213D6379">
            <w:pPr>
              <w:shd w:val="clear"/>
              <w:spacing w:line="360" w:lineRule="auto"/>
              <w:jc w:val="center"/>
              <w:rPr>
                <w:rFonts w:ascii="宋体" w:hAnsi="宋体" w:eastAsia="宋体"/>
                <w:color w:val="auto"/>
                <w:szCs w:val="21"/>
                <w:highlight w:val="none"/>
              </w:rPr>
            </w:pPr>
          </w:p>
        </w:tc>
        <w:tc>
          <w:tcPr>
            <w:tcW w:w="702" w:type="dxa"/>
            <w:vAlign w:val="center"/>
          </w:tcPr>
          <w:p w14:paraId="4B1DE083">
            <w:pPr>
              <w:shd w:val="clear"/>
              <w:spacing w:line="360" w:lineRule="auto"/>
              <w:jc w:val="center"/>
              <w:rPr>
                <w:rFonts w:ascii="宋体" w:hAnsi="宋体" w:eastAsia="宋体"/>
                <w:color w:val="auto"/>
                <w:szCs w:val="21"/>
                <w:highlight w:val="none"/>
              </w:rPr>
            </w:pPr>
          </w:p>
        </w:tc>
      </w:tr>
      <w:tr w14:paraId="551D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73AFDDB9">
            <w:pPr>
              <w:shd w:val="clear"/>
              <w:spacing w:line="360" w:lineRule="auto"/>
              <w:jc w:val="center"/>
              <w:rPr>
                <w:rFonts w:ascii="宋体" w:hAnsi="宋体" w:eastAsia="宋体"/>
                <w:color w:val="auto"/>
                <w:szCs w:val="21"/>
                <w:highlight w:val="none"/>
              </w:rPr>
            </w:pPr>
          </w:p>
        </w:tc>
        <w:tc>
          <w:tcPr>
            <w:tcW w:w="1843" w:type="dxa"/>
            <w:vAlign w:val="center"/>
          </w:tcPr>
          <w:p w14:paraId="3CD9E81C">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工程签证</w:t>
            </w:r>
          </w:p>
        </w:tc>
        <w:tc>
          <w:tcPr>
            <w:tcW w:w="4253" w:type="dxa"/>
            <w:vAlign w:val="center"/>
          </w:tcPr>
          <w:p w14:paraId="0EAA5537">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按合同附件3发包人施工管理相关要求</w:t>
            </w:r>
          </w:p>
        </w:tc>
        <w:tc>
          <w:tcPr>
            <w:tcW w:w="708" w:type="dxa"/>
            <w:vAlign w:val="center"/>
          </w:tcPr>
          <w:p w14:paraId="3793C6B1">
            <w:pPr>
              <w:shd w:val="clear"/>
              <w:spacing w:line="360" w:lineRule="auto"/>
              <w:jc w:val="center"/>
              <w:rPr>
                <w:rFonts w:ascii="宋体" w:hAnsi="宋体" w:eastAsia="宋体"/>
                <w:color w:val="auto"/>
                <w:szCs w:val="21"/>
                <w:highlight w:val="none"/>
              </w:rPr>
            </w:pPr>
          </w:p>
        </w:tc>
        <w:tc>
          <w:tcPr>
            <w:tcW w:w="709" w:type="dxa"/>
            <w:vAlign w:val="center"/>
          </w:tcPr>
          <w:p w14:paraId="3B3A587B">
            <w:pPr>
              <w:shd w:val="clear"/>
              <w:spacing w:line="360" w:lineRule="auto"/>
              <w:jc w:val="center"/>
              <w:rPr>
                <w:rFonts w:ascii="宋体" w:hAnsi="宋体" w:eastAsia="宋体"/>
                <w:color w:val="auto"/>
                <w:szCs w:val="21"/>
                <w:highlight w:val="none"/>
              </w:rPr>
            </w:pPr>
          </w:p>
        </w:tc>
        <w:tc>
          <w:tcPr>
            <w:tcW w:w="702" w:type="dxa"/>
            <w:vAlign w:val="center"/>
          </w:tcPr>
          <w:p w14:paraId="48613AE7">
            <w:pPr>
              <w:shd w:val="clear"/>
              <w:spacing w:line="360" w:lineRule="auto"/>
              <w:jc w:val="center"/>
              <w:rPr>
                <w:rFonts w:ascii="宋体" w:hAnsi="宋体" w:eastAsia="宋体"/>
                <w:color w:val="auto"/>
                <w:szCs w:val="21"/>
                <w:highlight w:val="none"/>
              </w:rPr>
            </w:pPr>
          </w:p>
        </w:tc>
      </w:tr>
      <w:tr w14:paraId="0709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6A2C1E48">
            <w:pPr>
              <w:shd w:val="clear"/>
              <w:spacing w:line="360" w:lineRule="auto"/>
              <w:jc w:val="center"/>
              <w:rPr>
                <w:rFonts w:ascii="宋体" w:hAnsi="宋体" w:eastAsia="宋体"/>
                <w:color w:val="auto"/>
                <w:szCs w:val="21"/>
                <w:highlight w:val="none"/>
              </w:rPr>
            </w:pPr>
          </w:p>
        </w:tc>
        <w:tc>
          <w:tcPr>
            <w:tcW w:w="1843" w:type="dxa"/>
            <w:vAlign w:val="center"/>
          </w:tcPr>
          <w:p w14:paraId="3992AF03">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工程量现场收方</w:t>
            </w:r>
          </w:p>
        </w:tc>
        <w:tc>
          <w:tcPr>
            <w:tcW w:w="4253" w:type="dxa"/>
            <w:vAlign w:val="center"/>
          </w:tcPr>
          <w:p w14:paraId="4B50CD6C">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按合同附件3发包人施工管理相关要求</w:t>
            </w:r>
          </w:p>
        </w:tc>
        <w:tc>
          <w:tcPr>
            <w:tcW w:w="708" w:type="dxa"/>
            <w:vAlign w:val="center"/>
          </w:tcPr>
          <w:p w14:paraId="75E57F13">
            <w:pPr>
              <w:shd w:val="clear"/>
              <w:spacing w:line="360" w:lineRule="auto"/>
              <w:jc w:val="center"/>
              <w:rPr>
                <w:rFonts w:ascii="宋体" w:hAnsi="宋体" w:eastAsia="宋体"/>
                <w:color w:val="auto"/>
                <w:szCs w:val="21"/>
                <w:highlight w:val="none"/>
              </w:rPr>
            </w:pPr>
          </w:p>
        </w:tc>
        <w:tc>
          <w:tcPr>
            <w:tcW w:w="709" w:type="dxa"/>
            <w:vAlign w:val="center"/>
          </w:tcPr>
          <w:p w14:paraId="0048E9C0">
            <w:pPr>
              <w:shd w:val="clear"/>
              <w:spacing w:line="360" w:lineRule="auto"/>
              <w:jc w:val="center"/>
              <w:rPr>
                <w:rFonts w:ascii="宋体" w:hAnsi="宋体" w:eastAsia="宋体"/>
                <w:color w:val="auto"/>
                <w:szCs w:val="21"/>
                <w:highlight w:val="none"/>
              </w:rPr>
            </w:pPr>
          </w:p>
        </w:tc>
        <w:tc>
          <w:tcPr>
            <w:tcW w:w="702" w:type="dxa"/>
            <w:vAlign w:val="center"/>
          </w:tcPr>
          <w:p w14:paraId="083C2952">
            <w:pPr>
              <w:shd w:val="clear"/>
              <w:spacing w:line="360" w:lineRule="auto"/>
              <w:jc w:val="center"/>
              <w:rPr>
                <w:rFonts w:ascii="宋体" w:hAnsi="宋体" w:eastAsia="宋体"/>
                <w:color w:val="auto"/>
                <w:szCs w:val="21"/>
                <w:highlight w:val="none"/>
              </w:rPr>
            </w:pPr>
          </w:p>
        </w:tc>
      </w:tr>
      <w:tr w14:paraId="12AF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14:paraId="1F54609C">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竣工阶段</w:t>
            </w:r>
          </w:p>
        </w:tc>
        <w:tc>
          <w:tcPr>
            <w:tcW w:w="1843" w:type="dxa"/>
            <w:vAlign w:val="center"/>
          </w:tcPr>
          <w:p w14:paraId="030B0BEF">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竣工结算</w:t>
            </w:r>
          </w:p>
        </w:tc>
        <w:tc>
          <w:tcPr>
            <w:tcW w:w="4253" w:type="dxa"/>
            <w:vAlign w:val="center"/>
          </w:tcPr>
          <w:p w14:paraId="59D57271">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按合同附件3发包人施工管理相关要求</w:t>
            </w:r>
          </w:p>
        </w:tc>
        <w:tc>
          <w:tcPr>
            <w:tcW w:w="708" w:type="dxa"/>
            <w:vAlign w:val="center"/>
          </w:tcPr>
          <w:p w14:paraId="6C942FBE">
            <w:pPr>
              <w:shd w:val="clear"/>
              <w:spacing w:line="360" w:lineRule="auto"/>
              <w:jc w:val="center"/>
              <w:rPr>
                <w:rFonts w:ascii="宋体" w:hAnsi="宋体" w:eastAsia="宋体"/>
                <w:color w:val="auto"/>
                <w:szCs w:val="21"/>
                <w:highlight w:val="none"/>
              </w:rPr>
            </w:pPr>
          </w:p>
        </w:tc>
        <w:tc>
          <w:tcPr>
            <w:tcW w:w="709" w:type="dxa"/>
            <w:vAlign w:val="center"/>
          </w:tcPr>
          <w:p w14:paraId="0BF882F0">
            <w:pPr>
              <w:shd w:val="clear"/>
              <w:spacing w:line="360" w:lineRule="auto"/>
              <w:jc w:val="center"/>
              <w:rPr>
                <w:rFonts w:ascii="宋体" w:hAnsi="宋体" w:eastAsia="宋体"/>
                <w:color w:val="auto"/>
                <w:szCs w:val="21"/>
                <w:highlight w:val="none"/>
              </w:rPr>
            </w:pPr>
          </w:p>
        </w:tc>
        <w:tc>
          <w:tcPr>
            <w:tcW w:w="702" w:type="dxa"/>
            <w:vAlign w:val="center"/>
          </w:tcPr>
          <w:p w14:paraId="57C3EEDA">
            <w:pPr>
              <w:shd w:val="clear"/>
              <w:spacing w:line="360" w:lineRule="auto"/>
              <w:jc w:val="center"/>
              <w:rPr>
                <w:rFonts w:ascii="宋体" w:hAnsi="宋体" w:eastAsia="宋体"/>
                <w:color w:val="auto"/>
                <w:szCs w:val="21"/>
                <w:highlight w:val="none"/>
              </w:rPr>
            </w:pPr>
          </w:p>
        </w:tc>
      </w:tr>
      <w:tr w14:paraId="4C2D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14:paraId="60B2D97B">
            <w:pPr>
              <w:shd w:val="clear"/>
              <w:spacing w:line="360" w:lineRule="auto"/>
              <w:jc w:val="center"/>
              <w:rPr>
                <w:rFonts w:ascii="宋体" w:hAnsi="宋体" w:eastAsia="宋体"/>
                <w:color w:val="auto"/>
                <w:szCs w:val="21"/>
                <w:highlight w:val="none"/>
              </w:rPr>
            </w:pPr>
          </w:p>
        </w:tc>
        <w:tc>
          <w:tcPr>
            <w:tcW w:w="1843" w:type="dxa"/>
            <w:vAlign w:val="center"/>
          </w:tcPr>
          <w:p w14:paraId="484E1E7F">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*廉政及反商业贿赂方面的情况、其他事项</w:t>
            </w:r>
          </w:p>
        </w:tc>
        <w:tc>
          <w:tcPr>
            <w:tcW w:w="4253" w:type="dxa"/>
            <w:vAlign w:val="center"/>
          </w:tcPr>
          <w:p w14:paraId="77F4CDAB">
            <w:pPr>
              <w:shd w:val="clea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发现有违反廉政及反商业贿赂规定的；在审计过程中发现有违反法律规定，或者有严重违反合同约定的其他事项为较差，如果没有发现的，应划斜杠表示不评价</w:t>
            </w:r>
          </w:p>
        </w:tc>
        <w:tc>
          <w:tcPr>
            <w:tcW w:w="708" w:type="dxa"/>
            <w:vAlign w:val="center"/>
          </w:tcPr>
          <w:p w14:paraId="058309AB">
            <w:pPr>
              <w:shd w:val="clear"/>
              <w:spacing w:line="360" w:lineRule="auto"/>
              <w:jc w:val="center"/>
              <w:rPr>
                <w:rFonts w:ascii="宋体" w:hAnsi="宋体" w:eastAsia="宋体"/>
                <w:color w:val="auto"/>
                <w:szCs w:val="21"/>
                <w:highlight w:val="none"/>
              </w:rPr>
            </w:pPr>
          </w:p>
        </w:tc>
        <w:tc>
          <w:tcPr>
            <w:tcW w:w="709" w:type="dxa"/>
            <w:vAlign w:val="center"/>
          </w:tcPr>
          <w:p w14:paraId="0F169202">
            <w:pPr>
              <w:shd w:val="clear"/>
              <w:spacing w:line="360" w:lineRule="auto"/>
              <w:jc w:val="center"/>
              <w:rPr>
                <w:rFonts w:ascii="宋体" w:hAnsi="宋体" w:eastAsia="宋体"/>
                <w:color w:val="auto"/>
                <w:szCs w:val="21"/>
                <w:highlight w:val="none"/>
              </w:rPr>
            </w:pPr>
          </w:p>
        </w:tc>
        <w:tc>
          <w:tcPr>
            <w:tcW w:w="702" w:type="dxa"/>
            <w:vAlign w:val="center"/>
          </w:tcPr>
          <w:p w14:paraId="6FEC02A2">
            <w:pPr>
              <w:shd w:val="clear"/>
              <w:spacing w:line="360" w:lineRule="auto"/>
              <w:jc w:val="center"/>
              <w:rPr>
                <w:rFonts w:ascii="宋体" w:hAnsi="宋体" w:eastAsia="宋体"/>
                <w:color w:val="auto"/>
                <w:szCs w:val="21"/>
                <w:highlight w:val="none"/>
              </w:rPr>
            </w:pPr>
          </w:p>
        </w:tc>
      </w:tr>
    </w:tbl>
    <w:p w14:paraId="18B52CD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承包人有下列情形之一的，承包人及其项目负责人将被发包人列入“黑名单”，纳入发包人（学校）内部制度管理：</w:t>
      </w:r>
    </w:p>
    <w:p w14:paraId="79854A0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（一）承包人在单次项目施工阶段的考核评价中出现2项以上“较差”的；</w:t>
      </w:r>
    </w:p>
    <w:p w14:paraId="097500C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（二）承包人在累计项目施工阶段的考核评价中出现3项以上“较差”的；</w:t>
      </w:r>
    </w:p>
    <w:p w14:paraId="68AB81D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（三）承包人在累计项目竣工阶段的考核评价中出现3项以上“较差”的；</w:t>
      </w:r>
    </w:p>
    <w:p w14:paraId="16A22EF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（四）承包人在年度考核评价中总体评价为“一般”的；</w:t>
      </w:r>
    </w:p>
    <w:p w14:paraId="66F0833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（五）承包人违反合同约定被解除合同的；</w:t>
      </w:r>
    </w:p>
    <w:p w14:paraId="33E775E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（六）承包人存在违法行为或违反相关制度，损害发包人利益的；</w:t>
      </w:r>
    </w:p>
    <w:p w14:paraId="51A3085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（七）经发现有其他重大违法记录的情形。</w:t>
      </w:r>
    </w:p>
    <w:p w14:paraId="7683E13F">
      <w:pPr>
        <w:shd w:val="clea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3C652074">
      <w:pPr>
        <w:pStyle w:val="4"/>
        <w:shd w:val="clear"/>
        <w:jc w:val="left"/>
        <w:rPr>
          <w:rFonts w:ascii="宋体" w:hAnsi="宋体" w:eastAsia="宋体"/>
          <w:color w:val="auto"/>
          <w:sz w:val="28"/>
          <w:szCs w:val="28"/>
          <w:highlight w:val="none"/>
        </w:rPr>
      </w:pPr>
      <w:bookmarkStart w:id="154" w:name="_Toc195459497"/>
      <w:bookmarkStart w:id="155" w:name="_Toc197530172"/>
      <w:r>
        <w:rPr>
          <w:rFonts w:hint="eastAsia" w:ascii="宋体" w:hAnsi="宋体" w:eastAsia="宋体"/>
          <w:color w:val="auto"/>
          <w:sz w:val="28"/>
          <w:szCs w:val="28"/>
          <w:highlight w:val="none"/>
        </w:rPr>
        <w:t>附件5：履约保函示范文本</w:t>
      </w:r>
      <w:bookmarkEnd w:id="154"/>
      <w:bookmarkEnd w:id="155"/>
    </w:p>
    <w:p w14:paraId="0E9AD1A5">
      <w:pPr>
        <w:shd w:val="clear"/>
        <w:spacing w:line="360" w:lineRule="auto"/>
        <w:ind w:firstLine="420" w:firstLineChars="200"/>
        <w:rPr>
          <w:rFonts w:ascii="宋体" w:hAnsi="宋体" w:eastAsia="宋体"/>
          <w:color w:val="auto"/>
          <w:szCs w:val="21"/>
          <w:highlight w:val="none"/>
        </w:rPr>
      </w:pPr>
    </w:p>
    <w:p w14:paraId="64694FB3">
      <w:pPr>
        <w:shd w:val="clea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履约保函示范文本</w:t>
      </w:r>
    </w:p>
    <w:p w14:paraId="37237F0A">
      <w:pPr>
        <w:shd w:val="clea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（独立保函）</w:t>
      </w:r>
    </w:p>
    <w:p w14:paraId="67CD638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编号：</w:t>
      </w:r>
    </w:p>
    <w:p w14:paraId="4D6FCAB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申请人：</w:t>
      </w:r>
    </w:p>
    <w:p w14:paraId="54BFDF4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p>
    <w:p w14:paraId="5FE5DE7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受益人：</w:t>
      </w:r>
    </w:p>
    <w:p w14:paraId="1093769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p>
    <w:p w14:paraId="043A052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开立人：</w:t>
      </w:r>
    </w:p>
    <w:p w14:paraId="40E58CA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p>
    <w:p w14:paraId="4150CAF0">
      <w:pPr>
        <w:shd w:val="clear"/>
        <w:spacing w:line="360" w:lineRule="auto"/>
        <w:ind w:firstLine="420" w:firstLineChars="200"/>
        <w:rPr>
          <w:rFonts w:ascii="宋体" w:hAnsi="宋体" w:eastAsia="宋体"/>
          <w:color w:val="auto"/>
          <w:szCs w:val="21"/>
          <w:highlight w:val="none"/>
        </w:rPr>
      </w:pPr>
    </w:p>
    <w:p w14:paraId="538639D8">
      <w:pPr>
        <w:shd w:val="clear"/>
        <w:spacing w:line="360" w:lineRule="auto"/>
        <w:rPr>
          <w:rFonts w:ascii="宋体" w:hAnsi="宋体" w:eastAsia="宋体"/>
          <w:color w:val="auto"/>
          <w:szCs w:val="21"/>
          <w:highlight w:val="none"/>
        </w:rPr>
      </w:pPr>
      <w:bookmarkStart w:id="156" w:name="OLE_LINK50"/>
      <w:bookmarkStart w:id="157" w:name="OLE_LINK51"/>
      <w:r>
        <w:rPr>
          <w:rFonts w:ascii="宋体" w:hAnsi="宋体" w:eastAsia="宋体"/>
          <w:color w:val="auto"/>
          <w:szCs w:val="21"/>
          <w:highlight w:val="none"/>
        </w:rPr>
        <w:t>______</w:t>
      </w:r>
      <w:bookmarkEnd w:id="156"/>
      <w:bookmarkEnd w:id="157"/>
      <w:r>
        <w:rPr>
          <w:rFonts w:hint="eastAsia" w:ascii="宋体" w:hAnsi="宋体" w:eastAsia="宋体"/>
          <w:color w:val="auto"/>
          <w:szCs w:val="21"/>
          <w:highlight w:val="none"/>
        </w:rPr>
        <w:t>（受益人名称）：</w:t>
      </w:r>
    </w:p>
    <w:p w14:paraId="5F65F97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鉴于</w:t>
      </w:r>
      <w:r>
        <w:rPr>
          <w:rFonts w:ascii="宋体" w:hAnsi="宋体" w:eastAsia="宋体"/>
          <w:color w:val="auto"/>
          <w:szCs w:val="21"/>
          <w:highlight w:val="none"/>
        </w:rPr>
        <w:t>______</w:t>
      </w:r>
      <w:r>
        <w:rPr>
          <w:rFonts w:hint="eastAsia" w:ascii="宋体" w:hAnsi="宋体" w:eastAsia="宋体"/>
          <w:color w:val="auto"/>
          <w:szCs w:val="21"/>
          <w:highlight w:val="none"/>
        </w:rPr>
        <w:t>（以下简称“受益人”）与</w:t>
      </w:r>
      <w:r>
        <w:rPr>
          <w:rFonts w:ascii="宋体" w:hAnsi="宋体" w:eastAsia="宋体"/>
          <w:color w:val="auto"/>
          <w:szCs w:val="21"/>
          <w:highlight w:val="none"/>
        </w:rPr>
        <w:t>______</w:t>
      </w:r>
      <w:r>
        <w:rPr>
          <w:rFonts w:hint="eastAsia" w:ascii="宋体" w:hAnsi="宋体" w:eastAsia="宋体"/>
          <w:color w:val="auto"/>
          <w:szCs w:val="21"/>
          <w:highlight w:val="none"/>
        </w:rPr>
        <w:t>（以下简称“申请人”）于</w:t>
      </w:r>
      <w:r>
        <w:rPr>
          <w:rFonts w:ascii="宋体" w:hAnsi="宋体" w:eastAsia="宋体"/>
          <w:color w:val="auto"/>
          <w:szCs w:val="21"/>
          <w:highlight w:val="none"/>
        </w:rPr>
        <w:t>______</w:t>
      </w:r>
      <w:r>
        <w:rPr>
          <w:rFonts w:hint="eastAsia" w:ascii="宋体" w:hAnsi="宋体" w:eastAsia="宋体"/>
          <w:color w:val="auto"/>
          <w:szCs w:val="21"/>
          <w:highlight w:val="none"/>
        </w:rPr>
        <w:t>年</w:t>
      </w:r>
      <w:r>
        <w:rPr>
          <w:rFonts w:ascii="宋体" w:hAnsi="宋体" w:eastAsia="宋体"/>
          <w:color w:val="auto"/>
          <w:szCs w:val="21"/>
          <w:highlight w:val="none"/>
        </w:rPr>
        <w:t>______</w:t>
      </w:r>
      <w:r>
        <w:rPr>
          <w:rFonts w:hint="eastAsia" w:ascii="宋体" w:hAnsi="宋体" w:eastAsia="宋体"/>
          <w:color w:val="auto"/>
          <w:szCs w:val="21"/>
          <w:highlight w:val="none"/>
        </w:rPr>
        <w:t>月</w:t>
      </w:r>
      <w:r>
        <w:rPr>
          <w:rFonts w:ascii="宋体" w:hAnsi="宋体" w:eastAsia="宋体"/>
          <w:color w:val="auto"/>
          <w:szCs w:val="21"/>
          <w:highlight w:val="none"/>
        </w:rPr>
        <w:t>______</w:t>
      </w:r>
      <w:r>
        <w:rPr>
          <w:rFonts w:hint="eastAsia" w:ascii="宋体" w:hAnsi="宋体" w:eastAsia="宋体"/>
          <w:color w:val="auto"/>
          <w:szCs w:val="21"/>
          <w:highlight w:val="none"/>
        </w:rPr>
        <w:t>日就</w:t>
      </w:r>
      <w:r>
        <w:rPr>
          <w:rFonts w:ascii="宋体" w:hAnsi="宋体" w:eastAsia="宋体"/>
          <w:color w:val="auto"/>
          <w:szCs w:val="21"/>
          <w:highlight w:val="none"/>
        </w:rPr>
        <w:t>______</w:t>
      </w:r>
      <w:r>
        <w:rPr>
          <w:rFonts w:hint="eastAsia" w:ascii="宋体" w:hAnsi="宋体" w:eastAsia="宋体"/>
          <w:color w:val="auto"/>
          <w:szCs w:val="21"/>
          <w:highlight w:val="none"/>
        </w:rPr>
        <w:t>工程（以下简称“本工程”）施工和有关事项协商一致共同签订《</w:t>
      </w:r>
      <w:r>
        <w:rPr>
          <w:rFonts w:ascii="宋体" w:hAnsi="宋体" w:eastAsia="宋体"/>
          <w:color w:val="auto"/>
          <w:szCs w:val="21"/>
          <w:highlight w:val="none"/>
        </w:rPr>
        <w:t>______</w:t>
      </w:r>
      <w:r>
        <w:rPr>
          <w:rFonts w:hint="eastAsia" w:ascii="宋体" w:hAnsi="宋体" w:eastAsia="宋体"/>
          <w:color w:val="auto"/>
          <w:szCs w:val="21"/>
          <w:highlight w:val="none"/>
        </w:rPr>
        <w:t>》（以下简称“基础合同”），我方（即“开立人”）根据基础合同了解到申请人为基础合同项下之承包人，受益人为基础合同项下之发包人，基于申请人的请求，我方同意就申请人履行与贵方签订的基础合同项下的义务，向贵方提供不可撤销、不可转让的见索即付独立保函（以下简称“本保函”）。</w:t>
      </w:r>
    </w:p>
    <w:p w14:paraId="661F6C6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一、本保函担保范围：承包人未按照基础合同的约定履行义务，应当向贵方承担的违约责任和赔偿因此造成的损失、利息、律师费、诉讼费用、财产保全费用、强制执行申请费等实现债权的费用。</w:t>
      </w:r>
    </w:p>
    <w:p w14:paraId="5E8F353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二、本保函担保金额最高不超过人民币（大写）</w:t>
      </w:r>
      <w:r>
        <w:rPr>
          <w:rFonts w:ascii="宋体" w:hAnsi="宋体" w:eastAsia="宋体"/>
          <w:color w:val="auto"/>
          <w:szCs w:val="21"/>
          <w:highlight w:val="none"/>
        </w:rPr>
        <w:t>______</w:t>
      </w:r>
      <w:r>
        <w:rPr>
          <w:rFonts w:hint="eastAsia" w:ascii="宋体" w:hAnsi="宋体" w:eastAsia="宋体"/>
          <w:color w:val="auto"/>
          <w:szCs w:val="21"/>
          <w:highlight w:val="none"/>
        </w:rPr>
        <w:t>（¥</w:t>
      </w:r>
      <w:r>
        <w:rPr>
          <w:rFonts w:ascii="宋体" w:hAnsi="宋体" w:eastAsia="宋体"/>
          <w:color w:val="auto"/>
          <w:szCs w:val="21"/>
          <w:highlight w:val="none"/>
        </w:rPr>
        <w:t>______</w:t>
      </w:r>
      <w:r>
        <w:rPr>
          <w:rFonts w:hint="eastAsia" w:ascii="宋体" w:hAnsi="宋体" w:eastAsia="宋体"/>
          <w:color w:val="auto"/>
          <w:szCs w:val="21"/>
          <w:highlight w:val="none"/>
        </w:rPr>
        <w:t>）。</w:t>
      </w:r>
    </w:p>
    <w:p w14:paraId="36F856F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三、本保函有效期自开立之日起至基础合同约定的缺陷责任期后日止，最迟不超过</w:t>
      </w:r>
      <w:r>
        <w:rPr>
          <w:rFonts w:ascii="宋体" w:hAnsi="宋体" w:eastAsia="宋体"/>
          <w:color w:val="auto"/>
          <w:szCs w:val="21"/>
          <w:highlight w:val="none"/>
        </w:rPr>
        <w:t>______</w:t>
      </w:r>
      <w:r>
        <w:rPr>
          <w:rFonts w:hint="eastAsia" w:ascii="宋体" w:hAnsi="宋体" w:eastAsia="宋体"/>
          <w:color w:val="auto"/>
          <w:szCs w:val="21"/>
          <w:highlight w:val="none"/>
        </w:rPr>
        <w:t>年</w:t>
      </w:r>
      <w:r>
        <w:rPr>
          <w:rFonts w:ascii="宋体" w:hAnsi="宋体" w:eastAsia="宋体"/>
          <w:color w:val="auto"/>
          <w:szCs w:val="21"/>
          <w:highlight w:val="none"/>
        </w:rPr>
        <w:t>______</w:t>
      </w:r>
      <w:r>
        <w:rPr>
          <w:rFonts w:hint="eastAsia" w:ascii="宋体" w:hAnsi="宋体" w:eastAsia="宋体"/>
          <w:color w:val="auto"/>
          <w:szCs w:val="21"/>
          <w:highlight w:val="none"/>
        </w:rPr>
        <w:t>月</w:t>
      </w:r>
      <w:r>
        <w:rPr>
          <w:rFonts w:ascii="宋体" w:hAnsi="宋体" w:eastAsia="宋体"/>
          <w:color w:val="auto"/>
          <w:szCs w:val="21"/>
          <w:highlight w:val="none"/>
        </w:rPr>
        <w:t>______</w:t>
      </w:r>
      <w:r>
        <w:rPr>
          <w:rFonts w:hint="eastAsia" w:ascii="宋体" w:hAnsi="宋体" w:eastAsia="宋体"/>
          <w:color w:val="auto"/>
          <w:szCs w:val="21"/>
          <w:highlight w:val="none"/>
        </w:rPr>
        <w:t>日。</w:t>
      </w:r>
    </w:p>
    <w:p w14:paraId="702E1EF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四、我方承诺，在收到受益人发来的书面付款通知后的</w:t>
      </w:r>
      <w:r>
        <w:rPr>
          <w:rFonts w:ascii="宋体" w:hAnsi="宋体" w:eastAsia="宋体"/>
          <w:color w:val="auto"/>
          <w:szCs w:val="21"/>
          <w:highlight w:val="none"/>
        </w:rPr>
        <w:t>______</w:t>
      </w:r>
      <w:r>
        <w:rPr>
          <w:rFonts w:hint="eastAsia" w:ascii="宋体" w:hAnsi="宋体" w:eastAsia="宋体"/>
          <w:color w:val="auto"/>
          <w:szCs w:val="21"/>
          <w:highlight w:val="none"/>
        </w:rPr>
        <w:t>日内无条件支付，前述书面付款通知即为付款要求之单据，且应满足以下要求：</w:t>
      </w:r>
    </w:p>
    <w:p w14:paraId="346701F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（1）付款通知到达的日期在本保函的有效期内；</w:t>
      </w:r>
    </w:p>
    <w:p w14:paraId="6EC3FDF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（2）载明要求支付的金额；</w:t>
      </w:r>
    </w:p>
    <w:p w14:paraId="6FF3736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（3）载明申请人违反合同义务的条款和内容；</w:t>
      </w:r>
    </w:p>
    <w:p w14:paraId="69A0168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（4）声明不存在合同文件约定或我国法律规定免除申请人或开立人支付责任的情形；</w:t>
      </w:r>
    </w:p>
    <w:p w14:paraId="3D8C411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（5）付款通知应在本保函有效期内到达的地址是：</w:t>
      </w:r>
      <w:r>
        <w:rPr>
          <w:rFonts w:ascii="宋体" w:hAnsi="宋体" w:eastAsia="宋体"/>
          <w:color w:val="auto"/>
          <w:szCs w:val="21"/>
          <w:highlight w:val="none"/>
        </w:rPr>
        <w:t>______</w:t>
      </w:r>
      <w:r>
        <w:rPr>
          <w:rFonts w:hint="eastAsia" w:ascii="宋体" w:hAnsi="宋体" w:eastAsia="宋体"/>
          <w:color w:val="auto"/>
          <w:szCs w:val="21"/>
          <w:highlight w:val="none"/>
        </w:rPr>
        <w:t>。</w:t>
      </w:r>
    </w:p>
    <w:p w14:paraId="48A9A3E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受益人发出的书面付款通知应由其为鉴明受益人法定代表人（负责人）或授权代理人签字并加盖公章。</w:t>
      </w:r>
    </w:p>
    <w:p w14:paraId="2F010C7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五、本保函项下的权利不得转让，不得设定担保。贵方未经我方书面同意转让本保函或其项下任何权利，对我方不发生法律效力。</w:t>
      </w:r>
    </w:p>
    <w:p w14:paraId="5647F24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六、与本保函有关的基础合同不成立、不生效、无效、被撤销、被解除，不影响本保函的独立有效。</w:t>
      </w:r>
    </w:p>
    <w:p w14:paraId="21260E0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七、贵方应在本保函到期后的七日内将本保函正本退回我方注销，但是不论贵方是否按此要求将本保函正本退回我方，我方在本保函项下的义务和责任均在保函有效期到期后自动消灭。</w:t>
      </w:r>
    </w:p>
    <w:p w14:paraId="4BF49E3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八、本保函适用的法律为中华人民共和国法律，争议裁判管辖地为中华人民共和国</w:t>
      </w:r>
      <w:r>
        <w:rPr>
          <w:rFonts w:hint="eastAsia" w:ascii="宋体" w:hAnsi="宋体" w:eastAsia="宋体"/>
          <w:color w:val="auto"/>
          <w:szCs w:val="21"/>
          <w:highlight w:val="none"/>
          <w:u w:val="single"/>
        </w:rPr>
        <w:t>广西壮族自治区南宁市西乡塘区</w:t>
      </w:r>
      <w:r>
        <w:rPr>
          <w:rFonts w:hint="eastAsia" w:ascii="宋体" w:hAnsi="宋体" w:eastAsia="宋体"/>
          <w:color w:val="auto"/>
          <w:szCs w:val="21"/>
          <w:highlight w:val="none"/>
        </w:rPr>
        <w:t>。</w:t>
      </w:r>
    </w:p>
    <w:p w14:paraId="0265CFD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九、本保函自我方法定代表人或授权代表签字并加盖公章之日起生效。</w:t>
      </w:r>
    </w:p>
    <w:p w14:paraId="16E31F4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开立人：</w:t>
      </w:r>
      <w:bookmarkStart w:id="158" w:name="OLE_LINK52"/>
      <w:r>
        <w:rPr>
          <w:rFonts w:ascii="宋体" w:hAnsi="宋体" w:eastAsia="宋体"/>
          <w:color w:val="auto"/>
          <w:szCs w:val="21"/>
          <w:highlight w:val="none"/>
        </w:rPr>
        <w:t>______</w:t>
      </w:r>
      <w:bookmarkEnd w:id="158"/>
      <w:r>
        <w:rPr>
          <w:rFonts w:hint="eastAsia" w:ascii="宋体" w:hAnsi="宋体" w:eastAsia="宋体"/>
          <w:color w:val="auto"/>
          <w:szCs w:val="21"/>
          <w:highlight w:val="none"/>
        </w:rPr>
        <w:t>（公章）</w:t>
      </w:r>
    </w:p>
    <w:p w14:paraId="2232EAA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法定代表人（或授权代表）：</w:t>
      </w:r>
      <w:r>
        <w:rPr>
          <w:rFonts w:ascii="宋体" w:hAnsi="宋体" w:eastAsia="宋体"/>
          <w:color w:val="auto"/>
          <w:szCs w:val="21"/>
          <w:highlight w:val="none"/>
        </w:rPr>
        <w:t>______</w:t>
      </w:r>
      <w:r>
        <w:rPr>
          <w:rFonts w:hint="eastAsia" w:ascii="宋体" w:hAnsi="宋体" w:eastAsia="宋体"/>
          <w:color w:val="auto"/>
          <w:szCs w:val="21"/>
          <w:highlight w:val="none"/>
        </w:rPr>
        <w:t>（签字）</w:t>
      </w:r>
    </w:p>
    <w:p w14:paraId="166060E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r>
        <w:rPr>
          <w:rFonts w:ascii="宋体" w:hAnsi="宋体" w:eastAsia="宋体"/>
          <w:color w:val="auto"/>
          <w:szCs w:val="21"/>
          <w:highlight w:val="none"/>
        </w:rPr>
        <w:t>______</w:t>
      </w:r>
    </w:p>
    <w:p w14:paraId="0A7186A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邮政编码：</w:t>
      </w:r>
      <w:r>
        <w:rPr>
          <w:rFonts w:ascii="宋体" w:hAnsi="宋体" w:eastAsia="宋体"/>
          <w:color w:val="auto"/>
          <w:szCs w:val="21"/>
          <w:highlight w:val="none"/>
        </w:rPr>
        <w:t>______</w:t>
      </w:r>
    </w:p>
    <w:p w14:paraId="4046C81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电话：</w:t>
      </w:r>
      <w:r>
        <w:rPr>
          <w:rFonts w:ascii="宋体" w:hAnsi="宋体" w:eastAsia="宋体"/>
          <w:color w:val="auto"/>
          <w:szCs w:val="21"/>
          <w:highlight w:val="none"/>
        </w:rPr>
        <w:t>______</w:t>
      </w:r>
    </w:p>
    <w:p w14:paraId="7677395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传真：</w:t>
      </w:r>
      <w:r>
        <w:rPr>
          <w:rFonts w:ascii="宋体" w:hAnsi="宋体" w:eastAsia="宋体"/>
          <w:color w:val="auto"/>
          <w:szCs w:val="21"/>
          <w:highlight w:val="none"/>
        </w:rPr>
        <w:t>______</w:t>
      </w:r>
    </w:p>
    <w:p w14:paraId="56E01C7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开立时间：</w:t>
      </w:r>
      <w:r>
        <w:rPr>
          <w:rFonts w:ascii="宋体" w:hAnsi="宋体" w:eastAsia="宋体"/>
          <w:color w:val="auto"/>
          <w:szCs w:val="21"/>
          <w:highlight w:val="none"/>
        </w:rPr>
        <w:t>______</w:t>
      </w:r>
      <w:r>
        <w:rPr>
          <w:rFonts w:hint="eastAsia" w:ascii="宋体" w:hAnsi="宋体" w:eastAsia="宋体"/>
          <w:color w:val="auto"/>
          <w:szCs w:val="21"/>
          <w:highlight w:val="none"/>
        </w:rPr>
        <w:t>年</w:t>
      </w:r>
      <w:r>
        <w:rPr>
          <w:rFonts w:ascii="宋体" w:hAnsi="宋体" w:eastAsia="宋体"/>
          <w:color w:val="auto"/>
          <w:szCs w:val="21"/>
          <w:highlight w:val="none"/>
        </w:rPr>
        <w:t>______</w:t>
      </w:r>
      <w:r>
        <w:rPr>
          <w:rFonts w:hint="eastAsia" w:ascii="宋体" w:hAnsi="宋体" w:eastAsia="宋体"/>
          <w:color w:val="auto"/>
          <w:szCs w:val="21"/>
          <w:highlight w:val="none"/>
        </w:rPr>
        <w:t>月</w:t>
      </w:r>
      <w:r>
        <w:rPr>
          <w:rFonts w:ascii="宋体" w:hAnsi="宋体" w:eastAsia="宋体"/>
          <w:color w:val="auto"/>
          <w:szCs w:val="21"/>
          <w:highlight w:val="none"/>
        </w:rPr>
        <w:t>______</w:t>
      </w:r>
      <w:bookmarkEnd w:id="126"/>
    </w:p>
    <w:p w14:paraId="6EB0FB49">
      <w:pPr>
        <w:shd w:val="clear"/>
        <w:spacing w:line="360" w:lineRule="auto"/>
        <w:ind w:firstLine="420" w:firstLineChars="200"/>
        <w:rPr>
          <w:rFonts w:ascii="宋体" w:hAnsi="宋体" w:eastAsia="宋体"/>
          <w:color w:val="auto"/>
          <w:szCs w:val="21"/>
          <w:highlight w:val="none"/>
        </w:rPr>
        <w:sectPr>
          <w:pgSz w:w="11906" w:h="16838"/>
          <w:pgMar w:top="1440" w:right="1134" w:bottom="1440" w:left="1418" w:header="851" w:footer="992" w:gutter="0"/>
          <w:cols w:space="425" w:num="1"/>
          <w:docGrid w:type="lines" w:linePitch="312" w:charSpace="0"/>
        </w:sectPr>
      </w:pPr>
    </w:p>
    <w:p w14:paraId="16A51B9B">
      <w:pPr>
        <w:pStyle w:val="4"/>
        <w:shd w:val="clear"/>
        <w:jc w:val="left"/>
        <w:rPr>
          <w:rFonts w:ascii="宋体" w:hAnsi="宋体" w:eastAsia="宋体"/>
          <w:color w:val="auto"/>
          <w:sz w:val="28"/>
          <w:szCs w:val="28"/>
          <w:highlight w:val="none"/>
        </w:rPr>
      </w:pPr>
      <w:bookmarkStart w:id="159" w:name="_Toc197530173"/>
      <w:r>
        <w:rPr>
          <w:rFonts w:hint="eastAsia" w:ascii="宋体" w:hAnsi="宋体" w:eastAsia="宋体"/>
          <w:color w:val="auto"/>
          <w:sz w:val="28"/>
          <w:szCs w:val="28"/>
          <w:highlight w:val="none"/>
        </w:rPr>
        <w:t>附件</w:t>
      </w:r>
      <w:r>
        <w:rPr>
          <w:rFonts w:ascii="宋体" w:hAnsi="宋体" w:eastAsia="宋体"/>
          <w:color w:val="auto"/>
          <w:sz w:val="28"/>
          <w:szCs w:val="28"/>
          <w:highlight w:val="none"/>
        </w:rPr>
        <w:t>6</w:t>
      </w:r>
      <w:r>
        <w:rPr>
          <w:rFonts w:hint="eastAsia" w:ascii="宋体" w:hAnsi="宋体" w:eastAsia="宋体"/>
          <w:color w:val="auto"/>
          <w:sz w:val="28"/>
          <w:szCs w:val="28"/>
          <w:highlight w:val="none"/>
        </w:rPr>
        <w:t>：广西壮族自治区工程建设领域农民工工资专用账户资金管理三方协议</w:t>
      </w:r>
      <w:bookmarkEnd w:id="159"/>
    </w:p>
    <w:p w14:paraId="5720B4FE">
      <w:pPr>
        <w:shd w:val="clea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广西壮族自治区工程建设领域农民工工资专用账户资金管理三方协议</w:t>
      </w:r>
    </w:p>
    <w:p w14:paraId="1CCC4A25">
      <w:pPr>
        <w:shd w:val="clear"/>
        <w:spacing w:line="360" w:lineRule="auto"/>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协议编号：</w:t>
      </w:r>
    </w:p>
    <w:p w14:paraId="6445270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甲方（建设单位）：</w:t>
      </w:r>
    </w:p>
    <w:p w14:paraId="4BF85E7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乙方（总包单位）：</w:t>
      </w:r>
    </w:p>
    <w:p w14:paraId="124BCF6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丙方（开户银行）：</w:t>
      </w:r>
    </w:p>
    <w:p w14:paraId="016128D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根据广西壮族自治区工程建设领域农民工工资专用账户管理的相关规定，结合实际，经三方同意，共同设置项目农民工工资专用账户（以下简称专用账户），共同对专用账户进行监管，具体协议如下：</w:t>
      </w:r>
    </w:p>
    <w:p w14:paraId="0767B7D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账户的设立。乙方须在丙方处开立农民工工资专用账户，用于项目农民工工资发放，专用账户内资金不得开通现金支取和其他转账结算服务，不得将专用账户资金转入除本项目农民工本人银行账户以外的账户。</w:t>
      </w:r>
    </w:p>
    <w:p w14:paraId="310370E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二、人工费用的拨付。甲方必须按工程项目施工合同约定拨付工程款给乙方，每月20日前将不低于当期工程款% 的人工费用拨入乙方开设的专用账户，并加强对乙方按月足额支付农民工工资的监督。</w:t>
      </w:r>
    </w:p>
    <w:p w14:paraId="6C0EC75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三、账户的监管。丙方必须协助乙方做好农民工工资支付专用账户的开设、使用、撤销以及农民工工资个人账户的绑定，加强对专用账户的资金监管，确保专用账户资金专门用于支付农民工工资。</w:t>
      </w:r>
    </w:p>
    <w:p w14:paraId="0E03058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四、账户的基本信息。</w:t>
      </w:r>
    </w:p>
    <w:p w14:paraId="24F7D9E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账户名称：农民工工资专用账户；</w:t>
      </w:r>
    </w:p>
    <w:p w14:paraId="536EF57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简    称：农民工工资专用账户（用于专用账户标识）；</w:t>
      </w:r>
    </w:p>
    <w:p w14:paraId="62CBB6D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账    号：；</w:t>
      </w:r>
    </w:p>
    <w:p w14:paraId="3C31289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开户银行：；</w:t>
      </w:r>
    </w:p>
    <w:p w14:paraId="44EE4F2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开户时间：；</w:t>
      </w:r>
    </w:p>
    <w:p w14:paraId="055FEE3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项目地址：。</w:t>
      </w:r>
    </w:p>
    <w:p w14:paraId="4C42029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项目所在地人力资源社会保障行政部门名称：</w:t>
      </w:r>
    </w:p>
    <w:p w14:paraId="1B6AB34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联系人：联系方式：</w:t>
      </w:r>
    </w:p>
    <w:p w14:paraId="676B67E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项目所在地行业工程建设主管部门名称：</w:t>
      </w:r>
    </w:p>
    <w:p w14:paraId="1E7DF7F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联系人：联系方式：</w:t>
      </w:r>
    </w:p>
    <w:p w14:paraId="619E798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五、农民工工资支付。乙方必需按月向丙方提供加盖乙方单位公章和农民工签字确认的工资支付明细表，由丙方直接从乙方专用账户转账至绑定的农民工本人工资个人账户。</w:t>
      </w:r>
    </w:p>
    <w:p w14:paraId="17A9E04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工资支付专用账户余额不足以支付当月工资时，丙方应及时通知乙方，由乙方应向甲方提出申请，及时追加拨付人工费用。</w:t>
      </w:r>
    </w:p>
    <w:p w14:paraId="6B0CE2C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六、人工费用支付提醒。丙方每月15日前向甲方发送拨付人工费用提醒。每月20日后，甲方仍未按约定拨付人工费用的，丙方应当通知乙方，由乙方报告项目所在地人力资源社会保障行政部门和相关行业工程建设主管部门。</w:t>
      </w:r>
    </w:p>
    <w:p w14:paraId="6864928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七、拖欠农民工工资预警。乙方应确保项目及时足额支付农民工工资。丙方如发现乙方将专用账户的资金用于其他用途的，应向甲方以及项目所在地人力资源社会保障行政部门、相关行业工程建设主管部门通报。</w:t>
      </w:r>
    </w:p>
    <w:p w14:paraId="7555514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甲方已按约定足额向专用账户拨付资金，但乙方依然拖欠农民工工资的，或者发现乙方将专用账户的款项用于其他用途的，甲方应向项目所在地人力资源社会保障行政部门、相关行业工程建设主管部门报告。</w:t>
      </w:r>
    </w:p>
    <w:p w14:paraId="651BF8A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八、信息披露。甲、乙双方授权丙方将专用账户开立、撤销、资金拨付、划转等详细信息披露给项目所在地人力资源社会保障部门和相关行业工程建设主管部门。</w:t>
      </w:r>
    </w:p>
    <w:p w14:paraId="7D1EA27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九、优惠服务。丙方支持农民工使用本人的具有金融功能的社会保障卡或者现有银行卡领取工资，农民工使用他行社会保障卡银行账户或他行银行卡的，开户行应当减免跨行代发工资手续费率。丙方根据农民工本人意愿为其办理新工资卡的，应免除新工资卡的异地取款手续费、跨行取款手续费、短信提醒费、账户管理费、首次开卡工本费。</w:t>
      </w:r>
    </w:p>
    <w:p w14:paraId="1B4C795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十、违约责任。本协议生效以后，三方应认真履行，如有违约，自行承担法律、法规、规章及《广西壮族自治区工程建设领域农民工工资专用账户管理暂行办法实施细则》规定的相关监管失职的责任，由于任何一方的过错给其他方造成的损失，过错方应承担相应的赔偿责任。</w:t>
      </w:r>
    </w:p>
    <w:p w14:paraId="5FD8CA9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丙方在接到人民法院等有权机关对账户资金查封、冻结或者划拨指令时，应当向该机关提示专用账户性质，并将相关情况告知项目所在地人力资源社会保障行政部门、相关行业工程建设主管部门。丙方在履行以上义务后仍被查封、冻结、扣划，致使无法履行本协议约定义务的，丙方不承担任何责任。</w:t>
      </w:r>
    </w:p>
    <w:p w14:paraId="1AE1BD1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十一、不可抗力。任何一方遭到不可抗力时，应及时通知其他方，并在合理期限内提供不可抗力影响的证明，采取适当措施防止其他方损失的扩大和保护资金的完整。如果本协议任何一方因不可抗力不能履行本协议的，可根据不可抗力的影响，可以部分或全部免除责任。</w:t>
      </w:r>
    </w:p>
    <w:p w14:paraId="6120870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十二、保密义务。除法律、法规及规章规定，以及因本项目专用账户资金监管业务的需要，非经三方同意，不得对外泄露本协议内容。</w:t>
      </w:r>
    </w:p>
    <w:p w14:paraId="37E8152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十三、协议变更。本协议生效后，任何一方需要变更协议条款时，应经三方协商一致，并签订补充协议，补充协议与本协议具有同等法律效力。</w:t>
      </w:r>
    </w:p>
    <w:p w14:paraId="5D80EA5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十四、协议生效及终止。本协议经甲、乙、丙三方法定代表人或其授权代理人签字或签章并加盖公章（业务章、合同专用章）之日起生效。专用账户依规定程序撤销，丙方解除对专用账户监管后，本协议终止。</w:t>
      </w:r>
    </w:p>
    <w:p w14:paraId="35ABC02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本协议一式五份，经甲、乙、丙三方签字盖章后生效。甲、乙、丙三方各执一份，报项目所在地人力资源社会保障行政部门及相关行业工程建设主管部门各一份。</w:t>
      </w:r>
    </w:p>
    <w:p w14:paraId="18F7BE9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甲方（印章）：</w:t>
      </w:r>
    </w:p>
    <w:p w14:paraId="7357443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法定代表人或授权代理人：（签字）</w:t>
      </w:r>
    </w:p>
    <w:p w14:paraId="75E146B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乙方（印章）：</w:t>
      </w:r>
    </w:p>
    <w:p w14:paraId="5E6234F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法定代表人或授权代理人：（签字）</w:t>
      </w:r>
    </w:p>
    <w:p w14:paraId="7895DB6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丙方（印章）：</w:t>
      </w:r>
    </w:p>
    <w:p w14:paraId="280E5D0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法定代表人或授权代理人：（签字）</w:t>
      </w:r>
    </w:p>
    <w:p w14:paraId="4A12A28A">
      <w:pPr>
        <w:shd w:val="clear"/>
        <w:spacing w:line="360" w:lineRule="auto"/>
        <w:ind w:firstLine="420" w:firstLineChars="200"/>
        <w:rPr>
          <w:rFonts w:ascii="宋体" w:hAnsi="宋体" w:eastAsia="宋体"/>
          <w:color w:val="auto"/>
          <w:szCs w:val="21"/>
          <w:highlight w:val="none"/>
        </w:rPr>
      </w:pPr>
    </w:p>
    <w:p w14:paraId="47F2644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签订日期：年月日</w:t>
      </w:r>
    </w:p>
    <w:p w14:paraId="38FE7B1F">
      <w:pPr>
        <w:pStyle w:val="4"/>
        <w:shd w:val="clear"/>
        <w:spacing w:before="0" w:after="0" w:line="480" w:lineRule="auto"/>
        <w:jc w:val="center"/>
        <w:rPr>
          <w:rFonts w:ascii="宋体" w:hAnsi="宋体" w:eastAsia="宋体"/>
          <w:color w:val="auto"/>
          <w:sz w:val="24"/>
          <w:szCs w:val="24"/>
          <w:highlight w:val="none"/>
        </w:rPr>
        <w:sectPr>
          <w:pgSz w:w="11906" w:h="16838"/>
          <w:pgMar w:top="1440" w:right="1134" w:bottom="1440" w:left="1418" w:header="851" w:footer="992" w:gutter="0"/>
          <w:cols w:space="425" w:num="1"/>
          <w:docGrid w:type="lines" w:linePitch="312" w:charSpace="0"/>
        </w:sectPr>
      </w:pPr>
    </w:p>
    <w:p w14:paraId="15C620FE">
      <w:pPr>
        <w:shd w:val="clear"/>
        <w:spacing w:line="360" w:lineRule="auto"/>
        <w:ind w:firstLine="420" w:firstLineChars="200"/>
        <w:rPr>
          <w:rFonts w:ascii="宋体" w:hAnsi="宋体" w:eastAsia="宋体"/>
          <w:color w:val="auto"/>
          <w:szCs w:val="21"/>
          <w:highlight w:val="none"/>
        </w:rPr>
      </w:pPr>
    </w:p>
    <w:p w14:paraId="6CEC63BF">
      <w:pPr>
        <w:shd w:val="clear"/>
        <w:spacing w:line="360" w:lineRule="auto"/>
        <w:ind w:firstLine="420" w:firstLineChars="200"/>
        <w:rPr>
          <w:rFonts w:ascii="宋体" w:hAnsi="宋体" w:eastAsia="宋体"/>
          <w:color w:val="auto"/>
          <w:szCs w:val="21"/>
          <w:highlight w:val="none"/>
        </w:rPr>
      </w:pPr>
    </w:p>
    <w:p w14:paraId="43BB8E6C">
      <w:pPr>
        <w:shd w:val="clear"/>
        <w:spacing w:line="360" w:lineRule="auto"/>
        <w:ind w:firstLine="420" w:firstLineChars="200"/>
        <w:rPr>
          <w:rFonts w:ascii="宋体" w:hAnsi="宋体" w:eastAsia="宋体"/>
          <w:color w:val="auto"/>
          <w:szCs w:val="21"/>
          <w:highlight w:val="none"/>
        </w:rPr>
      </w:pPr>
    </w:p>
    <w:p w14:paraId="0D539EC7">
      <w:pPr>
        <w:shd w:val="clear"/>
        <w:spacing w:line="360" w:lineRule="auto"/>
        <w:ind w:firstLine="420" w:firstLineChars="200"/>
        <w:rPr>
          <w:rFonts w:ascii="宋体" w:hAnsi="宋体" w:eastAsia="宋体"/>
          <w:color w:val="auto"/>
          <w:szCs w:val="21"/>
          <w:highlight w:val="none"/>
        </w:rPr>
      </w:pPr>
    </w:p>
    <w:p w14:paraId="5BFEEE17">
      <w:pPr>
        <w:shd w:val="clear"/>
        <w:spacing w:line="360" w:lineRule="auto"/>
        <w:ind w:firstLine="420" w:firstLineChars="200"/>
        <w:rPr>
          <w:rFonts w:ascii="宋体" w:hAnsi="宋体" w:eastAsia="宋体"/>
          <w:color w:val="auto"/>
          <w:szCs w:val="21"/>
          <w:highlight w:val="none"/>
        </w:rPr>
      </w:pPr>
    </w:p>
    <w:p w14:paraId="5E00D23A">
      <w:pPr>
        <w:shd w:val="clear"/>
        <w:spacing w:line="360" w:lineRule="auto"/>
        <w:ind w:firstLine="420" w:firstLineChars="200"/>
        <w:rPr>
          <w:rFonts w:ascii="宋体" w:hAnsi="宋体" w:eastAsia="宋体"/>
          <w:color w:val="auto"/>
          <w:szCs w:val="21"/>
          <w:highlight w:val="none"/>
        </w:rPr>
      </w:pPr>
    </w:p>
    <w:p w14:paraId="608DEE29">
      <w:pPr>
        <w:shd w:val="clear"/>
        <w:spacing w:line="360" w:lineRule="auto"/>
        <w:ind w:firstLine="420" w:firstLineChars="200"/>
        <w:rPr>
          <w:rFonts w:ascii="宋体" w:hAnsi="宋体" w:eastAsia="宋体"/>
          <w:color w:val="auto"/>
          <w:szCs w:val="21"/>
          <w:highlight w:val="none"/>
        </w:rPr>
      </w:pPr>
    </w:p>
    <w:p w14:paraId="3FF674BC">
      <w:pPr>
        <w:shd w:val="clear"/>
        <w:spacing w:line="360" w:lineRule="auto"/>
        <w:ind w:firstLine="420" w:firstLineChars="200"/>
        <w:rPr>
          <w:rFonts w:ascii="宋体" w:hAnsi="宋体" w:eastAsia="宋体"/>
          <w:color w:val="auto"/>
          <w:szCs w:val="21"/>
          <w:highlight w:val="none"/>
        </w:rPr>
      </w:pPr>
    </w:p>
    <w:p w14:paraId="6CE921F7">
      <w:pPr>
        <w:shd w:val="clear"/>
        <w:spacing w:line="360" w:lineRule="auto"/>
        <w:ind w:firstLine="420" w:firstLineChars="200"/>
        <w:rPr>
          <w:rFonts w:ascii="宋体" w:hAnsi="宋体" w:eastAsia="宋体"/>
          <w:color w:val="auto"/>
          <w:szCs w:val="21"/>
          <w:highlight w:val="none"/>
        </w:rPr>
      </w:pPr>
    </w:p>
    <w:p w14:paraId="46C9007C">
      <w:pPr>
        <w:shd w:val="clear"/>
        <w:spacing w:line="360" w:lineRule="auto"/>
        <w:ind w:firstLine="420" w:firstLineChars="200"/>
        <w:rPr>
          <w:rFonts w:ascii="宋体" w:hAnsi="宋体" w:eastAsia="宋体"/>
          <w:color w:val="auto"/>
          <w:szCs w:val="21"/>
          <w:highlight w:val="none"/>
        </w:rPr>
      </w:pPr>
    </w:p>
    <w:p w14:paraId="28246359">
      <w:pPr>
        <w:shd w:val="clear"/>
        <w:spacing w:line="360" w:lineRule="auto"/>
        <w:ind w:firstLine="420" w:firstLineChars="200"/>
        <w:rPr>
          <w:rFonts w:ascii="宋体" w:hAnsi="宋体" w:eastAsia="宋体"/>
          <w:color w:val="auto"/>
          <w:szCs w:val="21"/>
          <w:highlight w:val="none"/>
        </w:rPr>
      </w:pPr>
    </w:p>
    <w:p w14:paraId="1704200E">
      <w:pPr>
        <w:shd w:val="clear"/>
        <w:spacing w:line="360" w:lineRule="auto"/>
        <w:ind w:firstLine="420" w:firstLineChars="200"/>
        <w:rPr>
          <w:rFonts w:ascii="宋体" w:hAnsi="宋体" w:eastAsia="宋体"/>
          <w:color w:val="auto"/>
          <w:szCs w:val="21"/>
          <w:highlight w:val="none"/>
        </w:rPr>
      </w:pPr>
    </w:p>
    <w:p w14:paraId="144E80F2">
      <w:pPr>
        <w:pStyle w:val="2"/>
        <w:shd w:val="clear"/>
        <w:jc w:val="center"/>
        <w:rPr>
          <w:color w:val="auto"/>
          <w:highlight w:val="none"/>
        </w:rPr>
      </w:pPr>
      <w:bookmarkStart w:id="160" w:name="_Toc197530174"/>
      <w:bookmarkStart w:id="161" w:name="_Toc145955960"/>
      <w:r>
        <w:rPr>
          <w:rFonts w:hint="eastAsia"/>
          <w:color w:val="auto"/>
          <w:highlight w:val="none"/>
        </w:rPr>
        <w:t>第八</w:t>
      </w:r>
      <w:r>
        <w:rPr>
          <w:rFonts w:hint="eastAsia" w:ascii="宋体" w:hAnsi="宋体" w:eastAsia="宋体"/>
          <w:color w:val="auto"/>
          <w:spacing w:val="100"/>
          <w:highlight w:val="none"/>
        </w:rPr>
        <w:t>章</w:t>
      </w:r>
      <w:r>
        <w:rPr>
          <w:rFonts w:hint="eastAsia"/>
          <w:color w:val="auto"/>
          <w:highlight w:val="none"/>
        </w:rPr>
        <w:t>质疑、投诉材料格式</w:t>
      </w:r>
      <w:bookmarkEnd w:id="160"/>
      <w:bookmarkEnd w:id="161"/>
    </w:p>
    <w:p w14:paraId="22B57ECF">
      <w:pPr>
        <w:shd w:val="clear"/>
        <w:rPr>
          <w:color w:val="auto"/>
          <w:highlight w:val="none"/>
        </w:rPr>
        <w:sectPr>
          <w:pgSz w:w="11906" w:h="16838"/>
          <w:pgMar w:top="1134" w:right="1134" w:bottom="1134" w:left="1134" w:header="851" w:footer="992" w:gutter="0"/>
          <w:cols w:space="425" w:num="1"/>
          <w:docGrid w:type="lines" w:linePitch="312" w:charSpace="0"/>
        </w:sectPr>
      </w:pPr>
    </w:p>
    <w:p w14:paraId="27CE9C33">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质疑函（格式）</w:t>
      </w:r>
    </w:p>
    <w:p w14:paraId="3C4B1191">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一、质疑供应商基本信息：</w:t>
      </w:r>
    </w:p>
    <w:p w14:paraId="26EDB4A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质疑供应商：</w:t>
      </w:r>
      <w:r>
        <w:rPr>
          <w:rFonts w:ascii="Times New Roman" w:hAnsi="Times New Roman" w:eastAsia="宋体" w:cs="Times New Roman"/>
          <w:color w:val="auto"/>
          <w:szCs w:val="21"/>
          <w:highlight w:val="none"/>
        </w:rPr>
        <w:t>____________________________________________________________________________</w:t>
      </w:r>
    </w:p>
    <w:p w14:paraId="08374CD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r>
        <w:rPr>
          <w:rFonts w:ascii="Times New Roman" w:hAnsi="Times New Roman" w:eastAsia="宋体" w:cs="Times New Roman"/>
          <w:color w:val="auto"/>
          <w:szCs w:val="21"/>
          <w:highlight w:val="none"/>
        </w:rPr>
        <w:t>______________________________________</w:t>
      </w:r>
      <w:r>
        <w:rPr>
          <w:rFonts w:hint="eastAsia" w:ascii="宋体" w:hAnsi="宋体" w:eastAsia="宋体"/>
          <w:color w:val="auto"/>
          <w:szCs w:val="21"/>
          <w:highlight w:val="none"/>
        </w:rPr>
        <w:t>邮编：</w:t>
      </w:r>
      <w:r>
        <w:rPr>
          <w:rFonts w:ascii="Times New Roman" w:hAnsi="Times New Roman" w:eastAsia="宋体" w:cs="Times New Roman"/>
          <w:color w:val="auto"/>
          <w:szCs w:val="21"/>
          <w:highlight w:val="none"/>
        </w:rPr>
        <w:t>_______________________________________</w:t>
      </w:r>
    </w:p>
    <w:p w14:paraId="4C8CCC52">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联系人：</w:t>
      </w:r>
      <w:r>
        <w:rPr>
          <w:rFonts w:ascii="Times New Roman" w:hAnsi="Times New Roman" w:eastAsia="宋体" w:cs="Times New Roman"/>
          <w:color w:val="auto"/>
          <w:szCs w:val="21"/>
          <w:highlight w:val="none"/>
        </w:rPr>
        <w:t>____________________________________</w:t>
      </w:r>
      <w:r>
        <w:rPr>
          <w:rFonts w:hint="eastAsia" w:ascii="宋体" w:hAnsi="宋体" w:eastAsia="宋体"/>
          <w:color w:val="auto"/>
          <w:szCs w:val="21"/>
          <w:highlight w:val="none"/>
        </w:rPr>
        <w:t>联系电话：</w:t>
      </w:r>
      <w:r>
        <w:rPr>
          <w:rFonts w:ascii="Times New Roman" w:hAnsi="Times New Roman" w:eastAsia="宋体" w:cs="Times New Roman"/>
          <w:color w:val="auto"/>
          <w:szCs w:val="21"/>
          <w:highlight w:val="none"/>
        </w:rPr>
        <w:t>__________________________________</w:t>
      </w:r>
    </w:p>
    <w:p w14:paraId="5087404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授权代表：</w:t>
      </w:r>
      <w:r>
        <w:rPr>
          <w:rFonts w:ascii="Times New Roman" w:hAnsi="Times New Roman" w:eastAsia="宋体" w:cs="Times New Roman"/>
          <w:color w:val="auto"/>
          <w:szCs w:val="21"/>
          <w:highlight w:val="none"/>
        </w:rPr>
        <w:t>______________________________________________________________________________</w:t>
      </w:r>
    </w:p>
    <w:p w14:paraId="6FBAB3F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联系电话：</w:t>
      </w:r>
      <w:r>
        <w:rPr>
          <w:rFonts w:ascii="Times New Roman" w:hAnsi="Times New Roman" w:eastAsia="宋体" w:cs="Times New Roman"/>
          <w:color w:val="auto"/>
          <w:szCs w:val="21"/>
          <w:highlight w:val="none"/>
        </w:rPr>
        <w:t>______________________________________________________________________________</w:t>
      </w:r>
    </w:p>
    <w:p w14:paraId="6898184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r>
        <w:rPr>
          <w:rFonts w:ascii="Times New Roman" w:hAnsi="Times New Roman" w:eastAsia="宋体" w:cs="Times New Roman"/>
          <w:color w:val="auto"/>
          <w:szCs w:val="21"/>
          <w:highlight w:val="none"/>
        </w:rPr>
        <w:t>______________________________________</w:t>
      </w:r>
      <w:r>
        <w:rPr>
          <w:rFonts w:hint="eastAsia" w:ascii="宋体" w:hAnsi="宋体" w:eastAsia="宋体"/>
          <w:color w:val="auto"/>
          <w:szCs w:val="21"/>
          <w:highlight w:val="none"/>
        </w:rPr>
        <w:t>邮编：</w:t>
      </w:r>
      <w:r>
        <w:rPr>
          <w:rFonts w:ascii="Times New Roman" w:hAnsi="Times New Roman" w:eastAsia="宋体" w:cs="Times New Roman"/>
          <w:color w:val="auto"/>
          <w:szCs w:val="21"/>
          <w:highlight w:val="none"/>
        </w:rPr>
        <w:t>______________________________________</w:t>
      </w:r>
    </w:p>
    <w:p w14:paraId="2DE913B9">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二、质疑项目基本情况：</w:t>
      </w:r>
    </w:p>
    <w:p w14:paraId="61A65A33">
      <w:pPr>
        <w:shd w:val="clea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质疑项目的名称：</w:t>
      </w:r>
      <w:r>
        <w:rPr>
          <w:rFonts w:ascii="Times New Roman" w:hAnsi="Times New Roman" w:eastAsia="宋体" w:cs="Times New Roman"/>
          <w:color w:val="auto"/>
          <w:szCs w:val="21"/>
          <w:highlight w:val="none"/>
        </w:rPr>
        <w:t>_______________________________________________________________________</w:t>
      </w:r>
    </w:p>
    <w:p w14:paraId="45DF46FF">
      <w:pPr>
        <w:shd w:val="clea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质疑项目的编号：</w:t>
      </w:r>
      <w:r>
        <w:rPr>
          <w:rFonts w:ascii="Times New Roman" w:hAnsi="Times New Roman" w:eastAsia="宋体" w:cs="Times New Roman"/>
          <w:color w:val="auto"/>
          <w:szCs w:val="21"/>
          <w:highlight w:val="none"/>
        </w:rPr>
        <w:t>_______________________________________________________________________</w:t>
      </w:r>
    </w:p>
    <w:p w14:paraId="21B370C4">
      <w:pPr>
        <w:shd w:val="clea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采购人名称：</w:t>
      </w:r>
      <w:r>
        <w:rPr>
          <w:rFonts w:ascii="Times New Roman" w:hAnsi="Times New Roman" w:eastAsia="宋体" w:cs="Times New Roman"/>
          <w:color w:val="auto"/>
          <w:szCs w:val="21"/>
          <w:highlight w:val="none"/>
        </w:rPr>
        <w:t>___________________________________________________________________________</w:t>
      </w:r>
    </w:p>
    <w:p w14:paraId="7BF9D7A8">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质疑事项：</w:t>
      </w:r>
    </w:p>
    <w:p w14:paraId="3AD33AA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□采购文件，采购文件获取日期：</w:t>
      </w:r>
      <w:r>
        <w:rPr>
          <w:rFonts w:ascii="Times New Roman" w:hAnsi="Times New Roman" w:eastAsia="宋体" w:cs="Times New Roman"/>
          <w:color w:val="auto"/>
          <w:szCs w:val="21"/>
          <w:highlight w:val="none"/>
        </w:rPr>
        <w:t>__________________________________________________________</w:t>
      </w:r>
    </w:p>
    <w:p w14:paraId="547EAF0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□采购过程</w:t>
      </w:r>
    </w:p>
    <w:p w14:paraId="1B0D718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□成交结果</w:t>
      </w:r>
    </w:p>
    <w:p w14:paraId="6DC8A3DA">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三、质疑事项具体内容</w:t>
      </w:r>
    </w:p>
    <w:p w14:paraId="4542C64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质疑事项1：</w:t>
      </w:r>
      <w:r>
        <w:rPr>
          <w:rFonts w:ascii="Times New Roman" w:hAnsi="Times New Roman" w:eastAsia="宋体" w:cs="Times New Roman"/>
          <w:color w:val="auto"/>
          <w:szCs w:val="21"/>
          <w:highlight w:val="none"/>
        </w:rPr>
        <w:t>____________________________________________________________________________</w:t>
      </w:r>
    </w:p>
    <w:p w14:paraId="2DBE453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事实依据：</w:t>
      </w:r>
      <w:r>
        <w:rPr>
          <w:rFonts w:ascii="Times New Roman" w:hAnsi="Times New Roman" w:eastAsia="宋体" w:cs="Times New Roman"/>
          <w:color w:val="auto"/>
          <w:szCs w:val="21"/>
          <w:highlight w:val="none"/>
        </w:rPr>
        <w:t>______________________________________________________________________________</w:t>
      </w:r>
    </w:p>
    <w:p w14:paraId="77727FF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法律依据：</w:t>
      </w:r>
      <w:r>
        <w:rPr>
          <w:rFonts w:ascii="Times New Roman" w:hAnsi="Times New Roman" w:eastAsia="宋体" w:cs="Times New Roman"/>
          <w:color w:val="auto"/>
          <w:szCs w:val="21"/>
          <w:highlight w:val="none"/>
        </w:rPr>
        <w:t>______________________________________________________________________________</w:t>
      </w:r>
    </w:p>
    <w:p w14:paraId="7EA3DB8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质疑事项2：</w:t>
      </w:r>
      <w:r>
        <w:rPr>
          <w:rFonts w:ascii="Times New Roman" w:hAnsi="Times New Roman" w:eastAsia="宋体" w:cs="Times New Roman"/>
          <w:color w:val="auto"/>
          <w:szCs w:val="21"/>
          <w:highlight w:val="none"/>
        </w:rPr>
        <w:t>____________________________________________________________________________</w:t>
      </w:r>
    </w:p>
    <w:p w14:paraId="6F2AB2AC">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w:t>
      </w:r>
    </w:p>
    <w:p w14:paraId="54155377">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四、与质疑事项相关的质疑请求：</w:t>
      </w:r>
    </w:p>
    <w:p w14:paraId="512FD41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请求：</w:t>
      </w:r>
      <w:r>
        <w:rPr>
          <w:rFonts w:ascii="Times New Roman" w:hAnsi="Times New Roman" w:eastAsia="宋体" w:cs="Times New Roman"/>
          <w:color w:val="auto"/>
          <w:szCs w:val="21"/>
          <w:highlight w:val="none"/>
        </w:rPr>
        <w:t>__________________________________________________________________________________</w:t>
      </w:r>
    </w:p>
    <w:p w14:paraId="32E98593">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签字（签章）：</w:t>
      </w:r>
      <w:r>
        <w:rPr>
          <w:rFonts w:ascii="Times New Roman" w:hAnsi="Times New Roman" w:eastAsia="宋体" w:cs="Times New Roman"/>
          <w:color w:val="auto"/>
          <w:szCs w:val="21"/>
          <w:highlight w:val="none"/>
        </w:rPr>
        <w:t>____________________________________</w:t>
      </w:r>
      <w:r>
        <w:rPr>
          <w:rFonts w:hint="eastAsia" w:ascii="宋体" w:hAnsi="宋体" w:eastAsia="宋体"/>
          <w:color w:val="auto"/>
          <w:szCs w:val="21"/>
          <w:highlight w:val="none"/>
        </w:rPr>
        <w:t>公章：</w:t>
      </w:r>
      <w:r>
        <w:rPr>
          <w:rFonts w:ascii="Times New Roman" w:hAnsi="Times New Roman" w:eastAsia="宋体" w:cs="Times New Roman"/>
          <w:color w:val="auto"/>
          <w:szCs w:val="21"/>
          <w:highlight w:val="none"/>
        </w:rPr>
        <w:t>___________________________________</w:t>
      </w:r>
    </w:p>
    <w:p w14:paraId="43B629D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日期：</w:t>
      </w:r>
      <w:r>
        <w:rPr>
          <w:rFonts w:ascii="宋体" w:hAnsi="宋体" w:eastAsia="宋体"/>
          <w:color w:val="auto"/>
          <w:szCs w:val="21"/>
          <w:highlight w:val="none"/>
        </w:rPr>
        <w:t>______</w:t>
      </w:r>
      <w:r>
        <w:rPr>
          <w:rFonts w:hint="eastAsia" w:ascii="宋体" w:hAnsi="宋体" w:eastAsia="宋体"/>
          <w:color w:val="auto"/>
          <w:szCs w:val="21"/>
          <w:highlight w:val="none"/>
        </w:rPr>
        <w:t>年</w:t>
      </w:r>
      <w:r>
        <w:rPr>
          <w:rFonts w:ascii="宋体" w:hAnsi="宋体" w:eastAsia="宋体"/>
          <w:color w:val="auto"/>
          <w:szCs w:val="21"/>
          <w:highlight w:val="none"/>
        </w:rPr>
        <w:t>______</w:t>
      </w:r>
      <w:r>
        <w:rPr>
          <w:rFonts w:hint="eastAsia" w:ascii="宋体" w:hAnsi="宋体" w:eastAsia="宋体"/>
          <w:color w:val="auto"/>
          <w:szCs w:val="21"/>
          <w:highlight w:val="none"/>
        </w:rPr>
        <w:t>月</w:t>
      </w:r>
      <w:r>
        <w:rPr>
          <w:rFonts w:ascii="宋体" w:hAnsi="宋体" w:eastAsia="宋体"/>
          <w:color w:val="auto"/>
          <w:szCs w:val="21"/>
          <w:highlight w:val="none"/>
        </w:rPr>
        <w:t>______</w:t>
      </w:r>
      <w:r>
        <w:rPr>
          <w:rFonts w:hint="eastAsia" w:ascii="宋体" w:hAnsi="宋体" w:eastAsia="宋体"/>
          <w:color w:val="auto"/>
          <w:szCs w:val="21"/>
          <w:highlight w:val="none"/>
        </w:rPr>
        <w:t>日</w:t>
      </w:r>
    </w:p>
    <w:p w14:paraId="3E7054AE">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说明：</w:t>
      </w:r>
    </w:p>
    <w:p w14:paraId="766D71CC">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1.供应商提出质疑时，应提交质疑函和必要的证明材料。</w:t>
      </w:r>
    </w:p>
    <w:p w14:paraId="5FB3901A">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6AC0BFE">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3.质疑函的质疑事项应具体、明确，并有必要的事实依据和法律依据。</w:t>
      </w:r>
    </w:p>
    <w:p w14:paraId="1154BAE3">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4.质疑函的质疑请求应与质疑事项相关。</w:t>
      </w:r>
    </w:p>
    <w:p w14:paraId="7A923EFF">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5.质疑供应商为法人或者其他组织的，质疑函应由法定代表人、主要负责人，或者其授权代表签字或者盖章，并加盖公章。</w:t>
      </w:r>
    </w:p>
    <w:p w14:paraId="5787C71A">
      <w:pPr>
        <w:shd w:val="clear"/>
        <w:spacing w:line="360" w:lineRule="auto"/>
        <w:ind w:firstLine="422" w:firstLineChars="200"/>
        <w:rPr>
          <w:rFonts w:ascii="宋体" w:hAnsi="宋体" w:eastAsia="宋体"/>
          <w:b/>
          <w:color w:val="auto"/>
          <w:szCs w:val="21"/>
          <w:highlight w:val="none"/>
        </w:rPr>
        <w:sectPr>
          <w:pgSz w:w="11906" w:h="16838"/>
          <w:pgMar w:top="1134" w:right="1134" w:bottom="1134" w:left="1134" w:header="851" w:footer="992" w:gutter="0"/>
          <w:cols w:space="425" w:num="1"/>
          <w:docGrid w:type="lines" w:linePitch="312" w:charSpace="0"/>
        </w:sectPr>
      </w:pPr>
    </w:p>
    <w:p w14:paraId="0EEE2410">
      <w:pPr>
        <w:shd w:val="clear"/>
        <w:spacing w:line="360" w:lineRule="auto"/>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投诉书（格式）</w:t>
      </w:r>
    </w:p>
    <w:p w14:paraId="60EA37B4">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一、投诉相关主体基本情况：</w:t>
      </w:r>
    </w:p>
    <w:p w14:paraId="1467CF9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供应商：</w:t>
      </w:r>
      <w:r>
        <w:rPr>
          <w:rFonts w:ascii="Times New Roman" w:hAnsi="Times New Roman" w:eastAsia="宋体" w:cs="Times New Roman"/>
          <w:color w:val="auto"/>
          <w:szCs w:val="21"/>
          <w:highlight w:val="none"/>
        </w:rPr>
        <w:t>______________________________________________________________________________</w:t>
      </w:r>
    </w:p>
    <w:p w14:paraId="6D933CC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r>
        <w:rPr>
          <w:rFonts w:ascii="Times New Roman" w:hAnsi="Times New Roman" w:eastAsia="宋体" w:cs="Times New Roman"/>
          <w:color w:val="auto"/>
          <w:szCs w:val="21"/>
          <w:highlight w:val="none"/>
        </w:rPr>
        <w:t>_____________________________________</w:t>
      </w:r>
      <w:r>
        <w:rPr>
          <w:rFonts w:hint="eastAsia" w:ascii="宋体" w:hAnsi="宋体" w:eastAsia="宋体"/>
          <w:color w:val="auto"/>
          <w:szCs w:val="21"/>
          <w:highlight w:val="none"/>
        </w:rPr>
        <w:t>邮编：</w:t>
      </w:r>
      <w:r>
        <w:rPr>
          <w:rFonts w:ascii="Times New Roman" w:hAnsi="Times New Roman" w:eastAsia="宋体" w:cs="Times New Roman"/>
          <w:color w:val="auto"/>
          <w:szCs w:val="21"/>
          <w:highlight w:val="none"/>
        </w:rPr>
        <w:t>______________________________________</w:t>
      </w:r>
    </w:p>
    <w:p w14:paraId="448F7A3B">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法定代表人/主要负责人：</w:t>
      </w:r>
      <w:r>
        <w:rPr>
          <w:rFonts w:ascii="Times New Roman" w:hAnsi="Times New Roman" w:eastAsia="宋体" w:cs="Times New Roman"/>
          <w:color w:val="auto"/>
          <w:szCs w:val="21"/>
          <w:highlight w:val="none"/>
        </w:rPr>
        <w:t>_______________________________________________________________</w:t>
      </w:r>
    </w:p>
    <w:p w14:paraId="4F50FE7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联系电话：</w:t>
      </w:r>
      <w:r>
        <w:rPr>
          <w:rFonts w:ascii="Times New Roman" w:hAnsi="Times New Roman" w:eastAsia="宋体" w:cs="Times New Roman"/>
          <w:color w:val="auto"/>
          <w:szCs w:val="21"/>
          <w:highlight w:val="none"/>
        </w:rPr>
        <w:t>____________________________________________________________________________</w:t>
      </w:r>
    </w:p>
    <w:p w14:paraId="713F6E6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授权代表：</w:t>
      </w:r>
      <w:r>
        <w:rPr>
          <w:rFonts w:ascii="Times New Roman" w:hAnsi="Times New Roman" w:eastAsia="宋体" w:cs="Times New Roman"/>
          <w:color w:val="auto"/>
          <w:szCs w:val="21"/>
          <w:highlight w:val="none"/>
        </w:rPr>
        <w:t>_________________________________</w:t>
      </w:r>
      <w:r>
        <w:rPr>
          <w:rFonts w:hint="eastAsia" w:ascii="宋体" w:hAnsi="宋体" w:eastAsia="宋体"/>
          <w:color w:val="auto"/>
          <w:szCs w:val="21"/>
          <w:highlight w:val="none"/>
        </w:rPr>
        <w:t>联系电话：</w:t>
      </w:r>
      <w:r>
        <w:rPr>
          <w:rFonts w:ascii="Times New Roman" w:hAnsi="Times New Roman" w:eastAsia="宋体" w:cs="Times New Roman"/>
          <w:color w:val="auto"/>
          <w:szCs w:val="21"/>
          <w:highlight w:val="none"/>
        </w:rPr>
        <w:t>__________________________________</w:t>
      </w:r>
    </w:p>
    <w:p w14:paraId="297A53D6">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r>
        <w:rPr>
          <w:rFonts w:ascii="Times New Roman" w:hAnsi="Times New Roman" w:eastAsia="宋体" w:cs="Times New Roman"/>
          <w:color w:val="auto"/>
          <w:szCs w:val="21"/>
          <w:highlight w:val="none"/>
        </w:rPr>
        <w:t>________________________________________________________________________________</w:t>
      </w:r>
    </w:p>
    <w:p w14:paraId="54EEEF1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邮编：</w:t>
      </w:r>
      <w:r>
        <w:rPr>
          <w:rFonts w:ascii="Times New Roman" w:hAnsi="Times New Roman" w:eastAsia="宋体" w:cs="Times New Roman"/>
          <w:color w:val="auto"/>
          <w:szCs w:val="21"/>
          <w:highlight w:val="none"/>
        </w:rPr>
        <w:t>________________________________________________________________________________</w:t>
      </w:r>
    </w:p>
    <w:p w14:paraId="6D562D1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被投诉人1：</w:t>
      </w:r>
      <w:r>
        <w:rPr>
          <w:rFonts w:ascii="Times New Roman" w:hAnsi="Times New Roman" w:eastAsia="宋体" w:cs="Times New Roman"/>
          <w:color w:val="auto"/>
          <w:szCs w:val="21"/>
          <w:highlight w:val="none"/>
        </w:rPr>
        <w:t>__________________________________________________________________________</w:t>
      </w:r>
    </w:p>
    <w:p w14:paraId="1E0D14B1">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r>
        <w:rPr>
          <w:rFonts w:ascii="Times New Roman" w:hAnsi="Times New Roman" w:eastAsia="宋体" w:cs="Times New Roman"/>
          <w:color w:val="auto"/>
          <w:szCs w:val="21"/>
          <w:highlight w:val="none"/>
        </w:rPr>
        <w:t>________________________________________________________________________________</w:t>
      </w:r>
    </w:p>
    <w:p w14:paraId="76DF807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邮编：</w:t>
      </w:r>
      <w:r>
        <w:rPr>
          <w:rFonts w:ascii="Times New Roman" w:hAnsi="Times New Roman" w:eastAsia="宋体" w:cs="Times New Roman"/>
          <w:color w:val="auto"/>
          <w:szCs w:val="21"/>
          <w:highlight w:val="none"/>
        </w:rPr>
        <w:t>________________________________________________________________________________</w:t>
      </w:r>
    </w:p>
    <w:p w14:paraId="7750884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联系人：</w:t>
      </w:r>
      <w:r>
        <w:rPr>
          <w:rFonts w:ascii="Times New Roman" w:hAnsi="Times New Roman" w:eastAsia="宋体" w:cs="Times New Roman"/>
          <w:color w:val="auto"/>
          <w:szCs w:val="21"/>
          <w:highlight w:val="none"/>
        </w:rPr>
        <w:t>__________________________________</w:t>
      </w:r>
      <w:r>
        <w:rPr>
          <w:rFonts w:hint="eastAsia" w:ascii="宋体" w:hAnsi="宋体" w:eastAsia="宋体"/>
          <w:color w:val="auto"/>
          <w:szCs w:val="21"/>
          <w:highlight w:val="none"/>
        </w:rPr>
        <w:t>联系电话：</w:t>
      </w:r>
      <w:r>
        <w:rPr>
          <w:rFonts w:ascii="Times New Roman" w:hAnsi="Times New Roman" w:eastAsia="宋体" w:cs="Times New Roman"/>
          <w:color w:val="auto"/>
          <w:szCs w:val="21"/>
          <w:highlight w:val="none"/>
        </w:rPr>
        <w:t>___________________________________</w:t>
      </w:r>
    </w:p>
    <w:p w14:paraId="678A1D55">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被投诉人2：</w:t>
      </w:r>
      <w:r>
        <w:rPr>
          <w:rFonts w:ascii="Times New Roman" w:hAnsi="Times New Roman" w:eastAsia="宋体" w:cs="Times New Roman"/>
          <w:color w:val="auto"/>
          <w:szCs w:val="21"/>
          <w:highlight w:val="none"/>
        </w:rPr>
        <w:t>__________________________________________________________________________</w:t>
      </w:r>
    </w:p>
    <w:p w14:paraId="38942F9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w:t>
      </w:r>
    </w:p>
    <w:p w14:paraId="27F30C1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相关供应商：</w:t>
      </w:r>
      <w:r>
        <w:rPr>
          <w:rFonts w:ascii="Times New Roman" w:hAnsi="Times New Roman" w:eastAsia="宋体" w:cs="Times New Roman"/>
          <w:color w:val="auto"/>
          <w:szCs w:val="21"/>
          <w:highlight w:val="none"/>
        </w:rPr>
        <w:t>__________________________________________________________________________</w:t>
      </w:r>
    </w:p>
    <w:p w14:paraId="3223FD2A">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地址：</w:t>
      </w:r>
      <w:r>
        <w:rPr>
          <w:rFonts w:ascii="Times New Roman" w:hAnsi="Times New Roman" w:eastAsia="宋体" w:cs="Times New Roman"/>
          <w:color w:val="auto"/>
          <w:szCs w:val="21"/>
          <w:highlight w:val="none"/>
        </w:rPr>
        <w:t>_____________________________________</w:t>
      </w:r>
      <w:r>
        <w:rPr>
          <w:rFonts w:hint="eastAsia" w:ascii="宋体" w:hAnsi="宋体" w:eastAsia="宋体"/>
          <w:color w:val="auto"/>
          <w:szCs w:val="21"/>
          <w:highlight w:val="none"/>
        </w:rPr>
        <w:t>邮编：</w:t>
      </w:r>
      <w:r>
        <w:rPr>
          <w:rFonts w:ascii="Times New Roman" w:hAnsi="Times New Roman" w:eastAsia="宋体" w:cs="Times New Roman"/>
          <w:color w:val="auto"/>
          <w:szCs w:val="21"/>
          <w:highlight w:val="none"/>
        </w:rPr>
        <w:t>______________________________________</w:t>
      </w:r>
    </w:p>
    <w:p w14:paraId="29B4052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联系人：</w:t>
      </w:r>
      <w:r>
        <w:rPr>
          <w:rFonts w:ascii="Times New Roman" w:hAnsi="Times New Roman" w:eastAsia="宋体" w:cs="Times New Roman"/>
          <w:color w:val="auto"/>
          <w:szCs w:val="21"/>
          <w:highlight w:val="none"/>
        </w:rPr>
        <w:t>__________________________________</w:t>
      </w:r>
      <w:r>
        <w:rPr>
          <w:rFonts w:hint="eastAsia" w:ascii="宋体" w:hAnsi="宋体" w:eastAsia="宋体"/>
          <w:color w:val="auto"/>
          <w:szCs w:val="21"/>
          <w:highlight w:val="none"/>
        </w:rPr>
        <w:t>联系电话：</w:t>
      </w:r>
      <w:r>
        <w:rPr>
          <w:rFonts w:ascii="Times New Roman" w:hAnsi="Times New Roman" w:eastAsia="宋体" w:cs="Times New Roman"/>
          <w:color w:val="auto"/>
          <w:szCs w:val="21"/>
          <w:highlight w:val="none"/>
        </w:rPr>
        <w:t>___________________________________</w:t>
      </w:r>
    </w:p>
    <w:p w14:paraId="7A379624">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二、投诉项目基本情况：</w:t>
      </w:r>
    </w:p>
    <w:p w14:paraId="4187DA84">
      <w:pPr>
        <w:shd w:val="clea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采购项目的名称：</w:t>
      </w:r>
      <w:r>
        <w:rPr>
          <w:rFonts w:ascii="Times New Roman" w:hAnsi="Times New Roman" w:eastAsia="宋体" w:cs="Times New Roman"/>
          <w:color w:val="auto"/>
          <w:szCs w:val="21"/>
          <w:highlight w:val="none"/>
        </w:rPr>
        <w:t>____________________________________________________________________</w:t>
      </w:r>
    </w:p>
    <w:p w14:paraId="13D6C21D">
      <w:pPr>
        <w:shd w:val="clea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采购项目的编号：</w:t>
      </w:r>
      <w:r>
        <w:rPr>
          <w:rFonts w:ascii="Times New Roman" w:hAnsi="Times New Roman" w:eastAsia="宋体" w:cs="Times New Roman"/>
          <w:color w:val="auto"/>
          <w:szCs w:val="21"/>
          <w:highlight w:val="none"/>
        </w:rPr>
        <w:t>____________________________________________________________________</w:t>
      </w:r>
    </w:p>
    <w:p w14:paraId="30E182F1">
      <w:pPr>
        <w:shd w:val="clea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采购人名称：</w:t>
      </w:r>
      <w:r>
        <w:rPr>
          <w:rFonts w:ascii="Times New Roman" w:hAnsi="Times New Roman" w:eastAsia="宋体" w:cs="Times New Roman"/>
          <w:color w:val="auto"/>
          <w:szCs w:val="21"/>
          <w:highlight w:val="none"/>
        </w:rPr>
        <w:t>________________________________________________________________________</w:t>
      </w:r>
    </w:p>
    <w:p w14:paraId="56691810">
      <w:pPr>
        <w:shd w:val="clear"/>
        <w:spacing w:line="360" w:lineRule="auto"/>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代理机构名称：</w:t>
      </w:r>
      <w:r>
        <w:rPr>
          <w:rFonts w:ascii="Times New Roman" w:hAnsi="Times New Roman" w:eastAsia="宋体" w:cs="Times New Roman"/>
          <w:color w:val="auto"/>
          <w:szCs w:val="21"/>
          <w:highlight w:val="none"/>
        </w:rPr>
        <w:t>______________________________________________________________________</w:t>
      </w:r>
    </w:p>
    <w:p w14:paraId="18CD06B7">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招标文件公告：</w:t>
      </w:r>
      <w:r>
        <w:rPr>
          <w:rFonts w:hint="eastAsia" w:ascii="宋体" w:hAnsi="宋体" w:eastAsia="宋体"/>
          <w:color w:val="auto"/>
          <w:szCs w:val="21"/>
          <w:highlight w:val="none"/>
          <w:u w:val="single"/>
        </w:rPr>
        <w:t>是/否</w:t>
      </w:r>
      <w:r>
        <w:rPr>
          <w:rFonts w:hint="eastAsia" w:ascii="宋体" w:hAnsi="宋体" w:eastAsia="宋体"/>
          <w:color w:val="auto"/>
          <w:szCs w:val="21"/>
          <w:highlight w:val="none"/>
        </w:rPr>
        <w:t>公告期限：</w:t>
      </w:r>
      <w:r>
        <w:rPr>
          <w:rFonts w:ascii="Times New Roman" w:hAnsi="Times New Roman" w:eastAsia="宋体" w:cs="Times New Roman"/>
          <w:color w:val="auto"/>
          <w:szCs w:val="21"/>
          <w:highlight w:val="none"/>
        </w:rPr>
        <w:t>__________________________________________________________</w:t>
      </w:r>
    </w:p>
    <w:p w14:paraId="0C87595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采购结果公告：是/否公告期限：</w:t>
      </w:r>
      <w:r>
        <w:rPr>
          <w:rFonts w:ascii="Times New Roman" w:hAnsi="Times New Roman" w:eastAsia="宋体" w:cs="Times New Roman"/>
          <w:color w:val="auto"/>
          <w:szCs w:val="21"/>
          <w:highlight w:val="none"/>
        </w:rPr>
        <w:t>__________________________________________________________</w:t>
      </w:r>
    </w:p>
    <w:p w14:paraId="3F7B6E05">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三、质疑基本情况</w:t>
      </w:r>
    </w:p>
    <w:p w14:paraId="7D38829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投诉人于</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日，向</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提出质疑，质疑事项为：</w:t>
      </w:r>
      <w:r>
        <w:rPr>
          <w:rFonts w:ascii="Times New Roman" w:hAnsi="Times New Roman" w:eastAsia="宋体" w:cs="Times New Roman"/>
          <w:color w:val="auto"/>
          <w:szCs w:val="21"/>
          <w:highlight w:val="none"/>
        </w:rPr>
        <w:t>_______________________</w:t>
      </w:r>
    </w:p>
    <w:p w14:paraId="7BF7C83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u w:val="single"/>
        </w:rPr>
        <w:t>采购人/代理机构</w:t>
      </w:r>
      <w:r>
        <w:rPr>
          <w:rFonts w:hint="eastAsia" w:ascii="宋体" w:hAnsi="宋体" w:eastAsia="宋体"/>
          <w:color w:val="auto"/>
          <w:szCs w:val="21"/>
          <w:highlight w:val="none"/>
        </w:rPr>
        <w:t>于</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日，就质疑事项作出了答复/没有在法定期限内作出答复。</w:t>
      </w:r>
    </w:p>
    <w:p w14:paraId="6BC866CD">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四、投诉事项具体内容</w:t>
      </w:r>
    </w:p>
    <w:p w14:paraId="021CC6AE">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投诉事项1：</w:t>
      </w:r>
      <w:r>
        <w:rPr>
          <w:rFonts w:ascii="Times New Roman" w:hAnsi="Times New Roman" w:eastAsia="宋体" w:cs="Times New Roman"/>
          <w:color w:val="auto"/>
          <w:szCs w:val="21"/>
          <w:highlight w:val="none"/>
        </w:rPr>
        <w:t>__________________________________________________________________________</w:t>
      </w:r>
    </w:p>
    <w:p w14:paraId="24FEAC9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事实依据：</w:t>
      </w:r>
      <w:r>
        <w:rPr>
          <w:rFonts w:ascii="Times New Roman" w:hAnsi="Times New Roman" w:eastAsia="宋体" w:cs="Times New Roman"/>
          <w:color w:val="auto"/>
          <w:szCs w:val="21"/>
          <w:highlight w:val="none"/>
        </w:rPr>
        <w:t>____________________________________________________________________________</w:t>
      </w:r>
    </w:p>
    <w:p w14:paraId="59302394">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法律依据：</w:t>
      </w:r>
      <w:r>
        <w:rPr>
          <w:rFonts w:ascii="Times New Roman" w:hAnsi="Times New Roman" w:eastAsia="宋体" w:cs="Times New Roman"/>
          <w:color w:val="auto"/>
          <w:szCs w:val="21"/>
          <w:highlight w:val="none"/>
        </w:rPr>
        <w:t>____________________________________________________________________________</w:t>
      </w:r>
    </w:p>
    <w:p w14:paraId="26D1C5E0">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投诉事项2：</w:t>
      </w:r>
      <w:r>
        <w:rPr>
          <w:rFonts w:ascii="Times New Roman" w:hAnsi="Times New Roman" w:eastAsia="宋体" w:cs="Times New Roman"/>
          <w:color w:val="auto"/>
          <w:szCs w:val="21"/>
          <w:highlight w:val="none"/>
        </w:rPr>
        <w:t>__________________________________________________________________________</w:t>
      </w:r>
    </w:p>
    <w:p w14:paraId="58A0E56F">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w:t>
      </w:r>
    </w:p>
    <w:p w14:paraId="2F8EC2F8">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五、与投诉事项相关的投诉请求：</w:t>
      </w:r>
    </w:p>
    <w:p w14:paraId="12DA704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请求：</w:t>
      </w:r>
      <w:r>
        <w:rPr>
          <w:rFonts w:ascii="Times New Roman" w:hAnsi="Times New Roman" w:eastAsia="宋体" w:cs="Times New Roman"/>
          <w:color w:val="auto"/>
          <w:szCs w:val="21"/>
          <w:highlight w:val="none"/>
        </w:rPr>
        <w:t>________________________________________________________________________________</w:t>
      </w:r>
    </w:p>
    <w:p w14:paraId="6112E308">
      <w:pPr>
        <w:shd w:val="clear"/>
        <w:spacing w:line="360" w:lineRule="auto"/>
        <w:ind w:firstLine="420" w:firstLineChars="200"/>
        <w:rPr>
          <w:rFonts w:ascii="宋体" w:hAnsi="宋体" w:eastAsia="宋体"/>
          <w:color w:val="auto"/>
          <w:szCs w:val="21"/>
          <w:highlight w:val="none"/>
        </w:rPr>
      </w:pPr>
    </w:p>
    <w:p w14:paraId="2C9C986D">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签字（签章）：</w:t>
      </w:r>
      <w:r>
        <w:rPr>
          <w:rFonts w:ascii="Times New Roman" w:hAnsi="Times New Roman" w:eastAsia="宋体" w:cs="Times New Roman"/>
          <w:color w:val="auto"/>
          <w:szCs w:val="21"/>
          <w:highlight w:val="none"/>
        </w:rPr>
        <w:t>___________________________________</w:t>
      </w:r>
      <w:r>
        <w:rPr>
          <w:rFonts w:hint="eastAsia" w:ascii="宋体" w:hAnsi="宋体" w:eastAsia="宋体"/>
          <w:color w:val="auto"/>
          <w:szCs w:val="21"/>
          <w:highlight w:val="none"/>
        </w:rPr>
        <w:t>公章：</w:t>
      </w:r>
      <w:r>
        <w:rPr>
          <w:rFonts w:ascii="Times New Roman" w:hAnsi="Times New Roman" w:eastAsia="宋体" w:cs="Times New Roman"/>
          <w:color w:val="auto"/>
          <w:szCs w:val="21"/>
          <w:highlight w:val="none"/>
        </w:rPr>
        <w:t>__________________________________</w:t>
      </w:r>
    </w:p>
    <w:p w14:paraId="0E90645E">
      <w:pPr>
        <w:shd w:val="clear"/>
        <w:spacing w:line="360" w:lineRule="auto"/>
        <w:ind w:firstLine="420" w:firstLineChars="200"/>
        <w:rPr>
          <w:rFonts w:ascii="宋体" w:hAnsi="宋体" w:eastAsia="宋体"/>
          <w:color w:val="auto"/>
          <w:szCs w:val="21"/>
          <w:highlight w:val="none"/>
        </w:rPr>
      </w:pPr>
    </w:p>
    <w:p w14:paraId="54672AA9">
      <w:pPr>
        <w:shd w:val="clea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日期：</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年</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月</w:t>
      </w:r>
      <w:r>
        <w:rPr>
          <w:rFonts w:ascii="Times New Roman" w:hAnsi="Times New Roman" w:eastAsia="宋体" w:cs="Times New Roman"/>
          <w:color w:val="auto"/>
          <w:szCs w:val="21"/>
          <w:highlight w:val="none"/>
        </w:rPr>
        <w:t>______</w:t>
      </w:r>
      <w:r>
        <w:rPr>
          <w:rFonts w:hint="eastAsia" w:ascii="宋体" w:hAnsi="宋体" w:eastAsia="宋体"/>
          <w:color w:val="auto"/>
          <w:szCs w:val="21"/>
          <w:highlight w:val="none"/>
        </w:rPr>
        <w:t>日</w:t>
      </w:r>
    </w:p>
    <w:p w14:paraId="14DC7E4C">
      <w:pPr>
        <w:shd w:val="clear"/>
        <w:spacing w:line="360" w:lineRule="auto"/>
        <w:ind w:firstLine="420" w:firstLineChars="200"/>
        <w:rPr>
          <w:rFonts w:ascii="宋体" w:hAnsi="宋体" w:eastAsia="宋体"/>
          <w:color w:val="auto"/>
          <w:szCs w:val="21"/>
          <w:highlight w:val="none"/>
        </w:rPr>
      </w:pPr>
    </w:p>
    <w:p w14:paraId="69E5E879">
      <w:pPr>
        <w:shd w:val="clear"/>
        <w:spacing w:line="360" w:lineRule="auto"/>
        <w:ind w:firstLine="420" w:firstLineChars="200"/>
        <w:rPr>
          <w:rFonts w:ascii="宋体" w:hAnsi="宋体" w:eastAsia="宋体"/>
          <w:color w:val="auto"/>
          <w:szCs w:val="21"/>
          <w:highlight w:val="none"/>
        </w:rPr>
      </w:pPr>
    </w:p>
    <w:p w14:paraId="34145302">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说明：</w:t>
      </w:r>
    </w:p>
    <w:p w14:paraId="0AC14088">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1.投诉人提起投诉时，应当提交投诉书和必要的证明材料，并按照被投诉人和与投诉事项有关的供应商数量提供投诉书副本。</w:t>
      </w:r>
    </w:p>
    <w:p w14:paraId="32D55BDA">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E3187BF">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3.投诉书应简要列明质疑事项，质疑函、质疑答复等作为附件材料提供。</w:t>
      </w:r>
    </w:p>
    <w:p w14:paraId="0D318427">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4.投诉书的投诉事项应具体、明确，并有必要的事实依据和法律依据。</w:t>
      </w:r>
    </w:p>
    <w:p w14:paraId="3FA796DF">
      <w:pPr>
        <w:shd w:val="clear"/>
        <w:spacing w:line="360" w:lineRule="auto"/>
        <w:ind w:firstLine="422" w:firstLineChars="200"/>
        <w:rPr>
          <w:rFonts w:ascii="宋体" w:hAnsi="宋体" w:eastAsia="宋体"/>
          <w:b/>
          <w:color w:val="auto"/>
          <w:szCs w:val="21"/>
          <w:highlight w:val="none"/>
        </w:rPr>
      </w:pPr>
      <w:r>
        <w:rPr>
          <w:rFonts w:hint="eastAsia" w:ascii="宋体" w:hAnsi="宋体" w:eastAsia="宋体"/>
          <w:b/>
          <w:color w:val="auto"/>
          <w:szCs w:val="21"/>
          <w:highlight w:val="none"/>
        </w:rPr>
        <w:t>5.投诉书的投诉请求应与投诉事项相关。</w:t>
      </w:r>
    </w:p>
    <w:p w14:paraId="1B53C686">
      <w:pPr>
        <w:shd w:val="clear"/>
        <w:spacing w:line="360" w:lineRule="auto"/>
        <w:ind w:firstLine="422" w:firstLineChars="200"/>
        <w:rPr>
          <w:rFonts w:ascii="宋体" w:hAnsi="宋体" w:eastAsia="宋体"/>
          <w:color w:val="auto"/>
          <w:szCs w:val="21"/>
          <w:highlight w:val="none"/>
        </w:rPr>
      </w:pPr>
      <w:r>
        <w:rPr>
          <w:rFonts w:hint="eastAsia" w:ascii="宋体" w:hAnsi="宋体" w:eastAsia="宋体"/>
          <w:b/>
          <w:color w:val="auto"/>
          <w:szCs w:val="21"/>
          <w:highlight w:val="none"/>
        </w:rPr>
        <w:t>6.投诉人为法人或者其他组织的，投诉书应由法定代表人、主要负责人，或者其授权代表签字或者盖章，并加盖公章。</w:t>
      </w:r>
    </w:p>
    <w:p w14:paraId="77F3D087">
      <w:pPr>
        <w:shd w:val="clear"/>
        <w:spacing w:line="360" w:lineRule="auto"/>
        <w:ind w:firstLine="420" w:firstLineChars="200"/>
        <w:rPr>
          <w:rFonts w:ascii="宋体" w:hAnsi="宋体" w:eastAsia="宋体"/>
          <w:color w:val="auto"/>
          <w:szCs w:val="21"/>
          <w:highlight w:val="none"/>
        </w:rPr>
      </w:pPr>
    </w:p>
    <w:bookmarkEnd w:id="162"/>
    <w:sectPr>
      <w:pgSz w:w="11906" w:h="16838"/>
      <w:pgMar w:top="1440" w:right="1134"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libri Light">
    <w:altName w:val="Segoe Print"/>
    <w:panose1 w:val="020F0302020204030204"/>
    <w:charset w:val="00"/>
    <w:family w:val="swiss"/>
    <w:pitch w:val="default"/>
    <w:sig w:usb0="00000000" w:usb1="00000000" w:usb2="00000009" w:usb3="00000000" w:csb0="200001FF" w:csb1="00000000"/>
  </w:font>
  <w:font w:name="Segoe Print">
    <w:panose1 w:val="02000600000000000000"/>
    <w:charset w:val="00"/>
    <w:family w:val="auto"/>
    <w:pitch w:val="default"/>
    <w:sig w:usb0="0000028F" w:usb1="00000000" w:usb2="00000000" w:usb3="00000000" w:csb0="2000009F" w:csb1="47010000"/>
  </w:font>
  <w:font w:name="Cambria">
    <w:altName w:val="DejaVu Math TeX Gyre"/>
    <w:panose1 w:val="02040503050406030204"/>
    <w:charset w:val="00"/>
    <w:family w:val="roman"/>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5054276"/>
    </w:sdtPr>
    <w:sdtContent>
      <w:p w14:paraId="0B1E55A8">
        <w:pPr>
          <w:pStyle w:val="26"/>
          <w:jc w:val="center"/>
        </w:pPr>
        <w:r>
          <w:fldChar w:fldCharType="begin"/>
        </w:r>
        <w:r>
          <w:instrText xml:space="preserve">PAGE   \* MERGEFORMAT</w:instrText>
        </w:r>
        <w:r>
          <w:fldChar w:fldCharType="separate"/>
        </w:r>
        <w:r>
          <w:rPr>
            <w:lang w:val="zh-CN"/>
          </w:rPr>
          <w:t>3</w:t>
        </w:r>
        <w:r>
          <w:rPr>
            <w:lang w:val="zh-CN"/>
          </w:rPr>
          <w:fldChar w:fldCharType="end"/>
        </w:r>
      </w:p>
    </w:sdtContent>
  </w:sdt>
  <w:p w14:paraId="25C8C5B4">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1213757"/>
    </w:sdtPr>
    <w:sdtContent>
      <w:p w14:paraId="40B69FD2">
        <w:pPr>
          <w:pStyle w:val="26"/>
          <w:jc w:val="center"/>
        </w:pPr>
        <w:r>
          <w:fldChar w:fldCharType="begin"/>
        </w:r>
        <w:r>
          <w:instrText xml:space="preserve">PAGE   \* MERGEFORMAT</w:instrText>
        </w:r>
        <w:r>
          <w:fldChar w:fldCharType="separate"/>
        </w:r>
        <w:r>
          <w:rPr>
            <w:lang w:val="zh-CN"/>
          </w:rPr>
          <w:t>9</w:t>
        </w:r>
        <w:r>
          <w:rPr>
            <w:lang w:val="zh-CN"/>
          </w:rPr>
          <w:fldChar w:fldCharType="end"/>
        </w:r>
      </w:p>
    </w:sdtContent>
  </w:sdt>
  <w:p w14:paraId="391E1E7F">
    <w:pPr>
      <w:pStyle w:val="2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xYzY0NmViODE5ZDVkNThlODM5YjNjOTRkMWQ2N2IifQ=="/>
    <w:docVar w:name="KSO_WPS_MARK_KEY" w:val="4ad9e56a-09ce-4a91-9a4f-480a10e03d06"/>
  </w:docVars>
  <w:rsids>
    <w:rsidRoot w:val="000C7F7F"/>
    <w:rsid w:val="00000469"/>
    <w:rsid w:val="000004B9"/>
    <w:rsid w:val="000011A4"/>
    <w:rsid w:val="00004EBB"/>
    <w:rsid w:val="00006940"/>
    <w:rsid w:val="00006DAB"/>
    <w:rsid w:val="00007965"/>
    <w:rsid w:val="0001238C"/>
    <w:rsid w:val="00012627"/>
    <w:rsid w:val="000129D1"/>
    <w:rsid w:val="00012B78"/>
    <w:rsid w:val="0001356F"/>
    <w:rsid w:val="00013793"/>
    <w:rsid w:val="00014E74"/>
    <w:rsid w:val="00014F88"/>
    <w:rsid w:val="00015887"/>
    <w:rsid w:val="00016881"/>
    <w:rsid w:val="00017946"/>
    <w:rsid w:val="00021A1E"/>
    <w:rsid w:val="00022515"/>
    <w:rsid w:val="00022A56"/>
    <w:rsid w:val="00022D30"/>
    <w:rsid w:val="00023CAD"/>
    <w:rsid w:val="0002404E"/>
    <w:rsid w:val="00027F56"/>
    <w:rsid w:val="00030CE3"/>
    <w:rsid w:val="0003171A"/>
    <w:rsid w:val="00032C31"/>
    <w:rsid w:val="000352BB"/>
    <w:rsid w:val="00035F35"/>
    <w:rsid w:val="000366E0"/>
    <w:rsid w:val="000379ED"/>
    <w:rsid w:val="00037B44"/>
    <w:rsid w:val="00037BE8"/>
    <w:rsid w:val="00037EC6"/>
    <w:rsid w:val="00040A38"/>
    <w:rsid w:val="00041525"/>
    <w:rsid w:val="00042B8A"/>
    <w:rsid w:val="00042D78"/>
    <w:rsid w:val="00043E08"/>
    <w:rsid w:val="0004453A"/>
    <w:rsid w:val="00044767"/>
    <w:rsid w:val="00044B86"/>
    <w:rsid w:val="0004552B"/>
    <w:rsid w:val="00047840"/>
    <w:rsid w:val="000502EA"/>
    <w:rsid w:val="00050367"/>
    <w:rsid w:val="0005091C"/>
    <w:rsid w:val="000515A3"/>
    <w:rsid w:val="00053A1C"/>
    <w:rsid w:val="00053E09"/>
    <w:rsid w:val="00053F5D"/>
    <w:rsid w:val="00054334"/>
    <w:rsid w:val="00054D5C"/>
    <w:rsid w:val="000552B5"/>
    <w:rsid w:val="0005658E"/>
    <w:rsid w:val="000571F6"/>
    <w:rsid w:val="000606A8"/>
    <w:rsid w:val="00061631"/>
    <w:rsid w:val="0006319A"/>
    <w:rsid w:val="00063484"/>
    <w:rsid w:val="000643B6"/>
    <w:rsid w:val="000669EA"/>
    <w:rsid w:val="000669EC"/>
    <w:rsid w:val="000700D0"/>
    <w:rsid w:val="000702E2"/>
    <w:rsid w:val="00071F4E"/>
    <w:rsid w:val="000729FC"/>
    <w:rsid w:val="00072C9A"/>
    <w:rsid w:val="00073735"/>
    <w:rsid w:val="0007675C"/>
    <w:rsid w:val="000774FC"/>
    <w:rsid w:val="00080AAC"/>
    <w:rsid w:val="000813CD"/>
    <w:rsid w:val="000822E5"/>
    <w:rsid w:val="00085705"/>
    <w:rsid w:val="00085AFD"/>
    <w:rsid w:val="00085CA0"/>
    <w:rsid w:val="00085D81"/>
    <w:rsid w:val="00085EBD"/>
    <w:rsid w:val="00086B72"/>
    <w:rsid w:val="000917E3"/>
    <w:rsid w:val="00092B5E"/>
    <w:rsid w:val="0009308B"/>
    <w:rsid w:val="00094A4E"/>
    <w:rsid w:val="00094AB0"/>
    <w:rsid w:val="00095770"/>
    <w:rsid w:val="000A006D"/>
    <w:rsid w:val="000A168D"/>
    <w:rsid w:val="000A2712"/>
    <w:rsid w:val="000A2825"/>
    <w:rsid w:val="000A311E"/>
    <w:rsid w:val="000A545C"/>
    <w:rsid w:val="000B0A69"/>
    <w:rsid w:val="000B281E"/>
    <w:rsid w:val="000B4548"/>
    <w:rsid w:val="000C07C3"/>
    <w:rsid w:val="000C0F7C"/>
    <w:rsid w:val="000C1A45"/>
    <w:rsid w:val="000C2780"/>
    <w:rsid w:val="000C2F38"/>
    <w:rsid w:val="000C3887"/>
    <w:rsid w:val="000C4174"/>
    <w:rsid w:val="000C5656"/>
    <w:rsid w:val="000C7320"/>
    <w:rsid w:val="000C7F7F"/>
    <w:rsid w:val="000D0283"/>
    <w:rsid w:val="000D155E"/>
    <w:rsid w:val="000D18C8"/>
    <w:rsid w:val="000D2025"/>
    <w:rsid w:val="000D4631"/>
    <w:rsid w:val="000D6443"/>
    <w:rsid w:val="000E1743"/>
    <w:rsid w:val="000E4FE8"/>
    <w:rsid w:val="000E5641"/>
    <w:rsid w:val="000E5C09"/>
    <w:rsid w:val="000E6D4B"/>
    <w:rsid w:val="000F0A70"/>
    <w:rsid w:val="000F0A7F"/>
    <w:rsid w:val="000F1C5E"/>
    <w:rsid w:val="000F28CA"/>
    <w:rsid w:val="000F38A4"/>
    <w:rsid w:val="000F53AF"/>
    <w:rsid w:val="000F628E"/>
    <w:rsid w:val="00100362"/>
    <w:rsid w:val="00101F51"/>
    <w:rsid w:val="00102138"/>
    <w:rsid w:val="0010362E"/>
    <w:rsid w:val="00103760"/>
    <w:rsid w:val="00103866"/>
    <w:rsid w:val="0010413E"/>
    <w:rsid w:val="0010422A"/>
    <w:rsid w:val="00104CDF"/>
    <w:rsid w:val="001073FB"/>
    <w:rsid w:val="00111618"/>
    <w:rsid w:val="00112191"/>
    <w:rsid w:val="00112C8E"/>
    <w:rsid w:val="00112FE5"/>
    <w:rsid w:val="0011383D"/>
    <w:rsid w:val="00116490"/>
    <w:rsid w:val="00116797"/>
    <w:rsid w:val="00117831"/>
    <w:rsid w:val="00117DB2"/>
    <w:rsid w:val="00120A35"/>
    <w:rsid w:val="00121B13"/>
    <w:rsid w:val="00123697"/>
    <w:rsid w:val="001238E8"/>
    <w:rsid w:val="001301B9"/>
    <w:rsid w:val="00130270"/>
    <w:rsid w:val="00130DDA"/>
    <w:rsid w:val="001313A1"/>
    <w:rsid w:val="00131D05"/>
    <w:rsid w:val="0013250F"/>
    <w:rsid w:val="00132E24"/>
    <w:rsid w:val="001332A4"/>
    <w:rsid w:val="001353FC"/>
    <w:rsid w:val="00136317"/>
    <w:rsid w:val="00136439"/>
    <w:rsid w:val="00140BE1"/>
    <w:rsid w:val="00141508"/>
    <w:rsid w:val="00143507"/>
    <w:rsid w:val="0014354F"/>
    <w:rsid w:val="00143ACB"/>
    <w:rsid w:val="0014472F"/>
    <w:rsid w:val="00146995"/>
    <w:rsid w:val="00146E1A"/>
    <w:rsid w:val="001471E1"/>
    <w:rsid w:val="00147BF3"/>
    <w:rsid w:val="00151C02"/>
    <w:rsid w:val="00151E23"/>
    <w:rsid w:val="00151F3C"/>
    <w:rsid w:val="00154183"/>
    <w:rsid w:val="00155123"/>
    <w:rsid w:val="00156595"/>
    <w:rsid w:val="00156DBE"/>
    <w:rsid w:val="00156E76"/>
    <w:rsid w:val="00157818"/>
    <w:rsid w:val="00160219"/>
    <w:rsid w:val="00161651"/>
    <w:rsid w:val="00161B59"/>
    <w:rsid w:val="00162CCC"/>
    <w:rsid w:val="0016380C"/>
    <w:rsid w:val="00164B7E"/>
    <w:rsid w:val="00164EF5"/>
    <w:rsid w:val="0016537D"/>
    <w:rsid w:val="001663D7"/>
    <w:rsid w:val="00173348"/>
    <w:rsid w:val="00173B3F"/>
    <w:rsid w:val="0017607B"/>
    <w:rsid w:val="00176249"/>
    <w:rsid w:val="001768B4"/>
    <w:rsid w:val="00176BA6"/>
    <w:rsid w:val="00177DF7"/>
    <w:rsid w:val="00184C40"/>
    <w:rsid w:val="001875BE"/>
    <w:rsid w:val="00192389"/>
    <w:rsid w:val="00192A46"/>
    <w:rsid w:val="00192B1B"/>
    <w:rsid w:val="00193AAE"/>
    <w:rsid w:val="001975DF"/>
    <w:rsid w:val="00197CE8"/>
    <w:rsid w:val="00197E44"/>
    <w:rsid w:val="001A0B98"/>
    <w:rsid w:val="001A2403"/>
    <w:rsid w:val="001A3E7A"/>
    <w:rsid w:val="001A480D"/>
    <w:rsid w:val="001A4B74"/>
    <w:rsid w:val="001A513F"/>
    <w:rsid w:val="001A5A95"/>
    <w:rsid w:val="001A5FE1"/>
    <w:rsid w:val="001A66C2"/>
    <w:rsid w:val="001B2B12"/>
    <w:rsid w:val="001B31E4"/>
    <w:rsid w:val="001B5613"/>
    <w:rsid w:val="001B59F5"/>
    <w:rsid w:val="001C037C"/>
    <w:rsid w:val="001C103A"/>
    <w:rsid w:val="001C35C2"/>
    <w:rsid w:val="001C38F8"/>
    <w:rsid w:val="001C6F3C"/>
    <w:rsid w:val="001C7EA1"/>
    <w:rsid w:val="001C7FBE"/>
    <w:rsid w:val="001D019B"/>
    <w:rsid w:val="001D15C3"/>
    <w:rsid w:val="001D1C3C"/>
    <w:rsid w:val="001D27A3"/>
    <w:rsid w:val="001D5A41"/>
    <w:rsid w:val="001D61D9"/>
    <w:rsid w:val="001D6497"/>
    <w:rsid w:val="001D70D6"/>
    <w:rsid w:val="001D7F4A"/>
    <w:rsid w:val="001D7F9E"/>
    <w:rsid w:val="001E019E"/>
    <w:rsid w:val="001E0399"/>
    <w:rsid w:val="001E15F3"/>
    <w:rsid w:val="001E1DC2"/>
    <w:rsid w:val="001E44D1"/>
    <w:rsid w:val="001E51CD"/>
    <w:rsid w:val="001E5346"/>
    <w:rsid w:val="001E6341"/>
    <w:rsid w:val="001E6897"/>
    <w:rsid w:val="001E7B0F"/>
    <w:rsid w:val="001E7F3C"/>
    <w:rsid w:val="001F179C"/>
    <w:rsid w:val="001F28A8"/>
    <w:rsid w:val="001F2919"/>
    <w:rsid w:val="001F2D10"/>
    <w:rsid w:val="001F328E"/>
    <w:rsid w:val="001F3DAB"/>
    <w:rsid w:val="001F503B"/>
    <w:rsid w:val="001F5E77"/>
    <w:rsid w:val="001F60EB"/>
    <w:rsid w:val="001F7363"/>
    <w:rsid w:val="001F76E5"/>
    <w:rsid w:val="001F7863"/>
    <w:rsid w:val="001F7B66"/>
    <w:rsid w:val="001F7BA3"/>
    <w:rsid w:val="0020036A"/>
    <w:rsid w:val="00200ABD"/>
    <w:rsid w:val="0020135E"/>
    <w:rsid w:val="00202239"/>
    <w:rsid w:val="00202838"/>
    <w:rsid w:val="00204068"/>
    <w:rsid w:val="0020527A"/>
    <w:rsid w:val="002064B9"/>
    <w:rsid w:val="0020667A"/>
    <w:rsid w:val="00206F47"/>
    <w:rsid w:val="0020788E"/>
    <w:rsid w:val="0021037A"/>
    <w:rsid w:val="00212C25"/>
    <w:rsid w:val="00213158"/>
    <w:rsid w:val="0021338A"/>
    <w:rsid w:val="0021344A"/>
    <w:rsid w:val="00214155"/>
    <w:rsid w:val="00214510"/>
    <w:rsid w:val="00215964"/>
    <w:rsid w:val="00217D9C"/>
    <w:rsid w:val="00217DE9"/>
    <w:rsid w:val="00217E3B"/>
    <w:rsid w:val="002200B2"/>
    <w:rsid w:val="002200F9"/>
    <w:rsid w:val="00220345"/>
    <w:rsid w:val="00220D89"/>
    <w:rsid w:val="0022117E"/>
    <w:rsid w:val="002218E4"/>
    <w:rsid w:val="00222374"/>
    <w:rsid w:val="00223536"/>
    <w:rsid w:val="00224F30"/>
    <w:rsid w:val="00225ADE"/>
    <w:rsid w:val="00227150"/>
    <w:rsid w:val="0023407E"/>
    <w:rsid w:val="00237652"/>
    <w:rsid w:val="00241DEE"/>
    <w:rsid w:val="00242EBE"/>
    <w:rsid w:val="00247086"/>
    <w:rsid w:val="00250324"/>
    <w:rsid w:val="00250CDA"/>
    <w:rsid w:val="00252301"/>
    <w:rsid w:val="00254821"/>
    <w:rsid w:val="00254D90"/>
    <w:rsid w:val="00255FE9"/>
    <w:rsid w:val="00261435"/>
    <w:rsid w:val="002625C8"/>
    <w:rsid w:val="00263F2E"/>
    <w:rsid w:val="002640DD"/>
    <w:rsid w:val="002642C4"/>
    <w:rsid w:val="0026582D"/>
    <w:rsid w:val="002676D7"/>
    <w:rsid w:val="00267B5A"/>
    <w:rsid w:val="00271BB1"/>
    <w:rsid w:val="00272EF5"/>
    <w:rsid w:val="0027323A"/>
    <w:rsid w:val="00273733"/>
    <w:rsid w:val="00273AC2"/>
    <w:rsid w:val="00273C11"/>
    <w:rsid w:val="002744DA"/>
    <w:rsid w:val="00274962"/>
    <w:rsid w:val="0027680F"/>
    <w:rsid w:val="002806F0"/>
    <w:rsid w:val="00280A07"/>
    <w:rsid w:val="00280A09"/>
    <w:rsid w:val="00280BBF"/>
    <w:rsid w:val="002830A7"/>
    <w:rsid w:val="00283DFC"/>
    <w:rsid w:val="00285CD0"/>
    <w:rsid w:val="0028605C"/>
    <w:rsid w:val="002907F5"/>
    <w:rsid w:val="00290D04"/>
    <w:rsid w:val="00294881"/>
    <w:rsid w:val="002948E4"/>
    <w:rsid w:val="00294B01"/>
    <w:rsid w:val="00294E34"/>
    <w:rsid w:val="002951C9"/>
    <w:rsid w:val="002956A1"/>
    <w:rsid w:val="002963A2"/>
    <w:rsid w:val="002A0559"/>
    <w:rsid w:val="002A1BCA"/>
    <w:rsid w:val="002A4870"/>
    <w:rsid w:val="002A5A68"/>
    <w:rsid w:val="002B0388"/>
    <w:rsid w:val="002B0632"/>
    <w:rsid w:val="002B1CEB"/>
    <w:rsid w:val="002B240D"/>
    <w:rsid w:val="002B3107"/>
    <w:rsid w:val="002B45F2"/>
    <w:rsid w:val="002B4BAB"/>
    <w:rsid w:val="002B4DC1"/>
    <w:rsid w:val="002B655A"/>
    <w:rsid w:val="002B6C6C"/>
    <w:rsid w:val="002B7592"/>
    <w:rsid w:val="002C0360"/>
    <w:rsid w:val="002C0C59"/>
    <w:rsid w:val="002C20A2"/>
    <w:rsid w:val="002C2B39"/>
    <w:rsid w:val="002C2FCB"/>
    <w:rsid w:val="002C3810"/>
    <w:rsid w:val="002C3933"/>
    <w:rsid w:val="002C4432"/>
    <w:rsid w:val="002C46C2"/>
    <w:rsid w:val="002C49A8"/>
    <w:rsid w:val="002C68A1"/>
    <w:rsid w:val="002C6BEF"/>
    <w:rsid w:val="002C7364"/>
    <w:rsid w:val="002C7AD6"/>
    <w:rsid w:val="002D0460"/>
    <w:rsid w:val="002D1097"/>
    <w:rsid w:val="002D1CB0"/>
    <w:rsid w:val="002D263E"/>
    <w:rsid w:val="002D48D9"/>
    <w:rsid w:val="002D5F30"/>
    <w:rsid w:val="002D672E"/>
    <w:rsid w:val="002E0227"/>
    <w:rsid w:val="002E1A6A"/>
    <w:rsid w:val="002E3C78"/>
    <w:rsid w:val="002E4593"/>
    <w:rsid w:val="002E56CA"/>
    <w:rsid w:val="002E6393"/>
    <w:rsid w:val="002E74D1"/>
    <w:rsid w:val="002F05A7"/>
    <w:rsid w:val="002F08E0"/>
    <w:rsid w:val="002F0AE7"/>
    <w:rsid w:val="002F791F"/>
    <w:rsid w:val="00301E72"/>
    <w:rsid w:val="00302315"/>
    <w:rsid w:val="003024A3"/>
    <w:rsid w:val="00302D4D"/>
    <w:rsid w:val="00302FBF"/>
    <w:rsid w:val="00303CCD"/>
    <w:rsid w:val="003058D0"/>
    <w:rsid w:val="003067DF"/>
    <w:rsid w:val="00311F8D"/>
    <w:rsid w:val="00312D26"/>
    <w:rsid w:val="00313ADB"/>
    <w:rsid w:val="00314860"/>
    <w:rsid w:val="00314A4F"/>
    <w:rsid w:val="00315085"/>
    <w:rsid w:val="00315C04"/>
    <w:rsid w:val="00317320"/>
    <w:rsid w:val="00317EC8"/>
    <w:rsid w:val="003208C7"/>
    <w:rsid w:val="00323FD6"/>
    <w:rsid w:val="0032409F"/>
    <w:rsid w:val="00324364"/>
    <w:rsid w:val="00324394"/>
    <w:rsid w:val="00324D76"/>
    <w:rsid w:val="00325118"/>
    <w:rsid w:val="00325140"/>
    <w:rsid w:val="00326069"/>
    <w:rsid w:val="00326BB4"/>
    <w:rsid w:val="00326C6E"/>
    <w:rsid w:val="00330195"/>
    <w:rsid w:val="00330AA4"/>
    <w:rsid w:val="00333331"/>
    <w:rsid w:val="00334978"/>
    <w:rsid w:val="003353CD"/>
    <w:rsid w:val="00336C3D"/>
    <w:rsid w:val="00341CBC"/>
    <w:rsid w:val="0034215D"/>
    <w:rsid w:val="00343073"/>
    <w:rsid w:val="00343A92"/>
    <w:rsid w:val="003460A2"/>
    <w:rsid w:val="0034689C"/>
    <w:rsid w:val="003479E9"/>
    <w:rsid w:val="003502D7"/>
    <w:rsid w:val="00350311"/>
    <w:rsid w:val="003523D0"/>
    <w:rsid w:val="00355D2C"/>
    <w:rsid w:val="003566B8"/>
    <w:rsid w:val="00356F57"/>
    <w:rsid w:val="003572E6"/>
    <w:rsid w:val="00357A65"/>
    <w:rsid w:val="003605B8"/>
    <w:rsid w:val="00361F7E"/>
    <w:rsid w:val="003625C1"/>
    <w:rsid w:val="00364104"/>
    <w:rsid w:val="00371037"/>
    <w:rsid w:val="00371177"/>
    <w:rsid w:val="00374152"/>
    <w:rsid w:val="00375345"/>
    <w:rsid w:val="00375443"/>
    <w:rsid w:val="00375487"/>
    <w:rsid w:val="003754DE"/>
    <w:rsid w:val="003763CF"/>
    <w:rsid w:val="003767E9"/>
    <w:rsid w:val="00376B5D"/>
    <w:rsid w:val="00377C17"/>
    <w:rsid w:val="00380CDD"/>
    <w:rsid w:val="00380D18"/>
    <w:rsid w:val="00383774"/>
    <w:rsid w:val="00383DA5"/>
    <w:rsid w:val="00386BBA"/>
    <w:rsid w:val="00386E6E"/>
    <w:rsid w:val="00387293"/>
    <w:rsid w:val="00390C6A"/>
    <w:rsid w:val="00394AC8"/>
    <w:rsid w:val="00395110"/>
    <w:rsid w:val="00395366"/>
    <w:rsid w:val="003965ED"/>
    <w:rsid w:val="0039758D"/>
    <w:rsid w:val="003A230E"/>
    <w:rsid w:val="003A2DEA"/>
    <w:rsid w:val="003A3335"/>
    <w:rsid w:val="003A3B44"/>
    <w:rsid w:val="003A4363"/>
    <w:rsid w:val="003A7A1D"/>
    <w:rsid w:val="003A7C22"/>
    <w:rsid w:val="003B1AE5"/>
    <w:rsid w:val="003C1B67"/>
    <w:rsid w:val="003C1D3A"/>
    <w:rsid w:val="003C2742"/>
    <w:rsid w:val="003C51C7"/>
    <w:rsid w:val="003C6C5E"/>
    <w:rsid w:val="003C7641"/>
    <w:rsid w:val="003C782D"/>
    <w:rsid w:val="003C7917"/>
    <w:rsid w:val="003D2D13"/>
    <w:rsid w:val="003D3148"/>
    <w:rsid w:val="003D4E1A"/>
    <w:rsid w:val="003D5004"/>
    <w:rsid w:val="003D5F73"/>
    <w:rsid w:val="003E0EA2"/>
    <w:rsid w:val="003E126B"/>
    <w:rsid w:val="003E1509"/>
    <w:rsid w:val="003E15DD"/>
    <w:rsid w:val="003E18D1"/>
    <w:rsid w:val="003E1CC7"/>
    <w:rsid w:val="003E2568"/>
    <w:rsid w:val="003E2D04"/>
    <w:rsid w:val="003E3F6C"/>
    <w:rsid w:val="003E40A5"/>
    <w:rsid w:val="003E5EBC"/>
    <w:rsid w:val="003E708F"/>
    <w:rsid w:val="003E7E45"/>
    <w:rsid w:val="003E7F72"/>
    <w:rsid w:val="003F158B"/>
    <w:rsid w:val="003F1C9D"/>
    <w:rsid w:val="003F213F"/>
    <w:rsid w:val="003F2BC4"/>
    <w:rsid w:val="003F4451"/>
    <w:rsid w:val="003F4BAF"/>
    <w:rsid w:val="003F5B0D"/>
    <w:rsid w:val="003F69C1"/>
    <w:rsid w:val="003F7DDF"/>
    <w:rsid w:val="004009D6"/>
    <w:rsid w:val="00401148"/>
    <w:rsid w:val="004018C1"/>
    <w:rsid w:val="00402CF9"/>
    <w:rsid w:val="0040450C"/>
    <w:rsid w:val="00405780"/>
    <w:rsid w:val="00407D19"/>
    <w:rsid w:val="00410A5A"/>
    <w:rsid w:val="00410DAB"/>
    <w:rsid w:val="004135BC"/>
    <w:rsid w:val="004172EA"/>
    <w:rsid w:val="00417F55"/>
    <w:rsid w:val="00420432"/>
    <w:rsid w:val="00421063"/>
    <w:rsid w:val="004223D1"/>
    <w:rsid w:val="0042291D"/>
    <w:rsid w:val="004233D9"/>
    <w:rsid w:val="00425024"/>
    <w:rsid w:val="0042568C"/>
    <w:rsid w:val="0042627D"/>
    <w:rsid w:val="00426CD1"/>
    <w:rsid w:val="00430A18"/>
    <w:rsid w:val="00431A38"/>
    <w:rsid w:val="00432788"/>
    <w:rsid w:val="00433393"/>
    <w:rsid w:val="00435697"/>
    <w:rsid w:val="004364AC"/>
    <w:rsid w:val="00442632"/>
    <w:rsid w:val="004435DD"/>
    <w:rsid w:val="0044483A"/>
    <w:rsid w:val="00445A20"/>
    <w:rsid w:val="004460B2"/>
    <w:rsid w:val="00446CE5"/>
    <w:rsid w:val="00446E44"/>
    <w:rsid w:val="00447FE9"/>
    <w:rsid w:val="00450FC4"/>
    <w:rsid w:val="00451052"/>
    <w:rsid w:val="00451D08"/>
    <w:rsid w:val="00451FB0"/>
    <w:rsid w:val="00451FB4"/>
    <w:rsid w:val="0045386A"/>
    <w:rsid w:val="004548AD"/>
    <w:rsid w:val="00454F4B"/>
    <w:rsid w:val="004556D1"/>
    <w:rsid w:val="00455767"/>
    <w:rsid w:val="0045657A"/>
    <w:rsid w:val="00457444"/>
    <w:rsid w:val="004608FD"/>
    <w:rsid w:val="004611C3"/>
    <w:rsid w:val="004615E5"/>
    <w:rsid w:val="0046311F"/>
    <w:rsid w:val="00463A33"/>
    <w:rsid w:val="00464782"/>
    <w:rsid w:val="004672E6"/>
    <w:rsid w:val="00467B37"/>
    <w:rsid w:val="00470299"/>
    <w:rsid w:val="004707CF"/>
    <w:rsid w:val="00470CEA"/>
    <w:rsid w:val="004716E0"/>
    <w:rsid w:val="00472D7E"/>
    <w:rsid w:val="0047366E"/>
    <w:rsid w:val="004744A2"/>
    <w:rsid w:val="00474D3C"/>
    <w:rsid w:val="00474DF2"/>
    <w:rsid w:val="004756D9"/>
    <w:rsid w:val="00477055"/>
    <w:rsid w:val="0047779A"/>
    <w:rsid w:val="00480129"/>
    <w:rsid w:val="00480B88"/>
    <w:rsid w:val="00481D5D"/>
    <w:rsid w:val="00482AD5"/>
    <w:rsid w:val="00482DF8"/>
    <w:rsid w:val="00483DEA"/>
    <w:rsid w:val="00485D65"/>
    <w:rsid w:val="00485E6A"/>
    <w:rsid w:val="004865B9"/>
    <w:rsid w:val="0049278B"/>
    <w:rsid w:val="0049288F"/>
    <w:rsid w:val="00492E3F"/>
    <w:rsid w:val="00493A1B"/>
    <w:rsid w:val="00494839"/>
    <w:rsid w:val="00494935"/>
    <w:rsid w:val="004958B9"/>
    <w:rsid w:val="004A0D52"/>
    <w:rsid w:val="004A0D92"/>
    <w:rsid w:val="004A1FAD"/>
    <w:rsid w:val="004A25C8"/>
    <w:rsid w:val="004A3C9F"/>
    <w:rsid w:val="004A4263"/>
    <w:rsid w:val="004A7174"/>
    <w:rsid w:val="004B14E7"/>
    <w:rsid w:val="004B1C35"/>
    <w:rsid w:val="004B1F18"/>
    <w:rsid w:val="004B2C63"/>
    <w:rsid w:val="004B340A"/>
    <w:rsid w:val="004B4C58"/>
    <w:rsid w:val="004B5263"/>
    <w:rsid w:val="004B53B0"/>
    <w:rsid w:val="004B553B"/>
    <w:rsid w:val="004B5706"/>
    <w:rsid w:val="004B7B2B"/>
    <w:rsid w:val="004B7DE1"/>
    <w:rsid w:val="004C0922"/>
    <w:rsid w:val="004C1374"/>
    <w:rsid w:val="004C1E47"/>
    <w:rsid w:val="004C21F3"/>
    <w:rsid w:val="004C3D62"/>
    <w:rsid w:val="004C6136"/>
    <w:rsid w:val="004C69D9"/>
    <w:rsid w:val="004C6BB2"/>
    <w:rsid w:val="004C73D8"/>
    <w:rsid w:val="004D01E2"/>
    <w:rsid w:val="004D04D7"/>
    <w:rsid w:val="004D0C86"/>
    <w:rsid w:val="004D16C6"/>
    <w:rsid w:val="004D23FE"/>
    <w:rsid w:val="004D2A48"/>
    <w:rsid w:val="004D3CDD"/>
    <w:rsid w:val="004D4C4E"/>
    <w:rsid w:val="004D5879"/>
    <w:rsid w:val="004D5ED4"/>
    <w:rsid w:val="004D6A7A"/>
    <w:rsid w:val="004E084C"/>
    <w:rsid w:val="004E3217"/>
    <w:rsid w:val="004E3FCA"/>
    <w:rsid w:val="004E450B"/>
    <w:rsid w:val="004E5ADD"/>
    <w:rsid w:val="004E5FF4"/>
    <w:rsid w:val="004E6ADF"/>
    <w:rsid w:val="004E7187"/>
    <w:rsid w:val="004E74B1"/>
    <w:rsid w:val="004E7665"/>
    <w:rsid w:val="004F2AF5"/>
    <w:rsid w:val="004F377A"/>
    <w:rsid w:val="004F3E76"/>
    <w:rsid w:val="004F516F"/>
    <w:rsid w:val="004F64C8"/>
    <w:rsid w:val="004F7573"/>
    <w:rsid w:val="004F7AEF"/>
    <w:rsid w:val="004F7B6A"/>
    <w:rsid w:val="00502DDA"/>
    <w:rsid w:val="00504545"/>
    <w:rsid w:val="00504C90"/>
    <w:rsid w:val="00506613"/>
    <w:rsid w:val="00511DD9"/>
    <w:rsid w:val="00513230"/>
    <w:rsid w:val="00515CBF"/>
    <w:rsid w:val="005164F5"/>
    <w:rsid w:val="00517202"/>
    <w:rsid w:val="00521928"/>
    <w:rsid w:val="005240BE"/>
    <w:rsid w:val="00524D7E"/>
    <w:rsid w:val="0052502B"/>
    <w:rsid w:val="0052555D"/>
    <w:rsid w:val="00527AD1"/>
    <w:rsid w:val="005325CD"/>
    <w:rsid w:val="0053290D"/>
    <w:rsid w:val="00533071"/>
    <w:rsid w:val="00535FBD"/>
    <w:rsid w:val="00537FD2"/>
    <w:rsid w:val="00540BD1"/>
    <w:rsid w:val="00540D91"/>
    <w:rsid w:val="0054176D"/>
    <w:rsid w:val="00544140"/>
    <w:rsid w:val="0054486B"/>
    <w:rsid w:val="00546486"/>
    <w:rsid w:val="00546CCE"/>
    <w:rsid w:val="005503AF"/>
    <w:rsid w:val="0055059C"/>
    <w:rsid w:val="00552D6F"/>
    <w:rsid w:val="00553547"/>
    <w:rsid w:val="005546D1"/>
    <w:rsid w:val="005547C6"/>
    <w:rsid w:val="0055566D"/>
    <w:rsid w:val="0055668E"/>
    <w:rsid w:val="0055711A"/>
    <w:rsid w:val="0056002B"/>
    <w:rsid w:val="00562BC3"/>
    <w:rsid w:val="005650CC"/>
    <w:rsid w:val="005669AF"/>
    <w:rsid w:val="0056780A"/>
    <w:rsid w:val="00567D4B"/>
    <w:rsid w:val="00567E67"/>
    <w:rsid w:val="00570832"/>
    <w:rsid w:val="00570B4C"/>
    <w:rsid w:val="00573DD5"/>
    <w:rsid w:val="0057471C"/>
    <w:rsid w:val="0057680F"/>
    <w:rsid w:val="00577BCC"/>
    <w:rsid w:val="0058055B"/>
    <w:rsid w:val="00581B50"/>
    <w:rsid w:val="0058398D"/>
    <w:rsid w:val="00583A4B"/>
    <w:rsid w:val="00584E7A"/>
    <w:rsid w:val="00585C99"/>
    <w:rsid w:val="005868A5"/>
    <w:rsid w:val="005869F2"/>
    <w:rsid w:val="0058792F"/>
    <w:rsid w:val="00587C87"/>
    <w:rsid w:val="00590D41"/>
    <w:rsid w:val="0059178A"/>
    <w:rsid w:val="00592CAF"/>
    <w:rsid w:val="00594739"/>
    <w:rsid w:val="005956E0"/>
    <w:rsid w:val="00596811"/>
    <w:rsid w:val="005A031C"/>
    <w:rsid w:val="005A1BF2"/>
    <w:rsid w:val="005A2455"/>
    <w:rsid w:val="005A353B"/>
    <w:rsid w:val="005A3BE5"/>
    <w:rsid w:val="005A417B"/>
    <w:rsid w:val="005A6198"/>
    <w:rsid w:val="005A620B"/>
    <w:rsid w:val="005B02CC"/>
    <w:rsid w:val="005B1E97"/>
    <w:rsid w:val="005B2424"/>
    <w:rsid w:val="005B2F6D"/>
    <w:rsid w:val="005B329B"/>
    <w:rsid w:val="005B3520"/>
    <w:rsid w:val="005B384B"/>
    <w:rsid w:val="005B4FCB"/>
    <w:rsid w:val="005B66B4"/>
    <w:rsid w:val="005B6ADC"/>
    <w:rsid w:val="005B7AF4"/>
    <w:rsid w:val="005B7EF8"/>
    <w:rsid w:val="005C13C0"/>
    <w:rsid w:val="005C18AF"/>
    <w:rsid w:val="005C22CD"/>
    <w:rsid w:val="005C4197"/>
    <w:rsid w:val="005C4275"/>
    <w:rsid w:val="005C5AA8"/>
    <w:rsid w:val="005C68AF"/>
    <w:rsid w:val="005C6DE3"/>
    <w:rsid w:val="005D2888"/>
    <w:rsid w:val="005D44F3"/>
    <w:rsid w:val="005D4D38"/>
    <w:rsid w:val="005D564D"/>
    <w:rsid w:val="005D58E1"/>
    <w:rsid w:val="005D78CA"/>
    <w:rsid w:val="005D7ACA"/>
    <w:rsid w:val="005D7D3E"/>
    <w:rsid w:val="005D7F71"/>
    <w:rsid w:val="005E0016"/>
    <w:rsid w:val="005E1924"/>
    <w:rsid w:val="005E2AD2"/>
    <w:rsid w:val="005E466A"/>
    <w:rsid w:val="005E50C2"/>
    <w:rsid w:val="005E5D14"/>
    <w:rsid w:val="005E5F43"/>
    <w:rsid w:val="005F0BFF"/>
    <w:rsid w:val="005F1FC0"/>
    <w:rsid w:val="005F2106"/>
    <w:rsid w:val="005F2A43"/>
    <w:rsid w:val="005F4FEC"/>
    <w:rsid w:val="005F5924"/>
    <w:rsid w:val="005F5CA6"/>
    <w:rsid w:val="005F6E7B"/>
    <w:rsid w:val="0060229E"/>
    <w:rsid w:val="00602C83"/>
    <w:rsid w:val="00604CF9"/>
    <w:rsid w:val="00612922"/>
    <w:rsid w:val="00613E15"/>
    <w:rsid w:val="00615419"/>
    <w:rsid w:val="00615A83"/>
    <w:rsid w:val="006163D8"/>
    <w:rsid w:val="00616E99"/>
    <w:rsid w:val="00617B20"/>
    <w:rsid w:val="00620751"/>
    <w:rsid w:val="00622A28"/>
    <w:rsid w:val="0062415A"/>
    <w:rsid w:val="00625FA9"/>
    <w:rsid w:val="006261C5"/>
    <w:rsid w:val="0062628A"/>
    <w:rsid w:val="00626D67"/>
    <w:rsid w:val="00626E71"/>
    <w:rsid w:val="00627E09"/>
    <w:rsid w:val="006327FE"/>
    <w:rsid w:val="00632CE1"/>
    <w:rsid w:val="006340DA"/>
    <w:rsid w:val="00634713"/>
    <w:rsid w:val="006347B2"/>
    <w:rsid w:val="00636454"/>
    <w:rsid w:val="0063724A"/>
    <w:rsid w:val="006414A2"/>
    <w:rsid w:val="0064260F"/>
    <w:rsid w:val="00642DDE"/>
    <w:rsid w:val="00643DE3"/>
    <w:rsid w:val="00644880"/>
    <w:rsid w:val="00645B6D"/>
    <w:rsid w:val="00646EA3"/>
    <w:rsid w:val="00647226"/>
    <w:rsid w:val="0065105C"/>
    <w:rsid w:val="0065391C"/>
    <w:rsid w:val="006540A7"/>
    <w:rsid w:val="00656ABA"/>
    <w:rsid w:val="0066085D"/>
    <w:rsid w:val="00660F7A"/>
    <w:rsid w:val="006619E7"/>
    <w:rsid w:val="0066235F"/>
    <w:rsid w:val="00662774"/>
    <w:rsid w:val="00662877"/>
    <w:rsid w:val="00662CF2"/>
    <w:rsid w:val="00663B2E"/>
    <w:rsid w:val="00664C15"/>
    <w:rsid w:val="00664F8B"/>
    <w:rsid w:val="00665018"/>
    <w:rsid w:val="006651E5"/>
    <w:rsid w:val="006658DA"/>
    <w:rsid w:val="00666034"/>
    <w:rsid w:val="00670D58"/>
    <w:rsid w:val="00672B2F"/>
    <w:rsid w:val="00672E84"/>
    <w:rsid w:val="006746AC"/>
    <w:rsid w:val="00674A06"/>
    <w:rsid w:val="00674E11"/>
    <w:rsid w:val="006752EA"/>
    <w:rsid w:val="00676DB0"/>
    <w:rsid w:val="006824AA"/>
    <w:rsid w:val="006825D4"/>
    <w:rsid w:val="00682781"/>
    <w:rsid w:val="00685F09"/>
    <w:rsid w:val="00690684"/>
    <w:rsid w:val="006923D2"/>
    <w:rsid w:val="0069452B"/>
    <w:rsid w:val="006945FF"/>
    <w:rsid w:val="00694DB0"/>
    <w:rsid w:val="00695072"/>
    <w:rsid w:val="00695470"/>
    <w:rsid w:val="00696538"/>
    <w:rsid w:val="00696873"/>
    <w:rsid w:val="006A07AE"/>
    <w:rsid w:val="006A2117"/>
    <w:rsid w:val="006A27F5"/>
    <w:rsid w:val="006A3C76"/>
    <w:rsid w:val="006A5932"/>
    <w:rsid w:val="006A60F5"/>
    <w:rsid w:val="006A7CAC"/>
    <w:rsid w:val="006B1231"/>
    <w:rsid w:val="006B18A0"/>
    <w:rsid w:val="006B1F85"/>
    <w:rsid w:val="006B1FD2"/>
    <w:rsid w:val="006B2193"/>
    <w:rsid w:val="006B2E17"/>
    <w:rsid w:val="006B4FF1"/>
    <w:rsid w:val="006B55D2"/>
    <w:rsid w:val="006B6437"/>
    <w:rsid w:val="006B79F3"/>
    <w:rsid w:val="006C11A9"/>
    <w:rsid w:val="006C242D"/>
    <w:rsid w:val="006C3018"/>
    <w:rsid w:val="006C31F6"/>
    <w:rsid w:val="006C4D6C"/>
    <w:rsid w:val="006C596D"/>
    <w:rsid w:val="006C7CA1"/>
    <w:rsid w:val="006D011E"/>
    <w:rsid w:val="006D1552"/>
    <w:rsid w:val="006D15B9"/>
    <w:rsid w:val="006D2914"/>
    <w:rsid w:val="006D2B17"/>
    <w:rsid w:val="006D30B6"/>
    <w:rsid w:val="006D4351"/>
    <w:rsid w:val="006D5BF7"/>
    <w:rsid w:val="006D6093"/>
    <w:rsid w:val="006D64BE"/>
    <w:rsid w:val="006E0044"/>
    <w:rsid w:val="006E1E73"/>
    <w:rsid w:val="006E2BDC"/>
    <w:rsid w:val="006E313E"/>
    <w:rsid w:val="006E35D8"/>
    <w:rsid w:val="006E3A6C"/>
    <w:rsid w:val="006E4BC2"/>
    <w:rsid w:val="006E53FD"/>
    <w:rsid w:val="006E61CF"/>
    <w:rsid w:val="006E70F1"/>
    <w:rsid w:val="006E73EC"/>
    <w:rsid w:val="006F4316"/>
    <w:rsid w:val="006F4B22"/>
    <w:rsid w:val="006F51AD"/>
    <w:rsid w:val="006F5EB6"/>
    <w:rsid w:val="006F613A"/>
    <w:rsid w:val="006F6631"/>
    <w:rsid w:val="007005D0"/>
    <w:rsid w:val="00700A50"/>
    <w:rsid w:val="00700DEF"/>
    <w:rsid w:val="00701502"/>
    <w:rsid w:val="007017B4"/>
    <w:rsid w:val="00702416"/>
    <w:rsid w:val="00702458"/>
    <w:rsid w:val="00703060"/>
    <w:rsid w:val="00706D40"/>
    <w:rsid w:val="007119ED"/>
    <w:rsid w:val="0071231A"/>
    <w:rsid w:val="007129E7"/>
    <w:rsid w:val="00713AF0"/>
    <w:rsid w:val="007146B5"/>
    <w:rsid w:val="007153D7"/>
    <w:rsid w:val="007157A0"/>
    <w:rsid w:val="00716AB6"/>
    <w:rsid w:val="00716AEC"/>
    <w:rsid w:val="00717C66"/>
    <w:rsid w:val="00717E4B"/>
    <w:rsid w:val="007218BD"/>
    <w:rsid w:val="00721C86"/>
    <w:rsid w:val="00721FA8"/>
    <w:rsid w:val="007239BB"/>
    <w:rsid w:val="00726780"/>
    <w:rsid w:val="00726B3B"/>
    <w:rsid w:val="00726CF1"/>
    <w:rsid w:val="007315E7"/>
    <w:rsid w:val="00732D2F"/>
    <w:rsid w:val="0073317B"/>
    <w:rsid w:val="00733F55"/>
    <w:rsid w:val="00736E89"/>
    <w:rsid w:val="007408CD"/>
    <w:rsid w:val="00741308"/>
    <w:rsid w:val="0074166D"/>
    <w:rsid w:val="00741781"/>
    <w:rsid w:val="00741BE8"/>
    <w:rsid w:val="0074675C"/>
    <w:rsid w:val="00750282"/>
    <w:rsid w:val="007522E7"/>
    <w:rsid w:val="00752CF2"/>
    <w:rsid w:val="00752E63"/>
    <w:rsid w:val="00756EBF"/>
    <w:rsid w:val="00760AB5"/>
    <w:rsid w:val="00760F02"/>
    <w:rsid w:val="00761EA6"/>
    <w:rsid w:val="00762206"/>
    <w:rsid w:val="00762387"/>
    <w:rsid w:val="007647AC"/>
    <w:rsid w:val="00764C09"/>
    <w:rsid w:val="00764ED9"/>
    <w:rsid w:val="00765CCF"/>
    <w:rsid w:val="007666DC"/>
    <w:rsid w:val="00766C01"/>
    <w:rsid w:val="007705B1"/>
    <w:rsid w:val="0077151A"/>
    <w:rsid w:val="00773261"/>
    <w:rsid w:val="00775277"/>
    <w:rsid w:val="00777140"/>
    <w:rsid w:val="00780240"/>
    <w:rsid w:val="00783D45"/>
    <w:rsid w:val="00786254"/>
    <w:rsid w:val="00790007"/>
    <w:rsid w:val="00790CAC"/>
    <w:rsid w:val="00793F11"/>
    <w:rsid w:val="00795169"/>
    <w:rsid w:val="007953A0"/>
    <w:rsid w:val="00796061"/>
    <w:rsid w:val="007961F2"/>
    <w:rsid w:val="007965F2"/>
    <w:rsid w:val="0079781D"/>
    <w:rsid w:val="007A0276"/>
    <w:rsid w:val="007A033C"/>
    <w:rsid w:val="007A0C35"/>
    <w:rsid w:val="007A0FDA"/>
    <w:rsid w:val="007A2DFF"/>
    <w:rsid w:val="007A35D8"/>
    <w:rsid w:val="007A3C14"/>
    <w:rsid w:val="007A3E1A"/>
    <w:rsid w:val="007A6350"/>
    <w:rsid w:val="007A65A9"/>
    <w:rsid w:val="007B1FF2"/>
    <w:rsid w:val="007B2FBC"/>
    <w:rsid w:val="007B431B"/>
    <w:rsid w:val="007B44E8"/>
    <w:rsid w:val="007B4F68"/>
    <w:rsid w:val="007B5FC6"/>
    <w:rsid w:val="007B7CA2"/>
    <w:rsid w:val="007C01E6"/>
    <w:rsid w:val="007C2076"/>
    <w:rsid w:val="007C3F15"/>
    <w:rsid w:val="007C4BE1"/>
    <w:rsid w:val="007C503F"/>
    <w:rsid w:val="007C5E2C"/>
    <w:rsid w:val="007C6489"/>
    <w:rsid w:val="007D01E5"/>
    <w:rsid w:val="007D0221"/>
    <w:rsid w:val="007D047C"/>
    <w:rsid w:val="007D1DEB"/>
    <w:rsid w:val="007D3453"/>
    <w:rsid w:val="007D4483"/>
    <w:rsid w:val="007D7BBF"/>
    <w:rsid w:val="007E183F"/>
    <w:rsid w:val="007E2843"/>
    <w:rsid w:val="007E52A9"/>
    <w:rsid w:val="007E5508"/>
    <w:rsid w:val="007E5EB7"/>
    <w:rsid w:val="007E6D4E"/>
    <w:rsid w:val="007F1EB2"/>
    <w:rsid w:val="007F208E"/>
    <w:rsid w:val="007F20FF"/>
    <w:rsid w:val="007F4D3F"/>
    <w:rsid w:val="007F528F"/>
    <w:rsid w:val="007F5EED"/>
    <w:rsid w:val="007F6511"/>
    <w:rsid w:val="008055CF"/>
    <w:rsid w:val="0080747A"/>
    <w:rsid w:val="00807A97"/>
    <w:rsid w:val="008104A2"/>
    <w:rsid w:val="0081199C"/>
    <w:rsid w:val="00813C59"/>
    <w:rsid w:val="00814BD3"/>
    <w:rsid w:val="00815C54"/>
    <w:rsid w:val="00824CBC"/>
    <w:rsid w:val="00825CB1"/>
    <w:rsid w:val="008260B5"/>
    <w:rsid w:val="008265FD"/>
    <w:rsid w:val="00830997"/>
    <w:rsid w:val="00833B13"/>
    <w:rsid w:val="0083630B"/>
    <w:rsid w:val="008367A0"/>
    <w:rsid w:val="008409D8"/>
    <w:rsid w:val="0084154A"/>
    <w:rsid w:val="008431EE"/>
    <w:rsid w:val="008436A7"/>
    <w:rsid w:val="00844BEA"/>
    <w:rsid w:val="0084699C"/>
    <w:rsid w:val="00846BE8"/>
    <w:rsid w:val="008501D1"/>
    <w:rsid w:val="00850FB3"/>
    <w:rsid w:val="00851E36"/>
    <w:rsid w:val="0085237A"/>
    <w:rsid w:val="00853298"/>
    <w:rsid w:val="008537C1"/>
    <w:rsid w:val="008539E7"/>
    <w:rsid w:val="00853DF0"/>
    <w:rsid w:val="0085514E"/>
    <w:rsid w:val="00856CFB"/>
    <w:rsid w:val="00856DA7"/>
    <w:rsid w:val="008622BA"/>
    <w:rsid w:val="008648EA"/>
    <w:rsid w:val="00865112"/>
    <w:rsid w:val="00866BA6"/>
    <w:rsid w:val="00867073"/>
    <w:rsid w:val="00867A3C"/>
    <w:rsid w:val="00867B12"/>
    <w:rsid w:val="00867D71"/>
    <w:rsid w:val="00870836"/>
    <w:rsid w:val="0087084D"/>
    <w:rsid w:val="00871EF5"/>
    <w:rsid w:val="00874C1F"/>
    <w:rsid w:val="00874D71"/>
    <w:rsid w:val="00876692"/>
    <w:rsid w:val="00876777"/>
    <w:rsid w:val="0087752D"/>
    <w:rsid w:val="00880548"/>
    <w:rsid w:val="00881831"/>
    <w:rsid w:val="00881B82"/>
    <w:rsid w:val="00882E4A"/>
    <w:rsid w:val="00885BE0"/>
    <w:rsid w:val="008860A7"/>
    <w:rsid w:val="008865D2"/>
    <w:rsid w:val="00886EB8"/>
    <w:rsid w:val="00890DD5"/>
    <w:rsid w:val="00893A4D"/>
    <w:rsid w:val="00895573"/>
    <w:rsid w:val="008955DD"/>
    <w:rsid w:val="00896596"/>
    <w:rsid w:val="00896AD1"/>
    <w:rsid w:val="00896B91"/>
    <w:rsid w:val="00896E48"/>
    <w:rsid w:val="008A048C"/>
    <w:rsid w:val="008A0E39"/>
    <w:rsid w:val="008A2667"/>
    <w:rsid w:val="008A34E6"/>
    <w:rsid w:val="008A3BB2"/>
    <w:rsid w:val="008A4BB2"/>
    <w:rsid w:val="008A4F71"/>
    <w:rsid w:val="008A6AA6"/>
    <w:rsid w:val="008A72C5"/>
    <w:rsid w:val="008A7536"/>
    <w:rsid w:val="008A7A37"/>
    <w:rsid w:val="008A7F71"/>
    <w:rsid w:val="008B018A"/>
    <w:rsid w:val="008B2879"/>
    <w:rsid w:val="008B325E"/>
    <w:rsid w:val="008B3D95"/>
    <w:rsid w:val="008B41AA"/>
    <w:rsid w:val="008B4C3B"/>
    <w:rsid w:val="008B533F"/>
    <w:rsid w:val="008B64CC"/>
    <w:rsid w:val="008B6902"/>
    <w:rsid w:val="008B7377"/>
    <w:rsid w:val="008C09AA"/>
    <w:rsid w:val="008C1358"/>
    <w:rsid w:val="008C26F9"/>
    <w:rsid w:val="008C33AE"/>
    <w:rsid w:val="008C5C69"/>
    <w:rsid w:val="008C6E88"/>
    <w:rsid w:val="008D05B6"/>
    <w:rsid w:val="008D0E1C"/>
    <w:rsid w:val="008D398D"/>
    <w:rsid w:val="008D3EA2"/>
    <w:rsid w:val="008D45AC"/>
    <w:rsid w:val="008D68C8"/>
    <w:rsid w:val="008D693D"/>
    <w:rsid w:val="008E0D3D"/>
    <w:rsid w:val="008E1269"/>
    <w:rsid w:val="008E1937"/>
    <w:rsid w:val="008E1AE3"/>
    <w:rsid w:val="008E2E46"/>
    <w:rsid w:val="008E4CB3"/>
    <w:rsid w:val="008E50A9"/>
    <w:rsid w:val="008E5AF7"/>
    <w:rsid w:val="008F04C5"/>
    <w:rsid w:val="008F0DA8"/>
    <w:rsid w:val="008F0F87"/>
    <w:rsid w:val="008F13B9"/>
    <w:rsid w:val="008F1E1A"/>
    <w:rsid w:val="008F292C"/>
    <w:rsid w:val="008F56EA"/>
    <w:rsid w:val="008F752C"/>
    <w:rsid w:val="00903411"/>
    <w:rsid w:val="00905981"/>
    <w:rsid w:val="00907131"/>
    <w:rsid w:val="00907E7E"/>
    <w:rsid w:val="00910FA5"/>
    <w:rsid w:val="00914773"/>
    <w:rsid w:val="00915B64"/>
    <w:rsid w:val="00921E33"/>
    <w:rsid w:val="009221FE"/>
    <w:rsid w:val="009222CF"/>
    <w:rsid w:val="0092506B"/>
    <w:rsid w:val="00927820"/>
    <w:rsid w:val="009304B8"/>
    <w:rsid w:val="00930952"/>
    <w:rsid w:val="00931769"/>
    <w:rsid w:val="00932E47"/>
    <w:rsid w:val="0093458E"/>
    <w:rsid w:val="00936D74"/>
    <w:rsid w:val="00937E58"/>
    <w:rsid w:val="00940638"/>
    <w:rsid w:val="00941030"/>
    <w:rsid w:val="00941080"/>
    <w:rsid w:val="00942951"/>
    <w:rsid w:val="00943283"/>
    <w:rsid w:val="009436D0"/>
    <w:rsid w:val="00943B1A"/>
    <w:rsid w:val="009448FA"/>
    <w:rsid w:val="009456AF"/>
    <w:rsid w:val="009459D2"/>
    <w:rsid w:val="009477C8"/>
    <w:rsid w:val="00947951"/>
    <w:rsid w:val="00951387"/>
    <w:rsid w:val="00952127"/>
    <w:rsid w:val="00952CCE"/>
    <w:rsid w:val="00954A38"/>
    <w:rsid w:val="009569A7"/>
    <w:rsid w:val="0095722B"/>
    <w:rsid w:val="00957708"/>
    <w:rsid w:val="0096690F"/>
    <w:rsid w:val="009714A0"/>
    <w:rsid w:val="00971D66"/>
    <w:rsid w:val="00972AE8"/>
    <w:rsid w:val="009752E3"/>
    <w:rsid w:val="009764D7"/>
    <w:rsid w:val="009778F1"/>
    <w:rsid w:val="00977E5A"/>
    <w:rsid w:val="009828F2"/>
    <w:rsid w:val="00982F51"/>
    <w:rsid w:val="009839C0"/>
    <w:rsid w:val="0098558E"/>
    <w:rsid w:val="009905BB"/>
    <w:rsid w:val="009929D2"/>
    <w:rsid w:val="00992D21"/>
    <w:rsid w:val="00993856"/>
    <w:rsid w:val="009940FE"/>
    <w:rsid w:val="00994E76"/>
    <w:rsid w:val="00997573"/>
    <w:rsid w:val="009A0865"/>
    <w:rsid w:val="009A2642"/>
    <w:rsid w:val="009A2DEF"/>
    <w:rsid w:val="009A431B"/>
    <w:rsid w:val="009A44F3"/>
    <w:rsid w:val="009A7C7B"/>
    <w:rsid w:val="009B0B62"/>
    <w:rsid w:val="009B0E70"/>
    <w:rsid w:val="009B1DC2"/>
    <w:rsid w:val="009B3E90"/>
    <w:rsid w:val="009B4B09"/>
    <w:rsid w:val="009B58CC"/>
    <w:rsid w:val="009B7B18"/>
    <w:rsid w:val="009C018A"/>
    <w:rsid w:val="009C0590"/>
    <w:rsid w:val="009C1171"/>
    <w:rsid w:val="009C1CBE"/>
    <w:rsid w:val="009C250E"/>
    <w:rsid w:val="009C32F8"/>
    <w:rsid w:val="009C447E"/>
    <w:rsid w:val="009C602D"/>
    <w:rsid w:val="009C64CB"/>
    <w:rsid w:val="009C71F4"/>
    <w:rsid w:val="009C77D6"/>
    <w:rsid w:val="009D1395"/>
    <w:rsid w:val="009D13CE"/>
    <w:rsid w:val="009D34CE"/>
    <w:rsid w:val="009D433C"/>
    <w:rsid w:val="009D637C"/>
    <w:rsid w:val="009D6C65"/>
    <w:rsid w:val="009D6F3B"/>
    <w:rsid w:val="009E0037"/>
    <w:rsid w:val="009E1452"/>
    <w:rsid w:val="009E1C1C"/>
    <w:rsid w:val="009E1CF2"/>
    <w:rsid w:val="009E1E04"/>
    <w:rsid w:val="009E2254"/>
    <w:rsid w:val="009E29FF"/>
    <w:rsid w:val="009E3D61"/>
    <w:rsid w:val="009E3F7A"/>
    <w:rsid w:val="009E42AE"/>
    <w:rsid w:val="009E4777"/>
    <w:rsid w:val="009E7169"/>
    <w:rsid w:val="009F0E27"/>
    <w:rsid w:val="009F11F0"/>
    <w:rsid w:val="009F186E"/>
    <w:rsid w:val="009F2060"/>
    <w:rsid w:val="009F3220"/>
    <w:rsid w:val="009F35B0"/>
    <w:rsid w:val="009F3E84"/>
    <w:rsid w:val="009F4B52"/>
    <w:rsid w:val="009F4DBC"/>
    <w:rsid w:val="009F5EF8"/>
    <w:rsid w:val="00A001C4"/>
    <w:rsid w:val="00A0090E"/>
    <w:rsid w:val="00A00D40"/>
    <w:rsid w:val="00A01101"/>
    <w:rsid w:val="00A01390"/>
    <w:rsid w:val="00A01662"/>
    <w:rsid w:val="00A0360F"/>
    <w:rsid w:val="00A03830"/>
    <w:rsid w:val="00A05824"/>
    <w:rsid w:val="00A07BFE"/>
    <w:rsid w:val="00A1114A"/>
    <w:rsid w:val="00A116E1"/>
    <w:rsid w:val="00A12426"/>
    <w:rsid w:val="00A128A6"/>
    <w:rsid w:val="00A134A8"/>
    <w:rsid w:val="00A14B23"/>
    <w:rsid w:val="00A17E15"/>
    <w:rsid w:val="00A17EAC"/>
    <w:rsid w:val="00A20DAA"/>
    <w:rsid w:val="00A22CD0"/>
    <w:rsid w:val="00A24787"/>
    <w:rsid w:val="00A25AAE"/>
    <w:rsid w:val="00A262E7"/>
    <w:rsid w:val="00A263C2"/>
    <w:rsid w:val="00A27728"/>
    <w:rsid w:val="00A27BEE"/>
    <w:rsid w:val="00A300C9"/>
    <w:rsid w:val="00A323A0"/>
    <w:rsid w:val="00A3499F"/>
    <w:rsid w:val="00A3556F"/>
    <w:rsid w:val="00A355D8"/>
    <w:rsid w:val="00A35778"/>
    <w:rsid w:val="00A3606C"/>
    <w:rsid w:val="00A36BB5"/>
    <w:rsid w:val="00A3729E"/>
    <w:rsid w:val="00A37723"/>
    <w:rsid w:val="00A37A44"/>
    <w:rsid w:val="00A40C77"/>
    <w:rsid w:val="00A414D5"/>
    <w:rsid w:val="00A41AC4"/>
    <w:rsid w:val="00A41E5D"/>
    <w:rsid w:val="00A438B5"/>
    <w:rsid w:val="00A43D63"/>
    <w:rsid w:val="00A452EE"/>
    <w:rsid w:val="00A46CC3"/>
    <w:rsid w:val="00A478F0"/>
    <w:rsid w:val="00A51203"/>
    <w:rsid w:val="00A52202"/>
    <w:rsid w:val="00A5357D"/>
    <w:rsid w:val="00A53DB2"/>
    <w:rsid w:val="00A569C5"/>
    <w:rsid w:val="00A60645"/>
    <w:rsid w:val="00A62590"/>
    <w:rsid w:val="00A62790"/>
    <w:rsid w:val="00A652A5"/>
    <w:rsid w:val="00A65864"/>
    <w:rsid w:val="00A65999"/>
    <w:rsid w:val="00A65F97"/>
    <w:rsid w:val="00A66892"/>
    <w:rsid w:val="00A66DBD"/>
    <w:rsid w:val="00A7076B"/>
    <w:rsid w:val="00A7097F"/>
    <w:rsid w:val="00A73BC4"/>
    <w:rsid w:val="00A76978"/>
    <w:rsid w:val="00A76C1A"/>
    <w:rsid w:val="00A7792B"/>
    <w:rsid w:val="00A80EC6"/>
    <w:rsid w:val="00A8101E"/>
    <w:rsid w:val="00A812B9"/>
    <w:rsid w:val="00A81396"/>
    <w:rsid w:val="00A81D81"/>
    <w:rsid w:val="00A81EAC"/>
    <w:rsid w:val="00A82567"/>
    <w:rsid w:val="00A83789"/>
    <w:rsid w:val="00A83CEA"/>
    <w:rsid w:val="00A83D94"/>
    <w:rsid w:val="00A84087"/>
    <w:rsid w:val="00A84B1A"/>
    <w:rsid w:val="00A85333"/>
    <w:rsid w:val="00A86276"/>
    <w:rsid w:val="00A862C9"/>
    <w:rsid w:val="00A90390"/>
    <w:rsid w:val="00A90980"/>
    <w:rsid w:val="00A90D62"/>
    <w:rsid w:val="00A912ED"/>
    <w:rsid w:val="00A9495D"/>
    <w:rsid w:val="00A94F1B"/>
    <w:rsid w:val="00A9536C"/>
    <w:rsid w:val="00A969EF"/>
    <w:rsid w:val="00A97941"/>
    <w:rsid w:val="00A97DEF"/>
    <w:rsid w:val="00A97DFA"/>
    <w:rsid w:val="00AA173F"/>
    <w:rsid w:val="00AA1DE8"/>
    <w:rsid w:val="00AA405E"/>
    <w:rsid w:val="00AA5F84"/>
    <w:rsid w:val="00AA718C"/>
    <w:rsid w:val="00AA71A3"/>
    <w:rsid w:val="00AB067C"/>
    <w:rsid w:val="00AB0F98"/>
    <w:rsid w:val="00AB1D5C"/>
    <w:rsid w:val="00AB2530"/>
    <w:rsid w:val="00AB2EB8"/>
    <w:rsid w:val="00AB31D8"/>
    <w:rsid w:val="00AB5001"/>
    <w:rsid w:val="00AB6870"/>
    <w:rsid w:val="00AC0555"/>
    <w:rsid w:val="00AC0F1F"/>
    <w:rsid w:val="00AC3B2F"/>
    <w:rsid w:val="00AC3DA9"/>
    <w:rsid w:val="00AC4E69"/>
    <w:rsid w:val="00AC500D"/>
    <w:rsid w:val="00AC59A7"/>
    <w:rsid w:val="00AC5A9D"/>
    <w:rsid w:val="00AC7225"/>
    <w:rsid w:val="00AD0780"/>
    <w:rsid w:val="00AD1E5F"/>
    <w:rsid w:val="00AD303C"/>
    <w:rsid w:val="00AD41F6"/>
    <w:rsid w:val="00AD479B"/>
    <w:rsid w:val="00AD4F28"/>
    <w:rsid w:val="00AD544D"/>
    <w:rsid w:val="00AE25BC"/>
    <w:rsid w:val="00AF0169"/>
    <w:rsid w:val="00AF2849"/>
    <w:rsid w:val="00AF2A9E"/>
    <w:rsid w:val="00AF2E9F"/>
    <w:rsid w:val="00AF37B2"/>
    <w:rsid w:val="00AF4C47"/>
    <w:rsid w:val="00AF4FC9"/>
    <w:rsid w:val="00AF53EB"/>
    <w:rsid w:val="00AF5689"/>
    <w:rsid w:val="00AF69A2"/>
    <w:rsid w:val="00AF6B5D"/>
    <w:rsid w:val="00B004B1"/>
    <w:rsid w:val="00B00CEC"/>
    <w:rsid w:val="00B01930"/>
    <w:rsid w:val="00B025EB"/>
    <w:rsid w:val="00B03079"/>
    <w:rsid w:val="00B033F2"/>
    <w:rsid w:val="00B05982"/>
    <w:rsid w:val="00B06AE4"/>
    <w:rsid w:val="00B06ED5"/>
    <w:rsid w:val="00B070B7"/>
    <w:rsid w:val="00B11327"/>
    <w:rsid w:val="00B12524"/>
    <w:rsid w:val="00B1338F"/>
    <w:rsid w:val="00B15956"/>
    <w:rsid w:val="00B1641E"/>
    <w:rsid w:val="00B17513"/>
    <w:rsid w:val="00B20EFF"/>
    <w:rsid w:val="00B21137"/>
    <w:rsid w:val="00B23481"/>
    <w:rsid w:val="00B23649"/>
    <w:rsid w:val="00B2438C"/>
    <w:rsid w:val="00B27329"/>
    <w:rsid w:val="00B27700"/>
    <w:rsid w:val="00B27FDB"/>
    <w:rsid w:val="00B3028D"/>
    <w:rsid w:val="00B32723"/>
    <w:rsid w:val="00B33CE5"/>
    <w:rsid w:val="00B3529C"/>
    <w:rsid w:val="00B36273"/>
    <w:rsid w:val="00B36814"/>
    <w:rsid w:val="00B40C1A"/>
    <w:rsid w:val="00B427C3"/>
    <w:rsid w:val="00B42A79"/>
    <w:rsid w:val="00B4319E"/>
    <w:rsid w:val="00B4355C"/>
    <w:rsid w:val="00B444C4"/>
    <w:rsid w:val="00B459D0"/>
    <w:rsid w:val="00B45D57"/>
    <w:rsid w:val="00B45F6D"/>
    <w:rsid w:val="00B469FE"/>
    <w:rsid w:val="00B471EC"/>
    <w:rsid w:val="00B502F8"/>
    <w:rsid w:val="00B50370"/>
    <w:rsid w:val="00B5046A"/>
    <w:rsid w:val="00B53673"/>
    <w:rsid w:val="00B55419"/>
    <w:rsid w:val="00B602AF"/>
    <w:rsid w:val="00B60E4B"/>
    <w:rsid w:val="00B63310"/>
    <w:rsid w:val="00B642DD"/>
    <w:rsid w:val="00B65AB9"/>
    <w:rsid w:val="00B6622D"/>
    <w:rsid w:val="00B665D5"/>
    <w:rsid w:val="00B67B00"/>
    <w:rsid w:val="00B67B2D"/>
    <w:rsid w:val="00B7141B"/>
    <w:rsid w:val="00B7307F"/>
    <w:rsid w:val="00B73148"/>
    <w:rsid w:val="00B76CFB"/>
    <w:rsid w:val="00B771B1"/>
    <w:rsid w:val="00B77344"/>
    <w:rsid w:val="00B776D9"/>
    <w:rsid w:val="00B80316"/>
    <w:rsid w:val="00B806AB"/>
    <w:rsid w:val="00B82118"/>
    <w:rsid w:val="00B825E2"/>
    <w:rsid w:val="00B82884"/>
    <w:rsid w:val="00B83445"/>
    <w:rsid w:val="00B848F1"/>
    <w:rsid w:val="00B84A41"/>
    <w:rsid w:val="00B85442"/>
    <w:rsid w:val="00B908D8"/>
    <w:rsid w:val="00B912DC"/>
    <w:rsid w:val="00B93071"/>
    <w:rsid w:val="00B930EB"/>
    <w:rsid w:val="00B9385A"/>
    <w:rsid w:val="00B963A6"/>
    <w:rsid w:val="00B96AE9"/>
    <w:rsid w:val="00B96FC0"/>
    <w:rsid w:val="00B97435"/>
    <w:rsid w:val="00BA158F"/>
    <w:rsid w:val="00BA247C"/>
    <w:rsid w:val="00BA3A3A"/>
    <w:rsid w:val="00BA44D3"/>
    <w:rsid w:val="00BA4ADC"/>
    <w:rsid w:val="00BA6447"/>
    <w:rsid w:val="00BA6781"/>
    <w:rsid w:val="00BA6B41"/>
    <w:rsid w:val="00BA6DC8"/>
    <w:rsid w:val="00BB0598"/>
    <w:rsid w:val="00BB1483"/>
    <w:rsid w:val="00BB2E67"/>
    <w:rsid w:val="00BB60B7"/>
    <w:rsid w:val="00BB6ED9"/>
    <w:rsid w:val="00BB7827"/>
    <w:rsid w:val="00BC2103"/>
    <w:rsid w:val="00BC3930"/>
    <w:rsid w:val="00BC4EE8"/>
    <w:rsid w:val="00BC586A"/>
    <w:rsid w:val="00BC6736"/>
    <w:rsid w:val="00BC7BB5"/>
    <w:rsid w:val="00BD0435"/>
    <w:rsid w:val="00BD2C02"/>
    <w:rsid w:val="00BD589B"/>
    <w:rsid w:val="00BD68EC"/>
    <w:rsid w:val="00BE166E"/>
    <w:rsid w:val="00BE2455"/>
    <w:rsid w:val="00BE34D3"/>
    <w:rsid w:val="00BE3CEB"/>
    <w:rsid w:val="00BE4424"/>
    <w:rsid w:val="00BE4AEF"/>
    <w:rsid w:val="00BE5317"/>
    <w:rsid w:val="00BE7A47"/>
    <w:rsid w:val="00BF23B8"/>
    <w:rsid w:val="00BF29C7"/>
    <w:rsid w:val="00BF3DD4"/>
    <w:rsid w:val="00BF411F"/>
    <w:rsid w:val="00BF6CA6"/>
    <w:rsid w:val="00BF7A63"/>
    <w:rsid w:val="00C000D6"/>
    <w:rsid w:val="00C00DC1"/>
    <w:rsid w:val="00C012EC"/>
    <w:rsid w:val="00C03780"/>
    <w:rsid w:val="00C046E4"/>
    <w:rsid w:val="00C04911"/>
    <w:rsid w:val="00C05206"/>
    <w:rsid w:val="00C060DC"/>
    <w:rsid w:val="00C064C9"/>
    <w:rsid w:val="00C06C3D"/>
    <w:rsid w:val="00C079F7"/>
    <w:rsid w:val="00C11BDD"/>
    <w:rsid w:val="00C13B3C"/>
    <w:rsid w:val="00C13EE4"/>
    <w:rsid w:val="00C14293"/>
    <w:rsid w:val="00C15094"/>
    <w:rsid w:val="00C16590"/>
    <w:rsid w:val="00C21941"/>
    <w:rsid w:val="00C22975"/>
    <w:rsid w:val="00C23113"/>
    <w:rsid w:val="00C24AC6"/>
    <w:rsid w:val="00C25C45"/>
    <w:rsid w:val="00C25CBC"/>
    <w:rsid w:val="00C25FF5"/>
    <w:rsid w:val="00C269CF"/>
    <w:rsid w:val="00C26F6D"/>
    <w:rsid w:val="00C274F7"/>
    <w:rsid w:val="00C2760D"/>
    <w:rsid w:val="00C2785B"/>
    <w:rsid w:val="00C31726"/>
    <w:rsid w:val="00C32A9F"/>
    <w:rsid w:val="00C35099"/>
    <w:rsid w:val="00C36141"/>
    <w:rsid w:val="00C36221"/>
    <w:rsid w:val="00C37228"/>
    <w:rsid w:val="00C37FE0"/>
    <w:rsid w:val="00C41F25"/>
    <w:rsid w:val="00C42DEB"/>
    <w:rsid w:val="00C42E7A"/>
    <w:rsid w:val="00C43999"/>
    <w:rsid w:val="00C43F47"/>
    <w:rsid w:val="00C4751A"/>
    <w:rsid w:val="00C51246"/>
    <w:rsid w:val="00C51415"/>
    <w:rsid w:val="00C545A9"/>
    <w:rsid w:val="00C55F9E"/>
    <w:rsid w:val="00C55FA5"/>
    <w:rsid w:val="00C5614E"/>
    <w:rsid w:val="00C5618F"/>
    <w:rsid w:val="00C630EA"/>
    <w:rsid w:val="00C64DE9"/>
    <w:rsid w:val="00C65991"/>
    <w:rsid w:val="00C67449"/>
    <w:rsid w:val="00C67D35"/>
    <w:rsid w:val="00C705D4"/>
    <w:rsid w:val="00C708F7"/>
    <w:rsid w:val="00C709BF"/>
    <w:rsid w:val="00C7180E"/>
    <w:rsid w:val="00C73B00"/>
    <w:rsid w:val="00C74587"/>
    <w:rsid w:val="00C74ECC"/>
    <w:rsid w:val="00C75E59"/>
    <w:rsid w:val="00C76940"/>
    <w:rsid w:val="00C76ABF"/>
    <w:rsid w:val="00C76F85"/>
    <w:rsid w:val="00C77CC1"/>
    <w:rsid w:val="00C83869"/>
    <w:rsid w:val="00C84404"/>
    <w:rsid w:val="00C847FD"/>
    <w:rsid w:val="00C84BA1"/>
    <w:rsid w:val="00C85499"/>
    <w:rsid w:val="00C85806"/>
    <w:rsid w:val="00C85900"/>
    <w:rsid w:val="00C85DCB"/>
    <w:rsid w:val="00C85F2A"/>
    <w:rsid w:val="00C86DFB"/>
    <w:rsid w:val="00C91427"/>
    <w:rsid w:val="00C91A13"/>
    <w:rsid w:val="00C92667"/>
    <w:rsid w:val="00C92A1C"/>
    <w:rsid w:val="00C93148"/>
    <w:rsid w:val="00C93563"/>
    <w:rsid w:val="00C93950"/>
    <w:rsid w:val="00C94F00"/>
    <w:rsid w:val="00C94FC4"/>
    <w:rsid w:val="00C95A2A"/>
    <w:rsid w:val="00C9724D"/>
    <w:rsid w:val="00CA05D9"/>
    <w:rsid w:val="00CA0C32"/>
    <w:rsid w:val="00CA65CD"/>
    <w:rsid w:val="00CA6959"/>
    <w:rsid w:val="00CB3BBF"/>
    <w:rsid w:val="00CB41C7"/>
    <w:rsid w:val="00CB480E"/>
    <w:rsid w:val="00CB54E2"/>
    <w:rsid w:val="00CB55E4"/>
    <w:rsid w:val="00CB561A"/>
    <w:rsid w:val="00CB5AC3"/>
    <w:rsid w:val="00CB5B32"/>
    <w:rsid w:val="00CB6044"/>
    <w:rsid w:val="00CB631E"/>
    <w:rsid w:val="00CB7649"/>
    <w:rsid w:val="00CC07B9"/>
    <w:rsid w:val="00CC2D9A"/>
    <w:rsid w:val="00CC3C5F"/>
    <w:rsid w:val="00CC4EC4"/>
    <w:rsid w:val="00CC5183"/>
    <w:rsid w:val="00CC57BC"/>
    <w:rsid w:val="00CC6751"/>
    <w:rsid w:val="00CC7F8A"/>
    <w:rsid w:val="00CD1114"/>
    <w:rsid w:val="00CD209C"/>
    <w:rsid w:val="00CD2C48"/>
    <w:rsid w:val="00CD3CD9"/>
    <w:rsid w:val="00CD5D15"/>
    <w:rsid w:val="00CD6882"/>
    <w:rsid w:val="00CE0916"/>
    <w:rsid w:val="00CE1652"/>
    <w:rsid w:val="00CE1BB1"/>
    <w:rsid w:val="00CE3D59"/>
    <w:rsid w:val="00CE6407"/>
    <w:rsid w:val="00CE6E00"/>
    <w:rsid w:val="00CE7F8A"/>
    <w:rsid w:val="00CF11EF"/>
    <w:rsid w:val="00CF419A"/>
    <w:rsid w:val="00CF56F7"/>
    <w:rsid w:val="00CF5BF1"/>
    <w:rsid w:val="00CF77DD"/>
    <w:rsid w:val="00CF7911"/>
    <w:rsid w:val="00CF7A4F"/>
    <w:rsid w:val="00D01724"/>
    <w:rsid w:val="00D01894"/>
    <w:rsid w:val="00D024FA"/>
    <w:rsid w:val="00D02B12"/>
    <w:rsid w:val="00D0498B"/>
    <w:rsid w:val="00D04B1C"/>
    <w:rsid w:val="00D0624B"/>
    <w:rsid w:val="00D06E2B"/>
    <w:rsid w:val="00D10BB2"/>
    <w:rsid w:val="00D11311"/>
    <w:rsid w:val="00D12FA4"/>
    <w:rsid w:val="00D13FF2"/>
    <w:rsid w:val="00D14A31"/>
    <w:rsid w:val="00D15721"/>
    <w:rsid w:val="00D15965"/>
    <w:rsid w:val="00D17D8A"/>
    <w:rsid w:val="00D205B7"/>
    <w:rsid w:val="00D2330C"/>
    <w:rsid w:val="00D24101"/>
    <w:rsid w:val="00D24CEB"/>
    <w:rsid w:val="00D250E3"/>
    <w:rsid w:val="00D2680B"/>
    <w:rsid w:val="00D26EBD"/>
    <w:rsid w:val="00D31B4E"/>
    <w:rsid w:val="00D325B4"/>
    <w:rsid w:val="00D3753A"/>
    <w:rsid w:val="00D37BDA"/>
    <w:rsid w:val="00D37C03"/>
    <w:rsid w:val="00D37CB1"/>
    <w:rsid w:val="00D37E0A"/>
    <w:rsid w:val="00D41A24"/>
    <w:rsid w:val="00D41D77"/>
    <w:rsid w:val="00D43E6F"/>
    <w:rsid w:val="00D4421C"/>
    <w:rsid w:val="00D44AB3"/>
    <w:rsid w:val="00D44FAF"/>
    <w:rsid w:val="00D4625E"/>
    <w:rsid w:val="00D47FEC"/>
    <w:rsid w:val="00D503B5"/>
    <w:rsid w:val="00D50BDF"/>
    <w:rsid w:val="00D51633"/>
    <w:rsid w:val="00D523C2"/>
    <w:rsid w:val="00D531D4"/>
    <w:rsid w:val="00D53BDF"/>
    <w:rsid w:val="00D541F2"/>
    <w:rsid w:val="00D547F8"/>
    <w:rsid w:val="00D55022"/>
    <w:rsid w:val="00D60C87"/>
    <w:rsid w:val="00D61494"/>
    <w:rsid w:val="00D6153A"/>
    <w:rsid w:val="00D61E1C"/>
    <w:rsid w:val="00D6206B"/>
    <w:rsid w:val="00D628DE"/>
    <w:rsid w:val="00D64013"/>
    <w:rsid w:val="00D66707"/>
    <w:rsid w:val="00D66C5F"/>
    <w:rsid w:val="00D66E50"/>
    <w:rsid w:val="00D67F52"/>
    <w:rsid w:val="00D71A92"/>
    <w:rsid w:val="00D72549"/>
    <w:rsid w:val="00D74578"/>
    <w:rsid w:val="00D749E8"/>
    <w:rsid w:val="00D74AA2"/>
    <w:rsid w:val="00D75FDE"/>
    <w:rsid w:val="00D7714C"/>
    <w:rsid w:val="00D7763B"/>
    <w:rsid w:val="00D80DF2"/>
    <w:rsid w:val="00D81C82"/>
    <w:rsid w:val="00D81D32"/>
    <w:rsid w:val="00D83A50"/>
    <w:rsid w:val="00D842D6"/>
    <w:rsid w:val="00D8540C"/>
    <w:rsid w:val="00D858EC"/>
    <w:rsid w:val="00D85928"/>
    <w:rsid w:val="00D8726F"/>
    <w:rsid w:val="00D876EB"/>
    <w:rsid w:val="00D87BFF"/>
    <w:rsid w:val="00D90497"/>
    <w:rsid w:val="00D91EA8"/>
    <w:rsid w:val="00D94D9C"/>
    <w:rsid w:val="00D95F37"/>
    <w:rsid w:val="00D97A43"/>
    <w:rsid w:val="00DA06A0"/>
    <w:rsid w:val="00DA2B23"/>
    <w:rsid w:val="00DA30A1"/>
    <w:rsid w:val="00DA466A"/>
    <w:rsid w:val="00DA5498"/>
    <w:rsid w:val="00DA61C0"/>
    <w:rsid w:val="00DA6F73"/>
    <w:rsid w:val="00DA7560"/>
    <w:rsid w:val="00DB22D5"/>
    <w:rsid w:val="00DB2ACC"/>
    <w:rsid w:val="00DB6B59"/>
    <w:rsid w:val="00DC03F3"/>
    <w:rsid w:val="00DC080D"/>
    <w:rsid w:val="00DC0A9F"/>
    <w:rsid w:val="00DC41A1"/>
    <w:rsid w:val="00DD043D"/>
    <w:rsid w:val="00DD0C20"/>
    <w:rsid w:val="00DD1A2D"/>
    <w:rsid w:val="00DD2279"/>
    <w:rsid w:val="00DD241E"/>
    <w:rsid w:val="00DD2674"/>
    <w:rsid w:val="00DD31C9"/>
    <w:rsid w:val="00DD6C9C"/>
    <w:rsid w:val="00DE0ECD"/>
    <w:rsid w:val="00DE1838"/>
    <w:rsid w:val="00DE4268"/>
    <w:rsid w:val="00DE432E"/>
    <w:rsid w:val="00DE4D1F"/>
    <w:rsid w:val="00DE50A7"/>
    <w:rsid w:val="00DE7284"/>
    <w:rsid w:val="00DF0197"/>
    <w:rsid w:val="00DF1698"/>
    <w:rsid w:val="00DF1725"/>
    <w:rsid w:val="00DF4372"/>
    <w:rsid w:val="00DF487D"/>
    <w:rsid w:val="00DF52C9"/>
    <w:rsid w:val="00DF5650"/>
    <w:rsid w:val="00DF5B63"/>
    <w:rsid w:val="00DF5C8A"/>
    <w:rsid w:val="00DF5EEE"/>
    <w:rsid w:val="00DF67A4"/>
    <w:rsid w:val="00DF76DA"/>
    <w:rsid w:val="00DF78E2"/>
    <w:rsid w:val="00DF7A5D"/>
    <w:rsid w:val="00E02516"/>
    <w:rsid w:val="00E02FD0"/>
    <w:rsid w:val="00E0350D"/>
    <w:rsid w:val="00E03AAC"/>
    <w:rsid w:val="00E068E5"/>
    <w:rsid w:val="00E06BAB"/>
    <w:rsid w:val="00E07257"/>
    <w:rsid w:val="00E11A34"/>
    <w:rsid w:val="00E11A67"/>
    <w:rsid w:val="00E11B05"/>
    <w:rsid w:val="00E11B0B"/>
    <w:rsid w:val="00E11E09"/>
    <w:rsid w:val="00E124A0"/>
    <w:rsid w:val="00E12BEC"/>
    <w:rsid w:val="00E14272"/>
    <w:rsid w:val="00E1470C"/>
    <w:rsid w:val="00E14F75"/>
    <w:rsid w:val="00E150C1"/>
    <w:rsid w:val="00E15717"/>
    <w:rsid w:val="00E16640"/>
    <w:rsid w:val="00E17305"/>
    <w:rsid w:val="00E20FC0"/>
    <w:rsid w:val="00E233D4"/>
    <w:rsid w:val="00E235E8"/>
    <w:rsid w:val="00E23E94"/>
    <w:rsid w:val="00E2577E"/>
    <w:rsid w:val="00E26759"/>
    <w:rsid w:val="00E303E4"/>
    <w:rsid w:val="00E31828"/>
    <w:rsid w:val="00E31B18"/>
    <w:rsid w:val="00E323D7"/>
    <w:rsid w:val="00E33995"/>
    <w:rsid w:val="00E34B93"/>
    <w:rsid w:val="00E36664"/>
    <w:rsid w:val="00E369E9"/>
    <w:rsid w:val="00E400A8"/>
    <w:rsid w:val="00E4062C"/>
    <w:rsid w:val="00E4384E"/>
    <w:rsid w:val="00E44BC3"/>
    <w:rsid w:val="00E4511D"/>
    <w:rsid w:val="00E459EE"/>
    <w:rsid w:val="00E47109"/>
    <w:rsid w:val="00E47480"/>
    <w:rsid w:val="00E522E1"/>
    <w:rsid w:val="00E5315B"/>
    <w:rsid w:val="00E53760"/>
    <w:rsid w:val="00E54DE7"/>
    <w:rsid w:val="00E55978"/>
    <w:rsid w:val="00E55D71"/>
    <w:rsid w:val="00E5635D"/>
    <w:rsid w:val="00E57D1C"/>
    <w:rsid w:val="00E6068E"/>
    <w:rsid w:val="00E606BE"/>
    <w:rsid w:val="00E60C7F"/>
    <w:rsid w:val="00E6143B"/>
    <w:rsid w:val="00E6398A"/>
    <w:rsid w:val="00E64515"/>
    <w:rsid w:val="00E65CEA"/>
    <w:rsid w:val="00E66385"/>
    <w:rsid w:val="00E73E06"/>
    <w:rsid w:val="00E74117"/>
    <w:rsid w:val="00E80785"/>
    <w:rsid w:val="00E80FF9"/>
    <w:rsid w:val="00E82DCB"/>
    <w:rsid w:val="00E8380D"/>
    <w:rsid w:val="00E8519F"/>
    <w:rsid w:val="00E8521F"/>
    <w:rsid w:val="00E85A2B"/>
    <w:rsid w:val="00E87A4B"/>
    <w:rsid w:val="00E87FC2"/>
    <w:rsid w:val="00E930EF"/>
    <w:rsid w:val="00E939DE"/>
    <w:rsid w:val="00E96E3F"/>
    <w:rsid w:val="00E97BAA"/>
    <w:rsid w:val="00EA0980"/>
    <w:rsid w:val="00EA2272"/>
    <w:rsid w:val="00EA24E2"/>
    <w:rsid w:val="00EA3315"/>
    <w:rsid w:val="00EA3385"/>
    <w:rsid w:val="00EA3821"/>
    <w:rsid w:val="00EA5F70"/>
    <w:rsid w:val="00EA7C69"/>
    <w:rsid w:val="00EB16A0"/>
    <w:rsid w:val="00EB1E9E"/>
    <w:rsid w:val="00EB2860"/>
    <w:rsid w:val="00EB39E9"/>
    <w:rsid w:val="00EB5416"/>
    <w:rsid w:val="00EB7465"/>
    <w:rsid w:val="00EC2EE6"/>
    <w:rsid w:val="00EC3715"/>
    <w:rsid w:val="00EC3F6E"/>
    <w:rsid w:val="00EC5788"/>
    <w:rsid w:val="00EC5AF4"/>
    <w:rsid w:val="00EC6365"/>
    <w:rsid w:val="00EC6581"/>
    <w:rsid w:val="00EC6E9A"/>
    <w:rsid w:val="00EC7A75"/>
    <w:rsid w:val="00ED1921"/>
    <w:rsid w:val="00ED5AD9"/>
    <w:rsid w:val="00ED6C9D"/>
    <w:rsid w:val="00ED7382"/>
    <w:rsid w:val="00ED7BB9"/>
    <w:rsid w:val="00EE0468"/>
    <w:rsid w:val="00EE2A05"/>
    <w:rsid w:val="00EE2AD2"/>
    <w:rsid w:val="00EE3EB2"/>
    <w:rsid w:val="00EE4BFA"/>
    <w:rsid w:val="00EE50FE"/>
    <w:rsid w:val="00EE546F"/>
    <w:rsid w:val="00EE5C3C"/>
    <w:rsid w:val="00EE6A37"/>
    <w:rsid w:val="00EF05AD"/>
    <w:rsid w:val="00EF388F"/>
    <w:rsid w:val="00EF430B"/>
    <w:rsid w:val="00EF5928"/>
    <w:rsid w:val="00EF6DCE"/>
    <w:rsid w:val="00EF70B1"/>
    <w:rsid w:val="00EF7C4A"/>
    <w:rsid w:val="00EF7C5E"/>
    <w:rsid w:val="00F00200"/>
    <w:rsid w:val="00F004B0"/>
    <w:rsid w:val="00F03559"/>
    <w:rsid w:val="00F0355D"/>
    <w:rsid w:val="00F05011"/>
    <w:rsid w:val="00F05A35"/>
    <w:rsid w:val="00F05DDE"/>
    <w:rsid w:val="00F05FE9"/>
    <w:rsid w:val="00F06D81"/>
    <w:rsid w:val="00F07D2D"/>
    <w:rsid w:val="00F1012D"/>
    <w:rsid w:val="00F165B0"/>
    <w:rsid w:val="00F17C3A"/>
    <w:rsid w:val="00F17C53"/>
    <w:rsid w:val="00F203E3"/>
    <w:rsid w:val="00F20A84"/>
    <w:rsid w:val="00F2473C"/>
    <w:rsid w:val="00F24AAB"/>
    <w:rsid w:val="00F253F7"/>
    <w:rsid w:val="00F261B5"/>
    <w:rsid w:val="00F26C38"/>
    <w:rsid w:val="00F26FE9"/>
    <w:rsid w:val="00F308A2"/>
    <w:rsid w:val="00F32DCE"/>
    <w:rsid w:val="00F33623"/>
    <w:rsid w:val="00F337C0"/>
    <w:rsid w:val="00F33FE7"/>
    <w:rsid w:val="00F351AC"/>
    <w:rsid w:val="00F354DD"/>
    <w:rsid w:val="00F35B14"/>
    <w:rsid w:val="00F365E8"/>
    <w:rsid w:val="00F36B83"/>
    <w:rsid w:val="00F36BC0"/>
    <w:rsid w:val="00F3728C"/>
    <w:rsid w:val="00F37C79"/>
    <w:rsid w:val="00F404AC"/>
    <w:rsid w:val="00F44281"/>
    <w:rsid w:val="00F45411"/>
    <w:rsid w:val="00F45757"/>
    <w:rsid w:val="00F502EC"/>
    <w:rsid w:val="00F50485"/>
    <w:rsid w:val="00F50CCB"/>
    <w:rsid w:val="00F52CAD"/>
    <w:rsid w:val="00F537B4"/>
    <w:rsid w:val="00F551DD"/>
    <w:rsid w:val="00F605DD"/>
    <w:rsid w:val="00F61050"/>
    <w:rsid w:val="00F64BC7"/>
    <w:rsid w:val="00F65914"/>
    <w:rsid w:val="00F66D64"/>
    <w:rsid w:val="00F70CAB"/>
    <w:rsid w:val="00F7121B"/>
    <w:rsid w:val="00F71CC5"/>
    <w:rsid w:val="00F72D83"/>
    <w:rsid w:val="00F72E37"/>
    <w:rsid w:val="00F755FC"/>
    <w:rsid w:val="00F75C1F"/>
    <w:rsid w:val="00F75EF7"/>
    <w:rsid w:val="00F7658C"/>
    <w:rsid w:val="00F773C4"/>
    <w:rsid w:val="00F77C2B"/>
    <w:rsid w:val="00F801D2"/>
    <w:rsid w:val="00F822D2"/>
    <w:rsid w:val="00F82ACC"/>
    <w:rsid w:val="00F83CE3"/>
    <w:rsid w:val="00F84EBA"/>
    <w:rsid w:val="00F85571"/>
    <w:rsid w:val="00F86065"/>
    <w:rsid w:val="00F92427"/>
    <w:rsid w:val="00F933A1"/>
    <w:rsid w:val="00F93A14"/>
    <w:rsid w:val="00F95DCD"/>
    <w:rsid w:val="00F95DED"/>
    <w:rsid w:val="00F96204"/>
    <w:rsid w:val="00F967E0"/>
    <w:rsid w:val="00F973CA"/>
    <w:rsid w:val="00FA035F"/>
    <w:rsid w:val="00FA1533"/>
    <w:rsid w:val="00FA1EDF"/>
    <w:rsid w:val="00FA24CC"/>
    <w:rsid w:val="00FA29E9"/>
    <w:rsid w:val="00FA2C7D"/>
    <w:rsid w:val="00FA39A7"/>
    <w:rsid w:val="00FA4ADB"/>
    <w:rsid w:val="00FA4C93"/>
    <w:rsid w:val="00FA6186"/>
    <w:rsid w:val="00FA65E1"/>
    <w:rsid w:val="00FA73B9"/>
    <w:rsid w:val="00FA7EFB"/>
    <w:rsid w:val="00FB093E"/>
    <w:rsid w:val="00FB19FD"/>
    <w:rsid w:val="00FB2767"/>
    <w:rsid w:val="00FB47AD"/>
    <w:rsid w:val="00FB61C5"/>
    <w:rsid w:val="00FC0F40"/>
    <w:rsid w:val="00FC3FBF"/>
    <w:rsid w:val="00FD0C94"/>
    <w:rsid w:val="00FD1C8B"/>
    <w:rsid w:val="00FD299C"/>
    <w:rsid w:val="00FD3E06"/>
    <w:rsid w:val="00FD4946"/>
    <w:rsid w:val="00FD56DB"/>
    <w:rsid w:val="00FD6259"/>
    <w:rsid w:val="00FD79C1"/>
    <w:rsid w:val="00FD7B7C"/>
    <w:rsid w:val="00FD7C0E"/>
    <w:rsid w:val="00FE01B6"/>
    <w:rsid w:val="00FE0378"/>
    <w:rsid w:val="00FE1EC1"/>
    <w:rsid w:val="00FE41F2"/>
    <w:rsid w:val="00FE55E8"/>
    <w:rsid w:val="00FE692D"/>
    <w:rsid w:val="00FE773A"/>
    <w:rsid w:val="00FE77C4"/>
    <w:rsid w:val="00FF012D"/>
    <w:rsid w:val="00FF0DF8"/>
    <w:rsid w:val="00FF11E1"/>
    <w:rsid w:val="00FF53C8"/>
    <w:rsid w:val="00FF5A35"/>
    <w:rsid w:val="00FF77AC"/>
    <w:rsid w:val="08313B80"/>
    <w:rsid w:val="09C13EC2"/>
    <w:rsid w:val="0A9A56FD"/>
    <w:rsid w:val="1A9D122E"/>
    <w:rsid w:val="20990887"/>
    <w:rsid w:val="258C3110"/>
    <w:rsid w:val="27D27B7E"/>
    <w:rsid w:val="349425F0"/>
    <w:rsid w:val="353E2C35"/>
    <w:rsid w:val="3C92623E"/>
    <w:rsid w:val="3FD64855"/>
    <w:rsid w:val="4176122C"/>
    <w:rsid w:val="41BE64DD"/>
    <w:rsid w:val="485E7440"/>
    <w:rsid w:val="4D747F9E"/>
    <w:rsid w:val="4F0E437A"/>
    <w:rsid w:val="5B7616C4"/>
    <w:rsid w:val="63AD6150"/>
    <w:rsid w:val="6B9A7D6E"/>
    <w:rsid w:val="70F108B8"/>
    <w:rsid w:val="735678C6"/>
    <w:rsid w:val="73D4120F"/>
    <w:rsid w:val="760E4D91"/>
    <w:rsid w:val="78372035"/>
    <w:rsid w:val="79187897"/>
    <w:rsid w:val="7B405C62"/>
    <w:rsid w:val="7C0E6296"/>
    <w:rsid w:val="7C94443C"/>
    <w:rsid w:val="7ED9425E"/>
    <w:rsid w:val="7F8A1D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99" w:semiHidden="0" w:name="Normal Indent"/>
    <w:lsdException w:qFormat="1" w:unhideWhenUsed="0"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0"/>
    <w:qFormat/>
    <w:uiPriority w:val="99"/>
    <w:pPr>
      <w:keepNext/>
      <w:keepLines/>
      <w:spacing w:line="360" w:lineRule="auto"/>
      <w:outlineLvl w:val="3"/>
    </w:pPr>
    <w:rPr>
      <w:rFonts w:ascii="Arial" w:hAnsi="Arial" w:eastAsia="宋体" w:cs="Times New Roman"/>
      <w:b/>
      <w:bCs/>
      <w:sz w:val="28"/>
      <w:szCs w:val="28"/>
    </w:rPr>
  </w:style>
  <w:style w:type="paragraph" w:styleId="6">
    <w:name w:val="heading 5"/>
    <w:basedOn w:val="1"/>
    <w:next w:val="1"/>
    <w:link w:val="51"/>
    <w:qFormat/>
    <w:uiPriority w:val="99"/>
    <w:pPr>
      <w:keepNext/>
      <w:keepLines/>
      <w:spacing w:before="280" w:after="290" w:line="376" w:lineRule="auto"/>
      <w:outlineLvl w:val="4"/>
    </w:pPr>
    <w:rPr>
      <w:rFonts w:ascii="Calibri" w:hAnsi="Calibri" w:eastAsia="宋体" w:cs="Times New Roman"/>
      <w:b/>
      <w:bCs/>
      <w:sz w:val="28"/>
      <w:szCs w:val="28"/>
    </w:rPr>
  </w:style>
  <w:style w:type="paragraph" w:styleId="7">
    <w:name w:val="heading 6"/>
    <w:basedOn w:val="1"/>
    <w:next w:val="1"/>
    <w:link w:val="52"/>
    <w:qFormat/>
    <w:uiPriority w:val="9"/>
    <w:pPr>
      <w:keepNext/>
      <w:keepLines/>
      <w:spacing w:before="240" w:after="64" w:line="317" w:lineRule="auto"/>
      <w:outlineLvl w:val="5"/>
    </w:pPr>
    <w:rPr>
      <w:rFonts w:ascii="Cambria" w:hAnsi="Cambria" w:eastAsia="宋体" w:cs="Times New Roman"/>
      <w:b/>
      <w:bCs/>
      <w:kern w:val="0"/>
      <w:sz w:val="24"/>
      <w:szCs w:val="24"/>
      <w:lang w:val="zh-CN"/>
    </w:rPr>
  </w:style>
  <w:style w:type="paragraph" w:styleId="8">
    <w:name w:val="heading 7"/>
    <w:basedOn w:val="1"/>
    <w:next w:val="1"/>
    <w:link w:val="53"/>
    <w:qFormat/>
    <w:uiPriority w:val="9"/>
    <w:pPr>
      <w:keepNext/>
      <w:keepLines/>
      <w:spacing w:before="240" w:after="64" w:line="317" w:lineRule="auto"/>
      <w:outlineLvl w:val="6"/>
    </w:pPr>
    <w:rPr>
      <w:rFonts w:ascii="Calibri" w:hAnsi="Calibri" w:eastAsia="宋体" w:cs="Times New Roman"/>
      <w:b/>
      <w:bCs/>
      <w:kern w:val="0"/>
      <w:sz w:val="24"/>
      <w:szCs w:val="24"/>
      <w:lang w:val="zh-CN"/>
    </w:rPr>
  </w:style>
  <w:style w:type="paragraph" w:styleId="9">
    <w:name w:val="heading 8"/>
    <w:basedOn w:val="1"/>
    <w:next w:val="1"/>
    <w:link w:val="54"/>
    <w:qFormat/>
    <w:uiPriority w:val="9"/>
    <w:pPr>
      <w:keepNext/>
      <w:keepLines/>
      <w:spacing w:before="240" w:after="64" w:line="317" w:lineRule="auto"/>
      <w:outlineLvl w:val="7"/>
    </w:pPr>
    <w:rPr>
      <w:rFonts w:ascii="Cambria" w:hAnsi="Cambria" w:eastAsia="宋体" w:cs="Times New Roman"/>
      <w:kern w:val="0"/>
      <w:sz w:val="24"/>
      <w:szCs w:val="24"/>
      <w:lang w:val="zh-CN"/>
    </w:rPr>
  </w:style>
  <w:style w:type="paragraph" w:styleId="10">
    <w:name w:val="heading 9"/>
    <w:basedOn w:val="1"/>
    <w:next w:val="1"/>
    <w:link w:val="55"/>
    <w:qFormat/>
    <w:uiPriority w:val="9"/>
    <w:pPr>
      <w:keepNext/>
      <w:keepLines/>
      <w:spacing w:before="240" w:after="64" w:line="317" w:lineRule="auto"/>
      <w:outlineLvl w:val="8"/>
    </w:pPr>
    <w:rPr>
      <w:rFonts w:ascii="Cambria" w:hAnsi="Cambria" w:eastAsia="宋体" w:cs="Times New Roman"/>
      <w:kern w:val="0"/>
      <w:sz w:val="20"/>
      <w:lang w:val="zh-CN"/>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rPr>
      <w:rFonts w:ascii="Calibri" w:hAnsi="Calibri" w:eastAsia="宋体" w:cs="Calibri"/>
    </w:rPr>
  </w:style>
  <w:style w:type="paragraph" w:styleId="12">
    <w:name w:val="Normal Indent"/>
    <w:basedOn w:val="1"/>
    <w:unhideWhenUsed/>
    <w:qFormat/>
    <w:uiPriority w:val="99"/>
    <w:pPr>
      <w:ind w:firstLine="420"/>
    </w:pPr>
    <w:rPr>
      <w:rFonts w:ascii="Times New Roman" w:hAnsi="Times New Roman" w:eastAsia="宋体" w:cs="Times New Roman"/>
      <w:szCs w:val="20"/>
    </w:rPr>
  </w:style>
  <w:style w:type="paragraph" w:styleId="13">
    <w:name w:val="caption"/>
    <w:basedOn w:val="1"/>
    <w:next w:val="1"/>
    <w:qFormat/>
    <w:uiPriority w:val="99"/>
    <w:rPr>
      <w:rFonts w:ascii="Cambria" w:hAnsi="Cambria" w:eastAsia="黑体" w:cs="Cambria"/>
      <w:sz w:val="20"/>
      <w:szCs w:val="20"/>
    </w:rPr>
  </w:style>
  <w:style w:type="paragraph" w:styleId="14">
    <w:name w:val="Document Map"/>
    <w:basedOn w:val="1"/>
    <w:link w:val="72"/>
    <w:semiHidden/>
    <w:qFormat/>
    <w:uiPriority w:val="99"/>
    <w:pPr>
      <w:shd w:val="clear" w:color="auto" w:fill="000080"/>
    </w:pPr>
    <w:rPr>
      <w:kern w:val="0"/>
      <w:sz w:val="24"/>
      <w:szCs w:val="24"/>
      <w:shd w:val="clear" w:color="auto" w:fill="000080"/>
    </w:rPr>
  </w:style>
  <w:style w:type="paragraph" w:styleId="15">
    <w:name w:val="annotation text"/>
    <w:basedOn w:val="1"/>
    <w:link w:val="56"/>
    <w:unhideWhenUsed/>
    <w:qFormat/>
    <w:uiPriority w:val="99"/>
    <w:pPr>
      <w:jc w:val="left"/>
    </w:pPr>
  </w:style>
  <w:style w:type="paragraph" w:styleId="16">
    <w:name w:val="Body Text"/>
    <w:basedOn w:val="1"/>
    <w:link w:val="97"/>
    <w:qFormat/>
    <w:uiPriority w:val="99"/>
    <w:pPr>
      <w:adjustRightInd w:val="0"/>
      <w:spacing w:after="60" w:line="360" w:lineRule="atLeast"/>
      <w:ind w:left="72" w:leftChars="30" w:right="30" w:rightChars="30"/>
      <w:jc w:val="center"/>
      <w:textAlignment w:val="baseline"/>
    </w:pPr>
    <w:rPr>
      <w:rFonts w:eastAsia="宋体"/>
      <w:kern w:val="0"/>
      <w:sz w:val="22"/>
      <w:szCs w:val="20"/>
    </w:rPr>
  </w:style>
  <w:style w:type="paragraph" w:styleId="17">
    <w:name w:val="Body Text Indent"/>
    <w:basedOn w:val="1"/>
    <w:link w:val="133"/>
    <w:qFormat/>
    <w:uiPriority w:val="99"/>
    <w:pPr>
      <w:spacing w:before="240" w:line="360" w:lineRule="auto"/>
      <w:ind w:firstLine="552" w:firstLineChars="263"/>
    </w:pPr>
    <w:rPr>
      <w:rFonts w:ascii="宋体" w:eastAsia="宋体" w:cs="宋体"/>
      <w:kern w:val="0"/>
      <w:sz w:val="20"/>
      <w:szCs w:val="21"/>
    </w:rPr>
  </w:style>
  <w:style w:type="paragraph" w:styleId="18">
    <w:name w:val="index 4"/>
    <w:basedOn w:val="1"/>
    <w:next w:val="1"/>
    <w:semiHidden/>
    <w:qFormat/>
    <w:uiPriority w:val="99"/>
    <w:pPr>
      <w:ind w:left="600" w:leftChars="600"/>
    </w:pPr>
    <w:rPr>
      <w:rFonts w:ascii="Calibri" w:hAnsi="Calibri" w:eastAsia="宋体" w:cs="Times New Roman"/>
    </w:rPr>
  </w:style>
  <w:style w:type="paragraph" w:styleId="19">
    <w:name w:val="toc 5"/>
    <w:basedOn w:val="1"/>
    <w:next w:val="1"/>
    <w:qFormat/>
    <w:uiPriority w:val="39"/>
    <w:pPr>
      <w:ind w:left="1680" w:leftChars="800"/>
    </w:pPr>
    <w:rPr>
      <w:rFonts w:ascii="Calibri" w:hAnsi="Calibri" w:eastAsia="宋体" w:cs="Calibri"/>
    </w:rPr>
  </w:style>
  <w:style w:type="paragraph" w:styleId="20">
    <w:name w:val="toc 3"/>
    <w:basedOn w:val="1"/>
    <w:next w:val="1"/>
    <w:unhideWhenUsed/>
    <w:qFormat/>
    <w:uiPriority w:val="39"/>
    <w:pPr>
      <w:ind w:left="840" w:leftChars="400"/>
    </w:pPr>
  </w:style>
  <w:style w:type="paragraph" w:styleId="21">
    <w:name w:val="Plain Text"/>
    <w:basedOn w:val="1"/>
    <w:link w:val="124"/>
    <w:qFormat/>
    <w:uiPriority w:val="0"/>
    <w:rPr>
      <w:rFonts w:ascii="宋体" w:hAnsi="Courier New" w:eastAsia="宋体" w:cs="宋体"/>
      <w:kern w:val="0"/>
      <w:sz w:val="24"/>
      <w:szCs w:val="24"/>
    </w:rPr>
  </w:style>
  <w:style w:type="paragraph" w:styleId="22">
    <w:name w:val="toc 8"/>
    <w:basedOn w:val="1"/>
    <w:next w:val="1"/>
    <w:qFormat/>
    <w:uiPriority w:val="39"/>
    <w:pPr>
      <w:ind w:left="2940" w:leftChars="1400"/>
    </w:pPr>
    <w:rPr>
      <w:rFonts w:ascii="Calibri" w:hAnsi="Calibri" w:eastAsia="宋体" w:cs="Calibri"/>
    </w:rPr>
  </w:style>
  <w:style w:type="paragraph" w:styleId="23">
    <w:name w:val="Date"/>
    <w:basedOn w:val="1"/>
    <w:next w:val="1"/>
    <w:link w:val="137"/>
    <w:qFormat/>
    <w:uiPriority w:val="99"/>
    <w:pPr>
      <w:ind w:left="100" w:leftChars="2500"/>
    </w:pPr>
    <w:rPr>
      <w:kern w:val="0"/>
      <w:sz w:val="24"/>
      <w:szCs w:val="24"/>
    </w:rPr>
  </w:style>
  <w:style w:type="paragraph" w:styleId="24">
    <w:name w:val="Body Text Indent 2"/>
    <w:basedOn w:val="1"/>
    <w:link w:val="129"/>
    <w:qFormat/>
    <w:uiPriority w:val="99"/>
    <w:pPr>
      <w:spacing w:after="120" w:line="480" w:lineRule="auto"/>
      <w:ind w:left="420" w:leftChars="200"/>
    </w:pPr>
    <w:rPr>
      <w:kern w:val="0"/>
      <w:sz w:val="24"/>
      <w:szCs w:val="24"/>
    </w:rPr>
  </w:style>
  <w:style w:type="paragraph" w:styleId="25">
    <w:name w:val="Balloon Text"/>
    <w:basedOn w:val="1"/>
    <w:link w:val="57"/>
    <w:semiHidden/>
    <w:unhideWhenUsed/>
    <w:qFormat/>
    <w:uiPriority w:val="99"/>
    <w:rPr>
      <w:sz w:val="18"/>
      <w:szCs w:val="18"/>
    </w:rPr>
  </w:style>
  <w:style w:type="paragraph" w:styleId="26">
    <w:name w:val="footer"/>
    <w:basedOn w:val="1"/>
    <w:link w:val="58"/>
    <w:unhideWhenUsed/>
    <w:qFormat/>
    <w:uiPriority w:val="99"/>
    <w:pPr>
      <w:tabs>
        <w:tab w:val="center" w:pos="4153"/>
        <w:tab w:val="right" w:pos="8306"/>
      </w:tabs>
      <w:snapToGrid w:val="0"/>
      <w:jc w:val="left"/>
    </w:pPr>
    <w:rPr>
      <w:sz w:val="18"/>
      <w:szCs w:val="18"/>
    </w:rPr>
  </w:style>
  <w:style w:type="paragraph" w:styleId="27">
    <w:name w:val="header"/>
    <w:basedOn w:val="1"/>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qFormat/>
    <w:uiPriority w:val="39"/>
  </w:style>
  <w:style w:type="paragraph" w:styleId="29">
    <w:name w:val="toc 4"/>
    <w:basedOn w:val="1"/>
    <w:next w:val="1"/>
    <w:qFormat/>
    <w:uiPriority w:val="39"/>
    <w:pPr>
      <w:ind w:left="1260" w:leftChars="600"/>
    </w:pPr>
    <w:rPr>
      <w:rFonts w:ascii="Calibri" w:hAnsi="Calibri" w:eastAsia="宋体" w:cs="Calibri"/>
    </w:rPr>
  </w:style>
  <w:style w:type="paragraph" w:styleId="30">
    <w:name w:val="Subtitle"/>
    <w:basedOn w:val="1"/>
    <w:next w:val="1"/>
    <w:link w:val="101"/>
    <w:qFormat/>
    <w:uiPriority w:val="11"/>
    <w:pPr>
      <w:spacing w:before="240" w:after="60" w:line="312" w:lineRule="auto"/>
      <w:jc w:val="center"/>
      <w:outlineLvl w:val="1"/>
    </w:pPr>
    <w:rPr>
      <w:rFonts w:ascii="Cambria" w:hAnsi="Cambria" w:cs="Times New Roman"/>
      <w:b/>
      <w:bCs/>
      <w:kern w:val="28"/>
      <w:sz w:val="32"/>
      <w:szCs w:val="32"/>
    </w:rPr>
  </w:style>
  <w:style w:type="paragraph" w:styleId="31">
    <w:name w:val="footnote text"/>
    <w:basedOn w:val="1"/>
    <w:link w:val="127"/>
    <w:semiHidden/>
    <w:qFormat/>
    <w:uiPriority w:val="99"/>
    <w:pPr>
      <w:adjustRightInd w:val="0"/>
      <w:spacing w:line="312" w:lineRule="atLeast"/>
      <w:jc w:val="left"/>
      <w:textAlignment w:val="baseline"/>
    </w:pPr>
    <w:rPr>
      <w:kern w:val="0"/>
      <w:sz w:val="18"/>
      <w:szCs w:val="18"/>
    </w:rPr>
  </w:style>
  <w:style w:type="paragraph" w:styleId="32">
    <w:name w:val="toc 6"/>
    <w:basedOn w:val="1"/>
    <w:next w:val="1"/>
    <w:qFormat/>
    <w:uiPriority w:val="39"/>
    <w:pPr>
      <w:ind w:left="2100" w:leftChars="1000"/>
    </w:pPr>
    <w:rPr>
      <w:rFonts w:ascii="Calibri" w:hAnsi="Calibri" w:eastAsia="宋体" w:cs="Calibri"/>
    </w:rPr>
  </w:style>
  <w:style w:type="paragraph" w:styleId="33">
    <w:name w:val="toc 2"/>
    <w:basedOn w:val="1"/>
    <w:next w:val="1"/>
    <w:unhideWhenUsed/>
    <w:qFormat/>
    <w:uiPriority w:val="39"/>
    <w:pPr>
      <w:ind w:left="420" w:leftChars="200"/>
    </w:pPr>
  </w:style>
  <w:style w:type="paragraph" w:styleId="34">
    <w:name w:val="toc 9"/>
    <w:basedOn w:val="1"/>
    <w:next w:val="1"/>
    <w:qFormat/>
    <w:uiPriority w:val="39"/>
    <w:pPr>
      <w:ind w:left="3360" w:leftChars="1600"/>
    </w:pPr>
    <w:rPr>
      <w:rFonts w:ascii="Calibri" w:hAnsi="Calibri" w:eastAsia="宋体" w:cs="Calibri"/>
    </w:rPr>
  </w:style>
  <w:style w:type="paragraph" w:styleId="3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6">
    <w:name w:val="Title"/>
    <w:basedOn w:val="1"/>
    <w:next w:val="1"/>
    <w:link w:val="84"/>
    <w:qFormat/>
    <w:uiPriority w:val="99"/>
    <w:pPr>
      <w:spacing w:before="240" w:after="60"/>
      <w:jc w:val="center"/>
      <w:outlineLvl w:val="0"/>
    </w:pPr>
    <w:rPr>
      <w:rFonts w:ascii="Cambria" w:hAnsi="Cambria" w:cs="Cambria"/>
      <w:b/>
      <w:bCs/>
      <w:kern w:val="0"/>
      <w:sz w:val="32"/>
      <w:szCs w:val="32"/>
    </w:rPr>
  </w:style>
  <w:style w:type="paragraph" w:styleId="37">
    <w:name w:val="annotation subject"/>
    <w:basedOn w:val="15"/>
    <w:next w:val="15"/>
    <w:link w:val="60"/>
    <w:semiHidden/>
    <w:unhideWhenUsed/>
    <w:qFormat/>
    <w:uiPriority w:val="99"/>
    <w:rPr>
      <w:b/>
      <w:bCs/>
    </w:rPr>
  </w:style>
  <w:style w:type="table" w:styleId="39">
    <w:name w:val="Table Grid"/>
    <w:basedOn w:val="3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22"/>
    <w:rPr>
      <w:b/>
      <w:bCs/>
    </w:rPr>
  </w:style>
  <w:style w:type="character" w:styleId="42">
    <w:name w:val="page number"/>
    <w:basedOn w:val="40"/>
    <w:qFormat/>
    <w:uiPriority w:val="99"/>
  </w:style>
  <w:style w:type="character" w:styleId="43">
    <w:name w:val="FollowedHyperlink"/>
    <w:qFormat/>
    <w:uiPriority w:val="99"/>
    <w:rPr>
      <w:color w:val="800080"/>
      <w:u w:val="single"/>
    </w:rPr>
  </w:style>
  <w:style w:type="character" w:styleId="44">
    <w:name w:val="Emphasis"/>
    <w:qFormat/>
    <w:uiPriority w:val="99"/>
    <w:rPr>
      <w:i/>
      <w:iCs/>
    </w:rPr>
  </w:style>
  <w:style w:type="character" w:styleId="45">
    <w:name w:val="Hyperlink"/>
    <w:basedOn w:val="40"/>
    <w:unhideWhenUsed/>
    <w:qFormat/>
    <w:uiPriority w:val="99"/>
    <w:rPr>
      <w:color w:val="0563C1" w:themeColor="hyperlink"/>
      <w:u w:val="single"/>
      <w14:textFill>
        <w14:solidFill>
          <w14:schemeClr w14:val="hlink"/>
        </w14:solidFill>
      </w14:textFill>
    </w:rPr>
  </w:style>
  <w:style w:type="character" w:styleId="46">
    <w:name w:val="annotation reference"/>
    <w:basedOn w:val="40"/>
    <w:unhideWhenUsed/>
    <w:qFormat/>
    <w:uiPriority w:val="99"/>
    <w:rPr>
      <w:sz w:val="21"/>
      <w:szCs w:val="21"/>
    </w:rPr>
  </w:style>
  <w:style w:type="character" w:customStyle="1" w:styleId="47">
    <w:name w:val="标题 2 Char"/>
    <w:basedOn w:val="40"/>
    <w:link w:val="3"/>
    <w:qFormat/>
    <w:uiPriority w:val="9"/>
    <w:rPr>
      <w:rFonts w:asciiTheme="majorHAnsi" w:hAnsiTheme="majorHAnsi" w:eastAsiaTheme="majorEastAsia" w:cstheme="majorBidi"/>
      <w:b/>
      <w:bCs/>
      <w:sz w:val="32"/>
      <w:szCs w:val="32"/>
    </w:rPr>
  </w:style>
  <w:style w:type="character" w:customStyle="1" w:styleId="48">
    <w:name w:val="标题 1 Char"/>
    <w:basedOn w:val="40"/>
    <w:link w:val="2"/>
    <w:qFormat/>
    <w:uiPriority w:val="9"/>
    <w:rPr>
      <w:b/>
      <w:bCs/>
      <w:kern w:val="44"/>
      <w:sz w:val="44"/>
      <w:szCs w:val="44"/>
    </w:rPr>
  </w:style>
  <w:style w:type="character" w:customStyle="1" w:styleId="49">
    <w:name w:val="标题 3 Char"/>
    <w:basedOn w:val="40"/>
    <w:link w:val="4"/>
    <w:qFormat/>
    <w:uiPriority w:val="9"/>
    <w:rPr>
      <w:b/>
      <w:bCs/>
      <w:sz w:val="32"/>
      <w:szCs w:val="32"/>
    </w:rPr>
  </w:style>
  <w:style w:type="character" w:customStyle="1" w:styleId="50">
    <w:name w:val="标题 4 Char"/>
    <w:basedOn w:val="40"/>
    <w:link w:val="5"/>
    <w:qFormat/>
    <w:uiPriority w:val="99"/>
    <w:rPr>
      <w:rFonts w:ascii="Arial" w:hAnsi="Arial" w:eastAsia="宋体" w:cs="Times New Roman"/>
      <w:b/>
      <w:bCs/>
      <w:kern w:val="2"/>
      <w:sz w:val="28"/>
      <w:szCs w:val="28"/>
    </w:rPr>
  </w:style>
  <w:style w:type="character" w:customStyle="1" w:styleId="51">
    <w:name w:val="标题 5 Char"/>
    <w:basedOn w:val="40"/>
    <w:link w:val="6"/>
    <w:qFormat/>
    <w:uiPriority w:val="99"/>
    <w:rPr>
      <w:rFonts w:ascii="Calibri" w:hAnsi="Calibri" w:eastAsia="宋体" w:cs="Times New Roman"/>
      <w:b/>
      <w:bCs/>
      <w:kern w:val="2"/>
      <w:sz w:val="28"/>
      <w:szCs w:val="28"/>
    </w:rPr>
  </w:style>
  <w:style w:type="character" w:customStyle="1" w:styleId="52">
    <w:name w:val="标题 6 Char"/>
    <w:basedOn w:val="40"/>
    <w:link w:val="7"/>
    <w:qFormat/>
    <w:uiPriority w:val="9"/>
    <w:rPr>
      <w:rFonts w:ascii="Cambria" w:hAnsi="Cambria" w:eastAsia="宋体" w:cs="Times New Roman"/>
      <w:b/>
      <w:bCs/>
      <w:sz w:val="24"/>
      <w:szCs w:val="24"/>
      <w:lang w:val="zh-CN" w:eastAsia="zh-CN"/>
    </w:rPr>
  </w:style>
  <w:style w:type="character" w:customStyle="1" w:styleId="53">
    <w:name w:val="标题 7 Char"/>
    <w:basedOn w:val="40"/>
    <w:link w:val="8"/>
    <w:qFormat/>
    <w:uiPriority w:val="9"/>
    <w:rPr>
      <w:rFonts w:ascii="Calibri" w:hAnsi="Calibri" w:eastAsia="宋体" w:cs="Times New Roman"/>
      <w:b/>
      <w:bCs/>
      <w:sz w:val="24"/>
      <w:szCs w:val="24"/>
      <w:lang w:val="zh-CN" w:eastAsia="zh-CN"/>
    </w:rPr>
  </w:style>
  <w:style w:type="character" w:customStyle="1" w:styleId="54">
    <w:name w:val="标题 8 Char"/>
    <w:basedOn w:val="40"/>
    <w:link w:val="9"/>
    <w:qFormat/>
    <w:uiPriority w:val="9"/>
    <w:rPr>
      <w:rFonts w:ascii="Cambria" w:hAnsi="Cambria" w:eastAsia="宋体" w:cs="Times New Roman"/>
      <w:sz w:val="24"/>
      <w:szCs w:val="24"/>
      <w:lang w:val="zh-CN" w:eastAsia="zh-CN"/>
    </w:rPr>
  </w:style>
  <w:style w:type="character" w:customStyle="1" w:styleId="55">
    <w:name w:val="标题 9 Char"/>
    <w:basedOn w:val="40"/>
    <w:link w:val="10"/>
    <w:qFormat/>
    <w:uiPriority w:val="9"/>
    <w:rPr>
      <w:rFonts w:ascii="Cambria" w:hAnsi="Cambria" w:eastAsia="宋体" w:cs="Times New Roman"/>
      <w:szCs w:val="22"/>
      <w:lang w:val="zh-CN" w:eastAsia="zh-CN"/>
    </w:rPr>
  </w:style>
  <w:style w:type="character" w:customStyle="1" w:styleId="56">
    <w:name w:val="批注文字 Char"/>
    <w:basedOn w:val="40"/>
    <w:link w:val="15"/>
    <w:qFormat/>
    <w:uiPriority w:val="99"/>
  </w:style>
  <w:style w:type="character" w:customStyle="1" w:styleId="57">
    <w:name w:val="批注框文本 Char"/>
    <w:basedOn w:val="40"/>
    <w:link w:val="25"/>
    <w:qFormat/>
    <w:uiPriority w:val="99"/>
    <w:rPr>
      <w:sz w:val="18"/>
      <w:szCs w:val="18"/>
    </w:rPr>
  </w:style>
  <w:style w:type="character" w:customStyle="1" w:styleId="58">
    <w:name w:val="页脚 Char"/>
    <w:basedOn w:val="40"/>
    <w:link w:val="26"/>
    <w:qFormat/>
    <w:uiPriority w:val="99"/>
    <w:rPr>
      <w:sz w:val="18"/>
      <w:szCs w:val="18"/>
    </w:rPr>
  </w:style>
  <w:style w:type="character" w:customStyle="1" w:styleId="59">
    <w:name w:val="页眉 Char"/>
    <w:basedOn w:val="40"/>
    <w:link w:val="27"/>
    <w:qFormat/>
    <w:uiPriority w:val="99"/>
    <w:rPr>
      <w:sz w:val="18"/>
      <w:szCs w:val="18"/>
    </w:rPr>
  </w:style>
  <w:style w:type="character" w:customStyle="1" w:styleId="60">
    <w:name w:val="批注主题 Char"/>
    <w:basedOn w:val="56"/>
    <w:link w:val="37"/>
    <w:qFormat/>
    <w:uiPriority w:val="99"/>
    <w:rPr>
      <w:b/>
      <w:bCs/>
    </w:rPr>
  </w:style>
  <w:style w:type="character" w:customStyle="1" w:styleId="61">
    <w:name w:val="批注文字 Char2"/>
    <w:qFormat/>
    <w:locked/>
    <w:uiPriority w:val="0"/>
    <w:rPr>
      <w:rFonts w:eastAsia="宋体"/>
      <w:kern w:val="2"/>
      <w:sz w:val="24"/>
      <w:szCs w:val="24"/>
      <w:lang w:val="en-US" w:eastAsia="zh-CN"/>
    </w:rPr>
  </w:style>
  <w:style w:type="paragraph" w:customStyle="1" w:styleId="62">
    <w:name w:val="修订1"/>
    <w:hidden/>
    <w:qFormat/>
    <w:uiPriority w:val="99"/>
    <w:rPr>
      <w:rFonts w:asciiTheme="minorHAnsi" w:hAnsiTheme="minorHAnsi" w:eastAsiaTheme="minorEastAsia" w:cstheme="minorBidi"/>
      <w:kern w:val="2"/>
      <w:sz w:val="21"/>
      <w:szCs w:val="22"/>
      <w:lang w:val="en-US" w:eastAsia="zh-CN" w:bidi="ar-SA"/>
    </w:rPr>
  </w:style>
  <w:style w:type="paragraph" w:customStyle="1" w:styleId="63">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6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正文_2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7">
    <w:name w:val="批注文字 Char Char"/>
    <w:qFormat/>
    <w:uiPriority w:val="99"/>
    <w:rPr>
      <w:rFonts w:ascii="宋体" w:hAnsi="Times New Roman" w:eastAsia="宋体" w:cs="宋体"/>
      <w:sz w:val="20"/>
      <w:szCs w:val="20"/>
    </w:rPr>
  </w:style>
  <w:style w:type="character" w:customStyle="1" w:styleId="68">
    <w:name w:val="Heading 3 Char"/>
    <w:qFormat/>
    <w:uiPriority w:val="99"/>
    <w:rPr>
      <w:b/>
      <w:bCs/>
      <w:kern w:val="2"/>
      <w:sz w:val="32"/>
      <w:szCs w:val="32"/>
    </w:rPr>
  </w:style>
  <w:style w:type="character" w:customStyle="1" w:styleId="69">
    <w:name w:val="Heading 2 Char"/>
    <w:qFormat/>
    <w:uiPriority w:val="99"/>
    <w:rPr>
      <w:rFonts w:ascii="Arial" w:hAnsi="Arial" w:eastAsia="黑体" w:cs="Arial"/>
      <w:b/>
      <w:bCs/>
      <w:kern w:val="2"/>
      <w:sz w:val="32"/>
      <w:szCs w:val="32"/>
      <w:lang w:val="en-US" w:eastAsia="zh-CN"/>
    </w:rPr>
  </w:style>
  <w:style w:type="character" w:customStyle="1" w:styleId="70">
    <w:name w:val="Balloon Text Char"/>
    <w:qFormat/>
    <w:uiPriority w:val="99"/>
    <w:rPr>
      <w:sz w:val="18"/>
      <w:szCs w:val="18"/>
    </w:rPr>
  </w:style>
  <w:style w:type="character" w:customStyle="1" w:styleId="71">
    <w:name w:val="文档结构图 Char1"/>
    <w:qFormat/>
    <w:uiPriority w:val="99"/>
    <w:rPr>
      <w:rFonts w:ascii="宋体" w:hAnsi="Times New Roman" w:eastAsia="宋体" w:cs="宋体"/>
      <w:sz w:val="18"/>
      <w:szCs w:val="18"/>
    </w:rPr>
  </w:style>
  <w:style w:type="character" w:customStyle="1" w:styleId="72">
    <w:name w:val="文档结构图 Char"/>
    <w:link w:val="14"/>
    <w:qFormat/>
    <w:locked/>
    <w:uiPriority w:val="99"/>
    <w:rPr>
      <w:sz w:val="24"/>
      <w:szCs w:val="24"/>
      <w:shd w:val="clear" w:color="auto" w:fill="000080"/>
    </w:rPr>
  </w:style>
  <w:style w:type="character" w:customStyle="1" w:styleId="73">
    <w:name w:val="文档结构图 Char2"/>
    <w:basedOn w:val="40"/>
    <w:semiHidden/>
    <w:qFormat/>
    <w:uiPriority w:val="99"/>
    <w:rPr>
      <w:rFonts w:ascii="Microsoft YaHei UI" w:eastAsia="Microsoft YaHei UI"/>
      <w:kern w:val="2"/>
      <w:sz w:val="18"/>
      <w:szCs w:val="18"/>
    </w:rPr>
  </w:style>
  <w:style w:type="character" w:customStyle="1" w:styleId="74">
    <w:name w:val="Footnote Text Char"/>
    <w:qFormat/>
    <w:uiPriority w:val="99"/>
    <w:rPr>
      <w:rFonts w:eastAsia="宋体"/>
      <w:sz w:val="18"/>
      <w:szCs w:val="18"/>
      <w:lang w:val="en-US" w:eastAsia="zh-CN"/>
    </w:rPr>
  </w:style>
  <w:style w:type="character" w:customStyle="1" w:styleId="75">
    <w:name w:val="Char Char21"/>
    <w:qFormat/>
    <w:uiPriority w:val="99"/>
    <w:rPr>
      <w:rFonts w:ascii="Arial" w:hAnsi="Arial" w:eastAsia="黑体" w:cs="Arial"/>
      <w:b/>
      <w:bCs/>
      <w:sz w:val="32"/>
      <w:szCs w:val="32"/>
    </w:rPr>
  </w:style>
  <w:style w:type="character" w:customStyle="1" w:styleId="76">
    <w:name w:val="批注文字 Char1"/>
    <w:qFormat/>
    <w:uiPriority w:val="99"/>
    <w:rPr>
      <w:rFonts w:ascii="Times New Roman" w:hAnsi="Times New Roman" w:eastAsia="宋体" w:cs="Times New Roman"/>
      <w:sz w:val="24"/>
      <w:szCs w:val="24"/>
    </w:rPr>
  </w:style>
  <w:style w:type="character" w:customStyle="1" w:styleId="77">
    <w:name w:val="Body Text Indent Char"/>
    <w:qFormat/>
    <w:uiPriority w:val="99"/>
    <w:rPr>
      <w:rFonts w:ascii="宋体" w:hAnsi="宋体" w:eastAsia="宋体" w:cs="宋体"/>
      <w:kern w:val="2"/>
      <w:sz w:val="21"/>
      <w:szCs w:val="21"/>
      <w:lang w:val="en-US" w:eastAsia="zh-CN"/>
    </w:rPr>
  </w:style>
  <w:style w:type="character" w:customStyle="1" w:styleId="78">
    <w:name w:val="不明显参考1"/>
    <w:qFormat/>
    <w:uiPriority w:val="99"/>
    <w:rPr>
      <w:smallCaps/>
      <w:color w:val="auto"/>
      <w:u w:val="single"/>
    </w:rPr>
  </w:style>
  <w:style w:type="character" w:customStyle="1" w:styleId="79">
    <w:name w:val="Heading 4 Char"/>
    <w:qFormat/>
    <w:uiPriority w:val="99"/>
    <w:rPr>
      <w:rFonts w:ascii="Arial" w:hAnsi="Arial" w:eastAsia="宋体" w:cs="Arial"/>
      <w:b/>
      <w:bCs/>
      <w:kern w:val="2"/>
      <w:sz w:val="28"/>
      <w:szCs w:val="28"/>
      <w:lang w:val="en-US" w:eastAsia="zh-CN"/>
    </w:rPr>
  </w:style>
  <w:style w:type="character" w:customStyle="1" w:styleId="80">
    <w:name w:val="Char Char20"/>
    <w:qFormat/>
    <w:uiPriority w:val="99"/>
    <w:rPr>
      <w:rFonts w:ascii="Times New Roman" w:hAnsi="Times New Roman" w:eastAsia="宋体" w:cs="Times New Roman"/>
      <w:b/>
      <w:bCs/>
      <w:sz w:val="32"/>
      <w:szCs w:val="32"/>
    </w:rPr>
  </w:style>
  <w:style w:type="character" w:customStyle="1" w:styleId="81">
    <w:name w:val="Comment Subject Char"/>
    <w:qFormat/>
    <w:uiPriority w:val="99"/>
    <w:rPr>
      <w:b/>
      <w:bCs/>
      <w:sz w:val="24"/>
      <w:szCs w:val="24"/>
    </w:rPr>
  </w:style>
  <w:style w:type="character" w:customStyle="1" w:styleId="82">
    <w:name w:val="Heading 1 Char"/>
    <w:qFormat/>
    <w:uiPriority w:val="99"/>
    <w:rPr>
      <w:rFonts w:eastAsia="宋体"/>
      <w:b/>
      <w:bCs/>
      <w:kern w:val="44"/>
      <w:sz w:val="44"/>
      <w:szCs w:val="44"/>
      <w:lang w:val="en-US" w:eastAsia="zh-CN"/>
    </w:rPr>
  </w:style>
  <w:style w:type="character" w:customStyle="1" w:styleId="83">
    <w:name w:val="批注框文本 Char1"/>
    <w:qFormat/>
    <w:uiPriority w:val="99"/>
    <w:rPr>
      <w:rFonts w:ascii="Times New Roman" w:hAnsi="Times New Roman" w:eastAsia="宋体" w:cs="Times New Roman"/>
      <w:sz w:val="18"/>
      <w:szCs w:val="18"/>
    </w:rPr>
  </w:style>
  <w:style w:type="character" w:customStyle="1" w:styleId="84">
    <w:name w:val="标题 Char"/>
    <w:link w:val="36"/>
    <w:qFormat/>
    <w:locked/>
    <w:uiPriority w:val="99"/>
    <w:rPr>
      <w:rFonts w:ascii="Cambria" w:hAnsi="Cambria" w:cs="Cambria"/>
      <w:b/>
      <w:bCs/>
      <w:sz w:val="32"/>
      <w:szCs w:val="32"/>
    </w:rPr>
  </w:style>
  <w:style w:type="character" w:customStyle="1" w:styleId="85">
    <w:name w:val="标题 Char1"/>
    <w:basedOn w:val="40"/>
    <w:qFormat/>
    <w:uiPriority w:val="99"/>
    <w:rPr>
      <w:rFonts w:eastAsia="宋体" w:asciiTheme="majorHAnsi" w:hAnsiTheme="majorHAnsi" w:cstheme="majorBidi"/>
      <w:b/>
      <w:bCs/>
      <w:kern w:val="2"/>
      <w:sz w:val="32"/>
      <w:szCs w:val="32"/>
    </w:rPr>
  </w:style>
  <w:style w:type="character" w:customStyle="1" w:styleId="86">
    <w:name w:val="Char Char6"/>
    <w:qFormat/>
    <w:uiPriority w:val="99"/>
    <w:rPr>
      <w:rFonts w:eastAsia="宋体"/>
      <w:b/>
      <w:bCs/>
      <w:kern w:val="44"/>
      <w:sz w:val="44"/>
      <w:szCs w:val="44"/>
      <w:lang w:val="en-US" w:eastAsia="zh-CN"/>
    </w:rPr>
  </w:style>
  <w:style w:type="character" w:customStyle="1" w:styleId="87">
    <w:name w:val="Char Char18"/>
    <w:qFormat/>
    <w:uiPriority w:val="99"/>
    <w:rPr>
      <w:rFonts w:ascii="Times New Roman" w:hAnsi="Times New Roman" w:eastAsia="宋体" w:cs="Times New Roman"/>
      <w:b/>
      <w:bCs/>
      <w:sz w:val="28"/>
      <w:szCs w:val="28"/>
    </w:rPr>
  </w:style>
  <w:style w:type="character" w:customStyle="1" w:styleId="88">
    <w:name w:val="Body Text Indent 2 Char"/>
    <w:qFormat/>
    <w:uiPriority w:val="99"/>
    <w:rPr>
      <w:rFonts w:eastAsia="宋体"/>
      <w:kern w:val="2"/>
      <w:sz w:val="24"/>
      <w:szCs w:val="24"/>
      <w:lang w:val="en-US" w:eastAsia="zh-CN"/>
    </w:rPr>
  </w:style>
  <w:style w:type="character" w:customStyle="1" w:styleId="89">
    <w:name w:val="Comment Text Char1"/>
    <w:qFormat/>
    <w:uiPriority w:val="99"/>
    <w:rPr>
      <w:sz w:val="24"/>
      <w:szCs w:val="24"/>
    </w:rPr>
  </w:style>
  <w:style w:type="character" w:customStyle="1" w:styleId="90">
    <w:name w:val="正文文本 Char1"/>
    <w:qFormat/>
    <w:uiPriority w:val="99"/>
    <w:rPr>
      <w:kern w:val="2"/>
      <w:sz w:val="22"/>
      <w:szCs w:val="22"/>
    </w:rPr>
  </w:style>
  <w:style w:type="character" w:customStyle="1" w:styleId="91">
    <w:name w:val="标题5 Char Char"/>
    <w:link w:val="92"/>
    <w:qFormat/>
    <w:locked/>
    <w:uiPriority w:val="99"/>
    <w:rPr>
      <w:rFonts w:ascii="Arial" w:hAnsi="Arial" w:cs="Arial"/>
      <w:b/>
      <w:bCs/>
      <w:sz w:val="32"/>
      <w:szCs w:val="32"/>
    </w:rPr>
  </w:style>
  <w:style w:type="paragraph" w:customStyle="1" w:styleId="92">
    <w:name w:val="标题5"/>
    <w:basedOn w:val="4"/>
    <w:link w:val="91"/>
    <w:qFormat/>
    <w:uiPriority w:val="99"/>
    <w:pPr>
      <w:spacing w:line="413" w:lineRule="auto"/>
    </w:pPr>
    <w:rPr>
      <w:rFonts w:ascii="Arial" w:hAnsi="Arial" w:cs="Arial"/>
      <w:kern w:val="0"/>
    </w:rPr>
  </w:style>
  <w:style w:type="character" w:customStyle="1" w:styleId="93">
    <w:name w:val="批注主题 Char1"/>
    <w:qFormat/>
    <w:uiPriority w:val="99"/>
    <w:rPr>
      <w:rFonts w:ascii="Times New Roman" w:hAnsi="Times New Roman" w:eastAsia="宋体" w:cs="Times New Roman"/>
      <w:b/>
      <w:bCs/>
      <w:sz w:val="24"/>
      <w:szCs w:val="24"/>
    </w:rPr>
  </w:style>
  <w:style w:type="character" w:customStyle="1" w:styleId="94">
    <w:name w:val="Char Char24"/>
    <w:qFormat/>
    <w:uiPriority w:val="99"/>
    <w:rPr>
      <w:rFonts w:eastAsia="宋体"/>
      <w:b/>
      <w:bCs/>
      <w:kern w:val="44"/>
      <w:sz w:val="44"/>
      <w:szCs w:val="44"/>
      <w:lang w:val="en-US" w:eastAsia="zh-CN"/>
    </w:rPr>
  </w:style>
  <w:style w:type="character" w:customStyle="1" w:styleId="95">
    <w:name w:val="Footer Char"/>
    <w:qFormat/>
    <w:uiPriority w:val="99"/>
    <w:rPr>
      <w:rFonts w:eastAsia="宋体"/>
      <w:kern w:val="2"/>
      <w:sz w:val="18"/>
      <w:szCs w:val="18"/>
      <w:lang w:val="en-US" w:eastAsia="zh-CN"/>
    </w:rPr>
  </w:style>
  <w:style w:type="character" w:customStyle="1" w:styleId="96">
    <w:name w:val="Char Char9"/>
    <w:qFormat/>
    <w:uiPriority w:val="99"/>
    <w:rPr>
      <w:rFonts w:eastAsia="宋体"/>
      <w:b/>
      <w:bCs/>
      <w:kern w:val="44"/>
      <w:sz w:val="44"/>
      <w:szCs w:val="44"/>
      <w:lang w:val="en-US" w:eastAsia="zh-CN"/>
    </w:rPr>
  </w:style>
  <w:style w:type="character" w:customStyle="1" w:styleId="97">
    <w:name w:val="正文文本 Char"/>
    <w:link w:val="16"/>
    <w:qFormat/>
    <w:locked/>
    <w:uiPriority w:val="99"/>
    <w:rPr>
      <w:rFonts w:eastAsia="宋体"/>
      <w:sz w:val="22"/>
    </w:rPr>
  </w:style>
  <w:style w:type="character" w:customStyle="1" w:styleId="98">
    <w:name w:val="正文文本 Char2"/>
    <w:basedOn w:val="40"/>
    <w:semiHidden/>
    <w:qFormat/>
    <w:uiPriority w:val="99"/>
    <w:rPr>
      <w:kern w:val="2"/>
      <w:sz w:val="21"/>
      <w:szCs w:val="22"/>
    </w:rPr>
  </w:style>
  <w:style w:type="character" w:customStyle="1" w:styleId="99">
    <w:name w:val="Heading 3 Char1"/>
    <w:qFormat/>
    <w:uiPriority w:val="99"/>
    <w:rPr>
      <w:rFonts w:eastAsia="宋体"/>
      <w:b/>
      <w:bCs/>
      <w:kern w:val="2"/>
      <w:sz w:val="32"/>
      <w:szCs w:val="32"/>
      <w:lang w:val="en-US" w:eastAsia="zh-CN"/>
    </w:rPr>
  </w:style>
  <w:style w:type="character" w:customStyle="1" w:styleId="100">
    <w:name w:val="Document Map Char"/>
    <w:qFormat/>
    <w:uiPriority w:val="99"/>
    <w:rPr>
      <w:rFonts w:eastAsia="宋体"/>
      <w:kern w:val="2"/>
      <w:sz w:val="24"/>
      <w:szCs w:val="24"/>
      <w:lang w:val="en-US" w:eastAsia="zh-CN"/>
    </w:rPr>
  </w:style>
  <w:style w:type="character" w:customStyle="1" w:styleId="101">
    <w:name w:val="副标题 Char"/>
    <w:link w:val="30"/>
    <w:qFormat/>
    <w:uiPriority w:val="11"/>
    <w:rPr>
      <w:rFonts w:ascii="Cambria" w:hAnsi="Cambria" w:cs="Times New Roman"/>
      <w:b/>
      <w:bCs/>
      <w:kern w:val="28"/>
      <w:sz w:val="32"/>
      <w:szCs w:val="32"/>
    </w:rPr>
  </w:style>
  <w:style w:type="character" w:customStyle="1" w:styleId="102">
    <w:name w:val="副标题 Char1"/>
    <w:basedOn w:val="40"/>
    <w:qFormat/>
    <w:uiPriority w:val="11"/>
    <w:rPr>
      <w:rFonts w:eastAsia="宋体" w:asciiTheme="majorHAnsi" w:hAnsiTheme="majorHAnsi" w:cstheme="majorBidi"/>
      <w:b/>
      <w:bCs/>
      <w:kern w:val="28"/>
      <w:sz w:val="32"/>
      <w:szCs w:val="32"/>
    </w:rPr>
  </w:style>
  <w:style w:type="character" w:customStyle="1" w:styleId="103">
    <w:name w:val="Char Char22"/>
    <w:qFormat/>
    <w:uiPriority w:val="99"/>
    <w:rPr>
      <w:rFonts w:ascii="Times New Roman" w:hAnsi="Times New Roman" w:eastAsia="宋体" w:cs="Times New Roman"/>
      <w:b/>
      <w:bCs/>
      <w:kern w:val="44"/>
      <w:sz w:val="44"/>
      <w:szCs w:val="44"/>
    </w:rPr>
  </w:style>
  <w:style w:type="character" w:customStyle="1" w:styleId="104">
    <w:name w:val="明显引用 Char"/>
    <w:link w:val="105"/>
    <w:qFormat/>
    <w:locked/>
    <w:uiPriority w:val="99"/>
    <w:rPr>
      <w:b/>
      <w:bCs/>
      <w:i/>
      <w:iCs/>
      <w:color w:val="4F81BD"/>
    </w:rPr>
  </w:style>
  <w:style w:type="paragraph" w:customStyle="1" w:styleId="105">
    <w:name w:val="明显引用1"/>
    <w:basedOn w:val="1"/>
    <w:next w:val="1"/>
    <w:link w:val="104"/>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06">
    <w:name w:val="标题4 Char Char"/>
    <w:link w:val="107"/>
    <w:qFormat/>
    <w:locked/>
    <w:uiPriority w:val="99"/>
    <w:rPr>
      <w:rFonts w:ascii="Arial" w:hAnsi="Arial" w:cs="Arial"/>
      <w:b/>
      <w:bCs/>
      <w:sz w:val="32"/>
      <w:szCs w:val="32"/>
    </w:rPr>
  </w:style>
  <w:style w:type="paragraph" w:customStyle="1" w:styleId="107">
    <w:name w:val="标题4"/>
    <w:basedOn w:val="3"/>
    <w:next w:val="18"/>
    <w:link w:val="106"/>
    <w:qFormat/>
    <w:uiPriority w:val="99"/>
    <w:pPr>
      <w:spacing w:before="60" w:after="60" w:line="413" w:lineRule="auto"/>
    </w:pPr>
    <w:rPr>
      <w:rFonts w:ascii="Arial" w:hAnsi="Arial" w:cs="Arial" w:eastAsiaTheme="minorEastAsia"/>
      <w:kern w:val="0"/>
    </w:rPr>
  </w:style>
  <w:style w:type="character" w:customStyle="1" w:styleId="108">
    <w:name w:val="Header Char"/>
    <w:qFormat/>
    <w:uiPriority w:val="99"/>
    <w:rPr>
      <w:rFonts w:eastAsia="宋体"/>
      <w:kern w:val="2"/>
      <w:sz w:val="18"/>
      <w:szCs w:val="18"/>
      <w:lang w:val="en-US" w:eastAsia="zh-CN"/>
    </w:rPr>
  </w:style>
  <w:style w:type="character" w:customStyle="1" w:styleId="109">
    <w:name w:val="明显引用 Char1"/>
    <w:qFormat/>
    <w:uiPriority w:val="99"/>
    <w:rPr>
      <w:rFonts w:ascii="Times New Roman" w:hAnsi="Times New Roman" w:eastAsia="宋体" w:cs="Times New Roman"/>
      <w:b/>
      <w:bCs/>
      <w:i/>
      <w:iCs/>
      <w:color w:val="4F81BD"/>
      <w:sz w:val="24"/>
      <w:szCs w:val="24"/>
    </w:rPr>
  </w:style>
  <w:style w:type="character" w:customStyle="1" w:styleId="110">
    <w:name w:val="Comment Text Char"/>
    <w:qFormat/>
    <w:uiPriority w:val="99"/>
    <w:rPr>
      <w:sz w:val="24"/>
      <w:szCs w:val="24"/>
    </w:rPr>
  </w:style>
  <w:style w:type="character" w:customStyle="1" w:styleId="111">
    <w:name w:val="明显参考1"/>
    <w:qFormat/>
    <w:uiPriority w:val="99"/>
    <w:rPr>
      <w:b/>
      <w:bCs/>
      <w:smallCaps/>
      <w:color w:val="auto"/>
      <w:spacing w:val="5"/>
      <w:u w:val="single"/>
    </w:rPr>
  </w:style>
  <w:style w:type="character" w:customStyle="1" w:styleId="112">
    <w:name w:val="明显强调1"/>
    <w:qFormat/>
    <w:uiPriority w:val="99"/>
    <w:rPr>
      <w:b/>
      <w:bCs/>
      <w:i/>
      <w:iCs/>
      <w:color w:val="4F81BD"/>
    </w:rPr>
  </w:style>
  <w:style w:type="character" w:customStyle="1" w:styleId="113">
    <w:name w:val="引用 Char1"/>
    <w:qFormat/>
    <w:uiPriority w:val="99"/>
    <w:rPr>
      <w:rFonts w:ascii="Times New Roman" w:hAnsi="Times New Roman" w:eastAsia="宋体" w:cs="Times New Roman"/>
      <w:i/>
      <w:iCs/>
      <w:color w:val="000000"/>
      <w:sz w:val="24"/>
      <w:szCs w:val="24"/>
    </w:rPr>
  </w:style>
  <w:style w:type="character" w:customStyle="1" w:styleId="114">
    <w:name w:val="引用 Char"/>
    <w:link w:val="115"/>
    <w:qFormat/>
    <w:locked/>
    <w:uiPriority w:val="99"/>
    <w:rPr>
      <w:i/>
      <w:iCs/>
      <w:color w:val="000000"/>
    </w:rPr>
  </w:style>
  <w:style w:type="paragraph" w:customStyle="1" w:styleId="115">
    <w:name w:val="引用1"/>
    <w:basedOn w:val="1"/>
    <w:next w:val="1"/>
    <w:link w:val="114"/>
    <w:qFormat/>
    <w:uiPriority w:val="99"/>
    <w:rPr>
      <w:i/>
      <w:iCs/>
      <w:color w:val="000000"/>
      <w:kern w:val="0"/>
      <w:sz w:val="20"/>
      <w:szCs w:val="20"/>
    </w:rPr>
  </w:style>
  <w:style w:type="character" w:customStyle="1" w:styleId="116">
    <w:name w:val="标题 Char2"/>
    <w:qFormat/>
    <w:uiPriority w:val="99"/>
    <w:rPr>
      <w:rFonts w:ascii="Cambria" w:hAnsi="Cambria" w:eastAsia="宋体" w:cs="Cambria"/>
      <w:b/>
      <w:bCs/>
      <w:sz w:val="32"/>
      <w:szCs w:val="32"/>
    </w:rPr>
  </w:style>
  <w:style w:type="character" w:customStyle="1" w:styleId="117">
    <w:name w:val="Char Char23"/>
    <w:qFormat/>
    <w:uiPriority w:val="99"/>
    <w:rPr>
      <w:rFonts w:eastAsia="宋体"/>
      <w:b/>
      <w:bCs/>
      <w:kern w:val="44"/>
      <w:sz w:val="44"/>
      <w:szCs w:val="44"/>
      <w:lang w:val="en-US" w:eastAsia="zh-CN"/>
    </w:rPr>
  </w:style>
  <w:style w:type="character" w:customStyle="1" w:styleId="118">
    <w:name w:val="Plain Text Char"/>
    <w:qFormat/>
    <w:uiPriority w:val="99"/>
    <w:rPr>
      <w:rFonts w:ascii="宋体" w:hAnsi="Courier New" w:eastAsia="宋体" w:cs="宋体"/>
      <w:sz w:val="24"/>
      <w:szCs w:val="24"/>
    </w:rPr>
  </w:style>
  <w:style w:type="character" w:customStyle="1" w:styleId="119">
    <w:name w:val="Char Char91"/>
    <w:qFormat/>
    <w:uiPriority w:val="99"/>
    <w:rPr>
      <w:rFonts w:eastAsia="宋体"/>
      <w:b/>
      <w:bCs/>
      <w:kern w:val="44"/>
      <w:sz w:val="44"/>
      <w:szCs w:val="44"/>
      <w:lang w:val="en-US" w:eastAsia="zh-CN"/>
    </w:rPr>
  </w:style>
  <w:style w:type="character" w:customStyle="1" w:styleId="120">
    <w:name w:val="纯文本 Char1"/>
    <w:qFormat/>
    <w:uiPriority w:val="99"/>
    <w:rPr>
      <w:rFonts w:ascii="宋体" w:hAnsi="Courier New" w:eastAsia="宋体" w:cs="宋体"/>
      <w:sz w:val="21"/>
      <w:szCs w:val="21"/>
    </w:rPr>
  </w:style>
  <w:style w:type="character" w:customStyle="1" w:styleId="121">
    <w:name w:val="Char Char181"/>
    <w:qFormat/>
    <w:uiPriority w:val="99"/>
    <w:rPr>
      <w:b/>
      <w:bCs/>
      <w:kern w:val="44"/>
      <w:sz w:val="44"/>
      <w:szCs w:val="44"/>
    </w:rPr>
  </w:style>
  <w:style w:type="character" w:customStyle="1" w:styleId="122">
    <w:name w:val="Heading 5 Char"/>
    <w:qFormat/>
    <w:uiPriority w:val="99"/>
    <w:rPr>
      <w:rFonts w:eastAsia="宋体"/>
      <w:b/>
      <w:bCs/>
      <w:kern w:val="2"/>
      <w:sz w:val="28"/>
      <w:szCs w:val="28"/>
      <w:lang w:val="en-US" w:eastAsia="zh-CN"/>
    </w:rPr>
  </w:style>
  <w:style w:type="character" w:customStyle="1" w:styleId="123">
    <w:name w:val="Char Char19"/>
    <w:qFormat/>
    <w:uiPriority w:val="99"/>
    <w:rPr>
      <w:rFonts w:ascii="Arial" w:hAnsi="Arial" w:eastAsia="宋体" w:cs="Arial"/>
      <w:b/>
      <w:bCs/>
      <w:sz w:val="28"/>
      <w:szCs w:val="28"/>
    </w:rPr>
  </w:style>
  <w:style w:type="character" w:customStyle="1" w:styleId="124">
    <w:name w:val="纯文本 Char"/>
    <w:link w:val="21"/>
    <w:qFormat/>
    <w:locked/>
    <w:uiPriority w:val="0"/>
    <w:rPr>
      <w:rFonts w:ascii="宋体" w:hAnsi="Courier New" w:eastAsia="宋体" w:cs="宋体"/>
      <w:sz w:val="24"/>
      <w:szCs w:val="24"/>
    </w:rPr>
  </w:style>
  <w:style w:type="character" w:customStyle="1" w:styleId="125">
    <w:name w:val="纯文本 Char2"/>
    <w:basedOn w:val="40"/>
    <w:semiHidden/>
    <w:qFormat/>
    <w:uiPriority w:val="0"/>
    <w:rPr>
      <w:rFonts w:ascii="宋体" w:hAnsi="Courier New" w:eastAsia="宋体" w:cs="Courier New"/>
      <w:kern w:val="2"/>
      <w:sz w:val="21"/>
      <w:szCs w:val="21"/>
    </w:rPr>
  </w:style>
  <w:style w:type="character" w:customStyle="1" w:styleId="126">
    <w:name w:val="日期 Char1"/>
    <w:qFormat/>
    <w:uiPriority w:val="99"/>
    <w:rPr>
      <w:rFonts w:ascii="Times New Roman" w:hAnsi="Times New Roman" w:eastAsia="宋体" w:cs="Times New Roman"/>
      <w:sz w:val="24"/>
      <w:szCs w:val="24"/>
    </w:rPr>
  </w:style>
  <w:style w:type="character" w:customStyle="1" w:styleId="127">
    <w:name w:val="脚注文本 Char"/>
    <w:link w:val="31"/>
    <w:qFormat/>
    <w:locked/>
    <w:uiPriority w:val="99"/>
    <w:rPr>
      <w:sz w:val="18"/>
      <w:szCs w:val="18"/>
    </w:rPr>
  </w:style>
  <w:style w:type="character" w:customStyle="1" w:styleId="128">
    <w:name w:val="脚注文本 Char1"/>
    <w:basedOn w:val="40"/>
    <w:semiHidden/>
    <w:qFormat/>
    <w:uiPriority w:val="99"/>
    <w:rPr>
      <w:kern w:val="2"/>
      <w:sz w:val="18"/>
      <w:szCs w:val="18"/>
    </w:rPr>
  </w:style>
  <w:style w:type="character" w:customStyle="1" w:styleId="129">
    <w:name w:val="正文文本缩进 2 Char"/>
    <w:link w:val="24"/>
    <w:qFormat/>
    <w:locked/>
    <w:uiPriority w:val="99"/>
    <w:rPr>
      <w:sz w:val="24"/>
      <w:szCs w:val="24"/>
    </w:rPr>
  </w:style>
  <w:style w:type="character" w:customStyle="1" w:styleId="130">
    <w:name w:val="正文文本缩进 2 Char1"/>
    <w:basedOn w:val="40"/>
    <w:semiHidden/>
    <w:qFormat/>
    <w:uiPriority w:val="99"/>
    <w:rPr>
      <w:kern w:val="2"/>
      <w:sz w:val="21"/>
      <w:szCs w:val="22"/>
    </w:rPr>
  </w:style>
  <w:style w:type="character" w:customStyle="1" w:styleId="131">
    <w:name w:val="Date Char"/>
    <w:qFormat/>
    <w:uiPriority w:val="99"/>
    <w:rPr>
      <w:rFonts w:eastAsia="宋体"/>
      <w:kern w:val="2"/>
      <w:sz w:val="24"/>
      <w:szCs w:val="24"/>
      <w:lang w:val="en-US" w:eastAsia="zh-CN"/>
    </w:rPr>
  </w:style>
  <w:style w:type="character" w:customStyle="1" w:styleId="132">
    <w:name w:val="Title Char"/>
    <w:qFormat/>
    <w:uiPriority w:val="99"/>
    <w:rPr>
      <w:rFonts w:ascii="Cambria" w:hAnsi="Cambria" w:cs="Cambria"/>
      <w:b/>
      <w:bCs/>
      <w:sz w:val="32"/>
      <w:szCs w:val="32"/>
    </w:rPr>
  </w:style>
  <w:style w:type="character" w:customStyle="1" w:styleId="133">
    <w:name w:val="正文文本缩进 Char"/>
    <w:link w:val="17"/>
    <w:qFormat/>
    <w:locked/>
    <w:uiPriority w:val="99"/>
    <w:rPr>
      <w:rFonts w:ascii="宋体" w:eastAsia="宋体" w:cs="宋体"/>
      <w:szCs w:val="21"/>
    </w:rPr>
  </w:style>
  <w:style w:type="character" w:customStyle="1" w:styleId="134">
    <w:name w:val="正文文本缩进 Char1"/>
    <w:basedOn w:val="40"/>
    <w:semiHidden/>
    <w:qFormat/>
    <w:uiPriority w:val="99"/>
    <w:rPr>
      <w:kern w:val="2"/>
      <w:sz w:val="21"/>
      <w:szCs w:val="22"/>
    </w:rPr>
  </w:style>
  <w:style w:type="character" w:customStyle="1" w:styleId="135">
    <w:name w:val="书籍标题1"/>
    <w:qFormat/>
    <w:uiPriority w:val="99"/>
    <w:rPr>
      <w:b/>
      <w:bCs/>
      <w:smallCaps/>
      <w:spacing w:val="5"/>
    </w:rPr>
  </w:style>
  <w:style w:type="character" w:customStyle="1" w:styleId="136">
    <w:name w:val="不明显强调1"/>
    <w:qFormat/>
    <w:uiPriority w:val="99"/>
    <w:rPr>
      <w:i/>
      <w:iCs/>
      <w:color w:val="808080"/>
    </w:rPr>
  </w:style>
  <w:style w:type="character" w:customStyle="1" w:styleId="137">
    <w:name w:val="日期 Char"/>
    <w:link w:val="23"/>
    <w:qFormat/>
    <w:locked/>
    <w:uiPriority w:val="99"/>
    <w:rPr>
      <w:sz w:val="24"/>
      <w:szCs w:val="24"/>
    </w:rPr>
  </w:style>
  <w:style w:type="character" w:customStyle="1" w:styleId="138">
    <w:name w:val="日期 Char2"/>
    <w:basedOn w:val="40"/>
    <w:semiHidden/>
    <w:qFormat/>
    <w:uiPriority w:val="99"/>
    <w:rPr>
      <w:kern w:val="2"/>
      <w:sz w:val="21"/>
      <w:szCs w:val="22"/>
    </w:rPr>
  </w:style>
  <w:style w:type="character" w:customStyle="1" w:styleId="139">
    <w:name w:val="textcontents"/>
    <w:qFormat/>
    <w:uiPriority w:val="99"/>
  </w:style>
  <w:style w:type="paragraph" w:customStyle="1" w:styleId="140">
    <w:name w:val="样式1"/>
    <w:basedOn w:val="1"/>
    <w:next w:val="5"/>
    <w:qFormat/>
    <w:uiPriority w:val="99"/>
    <w:pPr>
      <w:spacing w:line="360" w:lineRule="auto"/>
      <w:ind w:firstLine="420" w:firstLineChars="200"/>
    </w:pPr>
    <w:rPr>
      <w:rFonts w:ascii="宋体" w:hAnsi="宋体" w:eastAsia="宋体" w:cs="宋体"/>
    </w:rPr>
  </w:style>
  <w:style w:type="paragraph" w:customStyle="1" w:styleId="141">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142">
    <w:name w:val="Char Char Char Char Char Char Char"/>
    <w:basedOn w:val="1"/>
    <w:qFormat/>
    <w:uiPriority w:val="99"/>
    <w:pPr>
      <w:widowControl/>
      <w:spacing w:after="160" w:line="240" w:lineRule="exact"/>
      <w:jc w:val="left"/>
    </w:pPr>
    <w:rPr>
      <w:rFonts w:ascii="Calibri" w:hAnsi="Calibri" w:eastAsia="宋体" w:cs="Times New Roman"/>
    </w:rPr>
  </w:style>
  <w:style w:type="paragraph" w:customStyle="1" w:styleId="143">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44">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45">
    <w:name w:val="TOC 标题1"/>
    <w:basedOn w:val="2"/>
    <w:next w:val="1"/>
    <w:qFormat/>
    <w:uiPriority w:val="99"/>
    <w:pPr>
      <w:spacing w:line="576" w:lineRule="auto"/>
      <w:outlineLvl w:val="9"/>
    </w:pPr>
    <w:rPr>
      <w:rFonts w:ascii="Calibri" w:hAnsi="Calibri" w:eastAsia="黑体" w:cs="Calibri"/>
      <w:lang w:val="zh-CN"/>
    </w:rPr>
  </w:style>
  <w:style w:type="paragraph" w:customStyle="1" w:styleId="146">
    <w:name w:val="空半行"/>
    <w:basedOn w:val="1"/>
    <w:qFormat/>
    <w:uiPriority w:val="99"/>
    <w:pPr>
      <w:adjustRightInd w:val="0"/>
      <w:spacing w:line="120" w:lineRule="exact"/>
      <w:textAlignment w:val="baseline"/>
    </w:pPr>
    <w:rPr>
      <w:rFonts w:ascii="Calibri" w:hAnsi="Calibri" w:eastAsia="仿宋_GB2312" w:cs="Times New Roman"/>
      <w:color w:val="FFFFFF"/>
      <w:kern w:val="0"/>
      <w:sz w:val="30"/>
      <w:szCs w:val="30"/>
    </w:rPr>
  </w:style>
  <w:style w:type="paragraph" w:customStyle="1" w:styleId="147">
    <w:name w:val="p0"/>
    <w:basedOn w:val="1"/>
    <w:qFormat/>
    <w:uiPriority w:val="99"/>
    <w:pPr>
      <w:widowControl/>
    </w:pPr>
    <w:rPr>
      <w:rFonts w:ascii="Calibri" w:hAnsi="Calibri" w:eastAsia="宋体" w:cs="Calibri"/>
      <w:kern w:val="0"/>
    </w:rPr>
  </w:style>
  <w:style w:type="paragraph" w:customStyle="1" w:styleId="148">
    <w:name w:val="Char"/>
    <w:basedOn w:val="1"/>
    <w:qFormat/>
    <w:uiPriority w:val="99"/>
    <w:pPr>
      <w:widowControl/>
      <w:spacing w:after="160" w:line="240" w:lineRule="exact"/>
      <w:jc w:val="left"/>
    </w:pPr>
    <w:rPr>
      <w:rFonts w:ascii="Calibri" w:hAnsi="Calibri" w:eastAsia="宋体" w:cs="Times New Roman"/>
    </w:rPr>
  </w:style>
  <w:style w:type="paragraph" w:customStyle="1" w:styleId="149">
    <w:name w:val="1"/>
    <w:basedOn w:val="1"/>
    <w:next w:val="1"/>
    <w:qFormat/>
    <w:uiPriority w:val="99"/>
    <w:rPr>
      <w:rFonts w:ascii="Calibri" w:hAnsi="Calibri" w:eastAsia="宋体" w:cs="Times New Roman"/>
    </w:rPr>
  </w:style>
  <w:style w:type="paragraph" w:customStyle="1" w:styleId="150">
    <w:name w:val="列出段落2"/>
    <w:basedOn w:val="1"/>
    <w:qFormat/>
    <w:uiPriority w:val="99"/>
    <w:pPr>
      <w:ind w:firstLine="420" w:firstLineChars="200"/>
    </w:pPr>
    <w:rPr>
      <w:rFonts w:ascii="Calibri" w:hAnsi="Calibri" w:eastAsia="宋体" w:cs="Calibri"/>
    </w:rPr>
  </w:style>
  <w:style w:type="paragraph" w:customStyle="1" w:styleId="151">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52">
    <w:name w:val="样式 标题 2 + Times New Roman 四号 非加粗 段前: 5 磅 段后: 0 磅 行距: 固定值 20..."/>
    <w:basedOn w:val="3"/>
    <w:qFormat/>
    <w:uiPriority w:val="99"/>
    <w:pPr>
      <w:spacing w:before="100" w:after="0" w:line="400" w:lineRule="exact"/>
    </w:pPr>
    <w:rPr>
      <w:rFonts w:ascii="Times New Roman" w:hAnsi="Times New Roman" w:eastAsia="黑体" w:cs="Times New Roman"/>
      <w:b w:val="0"/>
      <w:bCs w:val="0"/>
      <w:kern w:val="0"/>
      <w:sz w:val="28"/>
      <w:szCs w:val="28"/>
      <w:lang w:val="zh-CN"/>
    </w:rPr>
  </w:style>
  <w:style w:type="paragraph" w:customStyle="1" w:styleId="153">
    <w:name w:val="2-2ji"/>
    <w:basedOn w:val="3"/>
    <w:qFormat/>
    <w:uiPriority w:val="99"/>
    <w:pPr>
      <w:spacing w:before="0" w:after="0" w:line="360" w:lineRule="auto"/>
      <w:jc w:val="center"/>
    </w:pPr>
    <w:rPr>
      <w:rFonts w:ascii="宋体" w:hAnsi="宋体" w:eastAsia="宋体" w:cs="宋体"/>
      <w:sz w:val="36"/>
      <w:szCs w:val="36"/>
      <w:lang w:val="zh-CN"/>
    </w:rPr>
  </w:style>
  <w:style w:type="paragraph" w:customStyle="1" w:styleId="154">
    <w:name w:val="reader-word-layer"/>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55">
    <w:name w:val="标题 Char3"/>
    <w:basedOn w:val="40"/>
    <w:qFormat/>
    <w:uiPriority w:val="99"/>
    <w:rPr>
      <w:rFonts w:eastAsia="宋体" w:asciiTheme="majorHAnsi" w:hAnsiTheme="majorHAnsi" w:cstheme="majorBidi"/>
      <w:b/>
      <w:bCs/>
      <w:sz w:val="32"/>
      <w:szCs w:val="32"/>
    </w:rPr>
  </w:style>
  <w:style w:type="paragraph" w:customStyle="1" w:styleId="156">
    <w:name w:val="flNote"/>
    <w:basedOn w:val="1"/>
    <w:qFormat/>
    <w:uiPriority w:val="99"/>
    <w:pPr>
      <w:adjustRightInd w:val="0"/>
      <w:spacing w:before="320" w:after="160" w:line="360" w:lineRule="atLeast"/>
      <w:jc w:val="center"/>
      <w:textAlignment w:val="baseline"/>
    </w:pPr>
    <w:rPr>
      <w:rFonts w:ascii="Arial" w:hAnsi="Calibri" w:eastAsia="黑体" w:cs="Arial"/>
      <w:kern w:val="0"/>
      <w:sz w:val="30"/>
      <w:szCs w:val="30"/>
    </w:rPr>
  </w:style>
  <w:style w:type="paragraph" w:styleId="157">
    <w:name w:val="List Paragraph"/>
    <w:basedOn w:val="1"/>
    <w:qFormat/>
    <w:uiPriority w:val="34"/>
    <w:pPr>
      <w:ind w:firstLine="420" w:firstLineChars="200"/>
    </w:pPr>
    <w:rPr>
      <w:rFonts w:ascii="Calibri" w:hAnsi="Calibri" w:eastAsia="宋体" w:cs="Times New Roman"/>
    </w:rPr>
  </w:style>
  <w:style w:type="paragraph" w:customStyle="1" w:styleId="158">
    <w:name w:val="列出段落1"/>
    <w:basedOn w:val="1"/>
    <w:qFormat/>
    <w:uiPriority w:val="99"/>
    <w:pPr>
      <w:ind w:firstLine="420" w:firstLineChars="200"/>
    </w:pPr>
    <w:rPr>
      <w:rFonts w:ascii="Calibri" w:hAnsi="Calibri" w:eastAsia="宋体" w:cs="Calibri"/>
    </w:rPr>
  </w:style>
  <w:style w:type="paragraph" w:customStyle="1" w:styleId="159">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160">
    <w:name w:val="Char1"/>
    <w:basedOn w:val="1"/>
    <w:qFormat/>
    <w:uiPriority w:val="99"/>
    <w:pPr>
      <w:widowControl/>
      <w:spacing w:after="160" w:line="240" w:lineRule="exact"/>
      <w:jc w:val="left"/>
    </w:pPr>
    <w:rPr>
      <w:rFonts w:ascii="Calibri" w:hAnsi="Calibri" w:eastAsia="宋体" w:cs="Times New Roman"/>
    </w:rPr>
  </w:style>
  <w:style w:type="paragraph" w:customStyle="1" w:styleId="161">
    <w:name w:val="_Style 37"/>
    <w:basedOn w:val="1"/>
    <w:next w:val="1"/>
    <w:qFormat/>
    <w:uiPriority w:val="99"/>
    <w:rPr>
      <w:rFonts w:ascii="Calibri" w:hAnsi="Calibri" w:eastAsia="宋体" w:cs="Times New Roman"/>
    </w:rPr>
  </w:style>
  <w:style w:type="paragraph" w:customStyle="1" w:styleId="162">
    <w:name w:val="样式 标题 3 + (中文) 黑体 小四 非加粗 段前: 7.8 磅 段后: 0 磅 行距: 固定值 20 磅"/>
    <w:basedOn w:val="4"/>
    <w:qFormat/>
    <w:uiPriority w:val="99"/>
    <w:pPr>
      <w:spacing w:before="0" w:after="0" w:line="400" w:lineRule="exact"/>
    </w:pPr>
    <w:rPr>
      <w:rFonts w:ascii="Calibri" w:hAnsi="Calibri" w:eastAsia="黑体" w:cs="Times New Roman"/>
      <w:b w:val="0"/>
      <w:bCs w:val="0"/>
      <w:lang w:val="zh-CN"/>
    </w:rPr>
  </w:style>
  <w:style w:type="character" w:customStyle="1" w:styleId="163">
    <w:name w:val="fontstyle01"/>
    <w:qFormat/>
    <w:uiPriority w:val="0"/>
    <w:rPr>
      <w:rFonts w:hint="eastAsia" w:ascii="宋体" w:hAnsi="宋体" w:eastAsia="宋体"/>
      <w:color w:val="000000"/>
      <w:sz w:val="22"/>
      <w:szCs w:val="22"/>
    </w:rPr>
  </w:style>
  <w:style w:type="character" w:customStyle="1" w:styleId="164">
    <w:name w:val="fontstyle21"/>
    <w:qFormat/>
    <w:uiPriority w:val="0"/>
    <w:rPr>
      <w:rFonts w:hint="default" w:ascii="Times New Roman" w:hAnsi="Times New Roman" w:cs="Times New Roman"/>
      <w:b/>
      <w:bCs/>
      <w:color w:val="000000"/>
      <w:sz w:val="22"/>
      <w:szCs w:val="22"/>
    </w:rPr>
  </w:style>
  <w:style w:type="character" w:customStyle="1" w:styleId="165">
    <w:name w:val="fontstyle31"/>
    <w:qFormat/>
    <w:uiPriority w:val="0"/>
    <w:rPr>
      <w:rFonts w:hint="eastAsia" w:ascii="黑体" w:hAnsi="黑体" w:eastAsia="黑体"/>
      <w:color w:val="000000"/>
      <w:sz w:val="28"/>
      <w:szCs w:val="28"/>
    </w:rPr>
  </w:style>
  <w:style w:type="character" w:customStyle="1" w:styleId="166">
    <w:name w:val="fontstyle41"/>
    <w:qFormat/>
    <w:uiPriority w:val="0"/>
    <w:rPr>
      <w:rFonts w:hint="default" w:ascii="Times New Roman" w:hAnsi="Times New Roman" w:cs="Times New Roman"/>
      <w:color w:val="000000"/>
      <w:sz w:val="18"/>
      <w:szCs w:val="18"/>
    </w:rPr>
  </w:style>
  <w:style w:type="character" w:customStyle="1" w:styleId="167">
    <w:name w:val="fontstyle51"/>
    <w:qFormat/>
    <w:uiPriority w:val="0"/>
    <w:rPr>
      <w:rFonts w:hint="eastAsia" w:ascii="楷体" w:hAnsi="楷体" w:eastAsia="楷体"/>
      <w:color w:val="000000"/>
      <w:sz w:val="22"/>
      <w:szCs w:val="22"/>
    </w:rPr>
  </w:style>
  <w:style w:type="paragraph" w:styleId="16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9">
    <w:name w:val="超链接_0"/>
    <w:qFormat/>
    <w:uiPriority w:val="99"/>
    <w:rPr>
      <w:rFonts w:ascii="Calibri" w:hAnsi="Calibri"/>
      <w:color w:val="0000FF"/>
      <w:u w:val="single"/>
    </w:rPr>
  </w:style>
  <w:style w:type="paragraph" w:customStyle="1" w:styleId="170">
    <w:name w:val="标题 2_0"/>
    <w:basedOn w:val="63"/>
    <w:next w:val="63"/>
    <w:link w:val="171"/>
    <w:qFormat/>
    <w:uiPriority w:val="9"/>
    <w:pPr>
      <w:keepNext/>
      <w:keepLines/>
      <w:spacing w:before="260" w:after="260" w:line="412" w:lineRule="auto"/>
      <w:outlineLvl w:val="1"/>
    </w:pPr>
    <w:rPr>
      <w:rFonts w:ascii="Arial" w:hAnsi="Arial" w:eastAsia="黑体"/>
      <w:b/>
      <w:sz w:val="32"/>
      <w:szCs w:val="20"/>
    </w:rPr>
  </w:style>
  <w:style w:type="character" w:customStyle="1" w:styleId="171">
    <w:name w:val="标题 2 Char_0"/>
    <w:link w:val="170"/>
    <w:qFormat/>
    <w:uiPriority w:val="9"/>
    <w:rPr>
      <w:rFonts w:ascii="Arial" w:hAnsi="Arial" w:eastAsia="黑体" w:cs="Times New Roman"/>
      <w:b/>
      <w:kern w:val="2"/>
      <w:sz w:val="32"/>
    </w:rPr>
  </w:style>
  <w:style w:type="paragraph" w:customStyle="1" w:styleId="172">
    <w:name w:val="标题 3_0"/>
    <w:basedOn w:val="63"/>
    <w:next w:val="63"/>
    <w:link w:val="173"/>
    <w:unhideWhenUsed/>
    <w:qFormat/>
    <w:uiPriority w:val="9"/>
    <w:pPr>
      <w:keepNext/>
      <w:keepLines/>
      <w:spacing w:before="260" w:after="260" w:line="416" w:lineRule="auto"/>
      <w:outlineLvl w:val="2"/>
    </w:pPr>
    <w:rPr>
      <w:b/>
      <w:bCs/>
      <w:sz w:val="32"/>
      <w:szCs w:val="32"/>
    </w:rPr>
  </w:style>
  <w:style w:type="character" w:customStyle="1" w:styleId="173">
    <w:name w:val="标题 3 Char_0"/>
    <w:link w:val="172"/>
    <w:qFormat/>
    <w:uiPriority w:val="9"/>
    <w:rPr>
      <w:rFonts w:ascii="Calibri" w:hAnsi="Calibri" w:eastAsia="宋体" w:cs="Times New Roman"/>
      <w:b/>
      <w:bCs/>
      <w:kern w:val="2"/>
      <w:sz w:val="32"/>
      <w:szCs w:val="32"/>
    </w:rPr>
  </w:style>
  <w:style w:type="paragraph" w:customStyle="1" w:styleId="17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5">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6">
    <w:name w:val="Normal_0"/>
    <w:qFormat/>
    <w:uiPriority w:val="0"/>
    <w:rPr>
      <w:rFonts w:ascii="Times New Roman" w:hAnsi="Times New Roman" w:eastAsia="Times New Roman" w:cs="Times New Roman"/>
      <w:sz w:val="24"/>
      <w:szCs w:val="24"/>
      <w:lang w:val="en-US" w:eastAsia="zh-CN" w:bidi="ar-SA"/>
    </w:rPr>
  </w:style>
  <w:style w:type="paragraph" w:customStyle="1" w:styleId="177">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8">
    <w:name w:val="修订3"/>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2BC8F-7A81-417A-9755-3E5BEB272904}">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171</Pages>
  <Words>3636</Words>
  <Characters>4288</Characters>
  <Lines>924</Lines>
  <Paragraphs>260</Paragraphs>
  <TotalTime>68</TotalTime>
  <ScaleCrop>false</ScaleCrop>
  <LinksUpToDate>false</LinksUpToDate>
  <CharactersWithSpaces>4364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2025-05-15T09:31:00Z</dcterms:created>
  <dc:creator>Windows 用户</dc:creator>
  <cp:lastModifiedBy>admin</cp:lastModifiedBy>
  <cp:lastPrinted>2025-04-24T03:51:00Z</cp:lastPrinted>
  <dcterms:modified xsi:type="dcterms:W3CDTF">2025-05-16T10:36:13Z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8D7C189EC0C64BA9BF702FEA70ECCB11_13</vt:lpwstr>
  </property>
  <property fmtid="{D5CDD505-2E9C-101B-9397-08002B2CF9AE}" pid="4" name="KSOTemplateDocerSaveRecord">
    <vt:lpwstr>eyJoZGlkIjoiY2ExZGU5YTk5NTc0NmEwNTg5MWNhZWEzNDNmZWRjZDIiLCJ1c2VySWQiOiIzNjQ5MTc2OTQifQ==</vt:lpwstr>
  </property>
</Properties>
</file>