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29D1242">
      <w:pPr>
        <w:spacing w:before="165" w:beforeLines="50" w:line="360" w:lineRule="auto"/>
        <w:jc w:val="center"/>
        <w:rPr>
          <w:rFonts w:hint="eastAsia" w:ascii="宋体" w:hAnsi="宋体"/>
          <w:color w:val="auto"/>
          <w:sz w:val="52"/>
          <w:szCs w:val="52"/>
          <w:highlight w:val="none"/>
        </w:rPr>
      </w:pPr>
      <w:r>
        <w:rPr>
          <w:rFonts w:hint="eastAsia" w:ascii="宋体" w:hAnsi="宋体"/>
          <w:color w:val="auto"/>
          <w:sz w:val="52"/>
          <w:szCs w:val="52"/>
          <w:highlight w:val="none"/>
        </w:rPr>
        <w:t>竞争性磋商文件（服务类）</w:t>
      </w:r>
    </w:p>
    <w:p w14:paraId="2F5B4EF9">
      <w:pPr>
        <w:spacing w:before="165" w:beforeLines="50" w:line="360" w:lineRule="auto"/>
        <w:jc w:val="center"/>
        <w:rPr>
          <w:rFonts w:hint="eastAsia" w:ascii="宋体" w:hAnsi="宋体"/>
          <w:color w:val="auto"/>
          <w:sz w:val="36"/>
          <w:szCs w:val="36"/>
          <w:highlight w:val="none"/>
        </w:rPr>
      </w:pPr>
    </w:p>
    <w:p w14:paraId="2D081A8F">
      <w:pPr>
        <w:snapToGrid w:val="0"/>
        <w:spacing w:before="165" w:beforeLines="50" w:line="360" w:lineRule="auto"/>
        <w:jc w:val="center"/>
        <w:rPr>
          <w:rFonts w:hint="eastAsia" w:ascii="方正小标宋简体" w:hAnsi="方正小标宋简体" w:eastAsia="方正小标宋简体" w:cs="方正小标宋简体"/>
          <w:color w:val="auto"/>
          <w:sz w:val="44"/>
          <w:szCs w:val="44"/>
          <w:highlight w:val="none"/>
        </w:rPr>
      </w:pPr>
      <w:r>
        <w:rPr>
          <w:rFonts w:hint="eastAsia" w:ascii="华文新魏" w:hAnsi="宋体" w:eastAsia="华文新魏"/>
          <w:color w:val="auto"/>
          <w:sz w:val="72"/>
          <w:szCs w:val="72"/>
          <w:highlight w:val="none"/>
        </w:rPr>
        <w:t>竞争性磋商文件</w:t>
      </w:r>
    </w:p>
    <w:p w14:paraId="3562CD2D">
      <w:pPr>
        <w:spacing w:before="331" w:beforeLines="100" w:after="165" w:afterLines="50" w:line="360" w:lineRule="auto"/>
        <w:jc w:val="center"/>
        <w:rPr>
          <w:rFonts w:hint="eastAsia" w:ascii="宋体" w:hAnsi="宋体"/>
          <w:color w:val="auto"/>
          <w:szCs w:val="21"/>
          <w:highlight w:val="none"/>
        </w:rPr>
      </w:pPr>
      <w:r>
        <w:rPr>
          <w:rFonts w:hint="eastAsia" w:ascii="宋体" w:hAnsi="宋体"/>
          <w:color w:val="auto"/>
          <w:szCs w:val="21"/>
          <w:highlight w:val="none"/>
        </w:rPr>
        <w:t>（全流程电子化评标）</w:t>
      </w:r>
    </w:p>
    <w:p w14:paraId="72979208">
      <w:pPr>
        <w:spacing w:line="360" w:lineRule="auto"/>
        <w:rPr>
          <w:rFonts w:hint="eastAsia" w:ascii="宋体" w:hAnsi="宋体"/>
          <w:b/>
          <w:color w:val="auto"/>
          <w:sz w:val="32"/>
          <w:szCs w:val="32"/>
          <w:highlight w:val="none"/>
        </w:rPr>
      </w:pPr>
    </w:p>
    <w:p w14:paraId="2048C56C">
      <w:pPr>
        <w:spacing w:line="360" w:lineRule="auto"/>
        <w:jc w:val="center"/>
        <w:rPr>
          <w:rFonts w:hint="eastAsia" w:ascii="宋体" w:hAnsi="宋体"/>
          <w:b/>
          <w:color w:val="auto"/>
          <w:sz w:val="32"/>
          <w:szCs w:val="32"/>
          <w:highlight w:val="none"/>
        </w:rPr>
      </w:pPr>
    </w:p>
    <w:p w14:paraId="2DDD27DC">
      <w:pPr>
        <w:pStyle w:val="15"/>
        <w:snapToGrid w:val="0"/>
        <w:spacing w:before="50" w:after="120" w:line="360" w:lineRule="auto"/>
        <w:ind w:left="3111" w:leftChars="800" w:hanging="1431" w:hangingChars="500"/>
        <w:jc w:val="left"/>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项目名称：</w:t>
      </w:r>
      <w:r>
        <w:rPr>
          <w:rFonts w:hint="eastAsia" w:ascii="宋体" w:hAnsi="宋体" w:eastAsia="宋体" w:cs="宋体"/>
          <w:b/>
          <w:bCs/>
          <w:color w:val="auto"/>
          <w:w w:val="95"/>
          <w:sz w:val="30"/>
          <w:szCs w:val="30"/>
          <w:highlight w:val="none"/>
          <w:lang w:eastAsia="zh-CN"/>
        </w:rPr>
        <w:t>扶绥县就业公共服务能力提升项目—线上人力资源数据运营服务</w:t>
      </w:r>
    </w:p>
    <w:p w14:paraId="14A5DDE9">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项目编号：</w:t>
      </w:r>
      <w:r>
        <w:rPr>
          <w:rFonts w:hint="eastAsia" w:hAnsi="宋体" w:cs="宋体"/>
          <w:b/>
          <w:bCs/>
          <w:color w:val="auto"/>
          <w:w w:val="95"/>
          <w:sz w:val="30"/>
          <w:szCs w:val="30"/>
          <w:highlight w:val="none"/>
          <w:lang w:eastAsia="zh-CN"/>
        </w:rPr>
        <w:t>CZZC2025-C3-210076-GLZB</w:t>
      </w:r>
    </w:p>
    <w:p w14:paraId="565298B1">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lang w:eastAsia="zh-CN"/>
        </w:rPr>
      </w:pPr>
      <w:r>
        <w:rPr>
          <w:rFonts w:hint="eastAsia" w:ascii="宋体" w:hAnsi="宋体" w:eastAsia="宋体" w:cs="宋体"/>
          <w:b/>
          <w:bCs/>
          <w:color w:val="auto"/>
          <w:w w:val="95"/>
          <w:sz w:val="30"/>
          <w:szCs w:val="30"/>
          <w:highlight w:val="none"/>
        </w:rPr>
        <w:t>项目所属区划：</w:t>
      </w:r>
      <w:r>
        <w:rPr>
          <w:rFonts w:hint="eastAsia" w:ascii="宋体" w:hAnsi="宋体" w:eastAsia="宋体" w:cs="宋体"/>
          <w:b/>
          <w:bCs/>
          <w:color w:val="auto"/>
          <w:w w:val="95"/>
          <w:sz w:val="30"/>
          <w:szCs w:val="30"/>
          <w:highlight w:val="none"/>
          <w:lang w:val="en-US" w:eastAsia="zh-CN"/>
        </w:rPr>
        <w:t>崇左市</w:t>
      </w:r>
    </w:p>
    <w:p w14:paraId="3E9DB08B">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rPr>
      </w:pPr>
    </w:p>
    <w:p w14:paraId="6B86E974">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rPr>
      </w:pPr>
    </w:p>
    <w:p w14:paraId="6BE1D574">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采 购 人：</w:t>
      </w:r>
      <w:r>
        <w:rPr>
          <w:rFonts w:hint="eastAsia" w:ascii="宋体" w:hAnsi="宋体" w:eastAsia="宋体" w:cs="宋体"/>
          <w:b/>
          <w:bCs/>
          <w:color w:val="auto"/>
          <w:w w:val="95"/>
          <w:sz w:val="30"/>
          <w:szCs w:val="30"/>
          <w:highlight w:val="none"/>
          <w:lang w:eastAsia="zh-CN"/>
        </w:rPr>
        <w:t>扶绥县人力资源和社会保障局</w:t>
      </w:r>
      <w:r>
        <w:rPr>
          <w:rFonts w:hint="eastAsia" w:ascii="宋体" w:hAnsi="宋体" w:eastAsia="宋体" w:cs="宋体"/>
          <w:b/>
          <w:bCs/>
          <w:color w:val="auto"/>
          <w:w w:val="95"/>
          <w:sz w:val="30"/>
          <w:szCs w:val="30"/>
          <w:highlight w:val="none"/>
        </w:rPr>
        <w:t xml:space="preserve"> </w:t>
      </w:r>
    </w:p>
    <w:p w14:paraId="13651D18">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采购代理机构：广西国力招标有限公司</w:t>
      </w:r>
    </w:p>
    <w:p w14:paraId="1ED025F4">
      <w:pPr>
        <w:pStyle w:val="15"/>
        <w:snapToGrid w:val="0"/>
        <w:spacing w:before="50" w:after="120" w:line="360" w:lineRule="auto"/>
        <w:ind w:left="1680" w:leftChars="800"/>
        <w:jc w:val="left"/>
        <w:rPr>
          <w:rFonts w:hint="eastAsia" w:ascii="宋体" w:hAnsi="宋体" w:eastAsia="宋体" w:cs="宋体"/>
          <w:b/>
          <w:bCs/>
          <w:color w:val="auto"/>
          <w:w w:val="95"/>
          <w:sz w:val="30"/>
          <w:szCs w:val="30"/>
          <w:highlight w:val="none"/>
        </w:rPr>
      </w:pPr>
    </w:p>
    <w:p w14:paraId="1CB36148">
      <w:pPr>
        <w:pStyle w:val="15"/>
        <w:snapToGrid w:val="0"/>
        <w:spacing w:before="50" w:after="120" w:line="360" w:lineRule="auto"/>
        <w:ind w:left="1680" w:leftChars="800" w:firstLine="1717" w:firstLineChars="600"/>
        <w:jc w:val="left"/>
        <w:rPr>
          <w:rFonts w:hint="eastAsia" w:ascii="宋体" w:hAnsi="宋体" w:eastAsia="宋体" w:cs="宋体"/>
          <w:b/>
          <w:bCs/>
          <w:color w:val="auto"/>
          <w:w w:val="95"/>
          <w:sz w:val="30"/>
          <w:szCs w:val="30"/>
          <w:highlight w:val="none"/>
        </w:rPr>
      </w:pPr>
      <w:r>
        <w:rPr>
          <w:rFonts w:hint="eastAsia" w:ascii="宋体" w:hAnsi="宋体" w:eastAsia="宋体" w:cs="宋体"/>
          <w:b/>
          <w:bCs/>
          <w:color w:val="auto"/>
          <w:w w:val="95"/>
          <w:sz w:val="30"/>
          <w:szCs w:val="30"/>
          <w:highlight w:val="none"/>
        </w:rPr>
        <w:t>202</w:t>
      </w:r>
      <w:r>
        <w:rPr>
          <w:rFonts w:hint="eastAsia" w:ascii="宋体" w:hAnsi="宋体" w:eastAsia="宋体" w:cs="宋体"/>
          <w:b/>
          <w:bCs/>
          <w:color w:val="auto"/>
          <w:w w:val="95"/>
          <w:sz w:val="30"/>
          <w:szCs w:val="30"/>
          <w:highlight w:val="none"/>
          <w:lang w:val="en-US" w:eastAsia="zh-CN"/>
        </w:rPr>
        <w:t>5</w:t>
      </w:r>
      <w:r>
        <w:rPr>
          <w:rFonts w:hint="eastAsia" w:ascii="宋体" w:hAnsi="宋体" w:eastAsia="宋体" w:cs="宋体"/>
          <w:b/>
          <w:bCs/>
          <w:color w:val="auto"/>
          <w:w w:val="95"/>
          <w:sz w:val="30"/>
          <w:szCs w:val="30"/>
          <w:highlight w:val="none"/>
        </w:rPr>
        <w:t>年</w:t>
      </w:r>
      <w:r>
        <w:rPr>
          <w:rFonts w:hint="eastAsia" w:hAnsi="宋体" w:cs="宋体"/>
          <w:b/>
          <w:bCs/>
          <w:color w:val="auto"/>
          <w:w w:val="95"/>
          <w:sz w:val="30"/>
          <w:szCs w:val="30"/>
          <w:highlight w:val="none"/>
          <w:lang w:val="en-US" w:eastAsia="zh-CN"/>
        </w:rPr>
        <w:t>10</w:t>
      </w:r>
      <w:r>
        <w:rPr>
          <w:rFonts w:hint="eastAsia" w:ascii="宋体" w:hAnsi="宋体" w:eastAsia="宋体" w:cs="宋体"/>
          <w:b/>
          <w:bCs/>
          <w:color w:val="auto"/>
          <w:w w:val="95"/>
          <w:sz w:val="30"/>
          <w:szCs w:val="30"/>
          <w:highlight w:val="none"/>
        </w:rPr>
        <w:t>月</w:t>
      </w:r>
      <w:r>
        <w:rPr>
          <w:rFonts w:hint="eastAsia" w:hAnsi="宋体" w:cs="宋体"/>
          <w:b/>
          <w:bCs/>
          <w:color w:val="auto"/>
          <w:w w:val="95"/>
          <w:sz w:val="30"/>
          <w:szCs w:val="30"/>
          <w:highlight w:val="none"/>
          <w:lang w:val="en-US" w:eastAsia="zh-CN"/>
        </w:rPr>
        <w:t>13</w:t>
      </w:r>
      <w:r>
        <w:rPr>
          <w:rFonts w:hint="eastAsia" w:ascii="宋体" w:hAnsi="宋体" w:eastAsia="宋体" w:cs="宋体"/>
          <w:b/>
          <w:bCs/>
          <w:color w:val="auto"/>
          <w:w w:val="95"/>
          <w:sz w:val="30"/>
          <w:szCs w:val="30"/>
          <w:highlight w:val="none"/>
        </w:rPr>
        <w:t>日</w:t>
      </w:r>
    </w:p>
    <w:p w14:paraId="6C8C2DAF">
      <w:pPr>
        <w:widowControl/>
        <w:spacing w:line="360" w:lineRule="auto"/>
        <w:jc w:val="left"/>
        <w:rPr>
          <w:rFonts w:hint="eastAsia" w:ascii="仿宋_GB2312" w:hAnsi="宋体" w:eastAsia="仿宋_GB2312"/>
          <w:b/>
          <w:bCs/>
          <w:color w:val="auto"/>
          <w:w w:val="95"/>
          <w:kern w:val="0"/>
          <w:sz w:val="30"/>
          <w:szCs w:val="30"/>
          <w:highlight w:val="none"/>
        </w:rPr>
        <w:sectPr>
          <w:headerReference r:id="rId3" w:type="default"/>
          <w:pgSz w:w="11906" w:h="16838"/>
          <w:pgMar w:top="1134" w:right="1134" w:bottom="1134" w:left="1134" w:header="720" w:footer="720" w:gutter="0"/>
          <w:pgNumType w:start="1"/>
          <w:cols w:space="720" w:num="1"/>
          <w:titlePg/>
          <w:docGrid w:type="lines" w:linePitch="331" w:charSpace="0"/>
        </w:sectPr>
      </w:pPr>
    </w:p>
    <w:p w14:paraId="2909E743">
      <w:pPr>
        <w:spacing w:line="360" w:lineRule="auto"/>
        <w:jc w:val="center"/>
        <w:rPr>
          <w:rFonts w:hint="eastAsia" w:ascii="宋体" w:hAnsi="宋体"/>
          <w:b/>
          <w:color w:val="auto"/>
          <w:sz w:val="44"/>
          <w:szCs w:val="44"/>
          <w:highlight w:val="none"/>
        </w:rPr>
      </w:pPr>
      <w:r>
        <w:rPr>
          <w:rFonts w:hint="eastAsia" w:ascii="宋体" w:hAnsi="宋体"/>
          <w:b/>
          <w:color w:val="auto"/>
          <w:sz w:val="44"/>
          <w:szCs w:val="44"/>
          <w:highlight w:val="none"/>
        </w:rPr>
        <w:t>目   录</w:t>
      </w:r>
    </w:p>
    <w:p w14:paraId="6989237B">
      <w:pPr>
        <w:spacing w:line="400" w:lineRule="exact"/>
        <w:jc w:val="center"/>
        <w:rPr>
          <w:rFonts w:hint="eastAsia" w:ascii="宋体" w:hAnsi="宋体"/>
          <w:b/>
          <w:color w:val="auto"/>
          <w:sz w:val="44"/>
          <w:szCs w:val="44"/>
          <w:highlight w:val="none"/>
        </w:rPr>
      </w:pPr>
    </w:p>
    <w:p w14:paraId="095FB830">
      <w:pPr>
        <w:pStyle w:val="18"/>
        <w:tabs>
          <w:tab w:val="right" w:leader="dot" w:pos="8879"/>
        </w:tabs>
        <w:rPr>
          <w:color w:val="auto"/>
          <w:highlight w:val="none"/>
        </w:rPr>
      </w:pPr>
      <w:r>
        <w:rPr>
          <w:rFonts w:hint="eastAsia" w:ascii="宋体" w:hAnsi="宋体"/>
          <w:b/>
          <w:color w:val="auto"/>
          <w:sz w:val="30"/>
          <w:szCs w:val="30"/>
          <w:highlight w:val="none"/>
        </w:rPr>
        <w:fldChar w:fldCharType="begin"/>
      </w:r>
      <w:r>
        <w:rPr>
          <w:rFonts w:hint="eastAsia" w:ascii="宋体" w:hAnsi="宋体"/>
          <w:b/>
          <w:color w:val="auto"/>
          <w:sz w:val="30"/>
          <w:szCs w:val="30"/>
          <w:highlight w:val="none"/>
        </w:rPr>
        <w:instrText xml:space="preserve"> TOC \o "1-3" \h \z \u </w:instrText>
      </w:r>
      <w:r>
        <w:rPr>
          <w:rFonts w:hint="eastAsia" w:ascii="宋体" w:hAnsi="宋体"/>
          <w:b/>
          <w:color w:val="auto"/>
          <w:sz w:val="30"/>
          <w:szCs w:val="30"/>
          <w:highlight w:val="none"/>
        </w:rPr>
        <w:fldChar w:fldCharType="separate"/>
      </w: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_Toc14278 </w:instrText>
      </w:r>
      <w:r>
        <w:rPr>
          <w:rFonts w:hint="eastAsia" w:ascii="宋体" w:hAnsi="宋体"/>
          <w:color w:val="auto"/>
          <w:szCs w:val="30"/>
          <w:highlight w:val="none"/>
        </w:rPr>
        <w:fldChar w:fldCharType="separate"/>
      </w:r>
      <w:r>
        <w:rPr>
          <w:rFonts w:hint="eastAsia"/>
          <w:color w:val="auto"/>
          <w:highlight w:val="none"/>
        </w:rPr>
        <w:t>第一章竞争性磋商公告</w:t>
      </w:r>
      <w:r>
        <w:rPr>
          <w:color w:val="auto"/>
          <w:highlight w:val="none"/>
        </w:rPr>
        <w:tab/>
      </w:r>
      <w:r>
        <w:rPr>
          <w:color w:val="auto"/>
          <w:highlight w:val="none"/>
        </w:rPr>
        <w:fldChar w:fldCharType="begin"/>
      </w:r>
      <w:r>
        <w:rPr>
          <w:color w:val="auto"/>
          <w:highlight w:val="none"/>
        </w:rPr>
        <w:instrText xml:space="preserve"> PAGEREF _Toc14278 \h </w:instrText>
      </w:r>
      <w:r>
        <w:rPr>
          <w:color w:val="auto"/>
          <w:highlight w:val="none"/>
        </w:rPr>
        <w:fldChar w:fldCharType="separate"/>
      </w:r>
      <w:r>
        <w:rPr>
          <w:color w:val="auto"/>
          <w:highlight w:val="none"/>
        </w:rPr>
        <w:t>1</w:t>
      </w:r>
      <w:r>
        <w:rPr>
          <w:color w:val="auto"/>
          <w:highlight w:val="none"/>
        </w:rPr>
        <w:fldChar w:fldCharType="end"/>
      </w:r>
      <w:r>
        <w:rPr>
          <w:rFonts w:hint="eastAsia" w:ascii="宋体" w:hAnsi="宋体"/>
          <w:color w:val="auto"/>
          <w:szCs w:val="30"/>
          <w:highlight w:val="none"/>
        </w:rPr>
        <w:fldChar w:fldCharType="end"/>
      </w:r>
    </w:p>
    <w:p w14:paraId="709D0DF9">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_Toc3154 </w:instrText>
      </w:r>
      <w:r>
        <w:rPr>
          <w:rFonts w:hint="eastAsia" w:ascii="宋体" w:hAnsi="宋体"/>
          <w:color w:val="auto"/>
          <w:szCs w:val="30"/>
          <w:highlight w:val="none"/>
        </w:rPr>
        <w:fldChar w:fldCharType="separate"/>
      </w:r>
      <w:r>
        <w:rPr>
          <w:rFonts w:hint="eastAsia"/>
          <w:color w:val="auto"/>
          <w:highlight w:val="none"/>
        </w:rPr>
        <w:t>第二章采购需求</w:t>
      </w:r>
      <w:r>
        <w:rPr>
          <w:color w:val="auto"/>
          <w:highlight w:val="none"/>
        </w:rPr>
        <w:tab/>
      </w:r>
      <w:r>
        <w:rPr>
          <w:color w:val="auto"/>
          <w:highlight w:val="none"/>
        </w:rPr>
        <w:fldChar w:fldCharType="begin"/>
      </w:r>
      <w:r>
        <w:rPr>
          <w:color w:val="auto"/>
          <w:highlight w:val="none"/>
        </w:rPr>
        <w:instrText xml:space="preserve"> PAGEREF _Toc3154 \h </w:instrText>
      </w:r>
      <w:r>
        <w:rPr>
          <w:color w:val="auto"/>
          <w:highlight w:val="none"/>
        </w:rPr>
        <w:fldChar w:fldCharType="separate"/>
      </w:r>
      <w:r>
        <w:rPr>
          <w:color w:val="auto"/>
          <w:highlight w:val="none"/>
        </w:rPr>
        <w:t>5</w:t>
      </w:r>
      <w:r>
        <w:rPr>
          <w:color w:val="auto"/>
          <w:highlight w:val="none"/>
        </w:rPr>
        <w:fldChar w:fldCharType="end"/>
      </w:r>
      <w:r>
        <w:rPr>
          <w:rFonts w:hint="eastAsia" w:ascii="宋体" w:hAnsi="宋体"/>
          <w:color w:val="auto"/>
          <w:szCs w:val="30"/>
          <w:highlight w:val="none"/>
        </w:rPr>
        <w:fldChar w:fldCharType="end"/>
      </w:r>
    </w:p>
    <w:p w14:paraId="6A7FAB9B">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_Toc27685 </w:instrText>
      </w:r>
      <w:r>
        <w:rPr>
          <w:rFonts w:hint="eastAsia" w:ascii="宋体" w:hAnsi="宋体"/>
          <w:color w:val="auto"/>
          <w:szCs w:val="30"/>
          <w:highlight w:val="none"/>
        </w:rPr>
        <w:fldChar w:fldCharType="separate"/>
      </w:r>
      <w:r>
        <w:rPr>
          <w:rFonts w:hint="eastAsia"/>
          <w:color w:val="auto"/>
          <w:highlight w:val="none"/>
        </w:rPr>
        <w:t>第三章供应商须知</w:t>
      </w:r>
      <w:r>
        <w:rPr>
          <w:color w:val="auto"/>
          <w:highlight w:val="none"/>
        </w:rPr>
        <w:tab/>
      </w:r>
      <w:r>
        <w:rPr>
          <w:color w:val="auto"/>
          <w:highlight w:val="none"/>
        </w:rPr>
        <w:fldChar w:fldCharType="begin"/>
      </w:r>
      <w:r>
        <w:rPr>
          <w:color w:val="auto"/>
          <w:highlight w:val="none"/>
        </w:rPr>
        <w:instrText xml:space="preserve"> PAGEREF _Toc27685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color w:val="auto"/>
          <w:szCs w:val="30"/>
          <w:highlight w:val="none"/>
        </w:rPr>
        <w:fldChar w:fldCharType="end"/>
      </w:r>
    </w:p>
    <w:p w14:paraId="52E6AA1B">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_Toc27254 </w:instrText>
      </w:r>
      <w:r>
        <w:rPr>
          <w:rFonts w:hint="eastAsia" w:ascii="宋体" w:hAnsi="宋体"/>
          <w:color w:val="auto"/>
          <w:szCs w:val="30"/>
          <w:highlight w:val="none"/>
        </w:rPr>
        <w:fldChar w:fldCharType="separate"/>
      </w:r>
      <w:r>
        <w:rPr>
          <w:rFonts w:hint="eastAsia" w:ascii="宋体" w:hAnsi="宋体"/>
          <w:color w:val="auto"/>
          <w:highlight w:val="none"/>
        </w:rPr>
        <w:t>第一节 供应商须知前附表</w:t>
      </w:r>
      <w:r>
        <w:rPr>
          <w:color w:val="auto"/>
          <w:highlight w:val="none"/>
        </w:rPr>
        <w:tab/>
      </w:r>
      <w:r>
        <w:rPr>
          <w:color w:val="auto"/>
          <w:highlight w:val="none"/>
        </w:rPr>
        <w:fldChar w:fldCharType="begin"/>
      </w:r>
      <w:r>
        <w:rPr>
          <w:color w:val="auto"/>
          <w:highlight w:val="none"/>
        </w:rPr>
        <w:instrText xml:space="preserve"> PAGEREF _Toc27254 \h </w:instrText>
      </w:r>
      <w:r>
        <w:rPr>
          <w:color w:val="auto"/>
          <w:highlight w:val="none"/>
        </w:rPr>
        <w:fldChar w:fldCharType="separate"/>
      </w:r>
      <w:r>
        <w:rPr>
          <w:color w:val="auto"/>
          <w:highlight w:val="none"/>
        </w:rPr>
        <w:t>9</w:t>
      </w:r>
      <w:r>
        <w:rPr>
          <w:color w:val="auto"/>
          <w:highlight w:val="none"/>
        </w:rPr>
        <w:fldChar w:fldCharType="end"/>
      </w:r>
      <w:r>
        <w:rPr>
          <w:rFonts w:hint="eastAsia" w:ascii="宋体" w:hAnsi="宋体"/>
          <w:color w:val="auto"/>
          <w:szCs w:val="30"/>
          <w:highlight w:val="none"/>
        </w:rPr>
        <w:fldChar w:fldCharType="end"/>
      </w:r>
    </w:p>
    <w:p w14:paraId="3D5627EF">
      <w:pPr>
        <w:pStyle w:val="20"/>
        <w:tabs>
          <w:tab w:val="right" w:leader="dot" w:pos="8879"/>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_Toc13207 </w:instrText>
      </w:r>
      <w:r>
        <w:rPr>
          <w:rFonts w:hint="eastAsia" w:ascii="宋体" w:hAnsi="宋体"/>
          <w:color w:val="auto"/>
          <w:szCs w:val="30"/>
          <w:highlight w:val="none"/>
        </w:rPr>
        <w:fldChar w:fldCharType="separate"/>
      </w:r>
      <w:r>
        <w:rPr>
          <w:rFonts w:hint="eastAsia" w:ascii="宋体" w:hAnsi="宋体"/>
          <w:color w:val="auto"/>
          <w:highlight w:val="none"/>
        </w:rPr>
        <w:t>第二节 供应商须知正文</w:t>
      </w:r>
      <w:r>
        <w:rPr>
          <w:color w:val="auto"/>
          <w:highlight w:val="none"/>
        </w:rPr>
        <w:tab/>
      </w:r>
      <w:r>
        <w:rPr>
          <w:color w:val="auto"/>
          <w:highlight w:val="none"/>
        </w:rPr>
        <w:fldChar w:fldCharType="begin"/>
      </w:r>
      <w:r>
        <w:rPr>
          <w:color w:val="auto"/>
          <w:highlight w:val="none"/>
        </w:rPr>
        <w:instrText xml:space="preserve"> PAGEREF _Toc13207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olor w:val="auto"/>
          <w:szCs w:val="30"/>
          <w:highlight w:val="none"/>
        </w:rPr>
        <w:fldChar w:fldCharType="end"/>
      </w:r>
    </w:p>
    <w:p w14:paraId="50EB349E">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_Toc29603 </w:instrText>
      </w:r>
      <w:r>
        <w:rPr>
          <w:rFonts w:hint="eastAsia" w:ascii="宋体" w:hAnsi="宋体"/>
          <w:color w:val="auto"/>
          <w:szCs w:val="30"/>
          <w:highlight w:val="none"/>
        </w:rPr>
        <w:fldChar w:fldCharType="separate"/>
      </w:r>
      <w:r>
        <w:rPr>
          <w:rFonts w:hint="eastAsia" w:ascii="宋体" w:hAnsi="宋体"/>
          <w:color w:val="auto"/>
          <w:highlight w:val="none"/>
        </w:rPr>
        <w:t>一、总则</w:t>
      </w:r>
      <w:r>
        <w:rPr>
          <w:color w:val="auto"/>
          <w:highlight w:val="none"/>
        </w:rPr>
        <w:tab/>
      </w:r>
      <w:r>
        <w:rPr>
          <w:color w:val="auto"/>
          <w:highlight w:val="none"/>
        </w:rPr>
        <w:fldChar w:fldCharType="begin"/>
      </w:r>
      <w:r>
        <w:rPr>
          <w:color w:val="auto"/>
          <w:highlight w:val="none"/>
        </w:rPr>
        <w:instrText xml:space="preserve"> PAGEREF _Toc29603 \h </w:instrText>
      </w:r>
      <w:r>
        <w:rPr>
          <w:color w:val="auto"/>
          <w:highlight w:val="none"/>
        </w:rPr>
        <w:fldChar w:fldCharType="separate"/>
      </w:r>
      <w:r>
        <w:rPr>
          <w:color w:val="auto"/>
          <w:highlight w:val="none"/>
        </w:rPr>
        <w:t>14</w:t>
      </w:r>
      <w:r>
        <w:rPr>
          <w:color w:val="auto"/>
          <w:highlight w:val="none"/>
        </w:rPr>
        <w:fldChar w:fldCharType="end"/>
      </w:r>
      <w:r>
        <w:rPr>
          <w:rFonts w:hint="eastAsia" w:ascii="宋体" w:hAnsi="宋体"/>
          <w:color w:val="auto"/>
          <w:szCs w:val="30"/>
          <w:highlight w:val="none"/>
        </w:rPr>
        <w:fldChar w:fldCharType="end"/>
      </w:r>
    </w:p>
    <w:p w14:paraId="0DDAE576">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_Toc27176 </w:instrText>
      </w:r>
      <w:r>
        <w:rPr>
          <w:rFonts w:hint="eastAsia" w:ascii="宋体" w:hAnsi="宋体"/>
          <w:color w:val="auto"/>
          <w:szCs w:val="30"/>
          <w:highlight w:val="none"/>
        </w:rPr>
        <w:fldChar w:fldCharType="separate"/>
      </w:r>
      <w:r>
        <w:rPr>
          <w:rFonts w:hint="eastAsia" w:ascii="宋体" w:hAnsi="宋体"/>
          <w:color w:val="auto"/>
          <w:highlight w:val="none"/>
        </w:rPr>
        <w:t>二、磋商文件</w:t>
      </w:r>
      <w:r>
        <w:rPr>
          <w:color w:val="auto"/>
          <w:highlight w:val="none"/>
        </w:rPr>
        <w:tab/>
      </w:r>
      <w:r>
        <w:rPr>
          <w:color w:val="auto"/>
          <w:highlight w:val="none"/>
        </w:rPr>
        <w:fldChar w:fldCharType="begin"/>
      </w:r>
      <w:r>
        <w:rPr>
          <w:color w:val="auto"/>
          <w:highlight w:val="none"/>
        </w:rPr>
        <w:instrText xml:space="preserve"> PAGEREF _Toc27176 \h </w:instrText>
      </w:r>
      <w:r>
        <w:rPr>
          <w:color w:val="auto"/>
          <w:highlight w:val="none"/>
        </w:rPr>
        <w:fldChar w:fldCharType="separate"/>
      </w:r>
      <w:r>
        <w:rPr>
          <w:color w:val="auto"/>
          <w:highlight w:val="none"/>
        </w:rPr>
        <w:t>16</w:t>
      </w:r>
      <w:r>
        <w:rPr>
          <w:color w:val="auto"/>
          <w:highlight w:val="none"/>
        </w:rPr>
        <w:fldChar w:fldCharType="end"/>
      </w:r>
      <w:r>
        <w:rPr>
          <w:rFonts w:hint="eastAsia" w:ascii="宋体" w:hAnsi="宋体"/>
          <w:color w:val="auto"/>
          <w:szCs w:val="30"/>
          <w:highlight w:val="none"/>
        </w:rPr>
        <w:fldChar w:fldCharType="end"/>
      </w:r>
    </w:p>
    <w:p w14:paraId="27F8E733">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_Toc2002 </w:instrText>
      </w:r>
      <w:r>
        <w:rPr>
          <w:rFonts w:hint="eastAsia" w:ascii="宋体" w:hAnsi="宋体"/>
          <w:color w:val="auto"/>
          <w:szCs w:val="30"/>
          <w:highlight w:val="none"/>
        </w:rPr>
        <w:fldChar w:fldCharType="separate"/>
      </w:r>
      <w:r>
        <w:rPr>
          <w:rFonts w:hint="eastAsia" w:ascii="宋体" w:hAnsi="宋体"/>
          <w:color w:val="auto"/>
          <w:highlight w:val="none"/>
        </w:rPr>
        <w:t>三、响应文件的编制</w:t>
      </w:r>
      <w:r>
        <w:rPr>
          <w:color w:val="auto"/>
          <w:highlight w:val="none"/>
        </w:rPr>
        <w:tab/>
      </w:r>
      <w:r>
        <w:rPr>
          <w:color w:val="auto"/>
          <w:highlight w:val="none"/>
        </w:rPr>
        <w:fldChar w:fldCharType="begin"/>
      </w:r>
      <w:r>
        <w:rPr>
          <w:color w:val="auto"/>
          <w:highlight w:val="none"/>
        </w:rPr>
        <w:instrText xml:space="preserve"> PAGEREF _Toc2002 \h </w:instrText>
      </w:r>
      <w:r>
        <w:rPr>
          <w:color w:val="auto"/>
          <w:highlight w:val="none"/>
        </w:rPr>
        <w:fldChar w:fldCharType="separate"/>
      </w:r>
      <w:r>
        <w:rPr>
          <w:color w:val="auto"/>
          <w:highlight w:val="none"/>
        </w:rPr>
        <w:t>17</w:t>
      </w:r>
      <w:r>
        <w:rPr>
          <w:color w:val="auto"/>
          <w:highlight w:val="none"/>
        </w:rPr>
        <w:fldChar w:fldCharType="end"/>
      </w:r>
      <w:r>
        <w:rPr>
          <w:rFonts w:hint="eastAsia" w:ascii="宋体" w:hAnsi="宋体"/>
          <w:color w:val="auto"/>
          <w:szCs w:val="30"/>
          <w:highlight w:val="none"/>
        </w:rPr>
        <w:fldChar w:fldCharType="end"/>
      </w:r>
    </w:p>
    <w:p w14:paraId="18052D70">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_Toc31638 </w:instrText>
      </w:r>
      <w:r>
        <w:rPr>
          <w:rFonts w:hint="eastAsia" w:ascii="宋体" w:hAnsi="宋体"/>
          <w:color w:val="auto"/>
          <w:szCs w:val="30"/>
          <w:highlight w:val="none"/>
        </w:rPr>
        <w:fldChar w:fldCharType="separate"/>
      </w:r>
      <w:r>
        <w:rPr>
          <w:rFonts w:hint="eastAsia" w:ascii="宋体" w:hAnsi="宋体"/>
          <w:color w:val="auto"/>
          <w:highlight w:val="none"/>
        </w:rPr>
        <w:t>四、评审及磋商</w:t>
      </w:r>
      <w:r>
        <w:rPr>
          <w:color w:val="auto"/>
          <w:highlight w:val="none"/>
        </w:rPr>
        <w:tab/>
      </w:r>
      <w:r>
        <w:rPr>
          <w:color w:val="auto"/>
          <w:highlight w:val="none"/>
        </w:rPr>
        <w:fldChar w:fldCharType="begin"/>
      </w:r>
      <w:r>
        <w:rPr>
          <w:color w:val="auto"/>
          <w:highlight w:val="none"/>
        </w:rPr>
        <w:instrText xml:space="preserve"> PAGEREF _Toc31638 \h </w:instrText>
      </w:r>
      <w:r>
        <w:rPr>
          <w:color w:val="auto"/>
          <w:highlight w:val="none"/>
        </w:rPr>
        <w:fldChar w:fldCharType="separate"/>
      </w:r>
      <w:r>
        <w:rPr>
          <w:color w:val="auto"/>
          <w:highlight w:val="none"/>
        </w:rPr>
        <w:t>19</w:t>
      </w:r>
      <w:r>
        <w:rPr>
          <w:color w:val="auto"/>
          <w:highlight w:val="none"/>
        </w:rPr>
        <w:fldChar w:fldCharType="end"/>
      </w:r>
      <w:r>
        <w:rPr>
          <w:rFonts w:hint="eastAsia" w:ascii="宋体" w:hAnsi="宋体"/>
          <w:color w:val="auto"/>
          <w:szCs w:val="30"/>
          <w:highlight w:val="none"/>
        </w:rPr>
        <w:fldChar w:fldCharType="end"/>
      </w:r>
    </w:p>
    <w:p w14:paraId="764D54CF">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_Toc2223 </w:instrText>
      </w:r>
      <w:r>
        <w:rPr>
          <w:rFonts w:hint="eastAsia" w:ascii="宋体" w:hAnsi="宋体"/>
          <w:color w:val="auto"/>
          <w:szCs w:val="30"/>
          <w:highlight w:val="none"/>
        </w:rPr>
        <w:fldChar w:fldCharType="separate"/>
      </w:r>
      <w:r>
        <w:rPr>
          <w:rFonts w:hint="eastAsia" w:ascii="宋体" w:hAnsi="宋体"/>
          <w:color w:val="auto"/>
          <w:highlight w:val="none"/>
        </w:rPr>
        <w:t>五、成交及合同</w:t>
      </w:r>
      <w:r>
        <w:rPr>
          <w:color w:val="auto"/>
          <w:highlight w:val="none"/>
        </w:rPr>
        <w:tab/>
      </w:r>
      <w:r>
        <w:rPr>
          <w:color w:val="auto"/>
          <w:highlight w:val="none"/>
        </w:rPr>
        <w:fldChar w:fldCharType="begin"/>
      </w:r>
      <w:r>
        <w:rPr>
          <w:color w:val="auto"/>
          <w:highlight w:val="none"/>
        </w:rPr>
        <w:instrText xml:space="preserve"> PAGEREF _Toc2223 \h </w:instrText>
      </w:r>
      <w:r>
        <w:rPr>
          <w:color w:val="auto"/>
          <w:highlight w:val="none"/>
        </w:rPr>
        <w:fldChar w:fldCharType="separate"/>
      </w:r>
      <w:r>
        <w:rPr>
          <w:color w:val="auto"/>
          <w:highlight w:val="none"/>
        </w:rPr>
        <w:t>20</w:t>
      </w:r>
      <w:r>
        <w:rPr>
          <w:color w:val="auto"/>
          <w:highlight w:val="none"/>
        </w:rPr>
        <w:fldChar w:fldCharType="end"/>
      </w:r>
      <w:r>
        <w:rPr>
          <w:rFonts w:hint="eastAsia" w:ascii="宋体" w:hAnsi="宋体"/>
          <w:color w:val="auto"/>
          <w:szCs w:val="30"/>
          <w:highlight w:val="none"/>
        </w:rPr>
        <w:fldChar w:fldCharType="end"/>
      </w:r>
    </w:p>
    <w:p w14:paraId="71389809">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_Toc31785 </w:instrText>
      </w:r>
      <w:r>
        <w:rPr>
          <w:rFonts w:hint="eastAsia" w:ascii="宋体" w:hAnsi="宋体"/>
          <w:color w:val="auto"/>
          <w:szCs w:val="30"/>
          <w:highlight w:val="none"/>
        </w:rPr>
        <w:fldChar w:fldCharType="separate"/>
      </w:r>
      <w:r>
        <w:rPr>
          <w:rFonts w:hint="eastAsia" w:ascii="宋体" w:hAnsi="宋体"/>
          <w:color w:val="auto"/>
          <w:highlight w:val="none"/>
        </w:rPr>
        <w:t>六、验收</w:t>
      </w:r>
      <w:r>
        <w:rPr>
          <w:color w:val="auto"/>
          <w:highlight w:val="none"/>
        </w:rPr>
        <w:tab/>
      </w:r>
      <w:r>
        <w:rPr>
          <w:color w:val="auto"/>
          <w:highlight w:val="none"/>
        </w:rPr>
        <w:fldChar w:fldCharType="begin"/>
      </w:r>
      <w:r>
        <w:rPr>
          <w:color w:val="auto"/>
          <w:highlight w:val="none"/>
        </w:rPr>
        <w:instrText xml:space="preserve"> PAGEREF _Toc31785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olor w:val="auto"/>
          <w:szCs w:val="30"/>
          <w:highlight w:val="none"/>
        </w:rPr>
        <w:fldChar w:fldCharType="end"/>
      </w:r>
    </w:p>
    <w:p w14:paraId="2D9F98CC">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_Toc5536 </w:instrText>
      </w:r>
      <w:r>
        <w:rPr>
          <w:rFonts w:hint="eastAsia" w:ascii="宋体" w:hAnsi="宋体"/>
          <w:color w:val="auto"/>
          <w:szCs w:val="30"/>
          <w:highlight w:val="none"/>
        </w:rPr>
        <w:fldChar w:fldCharType="separate"/>
      </w:r>
      <w:r>
        <w:rPr>
          <w:rFonts w:hint="eastAsia" w:ascii="宋体" w:hAnsi="宋体"/>
          <w:color w:val="auto"/>
          <w:highlight w:val="none"/>
        </w:rPr>
        <w:t>七、其他事项</w:t>
      </w:r>
      <w:r>
        <w:rPr>
          <w:color w:val="auto"/>
          <w:highlight w:val="none"/>
        </w:rPr>
        <w:tab/>
      </w:r>
      <w:r>
        <w:rPr>
          <w:color w:val="auto"/>
          <w:highlight w:val="none"/>
        </w:rPr>
        <w:fldChar w:fldCharType="begin"/>
      </w:r>
      <w:r>
        <w:rPr>
          <w:color w:val="auto"/>
          <w:highlight w:val="none"/>
        </w:rPr>
        <w:instrText xml:space="preserve"> PAGEREF _Toc5536 \h </w:instrText>
      </w:r>
      <w:r>
        <w:rPr>
          <w:color w:val="auto"/>
          <w:highlight w:val="none"/>
        </w:rPr>
        <w:fldChar w:fldCharType="separate"/>
      </w:r>
      <w:r>
        <w:rPr>
          <w:color w:val="auto"/>
          <w:highlight w:val="none"/>
        </w:rPr>
        <w:t>22</w:t>
      </w:r>
      <w:r>
        <w:rPr>
          <w:color w:val="auto"/>
          <w:highlight w:val="none"/>
        </w:rPr>
        <w:fldChar w:fldCharType="end"/>
      </w:r>
      <w:r>
        <w:rPr>
          <w:rFonts w:hint="eastAsia" w:ascii="宋体" w:hAnsi="宋体"/>
          <w:color w:val="auto"/>
          <w:szCs w:val="30"/>
          <w:highlight w:val="none"/>
        </w:rPr>
        <w:fldChar w:fldCharType="end"/>
      </w:r>
    </w:p>
    <w:p w14:paraId="2DA9FDF7">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_Toc24823 </w:instrText>
      </w:r>
      <w:r>
        <w:rPr>
          <w:rFonts w:hint="eastAsia" w:ascii="宋体" w:hAnsi="宋体"/>
          <w:color w:val="auto"/>
          <w:szCs w:val="30"/>
          <w:highlight w:val="none"/>
        </w:rPr>
        <w:fldChar w:fldCharType="separate"/>
      </w:r>
      <w:r>
        <w:rPr>
          <w:rFonts w:hint="eastAsia"/>
          <w:color w:val="auto"/>
          <w:highlight w:val="none"/>
        </w:rPr>
        <w:t>第四章评审程序、评审方法和评审标准</w:t>
      </w:r>
      <w:r>
        <w:rPr>
          <w:color w:val="auto"/>
          <w:highlight w:val="none"/>
        </w:rPr>
        <w:tab/>
      </w:r>
      <w:r>
        <w:rPr>
          <w:color w:val="auto"/>
          <w:highlight w:val="none"/>
        </w:rPr>
        <w:fldChar w:fldCharType="begin"/>
      </w:r>
      <w:r>
        <w:rPr>
          <w:color w:val="auto"/>
          <w:highlight w:val="none"/>
        </w:rPr>
        <w:instrText xml:space="preserve"> PAGEREF _Toc24823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30"/>
          <w:highlight w:val="none"/>
        </w:rPr>
        <w:fldChar w:fldCharType="end"/>
      </w:r>
    </w:p>
    <w:p w14:paraId="65AE270A">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_Toc7530 </w:instrText>
      </w:r>
      <w:r>
        <w:rPr>
          <w:rFonts w:hint="eastAsia" w:ascii="宋体" w:hAnsi="宋体"/>
          <w:color w:val="auto"/>
          <w:szCs w:val="30"/>
          <w:highlight w:val="none"/>
        </w:rPr>
        <w:fldChar w:fldCharType="separate"/>
      </w:r>
      <w:r>
        <w:rPr>
          <w:rFonts w:hint="eastAsia" w:ascii="宋体" w:hAnsi="宋体"/>
          <w:color w:val="auto"/>
          <w:highlight w:val="none"/>
        </w:rPr>
        <w:t>第一节 评审程序和评审方法</w:t>
      </w:r>
      <w:r>
        <w:rPr>
          <w:color w:val="auto"/>
          <w:highlight w:val="none"/>
        </w:rPr>
        <w:tab/>
      </w:r>
      <w:r>
        <w:rPr>
          <w:color w:val="auto"/>
          <w:highlight w:val="none"/>
        </w:rPr>
        <w:fldChar w:fldCharType="begin"/>
      </w:r>
      <w:r>
        <w:rPr>
          <w:color w:val="auto"/>
          <w:highlight w:val="none"/>
        </w:rPr>
        <w:instrText xml:space="preserve"> PAGEREF _Toc7530 \h </w:instrText>
      </w:r>
      <w:r>
        <w:rPr>
          <w:color w:val="auto"/>
          <w:highlight w:val="none"/>
        </w:rPr>
        <w:fldChar w:fldCharType="separate"/>
      </w:r>
      <w:r>
        <w:rPr>
          <w:color w:val="auto"/>
          <w:highlight w:val="none"/>
        </w:rPr>
        <w:t>31</w:t>
      </w:r>
      <w:r>
        <w:rPr>
          <w:color w:val="auto"/>
          <w:highlight w:val="none"/>
        </w:rPr>
        <w:fldChar w:fldCharType="end"/>
      </w:r>
      <w:r>
        <w:rPr>
          <w:rFonts w:hint="eastAsia" w:ascii="宋体" w:hAnsi="宋体"/>
          <w:color w:val="auto"/>
          <w:szCs w:val="30"/>
          <w:highlight w:val="none"/>
        </w:rPr>
        <w:fldChar w:fldCharType="end"/>
      </w:r>
    </w:p>
    <w:p w14:paraId="64E1E601">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_Toc7069 </w:instrText>
      </w:r>
      <w:r>
        <w:rPr>
          <w:rFonts w:hint="eastAsia" w:ascii="宋体" w:hAnsi="宋体"/>
          <w:color w:val="auto"/>
          <w:szCs w:val="30"/>
          <w:highlight w:val="none"/>
        </w:rPr>
        <w:fldChar w:fldCharType="separate"/>
      </w:r>
      <w:r>
        <w:rPr>
          <w:rFonts w:hint="eastAsia" w:ascii="宋体" w:hAnsi="宋体"/>
          <w:color w:val="auto"/>
          <w:highlight w:val="none"/>
        </w:rPr>
        <w:t>第二节 评标报告</w:t>
      </w:r>
      <w:r>
        <w:rPr>
          <w:color w:val="auto"/>
          <w:highlight w:val="none"/>
        </w:rPr>
        <w:tab/>
      </w:r>
      <w:r>
        <w:rPr>
          <w:color w:val="auto"/>
          <w:highlight w:val="none"/>
        </w:rPr>
        <w:fldChar w:fldCharType="begin"/>
      </w:r>
      <w:r>
        <w:rPr>
          <w:color w:val="auto"/>
          <w:highlight w:val="none"/>
        </w:rPr>
        <w:instrText xml:space="preserve"> PAGEREF _Toc7069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30"/>
          <w:highlight w:val="none"/>
        </w:rPr>
        <w:fldChar w:fldCharType="end"/>
      </w:r>
    </w:p>
    <w:p w14:paraId="361ABA80">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_Toc6545 </w:instrText>
      </w:r>
      <w:r>
        <w:rPr>
          <w:rFonts w:hint="eastAsia" w:ascii="宋体" w:hAnsi="宋体"/>
          <w:color w:val="auto"/>
          <w:szCs w:val="30"/>
          <w:highlight w:val="none"/>
        </w:rPr>
        <w:fldChar w:fldCharType="separate"/>
      </w:r>
      <w:r>
        <w:rPr>
          <w:rFonts w:hint="eastAsia" w:ascii="宋体" w:hAnsi="宋体"/>
          <w:color w:val="auto"/>
          <w:highlight w:val="none"/>
        </w:rPr>
        <w:t>第三节 评审过程的保密与录像</w:t>
      </w:r>
      <w:r>
        <w:rPr>
          <w:color w:val="auto"/>
          <w:highlight w:val="none"/>
        </w:rPr>
        <w:tab/>
      </w:r>
      <w:r>
        <w:rPr>
          <w:color w:val="auto"/>
          <w:highlight w:val="none"/>
        </w:rPr>
        <w:fldChar w:fldCharType="begin"/>
      </w:r>
      <w:r>
        <w:rPr>
          <w:color w:val="auto"/>
          <w:highlight w:val="none"/>
        </w:rPr>
        <w:instrText xml:space="preserve"> PAGEREF _Toc6545 \h </w:instrText>
      </w:r>
      <w:r>
        <w:rPr>
          <w:color w:val="auto"/>
          <w:highlight w:val="none"/>
        </w:rPr>
        <w:fldChar w:fldCharType="separate"/>
      </w:r>
      <w:r>
        <w:rPr>
          <w:color w:val="auto"/>
          <w:highlight w:val="none"/>
        </w:rPr>
        <w:t>39</w:t>
      </w:r>
      <w:r>
        <w:rPr>
          <w:color w:val="auto"/>
          <w:highlight w:val="none"/>
        </w:rPr>
        <w:fldChar w:fldCharType="end"/>
      </w:r>
      <w:r>
        <w:rPr>
          <w:rFonts w:hint="eastAsia" w:ascii="宋体" w:hAnsi="宋体"/>
          <w:color w:val="auto"/>
          <w:szCs w:val="30"/>
          <w:highlight w:val="none"/>
        </w:rPr>
        <w:fldChar w:fldCharType="end"/>
      </w:r>
    </w:p>
    <w:p w14:paraId="062B8B46">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_Toc15481 </w:instrText>
      </w:r>
      <w:r>
        <w:rPr>
          <w:rFonts w:hint="eastAsia" w:ascii="宋体" w:hAnsi="宋体"/>
          <w:color w:val="auto"/>
          <w:szCs w:val="30"/>
          <w:highlight w:val="none"/>
        </w:rPr>
        <w:fldChar w:fldCharType="separate"/>
      </w:r>
      <w:r>
        <w:rPr>
          <w:rFonts w:hint="eastAsia"/>
          <w:color w:val="auto"/>
          <w:highlight w:val="none"/>
        </w:rPr>
        <w:t>第五章响应文件格式</w:t>
      </w:r>
      <w:r>
        <w:rPr>
          <w:color w:val="auto"/>
          <w:highlight w:val="none"/>
        </w:rPr>
        <w:tab/>
      </w:r>
      <w:r>
        <w:rPr>
          <w:color w:val="auto"/>
          <w:highlight w:val="none"/>
        </w:rPr>
        <w:fldChar w:fldCharType="begin"/>
      </w:r>
      <w:r>
        <w:rPr>
          <w:color w:val="auto"/>
          <w:highlight w:val="none"/>
        </w:rPr>
        <w:instrText xml:space="preserve"> PAGEREF _Toc15481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30"/>
          <w:highlight w:val="none"/>
        </w:rPr>
        <w:fldChar w:fldCharType="end"/>
      </w:r>
    </w:p>
    <w:p w14:paraId="1A333D44">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_Toc10790 </w:instrText>
      </w:r>
      <w:r>
        <w:rPr>
          <w:rFonts w:hint="eastAsia" w:ascii="宋体" w:hAnsi="宋体"/>
          <w:color w:val="auto"/>
          <w:szCs w:val="30"/>
          <w:highlight w:val="none"/>
        </w:rPr>
        <w:fldChar w:fldCharType="separate"/>
      </w:r>
      <w:r>
        <w:rPr>
          <w:rFonts w:hint="eastAsia" w:ascii="宋体" w:hAnsi="宋体"/>
          <w:color w:val="auto"/>
          <w:highlight w:val="none"/>
        </w:rPr>
        <w:t>第一节 封面格式</w:t>
      </w:r>
      <w:r>
        <w:rPr>
          <w:color w:val="auto"/>
          <w:highlight w:val="none"/>
        </w:rPr>
        <w:tab/>
      </w:r>
      <w:r>
        <w:rPr>
          <w:color w:val="auto"/>
          <w:highlight w:val="none"/>
        </w:rPr>
        <w:fldChar w:fldCharType="begin"/>
      </w:r>
      <w:r>
        <w:rPr>
          <w:color w:val="auto"/>
          <w:highlight w:val="none"/>
        </w:rPr>
        <w:instrText xml:space="preserve"> PAGEREF _Toc10790 \h </w:instrText>
      </w:r>
      <w:r>
        <w:rPr>
          <w:color w:val="auto"/>
          <w:highlight w:val="none"/>
        </w:rPr>
        <w:fldChar w:fldCharType="separate"/>
      </w:r>
      <w:r>
        <w:rPr>
          <w:color w:val="auto"/>
          <w:highlight w:val="none"/>
        </w:rPr>
        <w:t>40</w:t>
      </w:r>
      <w:r>
        <w:rPr>
          <w:color w:val="auto"/>
          <w:highlight w:val="none"/>
        </w:rPr>
        <w:fldChar w:fldCharType="end"/>
      </w:r>
      <w:r>
        <w:rPr>
          <w:rFonts w:hint="eastAsia" w:ascii="宋体" w:hAnsi="宋体"/>
          <w:color w:val="auto"/>
          <w:szCs w:val="30"/>
          <w:highlight w:val="none"/>
        </w:rPr>
        <w:fldChar w:fldCharType="end"/>
      </w:r>
    </w:p>
    <w:p w14:paraId="5EA92573">
      <w:pPr>
        <w:pStyle w:val="20"/>
        <w:tabs>
          <w:tab w:val="right" w:leader="dot" w:pos="8879"/>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_Toc6112 </w:instrText>
      </w:r>
      <w:r>
        <w:rPr>
          <w:rFonts w:hint="eastAsia" w:ascii="宋体" w:hAnsi="宋体"/>
          <w:color w:val="auto"/>
          <w:szCs w:val="30"/>
          <w:highlight w:val="none"/>
        </w:rPr>
        <w:fldChar w:fldCharType="separate"/>
      </w:r>
      <w:r>
        <w:rPr>
          <w:rFonts w:hint="eastAsia" w:ascii="宋体" w:hAnsi="宋体"/>
          <w:color w:val="auto"/>
          <w:kern w:val="44"/>
          <w:szCs w:val="44"/>
          <w:highlight w:val="none"/>
        </w:rPr>
        <w:t>第二节 资格证明文件格式</w:t>
      </w:r>
      <w:r>
        <w:rPr>
          <w:color w:val="auto"/>
          <w:highlight w:val="none"/>
        </w:rPr>
        <w:tab/>
      </w:r>
      <w:r>
        <w:rPr>
          <w:color w:val="auto"/>
          <w:highlight w:val="none"/>
        </w:rPr>
        <w:fldChar w:fldCharType="begin"/>
      </w:r>
      <w:r>
        <w:rPr>
          <w:color w:val="auto"/>
          <w:highlight w:val="none"/>
        </w:rPr>
        <w:instrText xml:space="preserve"> PAGEREF _Toc6112 \h </w:instrText>
      </w:r>
      <w:r>
        <w:rPr>
          <w:color w:val="auto"/>
          <w:highlight w:val="none"/>
        </w:rPr>
        <w:fldChar w:fldCharType="separate"/>
      </w:r>
      <w:r>
        <w:rPr>
          <w:color w:val="auto"/>
          <w:highlight w:val="none"/>
        </w:rPr>
        <w:t>41</w:t>
      </w:r>
      <w:r>
        <w:rPr>
          <w:color w:val="auto"/>
          <w:highlight w:val="none"/>
        </w:rPr>
        <w:fldChar w:fldCharType="end"/>
      </w:r>
      <w:r>
        <w:rPr>
          <w:rFonts w:hint="eastAsia" w:ascii="宋体" w:hAnsi="宋体"/>
          <w:color w:val="auto"/>
          <w:szCs w:val="30"/>
          <w:highlight w:val="none"/>
        </w:rPr>
        <w:fldChar w:fldCharType="end"/>
      </w:r>
    </w:p>
    <w:p w14:paraId="56A28641">
      <w:pPr>
        <w:pStyle w:val="20"/>
        <w:tabs>
          <w:tab w:val="right" w:leader="dot" w:pos="8879"/>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_Toc15525 </w:instrText>
      </w:r>
      <w:r>
        <w:rPr>
          <w:rFonts w:hint="eastAsia" w:ascii="宋体" w:hAnsi="宋体"/>
          <w:color w:val="auto"/>
          <w:szCs w:val="30"/>
          <w:highlight w:val="none"/>
        </w:rPr>
        <w:fldChar w:fldCharType="separate"/>
      </w:r>
      <w:r>
        <w:rPr>
          <w:rFonts w:hint="eastAsia" w:ascii="宋体" w:hAnsi="宋体"/>
          <w:color w:val="auto"/>
          <w:kern w:val="44"/>
          <w:szCs w:val="44"/>
          <w:highlight w:val="none"/>
        </w:rPr>
        <w:t>第三节 商务技术文件格式</w:t>
      </w:r>
      <w:r>
        <w:rPr>
          <w:color w:val="auto"/>
          <w:highlight w:val="none"/>
        </w:rPr>
        <w:tab/>
      </w:r>
      <w:r>
        <w:rPr>
          <w:color w:val="auto"/>
          <w:highlight w:val="none"/>
        </w:rPr>
        <w:fldChar w:fldCharType="begin"/>
      </w:r>
      <w:r>
        <w:rPr>
          <w:color w:val="auto"/>
          <w:highlight w:val="none"/>
        </w:rPr>
        <w:instrText xml:space="preserve"> PAGEREF _Toc15525 \h </w:instrText>
      </w:r>
      <w:r>
        <w:rPr>
          <w:color w:val="auto"/>
          <w:highlight w:val="none"/>
        </w:rPr>
        <w:fldChar w:fldCharType="separate"/>
      </w:r>
      <w:r>
        <w:rPr>
          <w:color w:val="auto"/>
          <w:highlight w:val="none"/>
        </w:rPr>
        <w:t>42</w:t>
      </w:r>
      <w:r>
        <w:rPr>
          <w:color w:val="auto"/>
          <w:highlight w:val="none"/>
        </w:rPr>
        <w:fldChar w:fldCharType="end"/>
      </w:r>
      <w:r>
        <w:rPr>
          <w:rFonts w:hint="eastAsia" w:ascii="宋体" w:hAnsi="宋体"/>
          <w:color w:val="auto"/>
          <w:szCs w:val="30"/>
          <w:highlight w:val="none"/>
        </w:rPr>
        <w:fldChar w:fldCharType="end"/>
      </w:r>
    </w:p>
    <w:p w14:paraId="4E680235">
      <w:pPr>
        <w:pStyle w:val="20"/>
        <w:tabs>
          <w:tab w:val="right" w:leader="dot" w:pos="8879"/>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_Toc3564 </w:instrText>
      </w:r>
      <w:r>
        <w:rPr>
          <w:rFonts w:hint="eastAsia" w:ascii="宋体" w:hAnsi="宋体"/>
          <w:color w:val="auto"/>
          <w:szCs w:val="30"/>
          <w:highlight w:val="none"/>
        </w:rPr>
        <w:fldChar w:fldCharType="separate"/>
      </w:r>
      <w:r>
        <w:rPr>
          <w:rFonts w:hint="eastAsia" w:ascii="宋体" w:hAnsi="宋体"/>
          <w:color w:val="auto"/>
          <w:kern w:val="44"/>
          <w:szCs w:val="44"/>
          <w:highlight w:val="none"/>
        </w:rPr>
        <w:t>第四节 报价文件格式</w:t>
      </w:r>
      <w:r>
        <w:rPr>
          <w:color w:val="auto"/>
          <w:highlight w:val="none"/>
        </w:rPr>
        <w:tab/>
      </w:r>
      <w:r>
        <w:rPr>
          <w:color w:val="auto"/>
          <w:highlight w:val="none"/>
        </w:rPr>
        <w:fldChar w:fldCharType="begin"/>
      </w:r>
      <w:r>
        <w:rPr>
          <w:color w:val="auto"/>
          <w:highlight w:val="none"/>
        </w:rPr>
        <w:instrText xml:space="preserve"> PAGEREF _Toc3564 \h </w:instrText>
      </w:r>
      <w:r>
        <w:rPr>
          <w:color w:val="auto"/>
          <w:highlight w:val="none"/>
        </w:rPr>
        <w:fldChar w:fldCharType="separate"/>
      </w:r>
      <w:r>
        <w:rPr>
          <w:color w:val="auto"/>
          <w:highlight w:val="none"/>
        </w:rPr>
        <w:t>60</w:t>
      </w:r>
      <w:r>
        <w:rPr>
          <w:color w:val="auto"/>
          <w:highlight w:val="none"/>
        </w:rPr>
        <w:fldChar w:fldCharType="end"/>
      </w:r>
      <w:r>
        <w:rPr>
          <w:rFonts w:hint="eastAsia" w:ascii="宋体" w:hAnsi="宋体"/>
          <w:color w:val="auto"/>
          <w:szCs w:val="30"/>
          <w:highlight w:val="none"/>
        </w:rPr>
        <w:fldChar w:fldCharType="end"/>
      </w:r>
    </w:p>
    <w:p w14:paraId="152E0DF8">
      <w:pPr>
        <w:pStyle w:val="20"/>
        <w:tabs>
          <w:tab w:val="right" w:leader="dot" w:pos="8879"/>
          <w:tab w:val="clear" w:pos="8296"/>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_Toc32519 </w:instrText>
      </w:r>
      <w:r>
        <w:rPr>
          <w:rFonts w:hint="eastAsia" w:ascii="宋体" w:hAnsi="宋体"/>
          <w:color w:val="auto"/>
          <w:szCs w:val="30"/>
          <w:highlight w:val="none"/>
        </w:rPr>
        <w:fldChar w:fldCharType="separate"/>
      </w:r>
      <w:r>
        <w:rPr>
          <w:rFonts w:hint="eastAsia" w:ascii="宋体" w:hAnsi="宋体"/>
          <w:color w:val="auto"/>
          <w:kern w:val="44"/>
          <w:szCs w:val="44"/>
          <w:highlight w:val="none"/>
        </w:rPr>
        <w:t>第五节 其他文书、文件格式</w:t>
      </w:r>
      <w:r>
        <w:rPr>
          <w:color w:val="auto"/>
          <w:highlight w:val="none"/>
        </w:rPr>
        <w:tab/>
      </w:r>
      <w:r>
        <w:rPr>
          <w:color w:val="auto"/>
          <w:highlight w:val="none"/>
        </w:rPr>
        <w:fldChar w:fldCharType="begin"/>
      </w:r>
      <w:r>
        <w:rPr>
          <w:color w:val="auto"/>
          <w:highlight w:val="none"/>
        </w:rPr>
        <w:instrText xml:space="preserve"> PAGEREF _Toc32519 \h </w:instrText>
      </w:r>
      <w:r>
        <w:rPr>
          <w:color w:val="auto"/>
          <w:highlight w:val="none"/>
        </w:rPr>
        <w:fldChar w:fldCharType="separate"/>
      </w:r>
      <w:r>
        <w:rPr>
          <w:color w:val="auto"/>
          <w:highlight w:val="none"/>
        </w:rPr>
        <w:t>67</w:t>
      </w:r>
      <w:r>
        <w:rPr>
          <w:color w:val="auto"/>
          <w:highlight w:val="none"/>
        </w:rPr>
        <w:fldChar w:fldCharType="end"/>
      </w:r>
      <w:r>
        <w:rPr>
          <w:rFonts w:hint="eastAsia" w:ascii="宋体" w:hAnsi="宋体"/>
          <w:color w:val="auto"/>
          <w:szCs w:val="30"/>
          <w:highlight w:val="none"/>
        </w:rPr>
        <w:fldChar w:fldCharType="end"/>
      </w:r>
    </w:p>
    <w:p w14:paraId="69016129">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_Toc20948 </w:instrText>
      </w:r>
      <w:r>
        <w:rPr>
          <w:rFonts w:hint="eastAsia" w:ascii="宋体" w:hAnsi="宋体"/>
          <w:color w:val="auto"/>
          <w:szCs w:val="30"/>
          <w:highlight w:val="none"/>
        </w:rPr>
        <w:fldChar w:fldCharType="separate"/>
      </w:r>
      <w:r>
        <w:rPr>
          <w:rFonts w:hint="eastAsia"/>
          <w:color w:val="auto"/>
          <w:highlight w:val="none"/>
        </w:rPr>
        <w:t>第六章  合同文本</w:t>
      </w:r>
      <w:r>
        <w:rPr>
          <w:color w:val="auto"/>
          <w:highlight w:val="none"/>
        </w:rPr>
        <w:tab/>
      </w:r>
      <w:r>
        <w:rPr>
          <w:color w:val="auto"/>
          <w:highlight w:val="none"/>
        </w:rPr>
        <w:fldChar w:fldCharType="begin"/>
      </w:r>
      <w:r>
        <w:rPr>
          <w:color w:val="auto"/>
          <w:highlight w:val="none"/>
        </w:rPr>
        <w:instrText xml:space="preserve"> PAGEREF _Toc20948 \h </w:instrText>
      </w:r>
      <w:r>
        <w:rPr>
          <w:color w:val="auto"/>
          <w:highlight w:val="none"/>
        </w:rPr>
        <w:fldChar w:fldCharType="separate"/>
      </w:r>
      <w:r>
        <w:rPr>
          <w:color w:val="auto"/>
          <w:highlight w:val="none"/>
        </w:rPr>
        <w:t>69</w:t>
      </w:r>
      <w:r>
        <w:rPr>
          <w:color w:val="auto"/>
          <w:highlight w:val="none"/>
        </w:rPr>
        <w:fldChar w:fldCharType="end"/>
      </w:r>
      <w:r>
        <w:rPr>
          <w:rFonts w:hint="eastAsia" w:ascii="宋体" w:hAnsi="宋体"/>
          <w:color w:val="auto"/>
          <w:szCs w:val="30"/>
          <w:highlight w:val="none"/>
        </w:rPr>
        <w:fldChar w:fldCharType="end"/>
      </w:r>
    </w:p>
    <w:p w14:paraId="45B4B335">
      <w:pPr>
        <w:pStyle w:val="18"/>
        <w:tabs>
          <w:tab w:val="right" w:leader="dot" w:pos="8879"/>
        </w:tabs>
        <w:rPr>
          <w:color w:val="auto"/>
          <w:highlight w:val="none"/>
        </w:rPr>
      </w:pPr>
      <w:r>
        <w:rPr>
          <w:rFonts w:hint="eastAsia" w:ascii="宋体" w:hAnsi="宋体"/>
          <w:color w:val="auto"/>
          <w:szCs w:val="30"/>
          <w:highlight w:val="none"/>
        </w:rPr>
        <w:fldChar w:fldCharType="begin"/>
      </w:r>
      <w:r>
        <w:rPr>
          <w:rFonts w:hint="eastAsia" w:ascii="宋体" w:hAnsi="宋体"/>
          <w:color w:val="auto"/>
          <w:szCs w:val="30"/>
          <w:highlight w:val="none"/>
        </w:rPr>
        <w:instrText xml:space="preserve"> HYPERLINK \l _Toc10304 </w:instrText>
      </w:r>
      <w:r>
        <w:rPr>
          <w:rFonts w:hint="eastAsia" w:ascii="宋体" w:hAnsi="宋体"/>
          <w:color w:val="auto"/>
          <w:szCs w:val="30"/>
          <w:highlight w:val="none"/>
        </w:rPr>
        <w:fldChar w:fldCharType="separate"/>
      </w:r>
      <w:r>
        <w:rPr>
          <w:rFonts w:hint="eastAsia"/>
          <w:color w:val="auto"/>
          <w:highlight w:val="none"/>
        </w:rPr>
        <w:t>第七章 质疑、投诉材料格</w:t>
      </w:r>
      <w:r>
        <w:rPr>
          <w:color w:val="auto"/>
          <w:highlight w:val="none"/>
        </w:rPr>
        <w:tab/>
      </w:r>
      <w:r>
        <w:rPr>
          <w:color w:val="auto"/>
          <w:highlight w:val="none"/>
        </w:rPr>
        <w:fldChar w:fldCharType="begin"/>
      </w:r>
      <w:r>
        <w:rPr>
          <w:color w:val="auto"/>
          <w:highlight w:val="none"/>
        </w:rPr>
        <w:instrText xml:space="preserve"> PAGEREF _Toc10304 \h </w:instrText>
      </w:r>
      <w:r>
        <w:rPr>
          <w:color w:val="auto"/>
          <w:highlight w:val="none"/>
        </w:rPr>
        <w:fldChar w:fldCharType="separate"/>
      </w:r>
      <w:r>
        <w:rPr>
          <w:color w:val="auto"/>
          <w:highlight w:val="none"/>
        </w:rPr>
        <w:t>81</w:t>
      </w:r>
      <w:r>
        <w:rPr>
          <w:color w:val="auto"/>
          <w:highlight w:val="none"/>
        </w:rPr>
        <w:fldChar w:fldCharType="end"/>
      </w:r>
      <w:r>
        <w:rPr>
          <w:rFonts w:hint="eastAsia" w:ascii="宋体" w:hAnsi="宋体"/>
          <w:color w:val="auto"/>
          <w:szCs w:val="30"/>
          <w:highlight w:val="none"/>
        </w:rPr>
        <w:fldChar w:fldCharType="end"/>
      </w:r>
    </w:p>
    <w:p w14:paraId="3BC0F889">
      <w:pPr>
        <w:pStyle w:val="20"/>
        <w:rPr>
          <w:color w:val="auto"/>
          <w:sz w:val="28"/>
          <w:szCs w:val="28"/>
          <w:highlight w:val="none"/>
        </w:rPr>
      </w:pPr>
      <w:r>
        <w:rPr>
          <w:rFonts w:hint="eastAsia" w:ascii="宋体" w:hAnsi="宋体"/>
          <w:color w:val="auto"/>
          <w:szCs w:val="30"/>
          <w:highlight w:val="none"/>
        </w:rPr>
        <w:fldChar w:fldCharType="end"/>
      </w:r>
    </w:p>
    <w:p w14:paraId="50D27B41">
      <w:pPr>
        <w:tabs>
          <w:tab w:val="left" w:pos="7470"/>
        </w:tabs>
        <w:spacing w:line="400" w:lineRule="exact"/>
        <w:jc w:val="left"/>
        <w:rPr>
          <w:rFonts w:hint="eastAsia" w:ascii="宋体" w:hAnsi="宋体"/>
          <w:b/>
          <w:color w:val="auto"/>
          <w:sz w:val="32"/>
          <w:szCs w:val="32"/>
          <w:highlight w:val="none"/>
        </w:rPr>
      </w:pPr>
      <w:r>
        <w:rPr>
          <w:rFonts w:hint="eastAsia" w:ascii="宋体" w:hAnsi="宋体"/>
          <w:b/>
          <w:color w:val="auto"/>
          <w:sz w:val="32"/>
          <w:szCs w:val="32"/>
          <w:highlight w:val="none"/>
        </w:rPr>
        <w:tab/>
      </w:r>
    </w:p>
    <w:p w14:paraId="714F3B1C">
      <w:pPr>
        <w:spacing w:line="400" w:lineRule="exact"/>
        <w:jc w:val="center"/>
        <w:rPr>
          <w:rFonts w:hint="eastAsia" w:ascii="宋体" w:hAnsi="宋体"/>
          <w:b/>
          <w:color w:val="auto"/>
          <w:sz w:val="32"/>
          <w:szCs w:val="32"/>
          <w:highlight w:val="none"/>
        </w:rPr>
      </w:pPr>
    </w:p>
    <w:p w14:paraId="70A07FD0">
      <w:pPr>
        <w:spacing w:line="400" w:lineRule="exact"/>
        <w:jc w:val="center"/>
        <w:rPr>
          <w:rFonts w:hint="eastAsia" w:ascii="宋体" w:hAnsi="宋体"/>
          <w:b/>
          <w:color w:val="auto"/>
          <w:sz w:val="32"/>
          <w:szCs w:val="32"/>
          <w:highlight w:val="none"/>
        </w:rPr>
      </w:pPr>
    </w:p>
    <w:p w14:paraId="09EEE2AB">
      <w:pPr>
        <w:spacing w:line="400" w:lineRule="exact"/>
        <w:jc w:val="center"/>
        <w:rPr>
          <w:rFonts w:hint="eastAsia" w:ascii="宋体" w:hAnsi="宋体"/>
          <w:b/>
          <w:color w:val="auto"/>
          <w:sz w:val="32"/>
          <w:szCs w:val="32"/>
          <w:highlight w:val="none"/>
        </w:rPr>
      </w:pPr>
    </w:p>
    <w:p w14:paraId="3F27788C">
      <w:pPr>
        <w:spacing w:line="400" w:lineRule="exact"/>
        <w:jc w:val="center"/>
        <w:rPr>
          <w:rFonts w:hint="eastAsia" w:ascii="宋体" w:hAnsi="宋体"/>
          <w:b/>
          <w:color w:val="auto"/>
          <w:sz w:val="32"/>
          <w:szCs w:val="32"/>
          <w:highlight w:val="none"/>
        </w:rPr>
      </w:pPr>
    </w:p>
    <w:p w14:paraId="4590B79A">
      <w:pPr>
        <w:widowControl/>
        <w:jc w:val="left"/>
        <w:rPr>
          <w:rFonts w:hint="eastAsia" w:ascii="宋体" w:hAnsi="宋体"/>
          <w:b/>
          <w:color w:val="auto"/>
          <w:sz w:val="32"/>
          <w:szCs w:val="32"/>
          <w:highlight w:val="none"/>
        </w:rPr>
        <w:sectPr>
          <w:pgSz w:w="11906" w:h="16838"/>
          <w:pgMar w:top="1440" w:right="1440" w:bottom="1440" w:left="1587" w:header="851" w:footer="992" w:gutter="0"/>
          <w:pgNumType w:start="0"/>
          <w:cols w:space="720" w:num="1"/>
          <w:docGrid w:type="lines" w:linePitch="312" w:charSpace="0"/>
        </w:sectPr>
      </w:pPr>
    </w:p>
    <w:p w14:paraId="73591F31">
      <w:pPr>
        <w:pStyle w:val="2"/>
        <w:pageBreakBefore w:val="0"/>
        <w:widowControl w:val="0"/>
        <w:kinsoku/>
        <w:wordWrap/>
        <w:overflowPunct/>
        <w:topLinePunct w:val="0"/>
        <w:autoSpaceDE/>
        <w:autoSpaceDN/>
        <w:bidi w:val="0"/>
        <w:adjustRightInd/>
        <w:spacing w:before="0" w:after="90" w:line="360" w:lineRule="auto"/>
        <w:jc w:val="center"/>
        <w:textAlignment w:val="auto"/>
        <w:rPr>
          <w:rFonts w:hint="eastAsia" w:ascii="黑体" w:hAnsi="黑体" w:eastAsia="黑体" w:cs="宋体"/>
          <w:color w:val="auto"/>
          <w:sz w:val="24"/>
          <w:highlight w:val="none"/>
        </w:rPr>
      </w:pPr>
      <w:bookmarkStart w:id="0" w:name="_Toc14278"/>
      <w:r>
        <w:rPr>
          <w:rFonts w:hint="eastAsia"/>
          <w:color w:val="auto"/>
          <w:highlight w:val="none"/>
        </w:rPr>
        <w:t>第一章竞争性磋商公告</w:t>
      </w:r>
      <w:bookmarkEnd w:id="0"/>
      <w:bookmarkStart w:id="1" w:name="_Toc35393798"/>
      <w:bookmarkStart w:id="2" w:name="_Toc28359012"/>
      <w:bookmarkStart w:id="3" w:name="_Toc35393629"/>
      <w:bookmarkStart w:id="4" w:name="_Toc44229878"/>
      <w:bookmarkStart w:id="5" w:name="_Toc28359089"/>
      <w:bookmarkStart w:id="6" w:name="_Toc28359004"/>
      <w:bookmarkStart w:id="7" w:name="_Toc35393792"/>
      <w:bookmarkStart w:id="8" w:name="_Toc35393623"/>
      <w:bookmarkStart w:id="9" w:name="_Toc28359081"/>
      <w:r>
        <w:rPr>
          <w:rFonts w:hint="eastAsia"/>
          <w:color w:val="auto"/>
          <w:highlight w:val="none"/>
        </w:rPr>
        <w:t>（远程异地评标）</w:t>
      </w:r>
    </w:p>
    <w:p w14:paraId="0E17E403">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项目概况</w:t>
      </w:r>
    </w:p>
    <w:p w14:paraId="537E41A7">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pacing w:line="380" w:lineRule="exact"/>
        <w:ind w:firstLine="630" w:firstLineChars="300"/>
        <w:textAlignment w:val="auto"/>
        <w:rPr>
          <w:rFonts w:hint="eastAsia" w:ascii="宋体" w:hAnsi="宋体"/>
          <w:color w:val="auto"/>
          <w:szCs w:val="21"/>
          <w:highlight w:val="none"/>
        </w:rPr>
      </w:pPr>
      <w:r>
        <w:rPr>
          <w:rFonts w:hint="eastAsia" w:ascii="宋体" w:hAnsi="宋体"/>
          <w:color w:val="auto"/>
          <w:szCs w:val="21"/>
          <w:highlight w:val="none"/>
          <w:u w:val="single"/>
          <w:lang w:eastAsia="zh-CN"/>
        </w:rPr>
        <w:t>扶绥县就业公共服务能力提升项目—线上人力资源数据运营服务</w:t>
      </w:r>
      <w:r>
        <w:rPr>
          <w:rFonts w:hint="eastAsia" w:ascii="宋体" w:hAnsi="宋体"/>
          <w:color w:val="auto"/>
          <w:szCs w:val="21"/>
          <w:highlight w:val="none"/>
        </w:rPr>
        <w:t>采购项目的潜在投标人应在“广西政府采购云”平台（https://www.gcy.zfcg.gxzf.gov.cn</w:t>
      </w:r>
      <w:r>
        <w:rPr>
          <w:rFonts w:hint="eastAsia" w:ascii="宋体" w:hAnsi="宋体"/>
          <w:color w:val="auto"/>
          <w:szCs w:val="21"/>
          <w:highlight w:val="none"/>
          <w:lang w:eastAsia="zh-CN"/>
        </w:rPr>
        <w:t>）</w:t>
      </w:r>
      <w:r>
        <w:rPr>
          <w:rFonts w:hint="eastAsia" w:ascii="宋体" w:hAnsi="宋体"/>
          <w:color w:val="auto"/>
          <w:szCs w:val="21"/>
          <w:highlight w:val="none"/>
        </w:rPr>
        <w:t>获取（下载）竞争性磋商文件，并于</w:t>
      </w: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28</w:t>
      </w:r>
      <w:r>
        <w:rPr>
          <w:rFonts w:hint="eastAsia" w:ascii="宋体" w:hAnsi="宋体" w:cs="宋体"/>
          <w:color w:val="auto"/>
          <w:szCs w:val="21"/>
          <w:highlight w:val="none"/>
        </w:rPr>
        <w:t>日9时30分</w:t>
      </w:r>
      <w:r>
        <w:rPr>
          <w:rFonts w:hint="eastAsia" w:ascii="宋体" w:hAnsi="宋体"/>
          <w:color w:val="auto"/>
          <w:szCs w:val="21"/>
          <w:highlight w:val="none"/>
        </w:rPr>
        <w:t>00秒（北京时间）前递交（上传）响应文件。</w:t>
      </w:r>
    </w:p>
    <w:p w14:paraId="5BAD43FE">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color w:val="auto"/>
          <w:highlight w:val="none"/>
        </w:rPr>
      </w:pPr>
      <w:r>
        <w:rPr>
          <w:rFonts w:hint="eastAsia" w:ascii="宋体" w:hAnsi="宋体" w:cs="宋体"/>
          <w:b/>
          <w:color w:val="auto"/>
          <w:sz w:val="24"/>
          <w:highlight w:val="none"/>
        </w:rPr>
        <w:t>一、项目基本情况</w:t>
      </w:r>
      <w:bookmarkEnd w:id="1"/>
      <w:bookmarkEnd w:id="2"/>
      <w:bookmarkEnd w:id="3"/>
      <w:bookmarkEnd w:id="4"/>
      <w:bookmarkEnd w:id="5"/>
    </w:p>
    <w:p w14:paraId="415D0935">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szCs w:val="21"/>
          <w:highlight w:val="none"/>
          <w:lang w:eastAsia="zh-CN"/>
        </w:rPr>
      </w:pPr>
      <w:r>
        <w:rPr>
          <w:rFonts w:hint="eastAsia" w:ascii="宋体" w:hAnsi="宋体"/>
          <w:color w:val="auto"/>
          <w:szCs w:val="21"/>
          <w:highlight w:val="none"/>
        </w:rPr>
        <w:t>1.项目编号：</w:t>
      </w:r>
      <w:r>
        <w:rPr>
          <w:rFonts w:hint="eastAsia" w:ascii="宋体" w:hAnsi="宋体"/>
          <w:color w:val="auto"/>
          <w:szCs w:val="21"/>
          <w:highlight w:val="none"/>
          <w:lang w:eastAsia="zh-CN"/>
        </w:rPr>
        <w:t>CZZC2025-C3-210076-GLZB</w:t>
      </w:r>
    </w:p>
    <w:p w14:paraId="3769CEC1">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eastAsia="宋体"/>
          <w:color w:val="auto"/>
          <w:szCs w:val="21"/>
          <w:highlight w:val="none"/>
          <w:u w:val="single"/>
          <w:lang w:eastAsia="zh-CN"/>
        </w:rPr>
      </w:pPr>
      <w:r>
        <w:rPr>
          <w:rFonts w:hint="eastAsia" w:ascii="宋体" w:hAnsi="宋体"/>
          <w:color w:val="auto"/>
          <w:szCs w:val="21"/>
          <w:highlight w:val="none"/>
        </w:rPr>
        <w:t>2.项目名称：</w:t>
      </w:r>
      <w:r>
        <w:rPr>
          <w:rFonts w:hint="eastAsia" w:ascii="宋体" w:hAnsi="宋体"/>
          <w:color w:val="auto"/>
          <w:szCs w:val="21"/>
          <w:highlight w:val="none"/>
          <w:lang w:eastAsia="zh-CN"/>
        </w:rPr>
        <w:t>扶绥县就业公共服务能力提升项目—线上人力资源数据运营服务</w:t>
      </w:r>
    </w:p>
    <w:p w14:paraId="5248DE7E">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3.采购方式：竞争性磋商</w:t>
      </w:r>
    </w:p>
    <w:p w14:paraId="5284F575">
      <w:pPr>
        <w:keepNext w:val="0"/>
        <w:keepLines w:val="0"/>
        <w:pageBreakBefore w:val="0"/>
        <w:widowControl w:val="0"/>
        <w:tabs>
          <w:tab w:val="left" w:pos="3358"/>
        </w:tabs>
        <w:kinsoku/>
        <w:wordWrap/>
        <w:overflowPunct/>
        <w:topLinePunct w:val="0"/>
        <w:autoSpaceDE/>
        <w:autoSpaceDN/>
        <w:bidi w:val="0"/>
        <w:adjustRightInd/>
        <w:spacing w:line="380" w:lineRule="exact"/>
        <w:ind w:firstLine="420" w:firstLineChars="200"/>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4.预算金额：</w:t>
      </w:r>
      <w:r>
        <w:rPr>
          <w:rFonts w:hint="eastAsia" w:ascii="宋体" w:hAnsi="宋体" w:cs="宋体"/>
          <w:color w:val="auto"/>
          <w:szCs w:val="21"/>
          <w:highlight w:val="none"/>
          <w:lang w:eastAsia="zh-CN"/>
        </w:rPr>
        <w:t>1</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lang w:eastAsia="zh-CN"/>
        </w:rPr>
        <w:t>8万元</w:t>
      </w:r>
      <w:r>
        <w:rPr>
          <w:rFonts w:hint="eastAsia" w:ascii="宋体" w:hAnsi="宋体" w:cs="宋体"/>
          <w:color w:val="auto"/>
          <w:szCs w:val="21"/>
          <w:highlight w:val="none"/>
          <w:lang w:eastAsia="zh-CN"/>
        </w:rPr>
        <w:tab/>
      </w:r>
    </w:p>
    <w:p w14:paraId="4ADAF6AC">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5.最高限价（如有）</w:t>
      </w:r>
      <w:r>
        <w:rPr>
          <w:rFonts w:hint="eastAsia" w:ascii="宋体" w:hAnsi="宋体" w:cs="宋体"/>
          <w:color w:val="auto"/>
          <w:szCs w:val="21"/>
          <w:highlight w:val="none"/>
          <w:lang w:eastAsia="zh-CN"/>
        </w:rPr>
        <w:t>：/</w:t>
      </w:r>
    </w:p>
    <w:p w14:paraId="0362C877">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6.采购需求：</w:t>
      </w:r>
      <w:bookmarkStart w:id="10" w:name="PO_3000001868_PM004"/>
    </w:p>
    <w:tbl>
      <w:tblPr>
        <w:tblStyle w:val="24"/>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663"/>
        <w:gridCol w:w="2891"/>
        <w:gridCol w:w="943"/>
        <w:gridCol w:w="957"/>
        <w:gridCol w:w="3583"/>
      </w:tblGrid>
      <w:tr w14:paraId="590430E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2"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70F4D19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序号</w:t>
            </w:r>
          </w:p>
        </w:tc>
        <w:tc>
          <w:tcPr>
            <w:tcW w:w="2891" w:type="dxa"/>
            <w:tcBorders>
              <w:top w:val="single" w:color="auto" w:sz="4" w:space="0"/>
              <w:left w:val="single" w:color="auto" w:sz="4" w:space="0"/>
              <w:bottom w:val="single" w:color="auto" w:sz="4" w:space="0"/>
              <w:right w:val="single" w:color="auto" w:sz="4" w:space="0"/>
            </w:tcBorders>
            <w:vAlign w:val="center"/>
          </w:tcPr>
          <w:p w14:paraId="4313694B">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标的的名称</w:t>
            </w:r>
          </w:p>
        </w:tc>
        <w:tc>
          <w:tcPr>
            <w:tcW w:w="943" w:type="dxa"/>
            <w:tcBorders>
              <w:top w:val="single" w:color="auto" w:sz="4" w:space="0"/>
              <w:left w:val="single" w:color="auto" w:sz="4" w:space="0"/>
              <w:bottom w:val="single" w:color="auto" w:sz="4" w:space="0"/>
              <w:right w:val="single" w:color="auto" w:sz="4" w:space="0"/>
            </w:tcBorders>
            <w:vAlign w:val="center"/>
          </w:tcPr>
          <w:p w14:paraId="5CDD93D9">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单位</w:t>
            </w:r>
          </w:p>
        </w:tc>
        <w:tc>
          <w:tcPr>
            <w:tcW w:w="957" w:type="dxa"/>
            <w:tcBorders>
              <w:top w:val="single" w:color="auto" w:sz="4" w:space="0"/>
              <w:left w:val="single" w:color="auto" w:sz="4" w:space="0"/>
              <w:bottom w:val="single" w:color="auto" w:sz="4" w:space="0"/>
              <w:right w:val="single" w:color="auto" w:sz="4" w:space="0"/>
            </w:tcBorders>
            <w:vAlign w:val="center"/>
          </w:tcPr>
          <w:p w14:paraId="6D78033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数量</w:t>
            </w:r>
          </w:p>
        </w:tc>
        <w:tc>
          <w:tcPr>
            <w:tcW w:w="3583" w:type="dxa"/>
            <w:tcBorders>
              <w:top w:val="single" w:color="auto" w:sz="4" w:space="0"/>
              <w:left w:val="single" w:color="auto" w:sz="4" w:space="0"/>
              <w:bottom w:val="single" w:color="auto" w:sz="4" w:space="0"/>
              <w:right w:val="single" w:color="auto" w:sz="4" w:space="0"/>
            </w:tcBorders>
            <w:vAlign w:val="center"/>
          </w:tcPr>
          <w:p w14:paraId="67563276">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简要服务要求或者技术需求</w:t>
            </w:r>
          </w:p>
        </w:tc>
      </w:tr>
      <w:tr w14:paraId="5ABF35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12" w:hRule="atLeast"/>
          <w:jc w:val="center"/>
        </w:trPr>
        <w:tc>
          <w:tcPr>
            <w:tcW w:w="663" w:type="dxa"/>
            <w:tcBorders>
              <w:top w:val="single" w:color="auto" w:sz="4" w:space="0"/>
              <w:left w:val="single" w:color="auto" w:sz="4" w:space="0"/>
              <w:bottom w:val="single" w:color="auto" w:sz="4" w:space="0"/>
              <w:right w:val="single" w:color="auto" w:sz="4" w:space="0"/>
            </w:tcBorders>
            <w:vAlign w:val="center"/>
          </w:tcPr>
          <w:p w14:paraId="0869626A">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01</w:t>
            </w:r>
          </w:p>
        </w:tc>
        <w:tc>
          <w:tcPr>
            <w:tcW w:w="2891" w:type="dxa"/>
            <w:tcBorders>
              <w:top w:val="single" w:color="auto" w:sz="4" w:space="0"/>
              <w:left w:val="single" w:color="auto" w:sz="4" w:space="0"/>
              <w:bottom w:val="single" w:color="auto" w:sz="4" w:space="0"/>
              <w:right w:val="single" w:color="auto" w:sz="4" w:space="0"/>
            </w:tcBorders>
            <w:vAlign w:val="center"/>
          </w:tcPr>
          <w:p w14:paraId="459CBE5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jc w:val="center"/>
              <w:textAlignment w:val="auto"/>
              <w:rPr>
                <w:rFonts w:hint="eastAsia" w:ascii="宋体" w:hAnsi="宋体" w:eastAsia="宋体"/>
                <w:color w:val="auto"/>
                <w:szCs w:val="21"/>
                <w:highlight w:val="none"/>
                <w:lang w:eastAsia="zh-CN"/>
              </w:rPr>
            </w:pPr>
            <w:r>
              <w:rPr>
                <w:rFonts w:hint="eastAsia"/>
                <w:color w:val="auto"/>
                <w:highlight w:val="none"/>
                <w:lang w:eastAsia="zh-CN"/>
              </w:rPr>
              <w:t>扶绥县就业公共服务能力提升项目—线上人力资源数据运营服务</w:t>
            </w:r>
          </w:p>
        </w:tc>
        <w:tc>
          <w:tcPr>
            <w:tcW w:w="943" w:type="dxa"/>
            <w:tcBorders>
              <w:top w:val="single" w:color="auto" w:sz="4" w:space="0"/>
              <w:left w:val="single" w:color="auto" w:sz="4" w:space="0"/>
              <w:bottom w:val="single" w:color="auto" w:sz="4" w:space="0"/>
              <w:right w:val="single" w:color="auto" w:sz="4" w:space="0"/>
            </w:tcBorders>
            <w:vAlign w:val="center"/>
          </w:tcPr>
          <w:p w14:paraId="0C37317D">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项</w:t>
            </w:r>
          </w:p>
        </w:tc>
        <w:tc>
          <w:tcPr>
            <w:tcW w:w="957" w:type="dxa"/>
            <w:tcBorders>
              <w:top w:val="single" w:color="auto" w:sz="4" w:space="0"/>
              <w:left w:val="single" w:color="auto" w:sz="4" w:space="0"/>
              <w:bottom w:val="single" w:color="auto" w:sz="4" w:space="0"/>
              <w:right w:val="single" w:color="auto" w:sz="4" w:space="0"/>
            </w:tcBorders>
            <w:vAlign w:val="center"/>
          </w:tcPr>
          <w:p w14:paraId="07A0CC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eastAsia" w:ascii="宋体" w:hAnsi="宋体"/>
                <w:color w:val="auto"/>
                <w:szCs w:val="21"/>
                <w:highlight w:val="none"/>
              </w:rPr>
            </w:pPr>
            <w:r>
              <w:rPr>
                <w:rFonts w:hint="eastAsia" w:ascii="宋体" w:hAnsi="宋体"/>
                <w:color w:val="auto"/>
                <w:szCs w:val="21"/>
                <w:highlight w:val="none"/>
              </w:rPr>
              <w:t>1</w:t>
            </w:r>
          </w:p>
        </w:tc>
        <w:tc>
          <w:tcPr>
            <w:tcW w:w="3583" w:type="dxa"/>
            <w:tcBorders>
              <w:top w:val="single" w:color="auto" w:sz="4" w:space="0"/>
              <w:left w:val="single" w:color="auto" w:sz="4" w:space="0"/>
              <w:bottom w:val="single" w:color="auto" w:sz="4" w:space="0"/>
              <w:right w:val="single" w:color="auto" w:sz="4" w:space="0"/>
            </w:tcBorders>
            <w:vAlign w:val="center"/>
          </w:tcPr>
          <w:p w14:paraId="442A43DF">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380" w:lineRule="exact"/>
              <w:ind w:left="0" w:right="0"/>
              <w:jc w:val="center"/>
              <w:textAlignment w:val="auto"/>
              <w:rPr>
                <w:rFonts w:hint="default"/>
                <w:color w:val="auto"/>
                <w:highlight w:val="none"/>
              </w:rPr>
            </w:pPr>
            <w:r>
              <w:rPr>
                <w:rFonts w:hint="eastAsia"/>
                <w:color w:val="auto"/>
                <w:highlight w:val="none"/>
              </w:rPr>
              <w:t>具体要求详见竞争性磋商文件</w:t>
            </w:r>
          </w:p>
        </w:tc>
      </w:tr>
    </w:tbl>
    <w:p w14:paraId="2D02AB7D">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7.合同履行期限：自</w:t>
      </w:r>
      <w:r>
        <w:rPr>
          <w:rFonts w:hint="eastAsia" w:ascii="宋体" w:hAnsi="宋体" w:cs="宋体"/>
          <w:color w:val="auto"/>
          <w:szCs w:val="21"/>
          <w:highlight w:val="none"/>
          <w:lang w:val="en-US" w:eastAsia="zh-CN"/>
        </w:rPr>
        <w:t>合同签订之日起2年</w:t>
      </w:r>
      <w:r>
        <w:rPr>
          <w:rFonts w:hint="eastAsia" w:ascii="宋体" w:hAnsi="宋体" w:cs="宋体"/>
          <w:color w:val="auto"/>
          <w:szCs w:val="21"/>
          <w:highlight w:val="none"/>
        </w:rPr>
        <w:t>。</w:t>
      </w:r>
    </w:p>
    <w:p w14:paraId="40F63FB7">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8.本项目是否接受联合体投标：□是，☑否</w:t>
      </w:r>
    </w:p>
    <w:p w14:paraId="04B16ED6">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备注：</w:t>
      </w:r>
      <w:r>
        <w:rPr>
          <w:rFonts w:hint="eastAsia" w:ascii="宋体" w:hAnsi="宋体" w:cs="宋体"/>
          <w:color w:val="auto"/>
          <w:szCs w:val="21"/>
          <w:highlight w:val="none"/>
        </w:rPr>
        <w:t>本项目为线上电子招标项目，有意向参与本项目的供应商应当做好参与全流程电子招投标交易的充分准备。</w:t>
      </w:r>
    </w:p>
    <w:bookmarkEnd w:id="10"/>
    <w:p w14:paraId="33F25177">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Cs/>
          <w:color w:val="auto"/>
          <w:sz w:val="24"/>
          <w:highlight w:val="none"/>
        </w:rPr>
      </w:pPr>
      <w:bookmarkStart w:id="11" w:name="_Toc44229879"/>
      <w:bookmarkStart w:id="12" w:name="_Toc28359090"/>
      <w:bookmarkStart w:id="13" w:name="_Toc35393630"/>
      <w:bookmarkStart w:id="14" w:name="_Toc28359013"/>
      <w:bookmarkStart w:id="15" w:name="_Toc35393799"/>
      <w:r>
        <w:rPr>
          <w:rFonts w:hint="eastAsia" w:ascii="宋体" w:hAnsi="宋体" w:cs="宋体"/>
          <w:b/>
          <w:color w:val="auto"/>
          <w:kern w:val="44"/>
          <w:sz w:val="24"/>
          <w:highlight w:val="none"/>
        </w:rPr>
        <w:t>二、供应商的资格条件</w:t>
      </w:r>
      <w:bookmarkEnd w:id="11"/>
      <w:bookmarkEnd w:id="12"/>
      <w:bookmarkEnd w:id="13"/>
      <w:bookmarkEnd w:id="14"/>
      <w:bookmarkEnd w:id="15"/>
    </w:p>
    <w:p w14:paraId="1FAC76D4">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1.满足《中华人民共和国政府采购法》第二十二条规定；</w:t>
      </w:r>
    </w:p>
    <w:p w14:paraId="1414907E">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2.落实政府采购政策需满足的资格要求：</w:t>
      </w:r>
    </w:p>
    <w:p w14:paraId="267FDC07">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eastAsia="zh-CN"/>
        </w:rPr>
        <w:t>□</w:t>
      </w:r>
      <w:r>
        <w:rPr>
          <w:rFonts w:hint="eastAsia" w:ascii="宋体" w:hAnsi="宋体" w:cs="宋体"/>
          <w:color w:val="auto"/>
          <w:szCs w:val="21"/>
          <w:highlight w:val="none"/>
        </w:rPr>
        <w:t>专门面向中小企业采购的项目（供应商应为中小微企业或监狱企业或残疾人福利性单位)</w:t>
      </w:r>
    </w:p>
    <w:p w14:paraId="2E98A872">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lang w:eastAsia="zh-CN"/>
        </w:rPr>
      </w:pPr>
      <w:r>
        <w:rPr>
          <w:rFonts w:hint="eastAsia" w:ascii="宋体" w:hAnsi="宋体" w:cs="宋体"/>
          <w:color w:val="auto"/>
          <w:szCs w:val="21"/>
          <w:highlight w:val="none"/>
        </w:rPr>
        <w:sym w:font="Wingdings 2" w:char="0052"/>
      </w:r>
      <w:r>
        <w:rPr>
          <w:rFonts w:hint="eastAsia" w:ascii="宋体" w:hAnsi="宋体" w:cs="宋体"/>
          <w:color w:val="auto"/>
          <w:szCs w:val="21"/>
          <w:highlight w:val="none"/>
        </w:rPr>
        <w:t>非专门面向中小企业采购的项目</w:t>
      </w:r>
    </w:p>
    <w:p w14:paraId="1781BA07">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3.本项目的特定资格要求：无。</w:t>
      </w:r>
    </w:p>
    <w:p w14:paraId="5F806725">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4</w:t>
      </w:r>
      <w:r>
        <w:rPr>
          <w:rFonts w:hint="eastAsia" w:ascii="宋体" w:hAnsi="宋体" w:cs="宋体"/>
          <w:color w:val="auto"/>
          <w:szCs w:val="21"/>
          <w:highlight w:val="none"/>
        </w:rPr>
        <w:t>.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1D45FA04">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06FE1424">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三、获取竞争性磋商文件</w:t>
      </w:r>
      <w:bookmarkEnd w:id="6"/>
      <w:bookmarkEnd w:id="7"/>
      <w:bookmarkEnd w:id="8"/>
      <w:bookmarkEnd w:id="9"/>
    </w:p>
    <w:p w14:paraId="3603E118">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u w:val="single"/>
        </w:rPr>
      </w:pPr>
      <w:bookmarkStart w:id="16" w:name="_Toc35393793"/>
      <w:bookmarkStart w:id="17" w:name="_Toc28359005"/>
      <w:bookmarkStart w:id="18" w:name="_Toc28359082"/>
      <w:bookmarkStart w:id="19" w:name="_Toc35393624"/>
      <w:r>
        <w:rPr>
          <w:rFonts w:hint="eastAsia" w:ascii="宋体" w:hAnsi="宋体"/>
          <w:color w:val="auto"/>
          <w:highlight w:val="none"/>
        </w:rPr>
        <w:t>时</w:t>
      </w:r>
      <w:r>
        <w:rPr>
          <w:rFonts w:hint="eastAsia" w:ascii="宋体" w:hAnsi="宋体" w:eastAsia="宋体" w:cs="宋体"/>
          <w:color w:val="auto"/>
          <w:szCs w:val="21"/>
          <w:highlight w:val="none"/>
        </w:rPr>
        <w:t>间：</w:t>
      </w:r>
      <w:r>
        <w:rPr>
          <w:rFonts w:hint="eastAsia" w:ascii="宋体" w:hAnsi="宋体" w:cs="宋体"/>
          <w:color w:val="auto"/>
          <w:szCs w:val="21"/>
          <w:highlight w:val="none"/>
        </w:rPr>
        <w:t>2025年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日至2025年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20</w:t>
      </w:r>
      <w:r>
        <w:rPr>
          <w:rFonts w:hint="eastAsia" w:ascii="宋体" w:hAnsi="宋体" w:cs="宋体"/>
          <w:color w:val="auto"/>
          <w:szCs w:val="21"/>
          <w:highlight w:val="none"/>
        </w:rPr>
        <w:t>日</w:t>
      </w:r>
      <w:r>
        <w:rPr>
          <w:rFonts w:hint="eastAsia" w:ascii="宋体" w:hAnsi="宋体" w:eastAsia="宋体" w:cs="宋体"/>
          <w:color w:val="auto"/>
          <w:szCs w:val="21"/>
          <w:highlight w:val="none"/>
        </w:rPr>
        <w:t>，每天上午08：30-11：59；下午12：00-18：00（北京时间，法定节假日除外）</w:t>
      </w:r>
    </w:p>
    <w:p w14:paraId="3276EDE3">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u w:val="single"/>
        </w:rPr>
      </w:pPr>
      <w:r>
        <w:rPr>
          <w:rFonts w:hint="eastAsia" w:ascii="宋体" w:hAnsi="宋体"/>
          <w:color w:val="auto"/>
          <w:highlight w:val="none"/>
        </w:rPr>
        <w:t>地点：“广西政府采购云”平台（https://www.gcy.zfcg.gxzf.gov.cn）</w:t>
      </w:r>
    </w:p>
    <w:p w14:paraId="5F26641D">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rPr>
      </w:pPr>
      <w:r>
        <w:rPr>
          <w:rFonts w:hint="eastAsia" w:ascii="宋体" w:hAnsi="宋体"/>
          <w:color w:val="auto"/>
          <w:highlight w:val="none"/>
        </w:rPr>
        <w:t>方式：网上下载。本项目不发放纸质文件，供应商可自行在“广西政府采购云”平台（https://www.gcy.zfcg.gxzf.gov.cn）下载招标文件（操作路径：登录“广西政府采购云”平台-项目采购-获取采购文件-找到本项目-点击“申请获取采购文件”），电子投标文件制作需要基于“广西政府采购云”平台获取的</w:t>
      </w:r>
      <w:r>
        <w:rPr>
          <w:rFonts w:hint="eastAsia" w:ascii="宋体" w:hAnsi="宋体"/>
          <w:color w:val="auto"/>
          <w:highlight w:val="none"/>
          <w:lang w:val="en-US" w:eastAsia="zh-CN"/>
        </w:rPr>
        <w:t>采购</w:t>
      </w:r>
      <w:r>
        <w:rPr>
          <w:rFonts w:hint="eastAsia" w:ascii="宋体" w:hAnsi="宋体"/>
          <w:color w:val="auto"/>
          <w:highlight w:val="none"/>
        </w:rPr>
        <w:t>文件编制。</w:t>
      </w:r>
    </w:p>
    <w:p w14:paraId="1D6574E6">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rPr>
      </w:pPr>
      <w:r>
        <w:rPr>
          <w:rFonts w:ascii="宋体" w:hAnsi="宋体" w:cs="宋体"/>
          <w:color w:val="auto"/>
          <w:kern w:val="0"/>
          <w:szCs w:val="21"/>
          <w:highlight w:val="none"/>
        </w:rPr>
        <w:t>售价（元）：</w:t>
      </w:r>
      <w:r>
        <w:rPr>
          <w:rFonts w:hint="eastAsia" w:ascii="宋体" w:hAnsi="宋体" w:cs="宋体"/>
          <w:color w:val="auto"/>
          <w:kern w:val="0"/>
          <w:szCs w:val="21"/>
          <w:highlight w:val="none"/>
        </w:rPr>
        <w:t>0</w:t>
      </w:r>
    </w:p>
    <w:p w14:paraId="2A0E3298">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四、</w:t>
      </w:r>
      <w:bookmarkEnd w:id="16"/>
      <w:bookmarkEnd w:id="17"/>
      <w:bookmarkEnd w:id="18"/>
      <w:bookmarkEnd w:id="19"/>
      <w:r>
        <w:rPr>
          <w:rFonts w:hint="eastAsia" w:ascii="宋体" w:hAnsi="宋体" w:cs="宋体"/>
          <w:b/>
          <w:bCs/>
          <w:color w:val="auto"/>
          <w:sz w:val="24"/>
          <w:highlight w:val="none"/>
        </w:rPr>
        <w:t>提交投标文件截止时间、开标时间和地点</w:t>
      </w:r>
    </w:p>
    <w:p w14:paraId="4BD8C6F5">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szCs w:val="21"/>
          <w:highlight w:val="none"/>
        </w:rPr>
      </w:pPr>
      <w:r>
        <w:rPr>
          <w:rFonts w:hint="eastAsia" w:ascii="宋体" w:hAnsi="宋体"/>
          <w:color w:val="auto"/>
          <w:szCs w:val="21"/>
          <w:highlight w:val="none"/>
        </w:rPr>
        <w:t>1、首次响应文件提交截止时间（北京时间）：</w:t>
      </w:r>
      <w:r>
        <w:rPr>
          <w:rFonts w:hint="eastAsia" w:ascii="宋体" w:hAnsi="宋体" w:cs="宋体"/>
          <w:color w:val="auto"/>
          <w:szCs w:val="21"/>
          <w:highlight w:val="none"/>
        </w:rPr>
        <w:t>2025年10月28日9时30分</w:t>
      </w:r>
      <w:r>
        <w:rPr>
          <w:rFonts w:hint="eastAsia" w:ascii="宋体" w:hAnsi="宋体"/>
          <w:color w:val="auto"/>
          <w:szCs w:val="21"/>
          <w:highlight w:val="none"/>
        </w:rPr>
        <w:t>（从磋商文件开始发出之日起至供应商提交首次响应文件截止之日止不得少于10日）</w:t>
      </w:r>
    </w:p>
    <w:p w14:paraId="01E20DE4">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eastAsia="宋体"/>
          <w:color w:val="auto"/>
          <w:szCs w:val="21"/>
          <w:highlight w:val="none"/>
          <w:lang w:val="en-US" w:eastAsia="zh-CN"/>
        </w:rPr>
      </w:pPr>
      <w:r>
        <w:rPr>
          <w:rFonts w:hint="eastAsia" w:ascii="宋体" w:hAnsi="宋体"/>
          <w:color w:val="auto"/>
          <w:szCs w:val="21"/>
          <w:highlight w:val="none"/>
          <w:lang w:val="en-US" w:eastAsia="zh-CN"/>
        </w:rPr>
        <w:t>2、开标地点：本项目将在广西政府采购云平台电子开标大厅解密、开标。本项目采用远程异地评标，评标主场设在崇左市公共资源交易中心（崇左市城南新区石景林路东段政务服务中心综合楼五楼），评标副会场设在</w:t>
      </w:r>
      <w:r>
        <w:rPr>
          <w:rFonts w:hint="eastAsia" w:ascii="宋体" w:hAnsi="宋体"/>
          <w:color w:val="auto"/>
          <w:szCs w:val="21"/>
          <w:highlight w:val="none"/>
          <w:u w:val="single"/>
          <w:lang w:val="en-US" w:eastAsia="zh-CN"/>
        </w:rPr>
        <w:t>柳州市公共资源交易中心（柳州市龙湖路13号市民服务中心北楼4-7层）</w:t>
      </w:r>
      <w:r>
        <w:rPr>
          <w:rFonts w:hint="eastAsia" w:ascii="宋体" w:hAnsi="宋体"/>
          <w:color w:val="auto"/>
          <w:szCs w:val="21"/>
          <w:highlight w:val="none"/>
          <w:lang w:val="en-US" w:eastAsia="zh-CN"/>
        </w:rPr>
        <w:t>。</w:t>
      </w:r>
    </w:p>
    <w:p w14:paraId="10770815">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bCs/>
          <w:color w:val="auto"/>
          <w:sz w:val="24"/>
          <w:highlight w:val="none"/>
        </w:rPr>
      </w:pPr>
      <w:r>
        <w:rPr>
          <w:rFonts w:hint="eastAsia" w:ascii="宋体" w:hAnsi="宋体" w:cs="宋体"/>
          <w:b/>
          <w:bCs/>
          <w:color w:val="auto"/>
          <w:sz w:val="24"/>
          <w:highlight w:val="none"/>
        </w:rPr>
        <w:t>五、开启（首次响应文件开启时间）</w:t>
      </w:r>
    </w:p>
    <w:p w14:paraId="35B5F192">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bCs/>
          <w:color w:val="auto"/>
          <w:szCs w:val="21"/>
          <w:highlight w:val="none"/>
          <w:u w:val="single"/>
        </w:rPr>
      </w:pPr>
      <w:r>
        <w:rPr>
          <w:rFonts w:hint="eastAsia" w:ascii="宋体" w:hAnsi="宋体" w:cs="宋体"/>
          <w:color w:val="auto"/>
          <w:szCs w:val="21"/>
          <w:highlight w:val="none"/>
        </w:rPr>
        <w:t>1.时间</w:t>
      </w:r>
      <w:r>
        <w:rPr>
          <w:rFonts w:hint="eastAsia" w:ascii="宋体" w:hAnsi="宋体" w:cs="宋体"/>
          <w:bCs/>
          <w:color w:val="auto"/>
          <w:szCs w:val="21"/>
          <w:highlight w:val="none"/>
        </w:rPr>
        <w:t>（北京时间）</w:t>
      </w:r>
      <w:r>
        <w:rPr>
          <w:rFonts w:hint="eastAsia" w:ascii="宋体" w:hAnsi="宋体" w:cs="宋体"/>
          <w:color w:val="auto"/>
          <w:szCs w:val="21"/>
          <w:highlight w:val="none"/>
        </w:rPr>
        <w:t>：2025年10月28日9时30分00秒后</w:t>
      </w:r>
    </w:p>
    <w:p w14:paraId="64659116">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bCs/>
          <w:color w:val="auto"/>
          <w:szCs w:val="21"/>
          <w:highlight w:val="none"/>
          <w:u w:val="single"/>
        </w:rPr>
      </w:pPr>
      <w:r>
        <w:rPr>
          <w:rFonts w:hint="eastAsia" w:ascii="宋体" w:hAnsi="宋体" w:cs="宋体"/>
          <w:color w:val="auto"/>
          <w:szCs w:val="21"/>
          <w:highlight w:val="none"/>
        </w:rPr>
        <w:t>2.地点：</w:t>
      </w:r>
      <w:r>
        <w:rPr>
          <w:rFonts w:hint="eastAsia" w:ascii="宋体" w:hAnsi="宋体" w:cs="宋体"/>
          <w:color w:val="auto"/>
          <w:szCs w:val="21"/>
          <w:highlight w:val="none"/>
          <w:u w:val="single"/>
        </w:rPr>
        <w:t xml:space="preserve">“广西政府采购云”平台（https://www.gcy.zfcg.gxzf.gov.cn） </w:t>
      </w:r>
    </w:p>
    <w:p w14:paraId="6A2DEAAF">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bCs/>
          <w:color w:val="auto"/>
          <w:sz w:val="24"/>
          <w:highlight w:val="none"/>
        </w:rPr>
      </w:pPr>
      <w:bookmarkStart w:id="20" w:name="_Toc28359007"/>
      <w:bookmarkStart w:id="21" w:name="_Toc35393794"/>
      <w:bookmarkStart w:id="22" w:name="_Toc28359084"/>
      <w:bookmarkStart w:id="23" w:name="_Toc35393625"/>
      <w:r>
        <w:rPr>
          <w:rFonts w:hint="eastAsia" w:ascii="宋体" w:hAnsi="宋体" w:cs="宋体"/>
          <w:b/>
          <w:bCs/>
          <w:color w:val="auto"/>
          <w:sz w:val="24"/>
          <w:highlight w:val="none"/>
        </w:rPr>
        <w:t>六、公告期限</w:t>
      </w:r>
      <w:bookmarkEnd w:id="20"/>
      <w:bookmarkEnd w:id="21"/>
      <w:bookmarkEnd w:id="22"/>
      <w:bookmarkEnd w:id="23"/>
    </w:p>
    <w:p w14:paraId="0C89DB04">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自本公告发布之日起5个工作日。</w:t>
      </w:r>
    </w:p>
    <w:p w14:paraId="07615819">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
          <w:bCs/>
          <w:color w:val="auto"/>
          <w:sz w:val="24"/>
          <w:highlight w:val="none"/>
        </w:rPr>
      </w:pPr>
      <w:bookmarkStart w:id="24" w:name="_Toc35393626"/>
      <w:bookmarkStart w:id="25" w:name="_Toc35393795"/>
      <w:r>
        <w:rPr>
          <w:rFonts w:hint="eastAsia" w:ascii="宋体" w:hAnsi="宋体" w:cs="宋体"/>
          <w:b/>
          <w:bCs/>
          <w:color w:val="auto"/>
          <w:sz w:val="24"/>
          <w:highlight w:val="none"/>
        </w:rPr>
        <w:t>七、其他补充事宜</w:t>
      </w:r>
      <w:bookmarkEnd w:id="24"/>
      <w:bookmarkEnd w:id="25"/>
    </w:p>
    <w:p w14:paraId="5C97FBC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w:t>
      </w:r>
      <w:r>
        <w:rPr>
          <w:rFonts w:hint="eastAsia" w:ascii="宋体" w:hAnsi="宋体" w:cs="宋体"/>
          <w:color w:val="auto"/>
          <w:kern w:val="0"/>
          <w:szCs w:val="21"/>
          <w:highlight w:val="none"/>
          <w:lang w:val="en-US" w:eastAsia="zh-CN"/>
        </w:rPr>
        <w:t>磋商</w:t>
      </w:r>
      <w:r>
        <w:rPr>
          <w:rFonts w:hint="eastAsia" w:ascii="宋体" w:hAnsi="宋体" w:cs="宋体"/>
          <w:color w:val="auto"/>
          <w:kern w:val="0"/>
          <w:szCs w:val="21"/>
          <w:highlight w:val="none"/>
        </w:rPr>
        <w:t>保证金（人民币）：本项目不需要缴纳磋商保证金。</w:t>
      </w:r>
    </w:p>
    <w:p w14:paraId="7149642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单位负责人为同一人或者存在直接控股、管理关系的不同供应商，不得参加同一合同项下的政府采购活动。为本项目提供过整体设计、规范编制或者项目管理、监理、检测等服务的供应商，不得再参加本项目上述服务以外的其他采购活动。</w:t>
      </w:r>
    </w:p>
    <w:p w14:paraId="5B514E7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根据财政部《关于在政府采购活动中查询及使用信用记录有关问题的通知》（财库〔2016〕125号）的规定，对在“信用中国”网站（www.creditchina.gov.cn）、中国政府采购网（www.ccgp.gov.cn）被列入失信被执行人、重大税收违法案件当事人名单、政府采购严重违法失信行为记录名单及其他不符合《中华人民共和国政府采购法》第二十二条规定条件的供应商，不得参与政府采购活动。</w:t>
      </w:r>
    </w:p>
    <w:p w14:paraId="2E0E9A4E">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4、网上查询地址：中国政府采购网（www.ccgp.gov.cn）、广西政府采购网（zfcg.gxzf.gov.cn）、全国公共资源交易平台（广西.崇左）（http：//ggzy.jgswj.gxzf.gov.cn/czggzy）。</w:t>
      </w:r>
    </w:p>
    <w:p w14:paraId="6E7C612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5、本项目需要落实的政府采购政策：</w:t>
      </w:r>
    </w:p>
    <w:p w14:paraId="5AFAC2F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（1）政府采购促进中小企业发展。</w:t>
      </w:r>
    </w:p>
    <w:p w14:paraId="1583664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（2）政府采购支持采用本国产品的政策。</w:t>
      </w:r>
    </w:p>
    <w:p w14:paraId="51450BAF">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（3）强制采购节能产品；优先采购节能产品、环境标志产品。</w:t>
      </w:r>
    </w:p>
    <w:p w14:paraId="3F8BE78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（4）政府采购促进残疾人就业政策。</w:t>
      </w:r>
    </w:p>
    <w:p w14:paraId="7B46190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（5）政府采购支持监狱企业发展。</w:t>
      </w:r>
    </w:p>
    <w:p w14:paraId="67DE342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（6）扶持不发达地区和少数民族地区政策。</w:t>
      </w:r>
    </w:p>
    <w:p w14:paraId="68AA21E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6、投标注意事项：</w:t>
      </w:r>
    </w:p>
    <w:p w14:paraId="680D299C">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1）投标文件提交方式：本项目为全流程电子化政府采购项目，通过广西政府采购云平台（https：//www.gcy.zfcg.gxzf.gov.cn/）实行在线电子投标，供应商应先安装“广西政府采购云平台新版客户端”（新版客户端下载路径：广西政府采购网（访问地址http：//zfcg.gxzf.gov.cn/）—办事服务—下载专区。），并按照本项目招标文件和广西政府采购云平台的要求编制、加密后在投标截止时间前通过网络上传至广西政府采购云平台，供应商在广西政府采购云平台提交电子版投标文件时，请填写参加远程开标活动经办人联系方式。</w:t>
      </w:r>
    </w:p>
    <w:p w14:paraId="180837DD">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（2）供应商应及时熟悉掌握电子标系统操作指南（见广西政府采购云平台电子卖场首页右上角—服务中心—帮助文档—项目采购）；及时完成CA申领和绑定（见广西政府采购网—办事服务—下载专区- CA证书办理操作指南）。</w:t>
      </w:r>
    </w:p>
    <w:p w14:paraId="2449ABF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3）未进行网上注册并办理数字证书（CA认证）的供应商将无法参与本项目政府采购活动，潜在供应商应当在投标截止时间前，完成电子交易平台上的CA数字证书办理及投标文件的提交。完成CA数字证书办理预计7日左右，供应商只需办理其中一家CA数字证书及签章，建议各供应商抓紧时间办理。原在政采云平台注册的临时供应商需在新平台重新注册登记。</w:t>
      </w:r>
    </w:p>
    <w:p w14:paraId="1EDCD888">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（4）为确保网上操作合法、有效和安全，请供应商确保在电子投标过程中能够对相关数据电文进行加密和使用电子签章，妥善保管CA数字证书并使用有效的CA数字证书参与整个采购活动。</w:t>
      </w:r>
    </w:p>
    <w:p w14:paraId="4B02D844">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注：供应商应当在投标截止时间前完成电子投标文件的上传、递交，投标截止时间前可以补充、修改或者撤回投标文件。补充或者修改投标文件的，应当先行撤回原文件，补充、修改后重新上传、递交。投标截止时间前未完成上传、递交的，视为撤回投标文件。投标截止时间以后上传递交的投标文件，广西政府采购云平台将予以拒收。</w:t>
      </w:r>
    </w:p>
    <w:p w14:paraId="2F021C0C">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（5）CA证书在线解密：供应商投标时，需携带制作投标文件时用来加密的有效数字证书（CA认证）登录广西政府采购云平台电子开标大厅现场按规定时间对加密的投标文件进行解密，否则后果自负。</w:t>
      </w:r>
    </w:p>
    <w:p w14:paraId="47E21963">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若对项目采购电子交易系统操作有疑问，可登录广西政府采购云平台（https：//www.gcy.zfcg.gxzf.gov.cn/），点击右侧咨询小采，获取采小蜜智能服务管家帮助，或拨打广西政府采购云平台服务热线95763获取热线服务帮助。</w:t>
      </w:r>
    </w:p>
    <w:p w14:paraId="60893C07">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7、根据《崇左市财政局关于进一步做好线上“政采贷”融资业务工作的通知》（崇财采〔2023〕10号），供应商如有需要可凭成交通知书、政府采购合同，通过中征应收账款融资服务平台向银行在线申请“政采贷”融资。（具体详见采购文件中关于“政采贷”相关信息）</w:t>
      </w:r>
    </w:p>
    <w:p w14:paraId="3D21746E">
      <w:pPr>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eastAsia="宋体" w:cs="宋体"/>
          <w:color w:val="auto"/>
          <w:szCs w:val="21"/>
          <w:highlight w:val="none"/>
          <w:lang w:val="en-US" w:eastAsia="zh-CN"/>
        </w:rPr>
        <w:t>8、评标说明：本项目为远程异地全流程电子评标，评标主会场地址：</w:t>
      </w:r>
      <w:r>
        <w:rPr>
          <w:rFonts w:hint="eastAsia" w:ascii="宋体" w:hAnsi="宋体" w:eastAsia="宋体" w:cs="宋体"/>
          <w:color w:val="auto"/>
          <w:szCs w:val="21"/>
          <w:highlight w:val="none"/>
          <w:lang w:bidi="ar"/>
        </w:rPr>
        <w:t>崇左市公共资源交易中心（崇左市城南新区石景林路东段政务服务中心综合楼五楼），评标副会场设在</w:t>
      </w:r>
      <w:r>
        <w:rPr>
          <w:rFonts w:hint="eastAsia" w:ascii="宋体" w:hAnsi="宋体" w:cs="宋体"/>
          <w:color w:val="auto"/>
          <w:szCs w:val="21"/>
          <w:highlight w:val="none"/>
          <w:u w:val="single"/>
          <w:lang w:val="en-US" w:eastAsia="zh-CN" w:bidi="ar"/>
        </w:rPr>
        <w:t>柳州市公共资源交易中心（柳州市龙湖路13号市民服务中心北楼4-7层）</w:t>
      </w:r>
      <w:r>
        <w:rPr>
          <w:rFonts w:hint="eastAsia" w:ascii="宋体" w:hAnsi="宋体" w:eastAsia="宋体" w:cs="宋体"/>
          <w:color w:val="auto"/>
          <w:szCs w:val="21"/>
          <w:highlight w:val="none"/>
          <w:lang w:val="en-US" w:eastAsia="zh-CN"/>
        </w:rPr>
        <w:t>。</w:t>
      </w:r>
    </w:p>
    <w:p w14:paraId="74F52D3C">
      <w:pPr>
        <w:keepNext w:val="0"/>
        <w:keepLines w:val="0"/>
        <w:pageBreakBefore w:val="0"/>
        <w:widowControl w:val="0"/>
        <w:kinsoku/>
        <w:wordWrap/>
        <w:overflowPunct/>
        <w:topLinePunct w:val="0"/>
        <w:autoSpaceDE/>
        <w:autoSpaceDN/>
        <w:bidi w:val="0"/>
        <w:adjustRightInd/>
        <w:spacing w:line="380" w:lineRule="exact"/>
        <w:textAlignment w:val="auto"/>
        <w:rPr>
          <w:rFonts w:hint="eastAsia" w:ascii="宋体" w:hAnsi="宋体" w:cs="宋体"/>
          <w:bCs/>
          <w:color w:val="auto"/>
          <w:sz w:val="24"/>
          <w:highlight w:val="none"/>
        </w:rPr>
      </w:pPr>
      <w:r>
        <w:rPr>
          <w:rFonts w:hint="eastAsia" w:ascii="宋体" w:hAnsi="宋体" w:cs="宋体"/>
          <w:b/>
          <w:color w:val="auto"/>
          <w:kern w:val="44"/>
          <w:sz w:val="24"/>
          <w:highlight w:val="none"/>
        </w:rPr>
        <w:t>八、凡对本次采购提出询问，请按以下方式联系</w:t>
      </w:r>
    </w:p>
    <w:p w14:paraId="2634D897">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s="宋体"/>
          <w:color w:val="auto"/>
          <w:szCs w:val="21"/>
          <w:highlight w:val="none"/>
        </w:rPr>
        <w:t>1.采购人信息</w:t>
      </w:r>
    </w:p>
    <w:p w14:paraId="0CE0DFD0">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u w:val="single"/>
        </w:rPr>
      </w:pPr>
      <w:r>
        <w:rPr>
          <w:rFonts w:hint="eastAsia" w:ascii="宋体" w:hAnsi="宋体" w:cs="宋体"/>
          <w:color w:val="auto"/>
          <w:szCs w:val="21"/>
          <w:highlight w:val="none"/>
        </w:rPr>
        <w:t>名称</w:t>
      </w:r>
      <w:r>
        <w:rPr>
          <w:rFonts w:hint="eastAsia" w:ascii="宋体" w:hAnsi="宋体"/>
          <w:color w:val="auto"/>
          <w:szCs w:val="21"/>
          <w:highlight w:val="none"/>
        </w:rPr>
        <w:t>：</w:t>
      </w:r>
      <w:r>
        <w:rPr>
          <w:rFonts w:hint="eastAsia" w:ascii="宋体" w:hAnsi="宋体"/>
          <w:color w:val="auto"/>
          <w:szCs w:val="21"/>
          <w:highlight w:val="none"/>
          <w:u w:val="single"/>
          <w:lang w:eastAsia="zh-CN"/>
        </w:rPr>
        <w:t>扶绥县人力资源和社会保障局</w:t>
      </w:r>
      <w:r>
        <w:rPr>
          <w:rFonts w:hint="eastAsia" w:ascii="宋体" w:hAnsi="宋体"/>
          <w:color w:val="auto"/>
          <w:szCs w:val="21"/>
          <w:highlight w:val="none"/>
          <w:u w:val="single"/>
        </w:rPr>
        <w:t xml:space="preserve"> </w:t>
      </w:r>
    </w:p>
    <w:p w14:paraId="4194A8BF">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eastAsia="宋体"/>
          <w:color w:val="auto"/>
          <w:szCs w:val="21"/>
          <w:highlight w:val="none"/>
          <w:lang w:eastAsia="zh-CN"/>
        </w:rPr>
      </w:pPr>
      <w:r>
        <w:rPr>
          <w:rFonts w:hint="eastAsia" w:ascii="宋体" w:hAnsi="宋体" w:cs="宋体"/>
          <w:color w:val="auto"/>
          <w:szCs w:val="21"/>
          <w:highlight w:val="none"/>
        </w:rPr>
        <w:t>地址</w:t>
      </w:r>
      <w:r>
        <w:rPr>
          <w:rFonts w:hint="eastAsia" w:ascii="宋体" w:hAnsi="宋体"/>
          <w:color w:val="auto"/>
          <w:szCs w:val="21"/>
          <w:highlight w:val="none"/>
        </w:rPr>
        <w:t>：</w:t>
      </w:r>
      <w:r>
        <w:rPr>
          <w:rFonts w:hint="eastAsia" w:ascii="宋体" w:hAnsi="宋体"/>
          <w:color w:val="auto"/>
          <w:szCs w:val="21"/>
          <w:highlight w:val="none"/>
          <w:u w:val="single"/>
          <w:lang w:eastAsia="zh-CN"/>
        </w:rPr>
        <w:t>扶绥县新宁镇同正大道642号</w:t>
      </w:r>
    </w:p>
    <w:p w14:paraId="10E0AB41">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default" w:hAnsi="宋体" w:eastAsia="宋体"/>
          <w:color w:val="auto"/>
          <w:highlight w:val="none"/>
          <w:lang w:val="en-US" w:eastAsia="zh-CN"/>
        </w:rPr>
      </w:pPr>
      <w:r>
        <w:rPr>
          <w:rFonts w:hint="eastAsia" w:ascii="宋体" w:hAnsi="宋体" w:cs="宋体"/>
          <w:color w:val="auto"/>
          <w:szCs w:val="21"/>
          <w:highlight w:val="none"/>
        </w:rPr>
        <w:t>项目</w:t>
      </w:r>
      <w:r>
        <w:rPr>
          <w:rFonts w:hint="eastAsia" w:ascii="宋体" w:hAnsi="宋体"/>
          <w:color w:val="auto"/>
          <w:szCs w:val="21"/>
          <w:highlight w:val="none"/>
        </w:rPr>
        <w:t>联系人</w:t>
      </w:r>
      <w:r>
        <w:rPr>
          <w:rFonts w:hint="eastAsia" w:hAnsi="宋体"/>
          <w:color w:val="auto"/>
          <w:highlight w:val="none"/>
        </w:rPr>
        <w:t>：</w:t>
      </w:r>
      <w:r>
        <w:rPr>
          <w:rFonts w:hint="eastAsia" w:hAnsi="宋体"/>
          <w:color w:val="auto"/>
          <w:highlight w:val="none"/>
          <w:u w:val="single"/>
          <w:lang w:val="en-US" w:eastAsia="zh-CN"/>
        </w:rPr>
        <w:t>易华苗、甘春芳</w:t>
      </w:r>
    </w:p>
    <w:p w14:paraId="564579A3">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default" w:ascii="宋体" w:hAnsi="宋体" w:eastAsia="宋体"/>
          <w:color w:val="auto"/>
          <w:szCs w:val="21"/>
          <w:highlight w:val="none"/>
          <w:u w:val="single"/>
          <w:lang w:val="en-US" w:eastAsia="zh-CN"/>
        </w:rPr>
      </w:pPr>
      <w:r>
        <w:rPr>
          <w:rFonts w:hint="eastAsia" w:ascii="宋体" w:hAnsi="宋体" w:cs="宋体"/>
          <w:color w:val="auto"/>
          <w:szCs w:val="21"/>
          <w:highlight w:val="none"/>
        </w:rPr>
        <w:t>联系</w:t>
      </w:r>
      <w:r>
        <w:rPr>
          <w:rFonts w:hint="eastAsia" w:ascii="宋体" w:hAnsi="宋体"/>
          <w:color w:val="auto"/>
          <w:szCs w:val="21"/>
          <w:highlight w:val="none"/>
        </w:rPr>
        <w:t>电话：</w:t>
      </w:r>
      <w:r>
        <w:rPr>
          <w:rFonts w:hint="eastAsia" w:ascii="宋体" w:hAnsi="宋体" w:cs="宋体"/>
          <w:color w:val="auto"/>
          <w:szCs w:val="21"/>
          <w:highlight w:val="none"/>
          <w:u w:val="single"/>
        </w:rPr>
        <w:t xml:space="preserve"> 0771-</w:t>
      </w:r>
      <w:r>
        <w:rPr>
          <w:rFonts w:hint="eastAsia" w:ascii="宋体" w:hAnsi="宋体" w:cs="宋体"/>
          <w:color w:val="auto"/>
          <w:szCs w:val="21"/>
          <w:highlight w:val="none"/>
          <w:u w:val="single"/>
          <w:lang w:val="en-US" w:eastAsia="zh-CN"/>
        </w:rPr>
        <w:t>7526338、</w:t>
      </w:r>
      <w:r>
        <w:rPr>
          <w:rFonts w:hint="eastAsia" w:ascii="宋体" w:hAnsi="宋体" w:cs="宋体"/>
          <w:color w:val="auto"/>
          <w:szCs w:val="21"/>
          <w:highlight w:val="none"/>
          <w:u w:val="single"/>
        </w:rPr>
        <w:t>0771-</w:t>
      </w:r>
      <w:r>
        <w:rPr>
          <w:rFonts w:hint="eastAsia" w:ascii="宋体" w:hAnsi="宋体" w:cs="宋体"/>
          <w:color w:val="auto"/>
          <w:szCs w:val="21"/>
          <w:highlight w:val="none"/>
          <w:u w:val="single"/>
          <w:lang w:val="en-US" w:eastAsia="zh-CN"/>
        </w:rPr>
        <w:t xml:space="preserve">7510963   </w:t>
      </w:r>
    </w:p>
    <w:p w14:paraId="4E72B11B">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s="宋体"/>
          <w:color w:val="auto"/>
          <w:szCs w:val="21"/>
          <w:highlight w:val="none"/>
        </w:rPr>
        <w:t>2.采购代理机构信息</w:t>
      </w:r>
    </w:p>
    <w:p w14:paraId="69AE0DE5">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u w:val="single"/>
        </w:rPr>
      </w:pPr>
      <w:r>
        <w:rPr>
          <w:rFonts w:hint="eastAsia" w:ascii="宋体" w:hAnsi="宋体" w:cs="宋体"/>
          <w:color w:val="auto"/>
          <w:szCs w:val="21"/>
          <w:highlight w:val="none"/>
        </w:rPr>
        <w:t>名称</w:t>
      </w:r>
      <w:r>
        <w:rPr>
          <w:rFonts w:hint="eastAsia" w:ascii="宋体" w:hAnsi="宋体"/>
          <w:color w:val="auto"/>
          <w:szCs w:val="21"/>
          <w:highlight w:val="none"/>
        </w:rPr>
        <w:t>：</w:t>
      </w:r>
      <w:r>
        <w:rPr>
          <w:rFonts w:hint="eastAsia" w:ascii="宋体" w:hAnsi="宋体"/>
          <w:color w:val="auto"/>
          <w:szCs w:val="21"/>
          <w:highlight w:val="none"/>
          <w:u w:val="single"/>
        </w:rPr>
        <w:t>广西国力招标有限公司</w:t>
      </w:r>
    </w:p>
    <w:p w14:paraId="53F39961">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olor w:val="auto"/>
          <w:szCs w:val="21"/>
          <w:highlight w:val="none"/>
        </w:rPr>
        <w:t>地址：</w:t>
      </w:r>
      <w:bookmarkStart w:id="26" w:name="PO_3000001868_PM035"/>
      <w:r>
        <w:rPr>
          <w:rFonts w:hint="eastAsia" w:ascii="宋体" w:hAnsi="宋体"/>
          <w:color w:val="auto"/>
          <w:szCs w:val="21"/>
          <w:highlight w:val="none"/>
          <w:u w:val="single"/>
        </w:rPr>
        <w:t>南宁市白沙大道53号松宇时代13楼</w:t>
      </w:r>
      <w:bookmarkEnd w:id="26"/>
    </w:p>
    <w:p w14:paraId="2B185160">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s="宋体"/>
          <w:color w:val="auto"/>
          <w:szCs w:val="21"/>
          <w:highlight w:val="none"/>
        </w:rPr>
        <w:t>联系</w:t>
      </w:r>
      <w:r>
        <w:rPr>
          <w:rFonts w:hint="eastAsia" w:ascii="宋体" w:hAnsi="宋体"/>
          <w:color w:val="auto"/>
          <w:szCs w:val="21"/>
          <w:highlight w:val="none"/>
        </w:rPr>
        <w:t>电话：</w:t>
      </w:r>
      <w:r>
        <w:rPr>
          <w:rFonts w:hint="eastAsia" w:ascii="宋体" w:hAnsi="宋体"/>
          <w:color w:val="auto"/>
          <w:szCs w:val="21"/>
          <w:highlight w:val="none"/>
          <w:u w:val="single"/>
        </w:rPr>
        <w:t>0771-4915558</w:t>
      </w:r>
    </w:p>
    <w:p w14:paraId="4CD97302">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olor w:val="auto"/>
          <w:szCs w:val="21"/>
          <w:highlight w:val="none"/>
        </w:rPr>
        <w:t>3.</w:t>
      </w:r>
      <w:r>
        <w:rPr>
          <w:rFonts w:hint="eastAsia" w:ascii="宋体" w:hAnsi="宋体" w:cs="宋体"/>
          <w:color w:val="auto"/>
          <w:szCs w:val="21"/>
          <w:highlight w:val="none"/>
        </w:rPr>
        <w:t>项目</w:t>
      </w:r>
      <w:r>
        <w:rPr>
          <w:rFonts w:hint="eastAsia" w:ascii="宋体" w:hAnsi="宋体"/>
          <w:color w:val="auto"/>
          <w:szCs w:val="21"/>
          <w:highlight w:val="none"/>
        </w:rPr>
        <w:t>联系方式</w:t>
      </w:r>
    </w:p>
    <w:p w14:paraId="72893B8B">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eastAsia="宋体"/>
          <w:color w:val="auto"/>
          <w:szCs w:val="21"/>
          <w:highlight w:val="none"/>
          <w:lang w:eastAsia="zh-CN"/>
        </w:rPr>
      </w:pPr>
      <w:r>
        <w:rPr>
          <w:rFonts w:hint="eastAsia" w:ascii="宋体" w:hAnsi="宋体"/>
          <w:color w:val="auto"/>
          <w:szCs w:val="21"/>
          <w:highlight w:val="none"/>
        </w:rPr>
        <w:t>项目联系人：</w:t>
      </w:r>
      <w:r>
        <w:rPr>
          <w:rFonts w:hint="eastAsia" w:ascii="宋体" w:hAnsi="宋体" w:cs="宋体"/>
          <w:color w:val="auto"/>
          <w:szCs w:val="21"/>
          <w:highlight w:val="none"/>
          <w:u w:val="single"/>
          <w:lang w:val="en-US" w:eastAsia="zh-CN"/>
        </w:rPr>
        <w:t>李宁芳</w:t>
      </w:r>
      <w:r>
        <w:rPr>
          <w:rFonts w:hint="eastAsia" w:ascii="宋体" w:hAnsi="宋体" w:cs="宋体"/>
          <w:color w:val="auto"/>
          <w:szCs w:val="21"/>
          <w:highlight w:val="none"/>
          <w:u w:val="single"/>
        </w:rPr>
        <w:t>、</w:t>
      </w:r>
      <w:r>
        <w:rPr>
          <w:rFonts w:hint="eastAsia" w:ascii="宋体" w:hAnsi="宋体" w:cs="宋体"/>
          <w:color w:val="auto"/>
          <w:szCs w:val="21"/>
          <w:highlight w:val="none"/>
          <w:u w:val="single"/>
          <w:lang w:val="en-US" w:eastAsia="zh-CN"/>
        </w:rPr>
        <w:t>陆琳琳</w:t>
      </w:r>
    </w:p>
    <w:p w14:paraId="44C331A8">
      <w:pPr>
        <w:keepNext w:val="0"/>
        <w:keepLines w:val="0"/>
        <w:pageBreakBefore w:val="0"/>
        <w:widowControl w:val="0"/>
        <w:kinsoku/>
        <w:wordWrap/>
        <w:overflowPunct/>
        <w:topLinePunct w:val="0"/>
        <w:autoSpaceDE/>
        <w:autoSpaceDN/>
        <w:bidi w:val="0"/>
        <w:adjustRightInd/>
        <w:spacing w:line="380" w:lineRule="exact"/>
        <w:ind w:firstLine="735" w:firstLineChars="350"/>
        <w:jc w:val="left"/>
        <w:textAlignment w:val="auto"/>
        <w:rPr>
          <w:rFonts w:hint="eastAsia" w:ascii="宋体" w:hAnsi="宋体"/>
          <w:color w:val="auto"/>
          <w:szCs w:val="21"/>
          <w:highlight w:val="none"/>
        </w:rPr>
      </w:pPr>
      <w:r>
        <w:rPr>
          <w:rFonts w:hint="eastAsia" w:ascii="宋体" w:hAnsi="宋体" w:cs="宋体"/>
          <w:color w:val="auto"/>
          <w:szCs w:val="21"/>
          <w:highlight w:val="none"/>
        </w:rPr>
        <w:t>电</w:t>
      </w:r>
      <w:r>
        <w:rPr>
          <w:rFonts w:hint="eastAsia" w:ascii="宋体" w:hAnsi="宋体"/>
          <w:color w:val="auto"/>
          <w:szCs w:val="21"/>
          <w:highlight w:val="none"/>
        </w:rPr>
        <w:t>话：</w:t>
      </w:r>
      <w:r>
        <w:rPr>
          <w:rFonts w:hint="eastAsia" w:ascii="宋体" w:hAnsi="宋体"/>
          <w:color w:val="auto"/>
          <w:szCs w:val="21"/>
          <w:highlight w:val="none"/>
          <w:u w:val="single"/>
        </w:rPr>
        <w:t>0771-4915558</w:t>
      </w:r>
    </w:p>
    <w:p w14:paraId="7BC09F59">
      <w:pPr>
        <w:pStyle w:val="8"/>
        <w:keepNext w:val="0"/>
        <w:keepLines w:val="0"/>
        <w:pageBreakBefore w:val="0"/>
        <w:widowControl w:val="0"/>
        <w:kinsoku/>
        <w:wordWrap/>
        <w:overflowPunct/>
        <w:topLinePunct w:val="0"/>
        <w:autoSpaceDE/>
        <w:autoSpaceDN/>
        <w:bidi w:val="0"/>
        <w:adjustRightInd/>
        <w:spacing w:line="380" w:lineRule="exact"/>
        <w:ind w:firstLine="420" w:firstLineChars="200"/>
        <w:jc w:val="right"/>
        <w:textAlignment w:val="auto"/>
        <w:rPr>
          <w:rFonts w:hint="eastAsia" w:ascii="宋体" w:hAnsi="宋体"/>
          <w:color w:val="auto"/>
          <w:szCs w:val="21"/>
          <w:highlight w:val="none"/>
          <w:u w:val="single"/>
        </w:rPr>
      </w:pPr>
    </w:p>
    <w:p w14:paraId="276CDB73">
      <w:pPr>
        <w:pStyle w:val="8"/>
        <w:keepNext w:val="0"/>
        <w:keepLines w:val="0"/>
        <w:pageBreakBefore w:val="0"/>
        <w:widowControl w:val="0"/>
        <w:kinsoku/>
        <w:wordWrap/>
        <w:overflowPunct/>
        <w:topLinePunct w:val="0"/>
        <w:autoSpaceDE/>
        <w:autoSpaceDN/>
        <w:bidi w:val="0"/>
        <w:adjustRightInd/>
        <w:spacing w:line="380" w:lineRule="exact"/>
        <w:ind w:firstLine="420" w:firstLineChars="200"/>
        <w:jc w:val="right"/>
        <w:textAlignment w:val="auto"/>
        <w:rPr>
          <w:rFonts w:hint="eastAsia" w:ascii="宋体" w:hAnsi="宋体"/>
          <w:color w:val="auto"/>
          <w:szCs w:val="21"/>
          <w:highlight w:val="none"/>
          <w:u w:val="single"/>
        </w:rPr>
      </w:pPr>
    </w:p>
    <w:p w14:paraId="3D6D62B1">
      <w:pPr>
        <w:pStyle w:val="8"/>
        <w:keepNext w:val="0"/>
        <w:keepLines w:val="0"/>
        <w:pageBreakBefore w:val="0"/>
        <w:widowControl w:val="0"/>
        <w:kinsoku/>
        <w:wordWrap/>
        <w:overflowPunct/>
        <w:topLinePunct w:val="0"/>
        <w:autoSpaceDE/>
        <w:autoSpaceDN/>
        <w:bidi w:val="0"/>
        <w:adjustRightInd/>
        <w:spacing w:line="380" w:lineRule="exact"/>
        <w:ind w:firstLine="420" w:firstLineChars="200"/>
        <w:jc w:val="right"/>
        <w:textAlignment w:val="auto"/>
        <w:rPr>
          <w:rFonts w:hint="eastAsia" w:ascii="宋体" w:hAnsi="宋体"/>
          <w:color w:val="auto"/>
          <w:szCs w:val="21"/>
          <w:highlight w:val="none"/>
          <w:u w:val="none"/>
        </w:rPr>
      </w:pPr>
      <w:r>
        <w:rPr>
          <w:rFonts w:hint="eastAsia" w:ascii="宋体" w:hAnsi="宋体"/>
          <w:color w:val="auto"/>
          <w:szCs w:val="21"/>
          <w:highlight w:val="none"/>
          <w:u w:val="none"/>
        </w:rPr>
        <w:t>广西国力招标有限公司</w:t>
      </w:r>
    </w:p>
    <w:p w14:paraId="348844E9">
      <w:pPr>
        <w:keepNext w:val="0"/>
        <w:keepLines w:val="0"/>
        <w:pageBreakBefore w:val="0"/>
        <w:widowControl w:val="0"/>
        <w:kinsoku/>
        <w:wordWrap/>
        <w:overflowPunct/>
        <w:topLinePunct w:val="0"/>
        <w:autoSpaceDE/>
        <w:autoSpaceDN/>
        <w:bidi w:val="0"/>
        <w:adjustRightInd/>
        <w:snapToGrid/>
        <w:spacing w:line="380" w:lineRule="exact"/>
        <w:ind w:firstLine="420" w:firstLineChars="200"/>
        <w:jc w:val="right"/>
        <w:textAlignment w:val="auto"/>
        <w:rPr>
          <w:rFonts w:hint="eastAsia" w:ascii="宋体" w:hAnsi="宋体" w:cs="宋体"/>
          <w:color w:val="auto"/>
          <w:szCs w:val="21"/>
          <w:highlight w:val="none"/>
        </w:rPr>
      </w:pP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5</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10</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13</w:t>
      </w:r>
      <w:r>
        <w:rPr>
          <w:rFonts w:hint="eastAsia" w:ascii="宋体" w:hAnsi="宋体" w:cs="宋体"/>
          <w:color w:val="auto"/>
          <w:szCs w:val="21"/>
          <w:highlight w:val="none"/>
        </w:rPr>
        <w:t>日</w:t>
      </w:r>
    </w:p>
    <w:p w14:paraId="67C37A54">
      <w:pPr>
        <w:pStyle w:val="2"/>
        <w:spacing w:line="380" w:lineRule="exact"/>
        <w:jc w:val="center"/>
        <w:rPr>
          <w:color w:val="auto"/>
          <w:highlight w:val="none"/>
        </w:rPr>
      </w:pPr>
      <w:r>
        <w:rPr>
          <w:rFonts w:hint="eastAsia" w:ascii="Cambria" w:hAnsi="Cambria"/>
          <w:bCs w:val="0"/>
          <w:color w:val="auto"/>
          <w:sz w:val="32"/>
          <w:szCs w:val="32"/>
          <w:highlight w:val="none"/>
        </w:rPr>
        <w:br w:type="page"/>
      </w:r>
      <w:bookmarkStart w:id="27" w:name="_Toc3154"/>
      <w:r>
        <w:rPr>
          <w:rFonts w:hint="eastAsia"/>
          <w:color w:val="auto"/>
          <w:highlight w:val="none"/>
        </w:rPr>
        <w:t>第二章采购需求</w:t>
      </w:r>
      <w:bookmarkEnd w:id="27"/>
    </w:p>
    <w:p w14:paraId="4399DB5A">
      <w:pPr>
        <w:keepNext w:val="0"/>
        <w:keepLines w:val="0"/>
        <w:pageBreakBefore w:val="0"/>
        <w:widowControl w:val="0"/>
        <w:kinsoku/>
        <w:wordWrap/>
        <w:overflowPunct/>
        <w:topLinePunct w:val="0"/>
        <w:autoSpaceDE/>
        <w:autoSpaceDN/>
        <w:bidi w:val="0"/>
        <w:adjustRightInd/>
        <w:snapToGrid/>
        <w:spacing w:line="380" w:lineRule="exact"/>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说明：</w:t>
      </w:r>
    </w:p>
    <w:p w14:paraId="134A8A6C">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olor w:val="auto"/>
          <w:highlight w:val="none"/>
        </w:rPr>
      </w:pPr>
      <w:bookmarkStart w:id="28" w:name="_Toc80886926"/>
      <w:bookmarkStart w:id="29" w:name="PO_TDCUS_ITEM_PB_REQ_FILE_1_1"/>
      <w:bookmarkStart w:id="30" w:name="_Toc1570"/>
      <w:r>
        <w:rPr>
          <w:rFonts w:hint="eastAsia" w:ascii="宋体" w:hAnsi="宋体"/>
          <w:color w:val="auto"/>
          <w:highlight w:val="none"/>
        </w:rPr>
        <w:t>一、本需求表中标注“▲”的条款均为实质性要求或条件，投标人必须作出满足或者优于该要求和条件的承诺（另有要求的除外），否则投标无效。</w:t>
      </w:r>
    </w:p>
    <w:p w14:paraId="05C4B371">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olor w:val="auto"/>
          <w:highlight w:val="none"/>
        </w:rPr>
      </w:pPr>
      <w:r>
        <w:rPr>
          <w:rFonts w:hint="eastAsia" w:ascii="宋体" w:hAnsi="宋体"/>
          <w:color w:val="auto"/>
          <w:highlight w:val="none"/>
        </w:rPr>
        <w:t>二、投标人所投标货物或服务如有国家相关标准、行业标准、地方标准或者其他标准、规范要求的按相关规定执行，若执行标准有修改或更新按最新版本执行。</w:t>
      </w:r>
    </w:p>
    <w:p w14:paraId="40210040">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olor w:val="auto"/>
          <w:highlight w:val="none"/>
        </w:rPr>
      </w:pPr>
      <w:r>
        <w:rPr>
          <w:rFonts w:hint="eastAsia" w:ascii="宋体" w:hAnsi="宋体"/>
          <w:color w:val="auto"/>
          <w:highlight w:val="none"/>
        </w:rPr>
        <w:t>三、采购标的对应的中小企业划分标准所属行业：根据《关于印发中小企业划型标准规定的通知》（工信部联企业〔2011〕300号），本次采购标的属于：</w:t>
      </w:r>
      <w:r>
        <w:rPr>
          <w:rFonts w:hint="eastAsia" w:ascii="宋体" w:hAnsi="宋体" w:cs="Times New Roman"/>
          <w:color w:val="auto"/>
          <w:szCs w:val="21"/>
          <w:highlight w:val="none"/>
          <w:lang w:eastAsia="zh-CN"/>
        </w:rPr>
        <w:t>软件和信息技术服务业</w:t>
      </w:r>
      <w:r>
        <w:rPr>
          <w:rFonts w:hint="eastAsia" w:ascii="宋体" w:hAnsi="宋体" w:eastAsia="宋体" w:cs="Times New Roman"/>
          <w:color w:val="auto"/>
          <w:szCs w:val="21"/>
          <w:highlight w:val="none"/>
        </w:rPr>
        <w:t>。</w:t>
      </w:r>
    </w:p>
    <w:p w14:paraId="780238BA">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olor w:val="auto"/>
          <w:highlight w:val="none"/>
        </w:rPr>
        <w:t>本项目采购预算：</w:t>
      </w:r>
      <w:r>
        <w:rPr>
          <w:rFonts w:hint="eastAsia" w:ascii="宋体" w:hAnsi="宋体"/>
          <w:color w:val="auto"/>
          <w:highlight w:val="none"/>
          <w:lang w:val="en-US" w:eastAsia="zh-CN"/>
        </w:rPr>
        <w:t>158</w:t>
      </w:r>
      <w:r>
        <w:rPr>
          <w:rFonts w:hint="eastAsia" w:ascii="宋体" w:hAnsi="宋体"/>
          <w:color w:val="auto"/>
          <w:highlight w:val="none"/>
        </w:rPr>
        <w:t>万元（最高限价金额：</w:t>
      </w:r>
      <w:r>
        <w:rPr>
          <w:rFonts w:hint="eastAsia" w:ascii="宋体" w:hAnsi="宋体"/>
          <w:color w:val="auto"/>
          <w:highlight w:val="none"/>
          <w:lang w:val="en-US" w:eastAsia="zh-CN"/>
        </w:rPr>
        <w:t>158</w:t>
      </w:r>
      <w:r>
        <w:rPr>
          <w:rFonts w:hint="eastAsia" w:ascii="宋体" w:hAnsi="宋体"/>
          <w:color w:val="auto"/>
          <w:highlight w:val="none"/>
        </w:rPr>
        <w:t>万元）</w:t>
      </w:r>
    </w:p>
    <w:tbl>
      <w:tblPr>
        <w:tblStyle w:val="24"/>
        <w:tblW w:w="986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84"/>
        <w:gridCol w:w="866"/>
        <w:gridCol w:w="634"/>
        <w:gridCol w:w="7778"/>
      </w:tblGrid>
      <w:tr w14:paraId="7D20D3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14:paraId="6C66E3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b/>
                <w:color w:val="auto"/>
                <w:szCs w:val="21"/>
                <w:highlight w:val="none"/>
              </w:rPr>
            </w:pPr>
            <w:r>
              <w:rPr>
                <w:rFonts w:hint="eastAsia" w:ascii="宋体" w:hAnsi="宋体" w:eastAsia="宋体" w:cs="宋体"/>
                <w:b/>
                <w:color w:val="auto"/>
                <w:szCs w:val="21"/>
                <w:highlight w:val="none"/>
              </w:rPr>
              <w:t>项号</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66AA2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b/>
                <w:color w:val="auto"/>
                <w:szCs w:val="21"/>
                <w:highlight w:val="none"/>
              </w:rPr>
            </w:pPr>
            <w:r>
              <w:rPr>
                <w:rFonts w:hint="eastAsia" w:ascii="宋体" w:hAnsi="宋体" w:eastAsia="宋体" w:cs="宋体"/>
                <w:b/>
                <w:color w:val="auto"/>
                <w:szCs w:val="21"/>
                <w:highlight w:val="none"/>
              </w:rPr>
              <w:t>服务</w:t>
            </w:r>
          </w:p>
          <w:p w14:paraId="34E5D4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b/>
                <w:color w:val="auto"/>
                <w:szCs w:val="21"/>
                <w:highlight w:val="none"/>
              </w:rPr>
            </w:pPr>
            <w:r>
              <w:rPr>
                <w:rFonts w:hint="eastAsia" w:ascii="宋体" w:hAnsi="宋体" w:eastAsia="宋体" w:cs="宋体"/>
                <w:b/>
                <w:color w:val="auto"/>
                <w:szCs w:val="21"/>
                <w:highlight w:val="none"/>
              </w:rPr>
              <w:t>名称</w:t>
            </w:r>
          </w:p>
        </w:tc>
        <w:tc>
          <w:tcPr>
            <w:tcW w:w="7778" w:type="dxa"/>
            <w:tcBorders>
              <w:top w:val="single" w:color="auto" w:sz="4" w:space="0"/>
              <w:left w:val="single" w:color="auto" w:sz="4" w:space="0"/>
              <w:bottom w:val="single" w:color="auto" w:sz="4" w:space="0"/>
              <w:right w:val="single" w:color="auto" w:sz="4" w:space="0"/>
            </w:tcBorders>
            <w:vAlign w:val="center"/>
          </w:tcPr>
          <w:p w14:paraId="0E36BD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b/>
                <w:color w:val="auto"/>
                <w:szCs w:val="21"/>
                <w:highlight w:val="none"/>
              </w:rPr>
            </w:pPr>
            <w:r>
              <w:rPr>
                <w:rFonts w:hint="eastAsia" w:ascii="宋体" w:hAnsi="宋体" w:eastAsia="宋体" w:cs="宋体"/>
                <w:b/>
                <w:color w:val="auto"/>
                <w:szCs w:val="21"/>
                <w:highlight w:val="none"/>
              </w:rPr>
              <w:t>服务内容和要求</w:t>
            </w:r>
          </w:p>
        </w:tc>
      </w:tr>
      <w:tr w14:paraId="38131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6" w:hRule="atLeast"/>
          <w:jc w:val="center"/>
        </w:trPr>
        <w:tc>
          <w:tcPr>
            <w:tcW w:w="584" w:type="dxa"/>
            <w:tcBorders>
              <w:top w:val="single" w:color="auto" w:sz="4" w:space="0"/>
              <w:left w:val="single" w:color="auto" w:sz="4" w:space="0"/>
              <w:bottom w:val="single" w:color="auto" w:sz="4" w:space="0"/>
              <w:right w:val="single" w:color="auto" w:sz="4" w:space="0"/>
            </w:tcBorders>
            <w:vAlign w:val="center"/>
          </w:tcPr>
          <w:p w14:paraId="2107C7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105" w:firstLineChars="50"/>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1</w:t>
            </w:r>
          </w:p>
        </w:tc>
        <w:tc>
          <w:tcPr>
            <w:tcW w:w="1500" w:type="dxa"/>
            <w:gridSpan w:val="2"/>
            <w:tcBorders>
              <w:top w:val="single" w:color="auto" w:sz="4" w:space="0"/>
              <w:left w:val="single" w:color="auto" w:sz="4" w:space="0"/>
              <w:bottom w:val="single" w:color="auto" w:sz="4" w:space="0"/>
              <w:right w:val="single" w:color="auto" w:sz="4" w:space="0"/>
            </w:tcBorders>
            <w:vAlign w:val="center"/>
          </w:tcPr>
          <w:p w14:paraId="419FD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扶绥县就业公共服务能力提升项目—线上人力资源数据运营服务</w:t>
            </w:r>
          </w:p>
        </w:tc>
        <w:tc>
          <w:tcPr>
            <w:tcW w:w="7778" w:type="dxa"/>
            <w:tcBorders>
              <w:top w:val="single" w:color="auto" w:sz="4" w:space="0"/>
              <w:left w:val="single" w:color="auto" w:sz="4" w:space="0"/>
              <w:bottom w:val="single" w:color="auto" w:sz="4" w:space="0"/>
              <w:right w:val="single" w:color="auto" w:sz="4" w:space="0"/>
            </w:tcBorders>
          </w:tcPr>
          <w:p w14:paraId="3B6CD21E">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80" w:lineRule="exact"/>
              <w:ind w:left="0" w:right="0" w:firstLine="422" w:firstLineChars="200"/>
              <w:textAlignment w:val="auto"/>
              <w:rPr>
                <w:rFonts w:hint="eastAsia" w:ascii="宋体" w:hAnsi="宋体" w:eastAsia="宋体" w:cs="宋体"/>
                <w:color w:val="auto"/>
                <w:szCs w:val="21"/>
                <w:highlight w:val="none"/>
              </w:rPr>
            </w:pPr>
            <w:r>
              <w:rPr>
                <w:rFonts w:hint="eastAsia" w:ascii="宋体" w:hAnsi="宋体" w:eastAsia="宋体" w:cs="宋体"/>
                <w:b/>
                <w:bCs/>
                <w:color w:val="auto"/>
                <w:szCs w:val="21"/>
                <w:highlight w:val="none"/>
                <w:lang w:val="en-US" w:eastAsia="zh-CN"/>
              </w:rPr>
              <w:t>线上人力资源数据运营服务</w:t>
            </w:r>
          </w:p>
          <w:p w14:paraId="0F62C83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1、</w:t>
            </w:r>
            <w:r>
              <w:rPr>
                <w:rFonts w:hint="eastAsia" w:ascii="宋体" w:hAnsi="宋体" w:eastAsia="宋体" w:cs="宋体"/>
                <w:color w:val="auto"/>
                <w:szCs w:val="21"/>
                <w:highlight w:val="none"/>
                <w:lang w:val="en-US" w:eastAsia="zh-CN"/>
              </w:rPr>
              <w:t>智能化就业服务平台运营</w:t>
            </w:r>
          </w:p>
          <w:p w14:paraId="41FFE5DC">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负责智能化就业服务平台的日常运营、优化：（1）完善</w:t>
            </w:r>
            <w:r>
              <w:rPr>
                <w:rFonts w:hint="eastAsia" w:ascii="宋体" w:hAnsi="宋体" w:cs="宋体"/>
                <w:color w:val="auto"/>
                <w:szCs w:val="21"/>
                <w:highlight w:val="none"/>
                <w:lang w:val="en-US" w:eastAsia="zh-CN"/>
              </w:rPr>
              <w:t>扶绥县</w:t>
            </w:r>
            <w:r>
              <w:rPr>
                <w:rFonts w:hint="eastAsia" w:ascii="宋体" w:hAnsi="宋体" w:eastAsia="宋体" w:cs="宋体"/>
                <w:color w:val="auto"/>
                <w:szCs w:val="21"/>
                <w:highlight w:val="none"/>
                <w:lang w:val="en-US" w:eastAsia="zh-CN"/>
              </w:rPr>
              <w:t>统一就业公共服务平台</w:t>
            </w: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lang w:val="en-US" w:eastAsia="zh-CN"/>
              </w:rPr>
              <w:t>，推进与全区就业公共服务平台互联互通；推进“人工智能+就业”应用，对“智能招聘”、“政策评估”等核心功能模块进行重点监控；（2）扶绥县本地化</w:t>
            </w: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lang w:val="en-US" w:eastAsia="zh-CN"/>
              </w:rPr>
              <w:t>优化：收集并分析企业、求职者、管理员反馈，提出符合本地需求的改进方案；（</w:t>
            </w:r>
            <w:r>
              <w:rPr>
                <w:rFonts w:hint="eastAsia" w:ascii="宋体" w:hAnsi="宋体" w:cs="宋体"/>
                <w:color w:val="auto"/>
                <w:szCs w:val="21"/>
                <w:highlight w:val="none"/>
                <w:lang w:val="en-US" w:eastAsia="zh-CN"/>
              </w:rPr>
              <w:t>3</w:t>
            </w:r>
            <w:r>
              <w:rPr>
                <w:rFonts w:hint="eastAsia" w:ascii="宋体" w:hAnsi="宋体" w:eastAsia="宋体" w:cs="宋体"/>
                <w:color w:val="auto"/>
                <w:szCs w:val="21"/>
                <w:highlight w:val="none"/>
                <w:lang w:val="en-US" w:eastAsia="zh-CN"/>
              </w:rPr>
              <w:t>）结合扶绥特色产业，对求职招聘小程序（个人/企业端）、智能交互一体机程序、广告屏的用户界面进行基础视觉元素配置。</w:t>
            </w:r>
          </w:p>
          <w:p w14:paraId="1C5002B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2、</w:t>
            </w:r>
            <w:r>
              <w:rPr>
                <w:rFonts w:hint="eastAsia" w:ascii="宋体" w:hAnsi="宋体" w:eastAsia="宋体" w:cs="宋体"/>
                <w:color w:val="auto"/>
                <w:szCs w:val="21"/>
                <w:highlight w:val="none"/>
                <w:lang w:val="en-US" w:eastAsia="zh-CN"/>
              </w:rPr>
              <w:t>就业信息资源库运营服务</w:t>
            </w:r>
          </w:p>
          <w:p w14:paraId="65B56FF1">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协助进行本地就业信息资源库的运营服务：（1）数据归集支持：建立常态化数据共享的沟通与服务机制；（2）数据质量保障：对归集的数据进行常态化清洗、去重与标准化处理，确保失业登记、重点人群等核心业务数据的准确性与时效性；（3）上传协同：保障本地核心数据按时、按质、按量上传至国家和自治区级信息资源库，确保数据链路畅通。</w:t>
            </w:r>
          </w:p>
          <w:p w14:paraId="6DE0C5F7">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3、</w:t>
            </w:r>
            <w:r>
              <w:rPr>
                <w:rFonts w:hint="eastAsia" w:ascii="宋体" w:hAnsi="宋体" w:eastAsia="宋体" w:cs="宋体"/>
                <w:color w:val="auto"/>
                <w:szCs w:val="21"/>
                <w:highlight w:val="none"/>
                <w:lang w:val="en-US" w:eastAsia="zh-CN"/>
              </w:rPr>
              <w:t xml:space="preserve">就业数据支持与服务 </w:t>
            </w:r>
          </w:p>
          <w:p w14:paraId="681FE3D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提供深度的数据管理与决策支持服务</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对扶绥县现存的、格式各异的历史就业存量数据（如企业库、人才库等），提供专业的数据清洗、格式转换、查重去冗服务，确保数据安全、归纳统一</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按月度对扶绥县上传至平台的数据（如劳动力信息采集数据、企业岗位数据）进行质量巡检与校验，及时发现并修正错误、重复和不规范数据</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每季度为扶绥县管理部门出具本地化就业数据运营简报，从岗位供需、求职热度等多维度分析，为决策提供参考。</w:t>
            </w:r>
          </w:p>
          <w:p w14:paraId="55BAB43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4、</w:t>
            </w:r>
            <w:r>
              <w:rPr>
                <w:rFonts w:hint="eastAsia" w:ascii="宋体" w:hAnsi="宋体" w:eastAsia="宋体" w:cs="宋体"/>
                <w:color w:val="auto"/>
                <w:szCs w:val="21"/>
                <w:highlight w:val="none"/>
                <w:lang w:val="en-US" w:eastAsia="zh-CN"/>
              </w:rPr>
              <w:t>岗位开发与引入服务</w:t>
            </w:r>
          </w:p>
          <w:p w14:paraId="5DD01F5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通过多渠道为平台引入海量、真实、优质的岗位信息</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渠道拓展：通过定向拓展等方式，确保每月新增有效岗位</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岗位质量初核：对所有引入的岗位信息进行企业资质、岗位真实性初步核验，过滤虚假、违法岗位</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重点企业服务：主动联系并服务重点企业，建立岗位发布扶绥县“绿色通道”。</w:t>
            </w:r>
          </w:p>
          <w:p w14:paraId="1DDE50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5、</w:t>
            </w:r>
            <w:r>
              <w:rPr>
                <w:rFonts w:hint="eastAsia" w:ascii="宋体" w:hAnsi="宋体" w:eastAsia="宋体" w:cs="宋体"/>
                <w:color w:val="auto"/>
                <w:szCs w:val="21"/>
                <w:highlight w:val="none"/>
                <w:lang w:val="en-US" w:eastAsia="zh-CN"/>
              </w:rPr>
              <w:t xml:space="preserve">岗位信息审核 </w:t>
            </w:r>
          </w:p>
          <w:p w14:paraId="76B2D61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 xml:space="preserve">   负责对用人单位在平台发布的岗位信息进行专业、细致的审核；（1）依据《广西壮族自治区人力资源市场条例》相关规定，对用人单位发布的岗位进行审核，确保岗位合法合规，符合发布规范；（2）对扶绥县个人简历进行审核，保证信息真实性，合法合规性。</w:t>
            </w:r>
          </w:p>
          <w:p w14:paraId="1C93639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6、</w:t>
            </w:r>
            <w:r>
              <w:rPr>
                <w:rFonts w:hint="eastAsia" w:ascii="宋体" w:hAnsi="宋体" w:eastAsia="宋体" w:cs="宋体"/>
                <w:color w:val="auto"/>
                <w:szCs w:val="21"/>
                <w:highlight w:val="none"/>
                <w:lang w:val="en-US" w:eastAsia="zh-CN"/>
              </w:rPr>
              <w:t xml:space="preserve">个人简历审核 </w:t>
            </w:r>
          </w:p>
          <w:p w14:paraId="1A13B5E9">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负责对求职者在平台创建的简历进行审核，提升人才库数据质量</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信息完整性与规范性审核：确保简历关键信息（如联系方式、工作经历、教育背景）填写完整，引导用户完善简历，提升简历的有效性</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内容合规性审查：过滤广告、不文明用语及无关内容，维护平台专业形象</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审核时效承诺：求职者提交或更新简历后的24小时内完成审核。</w:t>
            </w:r>
          </w:p>
          <w:p w14:paraId="7D67D83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kern w:val="2"/>
                <w:sz w:val="21"/>
                <w:szCs w:val="21"/>
                <w:highlight w:val="none"/>
                <w:lang w:val="en-US" w:eastAsia="zh-CN" w:bidi="ar-SA"/>
              </w:rPr>
              <w:t>7、</w:t>
            </w:r>
            <w:r>
              <w:rPr>
                <w:rFonts w:hint="default" w:ascii="宋体" w:hAnsi="宋体" w:eastAsia="宋体" w:cs="宋体"/>
                <w:color w:val="auto"/>
                <w:szCs w:val="21"/>
                <w:highlight w:val="none"/>
                <w:lang w:val="en-US" w:eastAsia="zh-CN"/>
              </w:rPr>
              <w:t>后台运营支持</w:t>
            </w:r>
          </w:p>
          <w:p w14:paraId="04113348">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为平台各端用户提供专业、及时的运营支持</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多渠道客服：设立服务热线与在线客服，解答企业和求职者的平台使用、政策咨询等问题</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问题响应机制：建立SLA（服务水平协议），确保用户问题在规定时限内得到响应和解决</w:t>
            </w:r>
            <w:r>
              <w:rPr>
                <w:rFonts w:hint="eastAsia" w:ascii="宋体" w:hAnsi="宋体" w:eastAsia="宋体" w:cs="宋体"/>
                <w:color w:val="auto"/>
                <w:szCs w:val="21"/>
                <w:highlight w:val="none"/>
                <w:lang w:val="en-US" w:eastAsia="zh-CN"/>
              </w:rPr>
              <w:t>；（3）</w:t>
            </w:r>
            <w:r>
              <w:rPr>
                <w:rFonts w:hint="default" w:ascii="宋体" w:hAnsi="宋体" w:eastAsia="宋体" w:cs="宋体"/>
                <w:color w:val="auto"/>
                <w:szCs w:val="21"/>
                <w:highlight w:val="none"/>
                <w:lang w:val="en-US" w:eastAsia="zh-CN"/>
              </w:rPr>
              <w:t>知识库维护：整理常见问题并形成FAQ知识库，提升用户自助解决问题的能力。</w:t>
            </w:r>
          </w:p>
          <w:p w14:paraId="57AE240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8、</w:t>
            </w:r>
            <w:r>
              <w:rPr>
                <w:rFonts w:hint="eastAsia" w:ascii="宋体" w:hAnsi="宋体" w:eastAsia="宋体" w:cs="宋体"/>
                <w:color w:val="auto"/>
                <w:szCs w:val="21"/>
                <w:highlight w:val="none"/>
                <w:lang w:val="en-US" w:eastAsia="zh-CN"/>
              </w:rPr>
              <w:t>线下服务终端内容维护服务</w:t>
            </w:r>
          </w:p>
          <w:p w14:paraId="7A5DF96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对已布设在扶绥县</w:t>
            </w:r>
            <w:r>
              <w:rPr>
                <w:rFonts w:hint="eastAsia" w:ascii="宋体" w:hAnsi="宋体" w:cs="宋体"/>
                <w:color w:val="auto"/>
                <w:szCs w:val="21"/>
                <w:highlight w:val="none"/>
                <w:lang w:val="en-US" w:eastAsia="zh-CN"/>
              </w:rPr>
              <w:t>人力资源市场</w:t>
            </w:r>
            <w:r>
              <w:rPr>
                <w:rFonts w:hint="default" w:ascii="宋体" w:hAnsi="宋体" w:eastAsia="宋体" w:cs="宋体"/>
                <w:color w:val="auto"/>
                <w:szCs w:val="21"/>
                <w:highlight w:val="none"/>
                <w:lang w:val="en-US" w:eastAsia="zh-CN"/>
              </w:rPr>
              <w:t>、零工市场等线下站点的智能一体机、宣传屏等终端设备，进行常态化的内容更新、界面美化和信息发布，确保线上线下宣传口径一致。</w:t>
            </w:r>
          </w:p>
          <w:p w14:paraId="03D06A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9、</w:t>
            </w:r>
            <w:r>
              <w:rPr>
                <w:rFonts w:hint="eastAsia" w:ascii="宋体" w:hAnsi="宋体" w:eastAsia="宋体" w:cs="宋体"/>
                <w:color w:val="auto"/>
                <w:szCs w:val="21"/>
                <w:highlight w:val="none"/>
                <w:lang w:val="en-US" w:eastAsia="zh-CN"/>
              </w:rPr>
              <w:t>招聘活动组织与执行</w:t>
            </w:r>
          </w:p>
          <w:p w14:paraId="7891035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提供线上招聘活动的全流程策划、组织与执行服务</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活动策划：根据季节、重点群体（如高校毕业生、农民工）等需求，每年策划不少于4场线上招聘专场</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宣传推广：通过微信公众号、视频号、本地社群等多渠道对招聘活动进行预热和推广，提升活动知晓度和参与度。</w:t>
            </w:r>
          </w:p>
          <w:p w14:paraId="67D2444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val="en-US" w:eastAsia="zh-CN" w:bidi="ar-SA"/>
              </w:rPr>
              <w:t>10、</w:t>
            </w:r>
            <w:r>
              <w:rPr>
                <w:rFonts w:hint="eastAsia" w:ascii="宋体" w:hAnsi="宋体" w:eastAsia="宋体" w:cs="宋体"/>
                <w:color w:val="auto"/>
                <w:szCs w:val="21"/>
                <w:highlight w:val="none"/>
                <w:lang w:val="en-US" w:eastAsia="zh-CN"/>
              </w:rPr>
              <w:t>平台操作培训</w:t>
            </w:r>
          </w:p>
          <w:p w14:paraId="3F813714">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为平台各类用户提供系统化、多层次的操作培训</w:t>
            </w:r>
            <w:r>
              <w:rPr>
                <w:rFonts w:hint="eastAsia" w:ascii="宋体" w:hAnsi="宋体" w:eastAsia="宋体" w:cs="宋体"/>
                <w:color w:val="auto"/>
                <w:szCs w:val="21"/>
                <w:highlight w:val="none"/>
                <w:lang w:val="en-US" w:eastAsia="zh-CN"/>
              </w:rPr>
              <w:t>；（1）</w:t>
            </w:r>
            <w:r>
              <w:rPr>
                <w:rFonts w:hint="default" w:ascii="宋体" w:hAnsi="宋体" w:eastAsia="宋体" w:cs="宋体"/>
                <w:color w:val="auto"/>
                <w:szCs w:val="21"/>
                <w:highlight w:val="none"/>
                <w:lang w:val="en-US" w:eastAsia="zh-CN"/>
              </w:rPr>
              <w:t>为扶绥县用人单位、个体求职者、乡镇/社区服务站工作人员等平台用户，提供专属线上答疑通道（电话/即时通讯），高效解答操作疑问、收集并闭环反馈各类需求与建议</w:t>
            </w:r>
            <w:r>
              <w:rPr>
                <w:rFonts w:hint="eastAsia" w:ascii="宋体" w:hAnsi="宋体" w:eastAsia="宋体" w:cs="宋体"/>
                <w:color w:val="auto"/>
                <w:szCs w:val="21"/>
                <w:highlight w:val="none"/>
                <w:lang w:val="en-US" w:eastAsia="zh-CN"/>
              </w:rPr>
              <w:t>；（2）</w:t>
            </w:r>
            <w:r>
              <w:rPr>
                <w:rFonts w:hint="default" w:ascii="宋体" w:hAnsi="宋体" w:eastAsia="宋体" w:cs="宋体"/>
                <w:color w:val="auto"/>
                <w:szCs w:val="21"/>
                <w:highlight w:val="none"/>
                <w:lang w:val="en-US" w:eastAsia="zh-CN"/>
              </w:rPr>
              <w:t>面向扶绥县各级业务经办人员及重点企业用户，定期或按需组织线上培训会，详细讲解平台后台各项功能模块的使用方法与技巧，并</w:t>
            </w:r>
            <w:r>
              <w:rPr>
                <w:rFonts w:hint="eastAsia" w:ascii="宋体" w:hAnsi="宋体" w:cs="宋体"/>
                <w:color w:val="auto"/>
                <w:szCs w:val="21"/>
                <w:highlight w:val="none"/>
                <w:lang w:val="en-US" w:eastAsia="zh-CN"/>
              </w:rPr>
              <w:t>提供</w:t>
            </w:r>
            <w:r>
              <w:rPr>
                <w:rFonts w:hint="default" w:ascii="宋体" w:hAnsi="宋体" w:eastAsia="宋体" w:cs="宋体"/>
                <w:color w:val="auto"/>
                <w:szCs w:val="21"/>
                <w:highlight w:val="none"/>
                <w:lang w:val="en-US" w:eastAsia="zh-CN"/>
              </w:rPr>
              <w:t>更新标准化的《平台后台操作指导手册》。</w:t>
            </w:r>
          </w:p>
          <w:p w14:paraId="787B9052">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422" w:firstLineChars="200"/>
              <w:textAlignment w:val="auto"/>
              <w:rPr>
                <w:rFonts w:hint="default" w:ascii="宋体" w:hAnsi="宋体" w:eastAsia="宋体" w:cs="宋体"/>
                <w:b/>
                <w:bCs/>
                <w:color w:val="auto"/>
                <w:szCs w:val="21"/>
                <w:highlight w:val="none"/>
                <w:lang w:val="en-US" w:eastAsia="zh-CN"/>
              </w:rPr>
            </w:pPr>
            <w:r>
              <w:rPr>
                <w:rFonts w:hint="default" w:ascii="宋体" w:hAnsi="宋体" w:eastAsia="宋体" w:cs="宋体"/>
                <w:b/>
                <w:bCs/>
                <w:color w:val="auto"/>
                <w:szCs w:val="21"/>
                <w:highlight w:val="none"/>
                <w:lang w:val="en-US" w:eastAsia="zh-CN"/>
              </w:rPr>
              <w:t>线下服务站点配套硬件及集成服务</w:t>
            </w:r>
          </w:p>
          <w:p w14:paraId="44D36A4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default" w:ascii="宋体" w:hAnsi="宋体" w:eastAsia="宋体" w:cs="宋体"/>
                <w:color w:val="auto"/>
                <w:szCs w:val="21"/>
                <w:highlight w:val="none"/>
                <w:lang w:val="en-US" w:eastAsia="zh-CN"/>
              </w:rPr>
              <w:t>为扶绥县线下服务站点提供联通广西数智人社系统“广西就业平台”的智能化硬件设备，直接与省级一库一平台数据联通，打造现代化、智能化、一体化的服务环境。</w:t>
            </w:r>
            <w:r>
              <w:rPr>
                <w:rFonts w:hint="eastAsia" w:ascii="宋体" w:hAnsi="宋体" w:cs="宋体"/>
                <w:color w:val="auto"/>
                <w:szCs w:val="21"/>
                <w:highlight w:val="none"/>
                <w:lang w:val="en-US" w:eastAsia="zh-CN"/>
              </w:rPr>
              <w:t>提供66台智能交互一体机设备服务，设备具备内置摄像头、麦克风、身份证识别模块。</w:t>
            </w:r>
            <w:r>
              <w:rPr>
                <w:rFonts w:hint="default"/>
                <w:color w:val="auto"/>
                <w:highlight w:val="none"/>
              </w:rPr>
              <w:t>智能交互一体机</w:t>
            </w:r>
            <w:r>
              <w:rPr>
                <w:rFonts w:hint="eastAsia"/>
                <w:color w:val="auto"/>
                <w:highlight w:val="none"/>
                <w:lang w:val="en-US" w:eastAsia="zh-CN"/>
              </w:rPr>
              <w:t>具体要求参数如下：</w:t>
            </w:r>
          </w:p>
          <w:p w14:paraId="43570555">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主机系统：安卓或其他国产操作系统。</w:t>
            </w:r>
          </w:p>
          <w:p w14:paraId="031FFFE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存储与内存不小于8GB内存，128GB存储空间。</w:t>
            </w:r>
          </w:p>
          <w:p w14:paraId="5C3AE15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触摸显示器：32英寸多点免驱电容触摸屏，分辨率1920×1080（FHD），支持触控，响应灵敏。</w:t>
            </w:r>
          </w:p>
          <w:p w14:paraId="7F5636EA">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数据接口：提供不少于2个USB接口、1个HDMI接口、1个网络接口，并支持Wi-Fi 无线网络连接。</w:t>
            </w:r>
          </w:p>
          <w:p w14:paraId="7A44211F">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身份识别：集成身份证识别模块。</w:t>
            </w:r>
          </w:p>
          <w:p w14:paraId="1C746446">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color w:val="auto"/>
                <w:highlight w:val="none"/>
                <w:lang w:val="en-US" w:eastAsia="zh-CN"/>
              </w:rPr>
            </w:pPr>
            <w:r>
              <w:rPr>
                <w:rFonts w:hint="eastAsia"/>
                <w:color w:val="auto"/>
                <w:highlight w:val="none"/>
                <w:lang w:val="en-US" w:eastAsia="zh-CN"/>
              </w:rPr>
              <w:t>音视频组件：内置1200万像素摄像头及麦克风，支持视频交互与语音输入。</w:t>
            </w:r>
          </w:p>
          <w:p w14:paraId="5FB1BC15">
            <w:pPr>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80" w:lineRule="exact"/>
              <w:ind w:left="0" w:leftChars="0" w:right="0" w:firstLine="422" w:firstLineChars="200"/>
              <w:textAlignment w:val="auto"/>
              <w:rPr>
                <w:rFonts w:hint="default" w:ascii="宋体" w:hAnsi="宋体" w:eastAsia="宋体" w:cs="宋体"/>
                <w:b/>
                <w:bCs/>
                <w:color w:val="auto"/>
                <w:szCs w:val="21"/>
                <w:highlight w:val="none"/>
                <w:lang w:val="en-US" w:eastAsia="zh-CN"/>
              </w:rPr>
            </w:pPr>
            <w:r>
              <w:rPr>
                <w:rFonts w:hint="default" w:ascii="宋体" w:hAnsi="宋体" w:eastAsia="宋体" w:cs="宋体"/>
                <w:b/>
                <w:bCs/>
                <w:color w:val="auto"/>
                <w:szCs w:val="21"/>
                <w:highlight w:val="none"/>
                <w:lang w:val="en-US" w:eastAsia="zh-CN"/>
              </w:rPr>
              <w:t>第二年运营支持服务</w:t>
            </w:r>
          </w:p>
          <w:p w14:paraId="7D0D75E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1、就业信息资源库运营服务</w:t>
            </w:r>
          </w:p>
          <w:p w14:paraId="74D7C1ED">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default" w:ascii="宋体" w:hAnsi="宋体" w:eastAsia="宋体" w:cs="宋体"/>
                <w:color w:val="auto"/>
                <w:szCs w:val="21"/>
                <w:highlight w:val="none"/>
                <w:lang w:val="en-US" w:eastAsia="zh-CN"/>
              </w:rPr>
              <w:t>数据资产主动管理与融合应用。通过建立数据质量可视化监控看板，优化数据共享流程，提升数据更新的自动化与实时性。构建更全面的“一人一档”，并协助建立数据安全管理规范，保障数据资产的合规与安全应用。</w:t>
            </w:r>
          </w:p>
          <w:p w14:paraId="13F5C49A">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就业数据支持服务</w:t>
            </w:r>
          </w:p>
          <w:p w14:paraId="7B41A672">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rightChars="0" w:firstLine="420" w:firstLineChars="200"/>
              <w:textAlignment w:val="auto"/>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就业大数据洞察与决策支持。除月度报告外，将提供多份深度专题分析报告（如：重点产业人才需求、返乡人员就业趋势等），并利用数据模型对重点群体的就业趋势进行预测与风险预警，为政策制定与效果评估提供前瞻性的数据支持，让数据成为科学决策的“智慧参谋”。</w:t>
            </w:r>
          </w:p>
          <w:p w14:paraId="24862EF2">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岗位开发与引入服务</w:t>
            </w:r>
          </w:p>
          <w:p w14:paraId="590A4FFB">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rightChars="0" w:firstLine="420" w:firstLineChars="200"/>
              <w:textAlignment w:val="auto"/>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精准岗位开发与产业人才生态服务。通过联动招商引资部门，为新落地企业提供“前置化”的精准岗位开发。同时，为重点企业提供招聘诊断与雇主品牌优化建议，并协助组织本地用人单位，构建线上/线下人才发展联盟，促进经验交流与人才内循环，服务于县域主导产业发展。</w:t>
            </w:r>
          </w:p>
          <w:p w14:paraId="47E18998">
            <w:pPr>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cs="宋体"/>
                <w:color w:val="auto"/>
                <w:szCs w:val="21"/>
                <w:highlight w:val="none"/>
                <w:lang w:val="en-US" w:eastAsia="zh-CN"/>
              </w:rPr>
            </w:pPr>
            <w:r>
              <w:rPr>
                <w:rFonts w:hint="eastAsia" w:ascii="宋体" w:hAnsi="宋体" w:cs="宋体"/>
                <w:color w:val="auto"/>
                <w:szCs w:val="21"/>
                <w:highlight w:val="none"/>
                <w:lang w:val="en-US" w:eastAsia="zh-CN"/>
              </w:rPr>
              <w:t>岗位与简历信息审核</w:t>
            </w:r>
          </w:p>
          <w:p w14:paraId="5150B233">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right="0" w:rightChars="0" w:firstLine="420" w:firstLineChars="200"/>
              <w:textAlignment w:val="auto"/>
              <w:rPr>
                <w:rFonts w:hint="default" w:ascii="宋体" w:hAnsi="宋体" w:cs="宋体"/>
                <w:color w:val="auto"/>
                <w:szCs w:val="21"/>
                <w:highlight w:val="none"/>
                <w:lang w:val="en-US" w:eastAsia="zh-CN"/>
              </w:rPr>
            </w:pPr>
            <w:r>
              <w:rPr>
                <w:rFonts w:hint="default" w:ascii="宋体" w:hAnsi="宋体" w:cs="宋体"/>
                <w:color w:val="auto"/>
                <w:szCs w:val="21"/>
                <w:highlight w:val="none"/>
                <w:lang w:val="en-US" w:eastAsia="zh-CN"/>
              </w:rPr>
              <w:t>信息质量智能风控服务。此项服务将整合两个审核项目，引入“AI预审+人工复核”模式，大幅提升审核效率与准确性。通过建立并持续优化招聘欺诈风险识别模型，主动预警和拦截虚假、违法信息，并定期迭代审核标准(SOP)，全面净化平台环境，保障信息安全。</w:t>
            </w:r>
          </w:p>
        </w:tc>
      </w:tr>
      <w:tr w14:paraId="3161F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jc w:val="center"/>
        </w:trPr>
        <w:tc>
          <w:tcPr>
            <w:tcW w:w="9862" w:type="dxa"/>
            <w:gridSpan w:val="4"/>
            <w:tcBorders>
              <w:top w:val="single" w:color="auto" w:sz="4" w:space="0"/>
              <w:left w:val="single" w:color="auto" w:sz="4" w:space="0"/>
              <w:bottom w:val="single" w:color="auto" w:sz="4" w:space="0"/>
              <w:right w:val="single" w:color="auto" w:sz="4" w:space="0"/>
            </w:tcBorders>
            <w:vAlign w:val="center"/>
          </w:tcPr>
          <w:p w14:paraId="198358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textAlignment w:val="auto"/>
              <w:rPr>
                <w:rFonts w:hint="default" w:ascii="宋体" w:hAnsi="宋体" w:eastAsia="宋体" w:cs="宋体"/>
                <w:color w:val="auto"/>
                <w:szCs w:val="21"/>
                <w:highlight w:val="none"/>
              </w:rPr>
            </w:pPr>
            <w:r>
              <w:rPr>
                <w:rFonts w:hint="eastAsia" w:ascii="宋体" w:hAnsi="宋体" w:eastAsia="宋体" w:cs="宋体"/>
                <w:b/>
                <w:color w:val="auto"/>
                <w:szCs w:val="21"/>
                <w:highlight w:val="none"/>
              </w:rPr>
              <w:t>商务要求表</w:t>
            </w:r>
          </w:p>
        </w:tc>
      </w:tr>
      <w:tr w14:paraId="25957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9CA8B62">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服务期限及地点</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3383023C">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1、服务期限：自签订合同之日起</w:t>
            </w:r>
            <w:r>
              <w:rPr>
                <w:rFonts w:hint="eastAsia" w:ascii="宋体" w:hAnsi="宋体" w:cs="宋体"/>
                <w:color w:val="auto"/>
                <w:szCs w:val="21"/>
                <w:highlight w:val="none"/>
                <w:lang w:val="en-US" w:eastAsia="zh-CN"/>
              </w:rPr>
              <w:t>2年</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rPr>
              <w:t>。</w:t>
            </w:r>
          </w:p>
          <w:p w14:paraId="0763EB14">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2、服务地点：采购人指定地点。</w:t>
            </w:r>
          </w:p>
        </w:tc>
      </w:tr>
      <w:tr w14:paraId="3EDFD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36720A00">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付款条件</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1B643214">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
              </w:rPr>
              <w:t>在签订合同之日起10个工作日内采购人向成交人支付合同总金额的30%作为预付款；智能化就业服务平台</w:t>
            </w:r>
            <w:r>
              <w:rPr>
                <w:rFonts w:hint="eastAsia" w:ascii="宋体" w:hAnsi="宋体" w:cs="宋体"/>
                <w:color w:val="auto"/>
                <w:kern w:val="2"/>
                <w:sz w:val="21"/>
                <w:szCs w:val="21"/>
                <w:highlight w:val="none"/>
                <w:lang w:val="en-US" w:eastAsia="zh-CN" w:bidi="ar"/>
              </w:rPr>
              <w:t>正式</w:t>
            </w:r>
            <w:r>
              <w:rPr>
                <w:rFonts w:hint="eastAsia" w:ascii="宋体" w:hAnsi="宋体" w:eastAsia="宋体" w:cs="宋体"/>
                <w:color w:val="auto"/>
                <w:kern w:val="2"/>
                <w:sz w:val="21"/>
                <w:szCs w:val="21"/>
                <w:highlight w:val="none"/>
                <w:lang w:val="en-US" w:eastAsia="zh-CN" w:bidi="ar"/>
              </w:rPr>
              <w:t>投入使用</w:t>
            </w:r>
            <w:r>
              <w:rPr>
                <w:rFonts w:hint="eastAsia" w:ascii="宋体" w:hAnsi="宋体" w:cs="宋体"/>
                <w:color w:val="auto"/>
                <w:kern w:val="2"/>
                <w:sz w:val="21"/>
                <w:szCs w:val="21"/>
                <w:highlight w:val="none"/>
                <w:lang w:val="en-US" w:eastAsia="zh-CN" w:bidi="ar"/>
              </w:rPr>
              <w:t>后</w:t>
            </w:r>
            <w:r>
              <w:rPr>
                <w:rFonts w:hint="eastAsia" w:ascii="宋体" w:hAnsi="宋体" w:eastAsia="宋体" w:cs="宋体"/>
                <w:color w:val="auto"/>
                <w:kern w:val="2"/>
                <w:sz w:val="21"/>
                <w:szCs w:val="21"/>
                <w:highlight w:val="none"/>
                <w:lang w:val="en-US" w:eastAsia="zh-CN" w:bidi="ar"/>
              </w:rPr>
              <w:t>10个工作日内支付</w:t>
            </w:r>
            <w:r>
              <w:rPr>
                <w:rFonts w:hint="eastAsia" w:ascii="宋体" w:hAnsi="宋体" w:cs="宋体"/>
                <w:color w:val="auto"/>
                <w:kern w:val="2"/>
                <w:sz w:val="21"/>
                <w:szCs w:val="21"/>
                <w:highlight w:val="none"/>
                <w:lang w:val="en-US" w:eastAsia="zh-CN" w:bidi="ar"/>
              </w:rPr>
              <w:t>至合同款的9</w:t>
            </w:r>
            <w:r>
              <w:rPr>
                <w:rFonts w:hint="eastAsia" w:ascii="宋体" w:hAnsi="宋体" w:eastAsia="宋体" w:cs="宋体"/>
                <w:color w:val="auto"/>
                <w:kern w:val="2"/>
                <w:sz w:val="21"/>
                <w:szCs w:val="21"/>
                <w:highlight w:val="none"/>
                <w:lang w:val="en-US" w:eastAsia="zh-CN" w:bidi="ar"/>
              </w:rPr>
              <w:t>0%</w:t>
            </w:r>
            <w:r>
              <w:rPr>
                <w:rFonts w:hint="eastAsia" w:ascii="宋体" w:hAnsi="宋体" w:cs="宋体"/>
                <w:color w:val="auto"/>
                <w:kern w:val="2"/>
                <w:sz w:val="21"/>
                <w:szCs w:val="21"/>
                <w:highlight w:val="none"/>
                <w:lang w:val="en-US" w:eastAsia="zh-CN" w:bidi="ar"/>
              </w:rPr>
              <w:t>；</w:t>
            </w:r>
            <w:r>
              <w:rPr>
                <w:rFonts w:hint="eastAsia" w:ascii="宋体" w:hAnsi="宋体" w:eastAsia="宋体" w:cs="宋体"/>
                <w:color w:val="auto"/>
                <w:kern w:val="2"/>
                <w:sz w:val="21"/>
                <w:szCs w:val="21"/>
                <w:highlight w:val="none"/>
                <w:lang w:val="en-US" w:eastAsia="zh-CN" w:bidi="ar"/>
              </w:rPr>
              <w:t>智能化就业服务平台</w:t>
            </w:r>
            <w:r>
              <w:rPr>
                <w:rFonts w:hint="eastAsia" w:ascii="宋体" w:hAnsi="宋体" w:cs="宋体"/>
                <w:color w:val="auto"/>
                <w:kern w:val="2"/>
                <w:sz w:val="21"/>
                <w:szCs w:val="21"/>
                <w:highlight w:val="none"/>
                <w:lang w:val="en-US" w:eastAsia="zh-CN" w:bidi="ar"/>
              </w:rPr>
              <w:t>正常运行</w:t>
            </w:r>
            <w:r>
              <w:rPr>
                <w:rFonts w:hint="eastAsia" w:ascii="宋体" w:hAnsi="宋体" w:eastAsia="宋体" w:cs="宋体"/>
                <w:color w:val="auto"/>
                <w:kern w:val="2"/>
                <w:sz w:val="21"/>
                <w:szCs w:val="21"/>
                <w:highlight w:val="none"/>
                <w:lang w:val="en-US" w:eastAsia="zh-CN" w:bidi="ar"/>
              </w:rPr>
              <w:t>半年</w:t>
            </w:r>
            <w:r>
              <w:rPr>
                <w:rFonts w:hint="eastAsia" w:ascii="宋体" w:hAnsi="宋体" w:cs="宋体"/>
                <w:color w:val="auto"/>
                <w:kern w:val="2"/>
                <w:sz w:val="21"/>
                <w:szCs w:val="21"/>
                <w:highlight w:val="none"/>
                <w:lang w:val="en-US" w:eastAsia="zh-CN" w:bidi="ar"/>
              </w:rPr>
              <w:t>后且</w:t>
            </w:r>
            <w:r>
              <w:rPr>
                <w:rFonts w:hint="eastAsia" w:ascii="宋体" w:hAnsi="宋体" w:eastAsia="宋体" w:cs="宋体"/>
                <w:color w:val="auto"/>
                <w:kern w:val="2"/>
                <w:sz w:val="21"/>
                <w:szCs w:val="21"/>
                <w:highlight w:val="none"/>
                <w:lang w:val="en-US" w:eastAsia="zh-CN" w:bidi="ar"/>
              </w:rPr>
              <w:t>验收合格的支付至合同款的1</w:t>
            </w:r>
            <w:r>
              <w:rPr>
                <w:rFonts w:hint="eastAsia" w:ascii="宋体" w:hAnsi="宋体" w:cs="宋体"/>
                <w:color w:val="auto"/>
                <w:kern w:val="2"/>
                <w:sz w:val="21"/>
                <w:szCs w:val="21"/>
                <w:highlight w:val="none"/>
                <w:lang w:val="en-US" w:eastAsia="zh-CN" w:bidi="ar"/>
              </w:rPr>
              <w:t>0</w:t>
            </w:r>
            <w:r>
              <w:rPr>
                <w:rFonts w:hint="eastAsia" w:ascii="宋体" w:hAnsi="宋体" w:eastAsia="宋体" w:cs="宋体"/>
                <w:color w:val="auto"/>
                <w:kern w:val="2"/>
                <w:sz w:val="21"/>
                <w:szCs w:val="21"/>
                <w:highlight w:val="none"/>
                <w:lang w:val="en-US" w:eastAsia="zh-CN" w:bidi="ar"/>
              </w:rPr>
              <w:t>0%</w:t>
            </w:r>
            <w:r>
              <w:rPr>
                <w:rFonts w:hint="eastAsia" w:ascii="宋体" w:hAnsi="宋体" w:cs="宋体"/>
                <w:color w:val="auto"/>
                <w:kern w:val="2"/>
                <w:sz w:val="21"/>
                <w:szCs w:val="21"/>
                <w:highlight w:val="none"/>
                <w:lang w:val="en-US" w:eastAsia="zh-CN" w:bidi="ar"/>
              </w:rPr>
              <w:t>。</w:t>
            </w:r>
          </w:p>
        </w:tc>
      </w:tr>
      <w:tr w14:paraId="1B276F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404C0BD">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售后服务</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31A9313B">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响应文件中应提供售后服务承诺书，内容明确服务标准、故障响应时间、售后服务技术人员名单和联系方式等。</w:t>
            </w:r>
          </w:p>
        </w:tc>
      </w:tr>
      <w:tr w14:paraId="567B6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4" w:hRule="atLeast"/>
          <w:jc w:val="center"/>
        </w:trPr>
        <w:tc>
          <w:tcPr>
            <w:tcW w:w="1450" w:type="dxa"/>
            <w:gridSpan w:val="2"/>
            <w:tcBorders>
              <w:top w:val="single" w:color="auto" w:sz="4" w:space="0"/>
              <w:left w:val="single" w:color="auto" w:sz="4" w:space="0"/>
              <w:bottom w:val="single" w:color="auto" w:sz="4" w:space="0"/>
              <w:right w:val="single" w:color="auto" w:sz="4" w:space="0"/>
            </w:tcBorders>
            <w:vAlign w:val="center"/>
          </w:tcPr>
          <w:p w14:paraId="27654BB4">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其他要求</w:t>
            </w:r>
          </w:p>
        </w:tc>
        <w:tc>
          <w:tcPr>
            <w:tcW w:w="8412" w:type="dxa"/>
            <w:gridSpan w:val="2"/>
            <w:tcBorders>
              <w:top w:val="single" w:color="auto" w:sz="4" w:space="0"/>
              <w:left w:val="single" w:color="auto" w:sz="4" w:space="0"/>
              <w:bottom w:val="single" w:color="auto" w:sz="4" w:space="0"/>
              <w:right w:val="single" w:color="auto" w:sz="4" w:space="0"/>
            </w:tcBorders>
            <w:vAlign w:val="center"/>
          </w:tcPr>
          <w:p w14:paraId="0F09604C">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一、总体要求</w:t>
            </w:r>
          </w:p>
          <w:p w14:paraId="34A54038">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1、磋商供应商可根据项目要求，</w:t>
            </w:r>
            <w:r>
              <w:rPr>
                <w:rFonts w:hint="eastAsia" w:ascii="宋体" w:hAnsi="宋体" w:cs="宋体"/>
                <w:color w:val="auto"/>
                <w:szCs w:val="21"/>
                <w:highlight w:val="none"/>
                <w:lang w:val="en-US" w:eastAsia="zh-CN"/>
              </w:rPr>
              <w:t>如有可</w:t>
            </w:r>
            <w:r>
              <w:rPr>
                <w:rFonts w:hint="eastAsia" w:ascii="宋体" w:hAnsi="宋体" w:eastAsia="宋体" w:cs="宋体"/>
                <w:color w:val="auto"/>
                <w:szCs w:val="21"/>
                <w:highlight w:val="none"/>
              </w:rPr>
              <w:t>在竞标文件中</w:t>
            </w:r>
            <w:r>
              <w:rPr>
                <w:rFonts w:hint="eastAsia" w:ascii="宋体" w:hAnsi="宋体" w:cs="宋体"/>
                <w:color w:val="auto"/>
                <w:szCs w:val="21"/>
                <w:highlight w:val="none"/>
                <w:lang w:val="en-US" w:eastAsia="zh-CN"/>
              </w:rPr>
              <w:t>提供</w:t>
            </w:r>
            <w:r>
              <w:rPr>
                <w:rFonts w:hint="eastAsia" w:ascii="宋体" w:hAnsi="宋体" w:eastAsia="宋体" w:cs="宋体"/>
                <w:color w:val="auto"/>
                <w:szCs w:val="21"/>
                <w:highlight w:val="none"/>
              </w:rPr>
              <w:t>项目线上人力资源数据运营服务方案、项目团队与履约能力、第二年运营支持服务方案、业绩、实施人员</w:t>
            </w:r>
            <w:r>
              <w:rPr>
                <w:rFonts w:hint="eastAsia" w:ascii="宋体" w:hAnsi="宋体" w:cs="宋体"/>
                <w:color w:val="auto"/>
                <w:szCs w:val="21"/>
                <w:highlight w:val="none"/>
                <w:lang w:val="en-US" w:eastAsia="zh-CN"/>
              </w:rPr>
              <w:t>资质证书等</w:t>
            </w:r>
            <w:r>
              <w:rPr>
                <w:rFonts w:hint="eastAsia" w:ascii="宋体" w:hAnsi="宋体" w:eastAsia="宋体" w:cs="宋体"/>
                <w:color w:val="auto"/>
                <w:szCs w:val="21"/>
                <w:highlight w:val="none"/>
              </w:rPr>
              <w:t>材料。</w:t>
            </w:r>
          </w:p>
          <w:p w14:paraId="72D51676">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二、验收要求及标准</w:t>
            </w:r>
          </w:p>
          <w:p w14:paraId="288C4476">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1、根据采购需求的要求进行验收。</w:t>
            </w:r>
          </w:p>
          <w:p w14:paraId="0469366B">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三、售后及其它要求</w:t>
            </w:r>
          </w:p>
          <w:p w14:paraId="6959633E">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1、竞标总报价以人民币报价，应包含工作设备购置费用、日常运营、优化及推广费用、运营服务费用</w:t>
            </w:r>
            <w:r>
              <w:rPr>
                <w:rFonts w:hint="eastAsia" w:ascii="宋体" w:hAnsi="宋体" w:cs="宋体"/>
                <w:color w:val="auto"/>
                <w:szCs w:val="21"/>
                <w:highlight w:val="none"/>
                <w:lang w:eastAsia="zh-CN"/>
              </w:rPr>
              <w:t>、审核费用、</w:t>
            </w:r>
            <w:r>
              <w:rPr>
                <w:rFonts w:hint="eastAsia" w:ascii="宋体" w:hAnsi="宋体" w:cs="宋体"/>
                <w:color w:val="auto"/>
                <w:szCs w:val="21"/>
                <w:highlight w:val="none"/>
                <w:lang w:val="en-US" w:eastAsia="zh-CN"/>
              </w:rPr>
              <w:t>设备采购费用</w:t>
            </w:r>
            <w:r>
              <w:rPr>
                <w:rFonts w:hint="eastAsia" w:ascii="宋体" w:hAnsi="宋体" w:eastAsia="宋体" w:cs="宋体"/>
                <w:color w:val="auto"/>
                <w:szCs w:val="21"/>
                <w:highlight w:val="none"/>
              </w:rPr>
              <w:t>、设备运输、安装、调试及与广西数智人社系统“广西就业平台”的数据联通集成费用</w:t>
            </w:r>
            <w:r>
              <w:rPr>
                <w:rFonts w:hint="eastAsia" w:ascii="宋体" w:hAnsi="宋体" w:cs="宋体"/>
                <w:color w:val="auto"/>
                <w:szCs w:val="21"/>
                <w:highlight w:val="none"/>
                <w:lang w:eastAsia="zh-CN"/>
              </w:rPr>
              <w:t>、</w:t>
            </w:r>
            <w:r>
              <w:rPr>
                <w:rFonts w:hint="eastAsia" w:ascii="宋体" w:hAnsi="宋体" w:eastAsia="宋体" w:cs="宋体"/>
                <w:color w:val="auto"/>
                <w:szCs w:val="21"/>
                <w:highlight w:val="none"/>
              </w:rPr>
              <w:t>第二年运营支持服务相关费用、成果材料费用等项目所需一切费用，含国家规定的所有税费和竞标费用等。因磋商供应商自身原因造成漏报、少报皆由磋商供应商自行承担责任，采购人不再补偿。除政策性文件规定以外，磋商供应商所报价格在合同实施期间不因市场变化因素而变动。</w:t>
            </w:r>
          </w:p>
          <w:p w14:paraId="42252846">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2、磋商供应商须为本项目服务实施投入充足的服务人员，</w:t>
            </w:r>
            <w:r>
              <w:rPr>
                <w:rFonts w:hint="eastAsia" w:ascii="宋体" w:hAnsi="宋体" w:eastAsia="宋体" w:cs="宋体"/>
                <w:color w:val="auto"/>
                <w:sz w:val="21"/>
                <w:szCs w:val="21"/>
                <w:highlight w:val="none"/>
              </w:rPr>
              <w:t>拟投入实施团队人员数量</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人</w:t>
            </w:r>
            <w:r>
              <w:rPr>
                <w:rFonts w:hint="eastAsia" w:ascii="宋体" w:hAnsi="宋体" w:cs="宋体"/>
                <w:color w:val="auto"/>
                <w:sz w:val="21"/>
                <w:szCs w:val="21"/>
                <w:highlight w:val="none"/>
                <w:lang w:eastAsia="zh-CN"/>
              </w:rPr>
              <w:t>，</w:t>
            </w:r>
            <w:r>
              <w:rPr>
                <w:rFonts w:hint="eastAsia" w:ascii="宋体" w:hAnsi="宋体" w:eastAsia="宋体" w:cs="宋体"/>
                <w:color w:val="auto"/>
                <w:szCs w:val="21"/>
                <w:highlight w:val="none"/>
              </w:rPr>
              <w:t>并确保竞标文件中的人员信息真实、有效。</w:t>
            </w:r>
          </w:p>
          <w:p w14:paraId="0A4372F9">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3、未经采购人允许，不得使用或</w:t>
            </w:r>
            <w:r>
              <w:rPr>
                <w:rFonts w:hint="eastAsia" w:ascii="宋体" w:hAnsi="宋体" w:cs="宋体"/>
                <w:color w:val="auto"/>
                <w:szCs w:val="21"/>
                <w:highlight w:val="none"/>
                <w:lang w:eastAsia="zh-CN"/>
              </w:rPr>
              <w:t>以其他方式</w:t>
            </w:r>
            <w:r>
              <w:rPr>
                <w:rFonts w:hint="eastAsia" w:ascii="宋体" w:hAnsi="宋体" w:eastAsia="宋体" w:cs="宋体"/>
                <w:color w:val="auto"/>
                <w:szCs w:val="21"/>
                <w:highlight w:val="none"/>
              </w:rPr>
              <w:t>给任何第三方提供本项目的相关信息或数据。</w:t>
            </w:r>
          </w:p>
          <w:p w14:paraId="56ACA4F6">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4、成交人不得将项目非法分包或转包给任何单位和个人，否则采购人有权即刻终止合同，并要求成交人赔偿相应损失。</w:t>
            </w:r>
          </w:p>
          <w:p w14:paraId="686F31CD">
            <w:pPr>
              <w:keepNext w:val="0"/>
              <w:keepLines w:val="0"/>
              <w:pageBreakBefore w:val="0"/>
              <w:widowControl w:val="0"/>
              <w:suppressLineNumbers w:val="0"/>
              <w:tabs>
                <w:tab w:val="left" w:pos="180"/>
                <w:tab w:val="left" w:pos="1620"/>
              </w:tabs>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default" w:ascii="宋体" w:hAnsi="宋体" w:eastAsia="宋体" w:cs="宋体"/>
                <w:color w:val="auto"/>
                <w:szCs w:val="21"/>
                <w:highlight w:val="none"/>
              </w:rPr>
            </w:pPr>
            <w:r>
              <w:rPr>
                <w:rFonts w:hint="eastAsia" w:ascii="宋体" w:hAnsi="宋体" w:eastAsia="宋体" w:cs="宋体"/>
                <w:color w:val="auto"/>
                <w:szCs w:val="21"/>
                <w:highlight w:val="none"/>
              </w:rPr>
              <w:t>5、知识产权：采购人在中华人民共和国境内使用成交人提供的产品及服务时免受第三方提出的侵犯其专利权或</w:t>
            </w:r>
            <w:r>
              <w:rPr>
                <w:rFonts w:hint="eastAsia" w:ascii="宋体" w:hAnsi="宋体" w:cs="宋体"/>
                <w:color w:val="auto"/>
                <w:szCs w:val="21"/>
                <w:highlight w:val="none"/>
                <w:lang w:eastAsia="zh-CN"/>
              </w:rPr>
              <w:t>其他</w:t>
            </w:r>
            <w:r>
              <w:rPr>
                <w:rFonts w:hint="eastAsia" w:ascii="宋体" w:hAnsi="宋体" w:eastAsia="宋体" w:cs="宋体"/>
                <w:color w:val="auto"/>
                <w:szCs w:val="21"/>
                <w:highlight w:val="none"/>
              </w:rPr>
              <w:t>知识产权的起诉。如果第三方提出侵权指控，成交人应承担由此而引起的一切法律责任和费用。</w:t>
            </w:r>
          </w:p>
        </w:tc>
      </w:tr>
      <w:bookmarkEnd w:id="28"/>
      <w:bookmarkEnd w:id="29"/>
      <w:bookmarkEnd w:id="30"/>
    </w:tbl>
    <w:p w14:paraId="3B7F091B">
      <w:pPr>
        <w:rPr>
          <w:rFonts w:hint="eastAsia" w:ascii="微软雅黑" w:hAnsi="微软雅黑" w:eastAsia="微软雅黑" w:cs="微软雅黑"/>
          <w:color w:val="auto"/>
          <w:sz w:val="32"/>
          <w:szCs w:val="32"/>
          <w:highlight w:val="none"/>
        </w:rPr>
      </w:pPr>
    </w:p>
    <w:p w14:paraId="4201C5A3">
      <w:pPr>
        <w:rPr>
          <w:rFonts w:hint="eastAsia"/>
          <w:color w:val="auto"/>
          <w:highlight w:val="none"/>
        </w:rPr>
      </w:pPr>
      <w:bookmarkStart w:id="31" w:name="_Toc27685"/>
      <w:r>
        <w:rPr>
          <w:rFonts w:hint="eastAsia"/>
          <w:color w:val="auto"/>
          <w:highlight w:val="none"/>
        </w:rPr>
        <w:br w:type="page"/>
      </w:r>
    </w:p>
    <w:p w14:paraId="71650C51">
      <w:pPr>
        <w:pStyle w:val="2"/>
        <w:spacing w:before="0" w:after="90" w:line="240" w:lineRule="auto"/>
        <w:jc w:val="center"/>
        <w:rPr>
          <w:color w:val="auto"/>
          <w:highlight w:val="none"/>
        </w:rPr>
      </w:pPr>
      <w:r>
        <w:rPr>
          <w:rFonts w:hint="eastAsia"/>
          <w:color w:val="auto"/>
          <w:highlight w:val="none"/>
        </w:rPr>
        <w:t>第三章供应商须知</w:t>
      </w:r>
      <w:bookmarkEnd w:id="31"/>
    </w:p>
    <w:p w14:paraId="5D8F665E">
      <w:pPr>
        <w:pStyle w:val="2"/>
        <w:spacing w:before="0" w:after="0" w:line="440" w:lineRule="exact"/>
        <w:jc w:val="center"/>
        <w:rPr>
          <w:rFonts w:hint="eastAsia" w:ascii="宋体" w:hAnsi="宋体"/>
          <w:color w:val="auto"/>
          <w:sz w:val="24"/>
          <w:highlight w:val="none"/>
        </w:rPr>
      </w:pPr>
      <w:bookmarkStart w:id="32" w:name="_Toc27254"/>
      <w:r>
        <w:rPr>
          <w:rFonts w:hint="eastAsia" w:ascii="宋体" w:hAnsi="宋体"/>
          <w:color w:val="auto"/>
          <w:sz w:val="24"/>
          <w:highlight w:val="none"/>
        </w:rPr>
        <w:t>第一节 供应商须知前附表</w:t>
      </w:r>
      <w:bookmarkEnd w:id="32"/>
    </w:p>
    <w:tbl>
      <w:tblPr>
        <w:tblStyle w:val="24"/>
        <w:tblW w:w="9154"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56"/>
        <w:gridCol w:w="2326"/>
        <w:gridCol w:w="5972"/>
      </w:tblGrid>
      <w:tr w14:paraId="0992AB3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93" w:hRule="atLeast"/>
          <w:jc w:val="center"/>
        </w:trPr>
        <w:tc>
          <w:tcPr>
            <w:tcW w:w="856" w:type="dxa"/>
            <w:tcBorders>
              <w:top w:val="single" w:color="000000" w:sz="4" w:space="0"/>
              <w:left w:val="single" w:color="000000" w:sz="4" w:space="0"/>
              <w:bottom w:val="single" w:color="000000" w:sz="4" w:space="0"/>
              <w:right w:val="single" w:color="000000" w:sz="4" w:space="0"/>
            </w:tcBorders>
            <w:noWrap/>
          </w:tcPr>
          <w:p w14:paraId="744B2961">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条款号</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33C5D10">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条款内容</w:t>
            </w:r>
          </w:p>
        </w:tc>
        <w:tc>
          <w:tcPr>
            <w:tcW w:w="5972" w:type="dxa"/>
            <w:tcBorders>
              <w:top w:val="single" w:color="000000" w:sz="4" w:space="0"/>
              <w:left w:val="single" w:color="000000" w:sz="4" w:space="0"/>
              <w:bottom w:val="single" w:color="000000" w:sz="4" w:space="0"/>
              <w:right w:val="single" w:color="000000" w:sz="4" w:space="0"/>
            </w:tcBorders>
            <w:noWrap/>
          </w:tcPr>
          <w:p w14:paraId="40ADC35B">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b/>
                <w:color w:val="auto"/>
                <w:szCs w:val="21"/>
                <w:highlight w:val="none"/>
              </w:rPr>
            </w:pPr>
            <w:r>
              <w:rPr>
                <w:rFonts w:hint="eastAsia" w:ascii="宋体" w:hAnsi="宋体"/>
                <w:b/>
                <w:color w:val="auto"/>
                <w:szCs w:val="21"/>
                <w:highlight w:val="none"/>
              </w:rPr>
              <w:t>具体要求</w:t>
            </w:r>
          </w:p>
        </w:tc>
      </w:tr>
      <w:tr w14:paraId="5B1A5E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4B271A15">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24F2BB5">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供应商资格条件</w:t>
            </w:r>
          </w:p>
        </w:tc>
        <w:tc>
          <w:tcPr>
            <w:tcW w:w="5972" w:type="dxa"/>
            <w:tcBorders>
              <w:top w:val="single" w:color="000000" w:sz="4" w:space="0"/>
              <w:left w:val="single" w:color="000000" w:sz="4" w:space="0"/>
              <w:bottom w:val="single" w:color="000000" w:sz="4" w:space="0"/>
              <w:right w:val="single" w:color="000000" w:sz="4" w:space="0"/>
            </w:tcBorders>
            <w:noWrap/>
          </w:tcPr>
          <w:p w14:paraId="4D3CD641">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供应商资格条件要求详见公告。</w:t>
            </w:r>
          </w:p>
        </w:tc>
      </w:tr>
      <w:tr w14:paraId="2A5D2A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3A94B7B0">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2DE9ADF3">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是否接受联合体竞标</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0BC80DC">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s="宋体"/>
                <w:color w:val="auto"/>
                <w:szCs w:val="21"/>
                <w:highlight w:val="none"/>
              </w:rPr>
            </w:pPr>
            <w:bookmarkStart w:id="33" w:name="PO_3000001868_PM007"/>
            <w:r>
              <w:rPr>
                <w:rFonts w:hint="eastAsia" w:ascii="宋体" w:hAnsi="宋体"/>
                <w:color w:val="auto"/>
                <w:szCs w:val="21"/>
                <w:highlight w:val="none"/>
              </w:rPr>
              <w:t>不允许联合体</w:t>
            </w:r>
            <w:bookmarkEnd w:id="33"/>
            <w:r>
              <w:rPr>
                <w:rFonts w:hint="eastAsia" w:ascii="宋体" w:hAnsi="宋体"/>
                <w:color w:val="auto"/>
                <w:szCs w:val="21"/>
                <w:highlight w:val="none"/>
              </w:rPr>
              <w:t>竞标</w:t>
            </w:r>
          </w:p>
        </w:tc>
      </w:tr>
      <w:tr w14:paraId="18A06BD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626CCC81">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5.2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3BEE079">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olor w:val="auto"/>
                <w:szCs w:val="21"/>
                <w:highlight w:val="none"/>
              </w:rPr>
              <w:t>联合体竞标要求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9D48ECE">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无</w:t>
            </w:r>
          </w:p>
        </w:tc>
      </w:tr>
      <w:tr w14:paraId="0F7B75D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AD152D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6.1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F1B2BAE">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是否允许分包</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4564170">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sym w:font="Wingdings" w:char="00FE"/>
            </w:r>
            <w:r>
              <w:rPr>
                <w:rFonts w:hint="eastAsia" w:ascii="宋体" w:hAnsi="宋体"/>
                <w:color w:val="auto"/>
                <w:szCs w:val="21"/>
                <w:highlight w:val="none"/>
              </w:rPr>
              <w:t>不允许分包</w:t>
            </w:r>
          </w:p>
          <w:p w14:paraId="34EBD7B6">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□允许分包</w:t>
            </w:r>
          </w:p>
          <w:p w14:paraId="3DF47191">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分包内容：</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62EA9D82">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olor w:val="auto"/>
                <w:szCs w:val="21"/>
                <w:highlight w:val="none"/>
              </w:rPr>
              <w:t>分包金额或者比例：</w:t>
            </w:r>
            <w:r>
              <w:rPr>
                <w:rFonts w:hint="eastAsia" w:ascii="宋体" w:hAnsi="宋体"/>
                <w:color w:val="auto"/>
                <w:szCs w:val="21"/>
                <w:highlight w:val="none"/>
                <w:u w:val="single"/>
              </w:rPr>
              <w:t xml:space="preserve">\  </w:t>
            </w:r>
            <w:r>
              <w:rPr>
                <w:rFonts w:hint="eastAsia" w:ascii="宋体" w:hAnsi="宋体"/>
                <w:color w:val="auto"/>
                <w:szCs w:val="21"/>
                <w:highlight w:val="none"/>
              </w:rPr>
              <w:t>。</w:t>
            </w:r>
          </w:p>
        </w:tc>
      </w:tr>
      <w:tr w14:paraId="140C43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59F70F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7805DAB7">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center"/>
              <w:rPr>
                <w:rFonts w:hint="eastAsia" w:ascii="宋体" w:hAnsi="宋体" w:cs="宋体"/>
                <w:b/>
                <w:color w:val="auto"/>
                <w:szCs w:val="21"/>
                <w:highlight w:val="none"/>
              </w:rPr>
            </w:pPr>
            <w:r>
              <w:rPr>
                <w:rFonts w:hint="eastAsia" w:ascii="宋体" w:hAnsi="宋体" w:cs="宋体"/>
                <w:b/>
                <w:color w:val="auto"/>
                <w:szCs w:val="21"/>
                <w:highlight w:val="none"/>
              </w:rPr>
              <w:t>资格证明文件组成</w:t>
            </w:r>
          </w:p>
          <w:p w14:paraId="37F824E7">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D616E9E">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default" w:ascii="宋体" w:hAnsi="宋体" w:eastAsia="宋体" w:cs="宋体"/>
                <w:color w:val="auto"/>
                <w:szCs w:val="21"/>
                <w:highlight w:val="none"/>
              </w:rPr>
            </w:pPr>
            <w:r>
              <w:rPr>
                <w:rFonts w:hint="eastAsia" w:ascii="宋体" w:hAnsi="宋体" w:cs="宋体"/>
                <w:color w:val="auto"/>
                <w:kern w:val="2"/>
                <w:sz w:val="21"/>
                <w:szCs w:val="21"/>
                <w:highlight w:val="none"/>
                <w:lang w:val="en-US" w:eastAsia="zh-CN" w:bidi="ar"/>
              </w:rPr>
              <w:t>1.</w:t>
            </w:r>
            <w:r>
              <w:rPr>
                <w:rFonts w:hint="eastAsia" w:ascii="宋体" w:hAnsi="宋体" w:eastAsia="宋体" w:cs="宋体"/>
                <w:color w:val="auto"/>
                <w:szCs w:val="21"/>
                <w:highlight w:val="none"/>
              </w:rPr>
              <w:t>崇左市政府采购供应商信用承诺函（格式后附，供应商应对其承诺内容的真实性、合法性、有效性负责）；</w:t>
            </w:r>
            <w:r>
              <w:rPr>
                <w:rFonts w:hint="eastAsia" w:ascii="宋体" w:hAnsi="宋体" w:eastAsia="宋体" w:cs="宋体"/>
                <w:b/>
                <w:color w:val="auto"/>
                <w:szCs w:val="21"/>
                <w:highlight w:val="none"/>
              </w:rPr>
              <w:t>（必须提供，否则按无效投标处理）</w:t>
            </w:r>
          </w:p>
          <w:p w14:paraId="62424090">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2</w:t>
            </w:r>
            <w:r>
              <w:rPr>
                <w:rFonts w:hint="eastAsia" w:ascii="宋体" w:hAnsi="宋体" w:eastAsia="宋体" w:cs="宋体"/>
                <w:color w:val="auto"/>
                <w:kern w:val="2"/>
                <w:sz w:val="21"/>
                <w:szCs w:val="21"/>
                <w:highlight w:val="none"/>
                <w:lang w:val="en-US" w:eastAsia="zh-CN" w:bidi="ar"/>
              </w:rPr>
              <w:t>.供应商直接控股、管理关系信息表；（</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102B043D">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宋体"/>
                <w:color w:val="auto"/>
                <w:kern w:val="2"/>
                <w:sz w:val="21"/>
                <w:szCs w:val="21"/>
                <w:highlight w:val="none"/>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.资格声明；（</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31DF49CB">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Times New Roman"/>
                <w:color w:val="auto"/>
                <w:kern w:val="2"/>
                <w:sz w:val="21"/>
                <w:szCs w:val="21"/>
                <w:highlight w:val="none"/>
              </w:rPr>
            </w:pPr>
            <w:r>
              <w:rPr>
                <w:rFonts w:hint="eastAsia" w:ascii="宋体" w:hAnsi="宋体" w:cs="宋体"/>
                <w:color w:val="auto"/>
                <w:kern w:val="2"/>
                <w:sz w:val="21"/>
                <w:szCs w:val="21"/>
                <w:highlight w:val="none"/>
                <w:lang w:val="en-US" w:eastAsia="zh-CN" w:bidi="ar"/>
              </w:rPr>
              <w:t>4</w:t>
            </w:r>
            <w:r>
              <w:rPr>
                <w:rFonts w:hint="eastAsia" w:ascii="宋体" w:hAnsi="宋体" w:eastAsia="宋体" w:cs="宋体"/>
                <w:color w:val="auto"/>
                <w:kern w:val="2"/>
                <w:sz w:val="21"/>
                <w:szCs w:val="21"/>
                <w:highlight w:val="none"/>
                <w:lang w:val="en-US" w:eastAsia="zh-CN" w:bidi="ar"/>
              </w:rPr>
              <w:t>.除磋商文件规定必须提供以外，供应商认为需要提供的其他证明材料。</w:t>
            </w:r>
          </w:p>
          <w:p w14:paraId="2AD1841C">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Times New Roman"/>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注：</w:t>
            </w:r>
          </w:p>
          <w:p w14:paraId="42D9B449">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leftChars="0" w:right="0" w:rightChars="0"/>
              <w:jc w:val="left"/>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1.以上标明“必须提供”的材料属于复印件的扫描件的，必须加盖供应商电子公章，否则作无效投标处理。</w:t>
            </w:r>
          </w:p>
          <w:p w14:paraId="1BE4F2E3">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leftChars="0" w:right="0" w:rightChars="0"/>
              <w:jc w:val="left"/>
              <w:rPr>
                <w:rFonts w:hint="eastAsia" w:ascii="宋体" w:hAnsi="宋体" w:eastAsia="宋体" w:cs="宋体"/>
                <w:b/>
                <w:bCs w:val="0"/>
                <w:color w:val="auto"/>
                <w:kern w:val="2"/>
                <w:sz w:val="21"/>
                <w:szCs w:val="21"/>
                <w:highlight w:val="none"/>
                <w:lang w:val="en-US" w:eastAsia="zh-CN" w:bidi="ar"/>
              </w:rPr>
            </w:pPr>
            <w:r>
              <w:rPr>
                <w:rFonts w:hint="eastAsia" w:ascii="宋体" w:hAnsi="宋体" w:eastAsia="宋体" w:cs="宋体"/>
                <w:b/>
                <w:bCs w:val="0"/>
                <w:color w:val="auto"/>
                <w:kern w:val="2"/>
                <w:sz w:val="21"/>
                <w:szCs w:val="21"/>
                <w:highlight w:val="none"/>
                <w:lang w:val="en-US" w:eastAsia="zh-CN" w:bidi="ar"/>
              </w:rPr>
              <w:t>2.供应商直接控股、管理关系信息表必须由法定代表人或者委托代理人在规定签章处签字并加盖供应商公章，否则按无效竞标处理。</w:t>
            </w:r>
          </w:p>
          <w:p w14:paraId="5AE35F28">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leftChars="0" w:right="0" w:rightChars="0"/>
              <w:jc w:val="left"/>
              <w:rPr>
                <w:rFonts w:hint="eastAsia" w:ascii="宋体" w:hAnsi="宋体" w:cs="宋体"/>
                <w:b/>
                <w:color w:val="auto"/>
                <w:szCs w:val="21"/>
                <w:highlight w:val="none"/>
              </w:rPr>
            </w:pPr>
            <w:r>
              <w:rPr>
                <w:rFonts w:hint="eastAsia" w:ascii="宋体" w:hAnsi="宋体" w:eastAsia="宋体" w:cs="宋体"/>
                <w:b/>
                <w:bCs w:val="0"/>
                <w:color w:val="auto"/>
                <w:kern w:val="2"/>
                <w:sz w:val="21"/>
                <w:szCs w:val="21"/>
                <w:highlight w:val="none"/>
                <w:lang w:val="en-US" w:eastAsia="zh-CN" w:bidi="ar"/>
              </w:rPr>
              <w:t>3.资格声明必须由法定代表人在规定签章处签字并加盖供应商公章，否则按无效竞标处理。</w:t>
            </w:r>
          </w:p>
        </w:tc>
      </w:tr>
      <w:tr w14:paraId="6B3308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46514F3D">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FF5D6D4">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商务文件组成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53B8C00">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1.无串通竞标行为的承诺函；（</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49C9259B">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2.法定代表人身份证明书及法定代表人有效身份证正反面复印件；（</w:t>
            </w:r>
            <w:r>
              <w:rPr>
                <w:rFonts w:hint="eastAsia" w:ascii="宋体" w:hAnsi="宋体" w:eastAsia="宋体" w:cs="宋体"/>
                <w:b/>
                <w:bCs/>
                <w:color w:val="auto"/>
                <w:kern w:val="2"/>
                <w:sz w:val="21"/>
                <w:szCs w:val="21"/>
                <w:highlight w:val="none"/>
                <w:lang w:val="en-US" w:eastAsia="zh-CN" w:bidi="ar"/>
              </w:rPr>
              <w:t>除自然人竞标外</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3D047502">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b/>
                <w:bCs w:val="0"/>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3.法定代表人授权委托书及委托代理人有效身份证正反面复印件；（</w:t>
            </w:r>
            <w:r>
              <w:rPr>
                <w:rFonts w:hint="eastAsia" w:ascii="宋体" w:hAnsi="宋体" w:eastAsia="宋体" w:cs="宋体"/>
                <w:b/>
                <w:bCs w:val="0"/>
                <w:color w:val="auto"/>
                <w:kern w:val="2"/>
                <w:sz w:val="21"/>
                <w:szCs w:val="21"/>
                <w:highlight w:val="none"/>
                <w:lang w:val="en-US" w:eastAsia="zh-CN" w:bidi="ar"/>
              </w:rPr>
              <w:t>委托时必须提供，否则响应文件按无效响应处理</w:t>
            </w:r>
            <w:r>
              <w:rPr>
                <w:rFonts w:hint="eastAsia" w:ascii="宋体" w:hAnsi="宋体" w:eastAsia="宋体" w:cs="宋体"/>
                <w:color w:val="auto"/>
                <w:kern w:val="2"/>
                <w:sz w:val="21"/>
                <w:szCs w:val="21"/>
                <w:highlight w:val="none"/>
                <w:lang w:val="en-US" w:eastAsia="zh-CN" w:bidi="ar"/>
              </w:rPr>
              <w:t>）</w:t>
            </w:r>
          </w:p>
          <w:p w14:paraId="6DBA1312">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4.商务条款偏离表；（</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70025A1B">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5.竞标人情况介绍；</w:t>
            </w:r>
          </w:p>
          <w:p w14:paraId="06ED6764">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6.供应商认为需要提供的其他有关资料。</w:t>
            </w:r>
          </w:p>
          <w:p w14:paraId="54E9CFC0">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 xml:space="preserve">注： </w:t>
            </w:r>
          </w:p>
          <w:p w14:paraId="54201666">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宋体"/>
                <w:b/>
                <w:bCs w:val="0"/>
                <w:color w:val="auto"/>
                <w:kern w:val="2"/>
                <w:sz w:val="21"/>
                <w:szCs w:val="21"/>
                <w:highlight w:val="none"/>
              </w:rPr>
            </w:pPr>
            <w:r>
              <w:rPr>
                <w:rFonts w:hint="eastAsia" w:ascii="宋体" w:hAnsi="宋体" w:eastAsia="宋体" w:cs="宋体"/>
                <w:b/>
                <w:bCs w:val="0"/>
                <w:color w:val="auto"/>
                <w:kern w:val="2"/>
                <w:sz w:val="21"/>
                <w:szCs w:val="21"/>
                <w:highlight w:val="none"/>
                <w:lang w:val="en-US" w:eastAsia="zh-CN" w:bidi="ar"/>
              </w:rPr>
              <w:t>1.法定代表人授权委托书必须由法定代表人及委托代理人签字，并加盖供应商公章，否则响应文件按无效响应处理。</w:t>
            </w:r>
          </w:p>
          <w:p w14:paraId="521E9241">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leftChars="0" w:right="0" w:rightChars="0"/>
              <w:jc w:val="both"/>
              <w:rPr>
                <w:rFonts w:hint="eastAsia" w:ascii="宋体" w:hAnsi="宋体" w:cs="宋体"/>
                <w:b/>
                <w:color w:val="auto"/>
                <w:szCs w:val="21"/>
                <w:highlight w:val="none"/>
              </w:rPr>
            </w:pPr>
            <w:r>
              <w:rPr>
                <w:rFonts w:hint="eastAsia" w:ascii="宋体" w:hAnsi="宋体" w:eastAsia="宋体" w:cs="宋体"/>
                <w:b/>
                <w:bCs w:val="0"/>
                <w:color w:val="auto"/>
                <w:kern w:val="2"/>
                <w:sz w:val="21"/>
                <w:szCs w:val="21"/>
                <w:highlight w:val="none"/>
                <w:lang w:val="en-US" w:eastAsia="zh-CN" w:bidi="ar"/>
              </w:rPr>
              <w:t>2.以上标明“必须提供”的材料属于复印件的扫描件的，必须加盖供应商电子公章，否则响应文件按无效响应处理。</w:t>
            </w:r>
          </w:p>
        </w:tc>
      </w:tr>
      <w:tr w14:paraId="2A634C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78DE4070">
            <w:pPr>
              <w:keepNext w:val="0"/>
              <w:keepLines w:val="0"/>
              <w:pageBreakBefore w:val="0"/>
              <w:widowControl/>
              <w:suppressLineNumbers w:val="0"/>
              <w:kinsoku/>
              <w:wordWrap/>
              <w:overflowPunct/>
              <w:topLinePunct w:val="0"/>
              <w:bidi w:val="0"/>
              <w:adjustRightInd/>
              <w:spacing w:before="0" w:beforeAutospacing="0" w:after="0" w:afterAutospacing="0" w:line="380" w:lineRule="exact"/>
              <w:ind w:left="0" w:right="0"/>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6AE22EED">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b/>
                <w:bCs/>
                <w:color w:val="auto"/>
                <w:szCs w:val="21"/>
                <w:highlight w:val="none"/>
              </w:rPr>
            </w:pPr>
            <w:r>
              <w:rPr>
                <w:rFonts w:hint="eastAsia" w:ascii="宋体" w:hAnsi="宋体" w:cs="宋体"/>
                <w:b/>
                <w:bCs/>
                <w:color w:val="auto"/>
                <w:szCs w:val="21"/>
                <w:highlight w:val="none"/>
              </w:rPr>
              <w:t>技术文件组成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4DE2C93B">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1.服务需求偏离表；（</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4950A8FD">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2.组织服务方案； </w:t>
            </w:r>
          </w:p>
          <w:p w14:paraId="033ABE6E">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3.售后服务承诺；</w:t>
            </w:r>
          </w:p>
          <w:p w14:paraId="70713CDA">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 xml:space="preserve">4.项目实施人员一览表； </w:t>
            </w:r>
          </w:p>
          <w:p w14:paraId="203141DC">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5.对应采购需求的服务需求、商务条款提供的其他文件资料；</w:t>
            </w:r>
          </w:p>
          <w:p w14:paraId="191BBAF7">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right="0"/>
              <w:jc w:val="both"/>
              <w:rPr>
                <w:rFonts w:hint="eastAsia" w:ascii="宋体" w:hAnsi="宋体" w:eastAsia="宋体" w:cs="宋体"/>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6.供应商认为需要提供的其他有关资料。</w:t>
            </w:r>
          </w:p>
          <w:p w14:paraId="79AC3D35">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leftChars="0" w:right="0" w:rightChars="0"/>
              <w:jc w:val="both"/>
              <w:rPr>
                <w:rFonts w:hint="eastAsia" w:ascii="宋体" w:hAnsi="宋体" w:cs="宋体"/>
                <w:color w:val="auto"/>
                <w:szCs w:val="21"/>
                <w:highlight w:val="none"/>
              </w:rPr>
            </w:pPr>
            <w:r>
              <w:rPr>
                <w:rFonts w:hint="eastAsia" w:ascii="宋体" w:hAnsi="宋体" w:eastAsia="宋体" w:cs="宋体"/>
                <w:b/>
                <w:bCs w:val="0"/>
                <w:color w:val="auto"/>
                <w:kern w:val="2"/>
                <w:sz w:val="21"/>
                <w:szCs w:val="21"/>
                <w:highlight w:val="none"/>
                <w:lang w:val="en-US" w:eastAsia="zh-CN" w:bidi="ar"/>
              </w:rPr>
              <w:t>注：1.以上标明“必须提供”的材料属于复印件的扫描件的，必须加盖供应商电子公章，否则响应文件按无效响应处理。</w:t>
            </w:r>
          </w:p>
        </w:tc>
      </w:tr>
      <w:tr w14:paraId="3BE784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2C674A1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17F5ABF">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b/>
                <w:bCs/>
                <w:color w:val="auto"/>
                <w:szCs w:val="21"/>
                <w:highlight w:val="none"/>
              </w:rPr>
              <w:t>报价文件组成</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16C758F2">
            <w:pPr>
              <w:keepNext w:val="0"/>
              <w:keepLines w:val="0"/>
              <w:pageBreakBefore w:val="0"/>
              <w:widowControl w:val="0"/>
              <w:suppressLineNumbers w:val="0"/>
              <w:tabs>
                <w:tab w:val="left" w:pos="459"/>
              </w:tabs>
              <w:kinsoku/>
              <w:wordWrap/>
              <w:overflowPunct/>
              <w:topLinePunct w:val="0"/>
              <w:bidi w:val="0"/>
              <w:adjustRightInd/>
              <w:snapToGrid w:val="0"/>
              <w:spacing w:before="0" w:beforeAutospacing="0" w:after="0" w:afterAutospacing="0" w:line="380" w:lineRule="exact"/>
              <w:ind w:left="0" w:right="0"/>
              <w:jc w:val="left"/>
              <w:rPr>
                <w:rFonts w:hint="eastAsia" w:ascii="宋体" w:hAnsi="宋体" w:eastAsia="宋体" w:cs="Times New Roman"/>
                <w:color w:val="auto"/>
                <w:kern w:val="2"/>
                <w:sz w:val="21"/>
                <w:szCs w:val="21"/>
                <w:highlight w:val="none"/>
              </w:rPr>
            </w:pPr>
            <w:r>
              <w:rPr>
                <w:rFonts w:hint="eastAsia" w:ascii="宋体" w:hAnsi="宋体" w:eastAsia="宋体" w:cs="宋体"/>
                <w:color w:val="auto"/>
                <w:kern w:val="2"/>
                <w:sz w:val="21"/>
                <w:szCs w:val="21"/>
                <w:highlight w:val="none"/>
                <w:lang w:val="en-US" w:eastAsia="zh-CN" w:bidi="ar"/>
              </w:rPr>
              <w:t>1.响应函；</w:t>
            </w:r>
            <w:r>
              <w:rPr>
                <w:rFonts w:hint="eastAsia" w:ascii="宋体" w:hAnsi="宋体" w:eastAsia="宋体" w:cs="宋体"/>
                <w:b/>
                <w:bCs w:val="0"/>
                <w:color w:val="auto"/>
                <w:kern w:val="2"/>
                <w:sz w:val="21"/>
                <w:szCs w:val="21"/>
                <w:highlight w:val="none"/>
                <w:lang w:val="en-US" w:eastAsia="zh-CN" w:bidi="ar"/>
              </w:rPr>
              <w:t>（必须提供，否则作无效响应处理）</w:t>
            </w:r>
          </w:p>
          <w:p w14:paraId="2E77FF93">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eastAsia="宋体" w:cs="宋体"/>
                <w:color w:val="auto"/>
                <w:kern w:val="2"/>
                <w:sz w:val="21"/>
                <w:szCs w:val="21"/>
                <w:highlight w:val="none"/>
                <w:lang w:val="en-US" w:eastAsia="zh-CN" w:bidi="ar"/>
              </w:rPr>
              <w:t>2.响应报价表；（</w:t>
            </w:r>
            <w:r>
              <w:rPr>
                <w:rFonts w:hint="eastAsia" w:ascii="宋体" w:hAnsi="宋体" w:eastAsia="宋体" w:cs="宋体"/>
                <w:b/>
                <w:bCs w:val="0"/>
                <w:color w:val="auto"/>
                <w:kern w:val="2"/>
                <w:sz w:val="21"/>
                <w:szCs w:val="21"/>
                <w:highlight w:val="none"/>
                <w:lang w:val="en-US" w:eastAsia="zh-CN" w:bidi="ar"/>
              </w:rPr>
              <w:t>必须提供，否则响应文件按无效响应处理</w:t>
            </w:r>
            <w:r>
              <w:rPr>
                <w:rFonts w:hint="eastAsia" w:ascii="宋体" w:hAnsi="宋体" w:eastAsia="宋体" w:cs="宋体"/>
                <w:color w:val="auto"/>
                <w:kern w:val="2"/>
                <w:sz w:val="21"/>
                <w:szCs w:val="21"/>
                <w:highlight w:val="none"/>
                <w:lang w:val="en-US" w:eastAsia="zh-CN" w:bidi="ar"/>
              </w:rPr>
              <w:t>）</w:t>
            </w:r>
          </w:p>
          <w:p w14:paraId="4B284CAD">
            <w:pPr>
              <w:keepNext w:val="0"/>
              <w:keepLines w:val="0"/>
              <w:pageBreakBefore w:val="0"/>
              <w:widowControl w:val="0"/>
              <w:suppressLineNumbers w:val="0"/>
              <w:kinsoku/>
              <w:wordWrap/>
              <w:overflowPunct/>
              <w:topLinePunct w:val="0"/>
              <w:bidi w:val="0"/>
              <w:adjustRightInd/>
              <w:spacing w:before="0" w:beforeAutospacing="0" w:after="0" w:afterAutospacing="0" w:line="380" w:lineRule="exact"/>
              <w:ind w:left="0" w:leftChars="0" w:right="0" w:rightChars="0"/>
              <w:jc w:val="both"/>
              <w:rPr>
                <w:rFonts w:hint="eastAsia" w:ascii="宋体" w:hAnsi="宋体" w:eastAsia="宋体" w:cs="宋体"/>
                <w:color w:val="auto"/>
                <w:kern w:val="2"/>
                <w:sz w:val="21"/>
                <w:szCs w:val="21"/>
                <w:highlight w:val="none"/>
                <w:lang w:val="en-US" w:eastAsia="zh-CN" w:bidi="ar"/>
              </w:rPr>
            </w:pPr>
            <w:r>
              <w:rPr>
                <w:rFonts w:hint="eastAsia" w:ascii="宋体" w:hAnsi="宋体" w:cs="宋体"/>
                <w:color w:val="auto"/>
                <w:kern w:val="2"/>
                <w:sz w:val="21"/>
                <w:szCs w:val="21"/>
                <w:highlight w:val="none"/>
                <w:lang w:val="en-US" w:eastAsia="zh-CN" w:bidi="ar"/>
              </w:rPr>
              <w:t>3</w:t>
            </w:r>
            <w:r>
              <w:rPr>
                <w:rFonts w:hint="eastAsia" w:ascii="宋体" w:hAnsi="宋体" w:eastAsia="宋体" w:cs="宋体"/>
                <w:color w:val="auto"/>
                <w:kern w:val="2"/>
                <w:sz w:val="21"/>
                <w:szCs w:val="21"/>
                <w:highlight w:val="none"/>
                <w:lang w:val="en-US" w:eastAsia="zh-CN" w:bidi="ar"/>
              </w:rPr>
              <w:t>.中小企业声明函（或残疾人福利性单位声明函或监狱企业证明文件）（如有请提供）</w:t>
            </w:r>
          </w:p>
        </w:tc>
      </w:tr>
      <w:tr w14:paraId="5782AD1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5103CB6D">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12.2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DB75808">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响应文件电子版要求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EBEFD92">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1.响应文件电子版要求：按照本采购文件“</w:t>
            </w:r>
            <w:r>
              <w:rPr>
                <w:rFonts w:hint="eastAsia" w:ascii="宋体" w:hAnsi="宋体"/>
                <w:color w:val="auto"/>
                <w:szCs w:val="21"/>
                <w:highlight w:val="none"/>
              </w:rPr>
              <w:t>第五章 响应文件格式</w:t>
            </w:r>
            <w:r>
              <w:rPr>
                <w:rFonts w:hint="eastAsia" w:ascii="宋体" w:hAnsi="宋体" w:cs="宋体"/>
                <w:color w:val="auto"/>
                <w:szCs w:val="21"/>
                <w:highlight w:val="none"/>
              </w:rPr>
              <w:t>”编写（第五章未附格式的，由供应商自行拟定），不可涂改并在规定加盖公章处加盖电子公章，</w:t>
            </w:r>
            <w:r>
              <w:rPr>
                <w:rFonts w:hint="eastAsia" w:ascii="宋体" w:hAnsi="宋体" w:cs="宋体"/>
                <w:b/>
                <w:color w:val="auto"/>
                <w:szCs w:val="21"/>
                <w:highlight w:val="none"/>
              </w:rPr>
              <w:t>否则响应文件按无效响应处理</w:t>
            </w:r>
            <w:r>
              <w:rPr>
                <w:rFonts w:hint="eastAsia" w:ascii="宋体" w:hAnsi="宋体" w:cs="宋体"/>
                <w:color w:val="auto"/>
                <w:szCs w:val="21"/>
                <w:highlight w:val="none"/>
              </w:rPr>
              <w:t>。</w:t>
            </w:r>
          </w:p>
          <w:p w14:paraId="70728560">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2</w:t>
            </w:r>
            <w:r>
              <w:rPr>
                <w:rFonts w:hint="eastAsia" w:ascii="宋体" w:hAnsi="宋体" w:cs="Courier New"/>
                <w:color w:val="auto"/>
                <w:szCs w:val="21"/>
                <w:highlight w:val="none"/>
              </w:rPr>
              <w:t>.响应文件电子版密封方式：电子响应文件通过平台有效CA加密后在“广西政府采购云”平台投送。（操作方式见公告附件“</w:t>
            </w:r>
            <w:r>
              <w:rPr>
                <w:rFonts w:hint="eastAsia" w:ascii="宋体" w:hAnsi="宋体"/>
                <w:color w:val="auto"/>
                <w:szCs w:val="21"/>
                <w:highlight w:val="none"/>
              </w:rPr>
              <w:t>电子响应文件制作与投送教程</w:t>
            </w:r>
            <w:r>
              <w:rPr>
                <w:rFonts w:hint="eastAsia" w:ascii="宋体" w:hAnsi="宋体" w:cs="Courier New"/>
                <w:color w:val="auto"/>
                <w:szCs w:val="21"/>
                <w:highlight w:val="none"/>
              </w:rPr>
              <w:t>”）</w:t>
            </w:r>
          </w:p>
        </w:tc>
      </w:tr>
      <w:tr w14:paraId="77ACECB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CA73414">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15.2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9D8AF7C">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响应报价要求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C7B12CA">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rPr>
            </w:pPr>
            <w:r>
              <w:rPr>
                <w:rFonts w:hint="eastAsia" w:ascii="宋体" w:hAnsi="宋体" w:cs="宋体"/>
                <w:color w:val="auto"/>
                <w:szCs w:val="21"/>
                <w:highlight w:val="none"/>
              </w:rPr>
              <w:t>响应报价必须包含满足本次竞标全部采购需求所应提供的服务，以及伴随的货物和工程（如有）的价格；包含竞标服务、货物、工程的成本、运输（含保险）、安装（如有）、调试、检验、技术服务、培训、税费等所有费用。</w:t>
            </w:r>
            <w:r>
              <w:rPr>
                <w:rFonts w:hint="eastAsia" w:ascii="宋体" w:hAnsi="宋体"/>
                <w:b/>
                <w:color w:val="auto"/>
                <w:szCs w:val="21"/>
                <w:highlight w:val="none"/>
              </w:rPr>
              <w:t>（采购需求另有约定的，从其约定。）</w:t>
            </w:r>
          </w:p>
        </w:tc>
      </w:tr>
      <w:tr w14:paraId="7401A9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34A5C548">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16.2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5121817">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竞标有效期</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2E9B0BE">
            <w:pPr>
              <w:pStyle w:val="6"/>
              <w:keepNext w:val="0"/>
              <w:keepLines w:val="0"/>
              <w:pageBreakBefore w:val="0"/>
              <w:numPr>
                <w:ilvl w:val="0"/>
                <w:numId w:val="0"/>
              </w:numPr>
              <w:suppressLineNumbers w:val="0"/>
              <w:tabs>
                <w:tab w:val="left" w:pos="720"/>
                <w:tab w:val="left" w:pos="840"/>
                <w:tab w:val="clear" w:pos="360"/>
              </w:tabs>
              <w:kinsoku/>
              <w:wordWrap/>
              <w:overflowPunct/>
              <w:topLinePunct w:val="0"/>
              <w:bidi w:val="0"/>
              <w:adjustRightInd/>
              <w:snapToGrid w:val="0"/>
              <w:spacing w:before="0" w:beforeAutospacing="0" w:after="120" w:afterAutospacing="0" w:line="380" w:lineRule="exact"/>
              <w:ind w:left="-283" w:leftChars="-135" w:right="0"/>
              <w:rPr>
                <w:rFonts w:hint="eastAsia" w:ascii="宋体" w:hAnsi="宋体" w:cs="宋体"/>
                <w:color w:val="auto"/>
                <w:szCs w:val="21"/>
                <w:highlight w:val="none"/>
              </w:rPr>
            </w:pPr>
            <w:r>
              <w:rPr>
                <w:rFonts w:hint="eastAsia" w:ascii="宋体" w:hAnsi="宋体" w:cs="宋体"/>
                <w:color w:val="auto"/>
                <w:szCs w:val="21"/>
                <w:highlight w:val="none"/>
              </w:rPr>
              <w:t>自首次响应文件提交截止之日起</w:t>
            </w:r>
            <w:bookmarkStart w:id="34" w:name="PO_3000001868_PM046"/>
            <w:r>
              <w:rPr>
                <w:rFonts w:hint="eastAsia" w:ascii="宋体" w:hAnsi="宋体" w:cs="宋体"/>
                <w:color w:val="auto"/>
                <w:szCs w:val="21"/>
                <w:highlight w:val="none"/>
                <w:u w:val="single"/>
              </w:rPr>
              <w:t>60</w:t>
            </w:r>
            <w:bookmarkEnd w:id="34"/>
            <w:r>
              <w:rPr>
                <w:rFonts w:hint="eastAsia" w:ascii="宋体" w:hAnsi="宋体" w:cs="宋体"/>
                <w:color w:val="auto"/>
                <w:szCs w:val="21"/>
                <w:highlight w:val="none"/>
              </w:rPr>
              <w:t>日。</w:t>
            </w:r>
          </w:p>
        </w:tc>
      </w:tr>
      <w:tr w14:paraId="38FC9D1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6E3FD8D5">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17.1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7C676DCE">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磋商保证金</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4DE8B4F3">
            <w:pPr>
              <w:keepNext w:val="0"/>
              <w:keepLines w:val="0"/>
              <w:pageBreakBefore w:val="0"/>
              <w:suppressLineNumbers w:val="0"/>
              <w:kinsoku/>
              <w:wordWrap/>
              <w:overflowPunct/>
              <w:topLinePunct w:val="0"/>
              <w:autoSpaceDE w:val="0"/>
              <w:autoSpaceDN w:val="0"/>
              <w:bidi w:val="0"/>
              <w:adjustRightInd/>
              <w:snapToGrid w:val="0"/>
              <w:spacing w:before="0" w:beforeAutospacing="0" w:after="0" w:afterAutospacing="0" w:line="380" w:lineRule="exact"/>
              <w:ind w:left="0" w:right="0"/>
              <w:textAlignment w:val="bottom"/>
              <w:rPr>
                <w:rFonts w:hint="default" w:ascii="宋体" w:hAnsi="宋体" w:eastAsia="宋体"/>
                <w:color w:val="auto"/>
                <w:szCs w:val="21"/>
                <w:highlight w:val="none"/>
                <w:lang w:val="en-US" w:eastAsia="zh-CN"/>
              </w:rPr>
            </w:pPr>
            <w:r>
              <w:rPr>
                <w:rFonts w:hint="eastAsia" w:ascii="宋体" w:hAnsi="宋体"/>
                <w:color w:val="auto"/>
                <w:szCs w:val="21"/>
                <w:highlight w:val="none"/>
                <w:lang w:val="en-US" w:eastAsia="zh-CN"/>
              </w:rPr>
              <w:t>详见采购需求</w:t>
            </w:r>
          </w:p>
        </w:tc>
      </w:tr>
      <w:tr w14:paraId="6BE8F82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8" w:hRule="atLeast"/>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3850DD4C">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20.1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00ECD8EA">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首次响应文件提交起止时间</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950A63F">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72159B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1E599A3D">
            <w:pPr>
              <w:keepNext w:val="0"/>
              <w:keepLines w:val="0"/>
              <w:pageBreakBefore w:val="0"/>
              <w:widowControl/>
              <w:suppressLineNumbers w:val="0"/>
              <w:kinsoku/>
              <w:wordWrap/>
              <w:overflowPunct/>
              <w:topLinePunct w:val="0"/>
              <w:bidi w:val="0"/>
              <w:adjustRightInd/>
              <w:spacing w:before="0" w:beforeAutospacing="0" w:after="0" w:afterAutospacing="0" w:line="380" w:lineRule="exact"/>
              <w:ind w:left="0" w:right="0"/>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8E988DC">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首次响应文件提交地点</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1406C4D">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u w:val="single"/>
              </w:rPr>
            </w:pPr>
            <w:r>
              <w:rPr>
                <w:rFonts w:hint="eastAsia" w:ascii="宋体" w:hAnsi="宋体" w:cs="宋体"/>
                <w:color w:val="auto"/>
                <w:szCs w:val="21"/>
                <w:highlight w:val="none"/>
              </w:rPr>
              <w:t>详见竞争性磋商公告。</w:t>
            </w:r>
          </w:p>
        </w:tc>
      </w:tr>
      <w:tr w14:paraId="1C5E5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88836D4">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20.6</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9E53757">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备份响应文件</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D8F6438">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s="宋体"/>
                <w:color w:val="auto"/>
                <w:szCs w:val="21"/>
                <w:highlight w:val="none"/>
              </w:rPr>
            </w:pPr>
            <w:r>
              <w:rPr>
                <w:rFonts w:hint="eastAsia" w:ascii="宋体" w:hAnsi="宋体"/>
                <w:color w:val="auto"/>
                <w:szCs w:val="21"/>
                <w:highlight w:val="none"/>
              </w:rPr>
              <w:t>本项目不接受备份响应文件。</w:t>
            </w:r>
          </w:p>
        </w:tc>
      </w:tr>
      <w:tr w14:paraId="71797A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2" w:hRule="atLeast"/>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4CF358D">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0BD313F1">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首次响应文件的退回</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2C958632">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left"/>
              <w:rPr>
                <w:rFonts w:hint="eastAsia" w:ascii="宋体" w:hAnsi="宋体"/>
                <w:color w:val="auto"/>
                <w:szCs w:val="21"/>
                <w:highlight w:val="none"/>
              </w:rPr>
            </w:pPr>
            <w:r>
              <w:rPr>
                <w:rFonts w:hint="eastAsia" w:ascii="宋体" w:hAnsi="宋体" w:cs="宋体"/>
                <w:color w:val="auto"/>
                <w:szCs w:val="21"/>
                <w:highlight w:val="none"/>
              </w:rPr>
              <w:t>详见竞争性磋商公告。</w:t>
            </w:r>
          </w:p>
        </w:tc>
      </w:tr>
      <w:tr w14:paraId="650CDF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24" w:hRule="atLeast"/>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4DB8ED77">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26.2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377A5F90">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负偏离要求</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2FC6E2F8">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商务条款评审中允许负偏离的条款数为</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rPr>
              <w:t>项。</w:t>
            </w:r>
          </w:p>
          <w:p w14:paraId="4432E051">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服务需求评审中允许负偏离的条款数为</w:t>
            </w:r>
            <w:r>
              <w:rPr>
                <w:rFonts w:hint="eastAsia" w:ascii="宋体" w:hAnsi="宋体" w:cs="宋体"/>
                <w:color w:val="auto"/>
                <w:szCs w:val="21"/>
                <w:highlight w:val="none"/>
                <w:u w:val="single"/>
                <w:lang w:val="en-US" w:eastAsia="zh-CN"/>
              </w:rPr>
              <w:t>0</w:t>
            </w:r>
            <w:r>
              <w:rPr>
                <w:rFonts w:hint="eastAsia" w:ascii="宋体" w:hAnsi="宋体" w:cs="宋体"/>
                <w:color w:val="auto"/>
                <w:szCs w:val="21"/>
                <w:highlight w:val="none"/>
              </w:rPr>
              <w:t>项。</w:t>
            </w:r>
          </w:p>
        </w:tc>
      </w:tr>
      <w:tr w14:paraId="329D4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35ACFBA5">
            <w:pPr>
              <w:keepNext w:val="0"/>
              <w:keepLines w:val="0"/>
              <w:pageBreakBefore w:val="0"/>
              <w:widowControl/>
              <w:suppressLineNumbers w:val="0"/>
              <w:kinsoku/>
              <w:wordWrap/>
              <w:overflowPunct/>
              <w:topLinePunct w:val="0"/>
              <w:bidi w:val="0"/>
              <w:adjustRightInd/>
              <w:spacing w:before="0" w:beforeAutospacing="0" w:after="0" w:afterAutospacing="0" w:line="380" w:lineRule="exact"/>
              <w:ind w:left="0" w:right="0"/>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D4F52B0">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磋商的顺序</w:t>
            </w:r>
          </w:p>
          <w:p w14:paraId="0822F37B">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52DD6B3D">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s="宋体"/>
                <w:color w:val="auto"/>
                <w:szCs w:val="21"/>
                <w:highlight w:val="none"/>
              </w:rPr>
              <w:t>□</w:t>
            </w:r>
            <w:r>
              <w:rPr>
                <w:rFonts w:hint="eastAsia" w:ascii="宋体" w:hAnsi="宋体"/>
                <w:color w:val="auto"/>
                <w:szCs w:val="21"/>
                <w:highlight w:val="none"/>
              </w:rPr>
              <w:t>按照</w:t>
            </w:r>
            <w:r>
              <w:rPr>
                <w:rFonts w:hint="eastAsia" w:ascii="宋体" w:hAnsi="宋体" w:cs="宋体"/>
                <w:color w:val="auto"/>
                <w:szCs w:val="21"/>
                <w:highlight w:val="none"/>
              </w:rPr>
              <w:t>提交首次响应文件的顺序，通知磋商时，若某供应商不在通知现场时，该供应商排序到最后磋商，按照签到的顺序由其下一位供应商先参与磋商。</w:t>
            </w:r>
          </w:p>
          <w:p w14:paraId="3E8530EE">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sym w:font="Wingdings" w:char="00FE"/>
            </w:r>
            <w:r>
              <w:rPr>
                <w:rFonts w:hint="eastAsia" w:ascii="宋体" w:hAnsi="宋体" w:cs="宋体"/>
                <w:color w:val="auto"/>
                <w:szCs w:val="21"/>
                <w:highlight w:val="none"/>
              </w:rPr>
              <w:t>随机排序。</w:t>
            </w:r>
          </w:p>
          <w:p w14:paraId="7F1D5607">
            <w:pPr>
              <w:pStyle w:val="8"/>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ascii="宋体" w:hAnsi="宋体" w:cs="宋体"/>
                <w:b/>
                <w:color w:val="auto"/>
                <w:szCs w:val="21"/>
                <w:highlight w:val="none"/>
              </w:rPr>
            </w:pPr>
            <w:r>
              <w:rPr>
                <w:rFonts w:hint="eastAsia" w:ascii="宋体" w:hAnsi="宋体" w:cs="宋体"/>
                <w:b/>
                <w:color w:val="auto"/>
                <w:szCs w:val="21"/>
                <w:highlight w:val="none"/>
              </w:rPr>
              <w:t>参与磋商前，供应商法定代表人或者委托代理人必须向磋商小组出示本人有效证件原件[有效证件可以是身份证（含临时身份证明）、机动车驾驶证、社会保障卡或者护照的其中一项]，若参与磋商的委托代理人不是响应文件中授权的委托代理人时，必须同时出示有效的法定代表人授权委托书原件，否则磋商小组将拒绝其参与磋商。</w:t>
            </w:r>
          </w:p>
        </w:tc>
      </w:tr>
      <w:tr w14:paraId="60F6FB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759AB23">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28</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69DB78B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履约保证金</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E6130A9">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s="宋体"/>
                <w:color w:val="auto"/>
                <w:szCs w:val="21"/>
                <w:highlight w:val="none"/>
              </w:rPr>
              <w:t xml:space="preserve">本项目不收取履约保证金 </w:t>
            </w:r>
          </w:p>
        </w:tc>
      </w:tr>
      <w:tr w14:paraId="2CE5B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7B9FC46A">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29.5</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3DAA226">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olor w:val="auto"/>
                <w:szCs w:val="21"/>
                <w:highlight w:val="none"/>
              </w:rPr>
              <w:t>签订合同携带的材料</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F62BF16">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s="宋体"/>
                <w:color w:val="auto"/>
                <w:szCs w:val="21"/>
                <w:highlight w:val="none"/>
              </w:rPr>
            </w:pPr>
            <w:r>
              <w:rPr>
                <w:rFonts w:hint="eastAsia" w:ascii="宋体" w:hAnsi="宋体"/>
                <w:color w:val="auto"/>
                <w:szCs w:val="21"/>
                <w:highlight w:val="none"/>
              </w:rPr>
              <w:t>使用的有效CA证书加盖单位电子公章</w:t>
            </w:r>
          </w:p>
        </w:tc>
      </w:tr>
      <w:tr w14:paraId="758DBB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restart"/>
            <w:tcBorders>
              <w:top w:val="single" w:color="000000" w:sz="4" w:space="0"/>
              <w:left w:val="single" w:color="000000" w:sz="4" w:space="0"/>
              <w:bottom w:val="single" w:color="000000" w:sz="4" w:space="0"/>
              <w:right w:val="single" w:color="000000" w:sz="4" w:space="0"/>
            </w:tcBorders>
            <w:noWrap/>
            <w:vAlign w:val="center"/>
          </w:tcPr>
          <w:p w14:paraId="48DFCF46">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31.2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50A83A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olor w:val="auto"/>
                <w:szCs w:val="21"/>
                <w:highlight w:val="none"/>
              </w:rPr>
            </w:pPr>
            <w:r>
              <w:rPr>
                <w:rFonts w:hint="eastAsia" w:ascii="宋体" w:hAnsi="宋体"/>
                <w:color w:val="auto"/>
                <w:szCs w:val="21"/>
                <w:highlight w:val="none"/>
              </w:rPr>
              <w:t>接收质疑函方式</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2A3EFA9">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以书面形式</w:t>
            </w:r>
          </w:p>
        </w:tc>
      </w:tr>
      <w:tr w14:paraId="26AF34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35D41C4F">
            <w:pPr>
              <w:keepNext w:val="0"/>
              <w:keepLines w:val="0"/>
              <w:pageBreakBefore w:val="0"/>
              <w:widowControl/>
              <w:suppressLineNumbers w:val="0"/>
              <w:kinsoku/>
              <w:wordWrap/>
              <w:overflowPunct/>
              <w:topLinePunct w:val="0"/>
              <w:bidi w:val="0"/>
              <w:adjustRightInd/>
              <w:spacing w:before="0" w:beforeAutospacing="0" w:after="0" w:afterAutospacing="0" w:line="380" w:lineRule="exact"/>
              <w:ind w:left="0" w:right="0"/>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51765FFC">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olor w:val="auto"/>
                <w:szCs w:val="21"/>
                <w:highlight w:val="none"/>
              </w:rPr>
            </w:pPr>
            <w:r>
              <w:rPr>
                <w:rFonts w:hint="eastAsia" w:ascii="宋体" w:hAnsi="宋体"/>
                <w:color w:val="auto"/>
                <w:szCs w:val="21"/>
                <w:highlight w:val="none"/>
              </w:rPr>
              <w:t>质疑联系部门及联系方式</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6752DDC5">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u w:val="single"/>
              </w:rPr>
              <w:t>（1）广西国力招标有限公司</w:t>
            </w:r>
            <w:r>
              <w:rPr>
                <w:rFonts w:hint="eastAsia" w:ascii="宋体" w:hAnsi="宋体"/>
                <w:color w:val="auto"/>
                <w:szCs w:val="21"/>
                <w:highlight w:val="none"/>
              </w:rPr>
              <w:t>；</w:t>
            </w:r>
          </w:p>
          <w:p w14:paraId="405C0A15">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联系电话：0771-4915558，</w:t>
            </w:r>
          </w:p>
          <w:p w14:paraId="415CD336">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rPr>
              <w:t>南宁市白沙大道53号松宇时代13楼</w:t>
            </w:r>
          </w:p>
          <w:p w14:paraId="6EB6F343">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u w:val="single"/>
              </w:rPr>
              <w:t>（2）</w:t>
            </w:r>
            <w:r>
              <w:rPr>
                <w:rFonts w:hint="eastAsia" w:ascii="宋体" w:hAnsi="宋体"/>
                <w:color w:val="auto"/>
                <w:szCs w:val="21"/>
                <w:highlight w:val="none"/>
                <w:u w:val="single"/>
                <w:lang w:eastAsia="zh-CN"/>
              </w:rPr>
              <w:t>扶绥县人力资源和社会保障局</w:t>
            </w:r>
            <w:r>
              <w:rPr>
                <w:rFonts w:hint="eastAsia" w:ascii="宋体" w:hAnsi="宋体"/>
                <w:color w:val="auto"/>
                <w:szCs w:val="21"/>
                <w:highlight w:val="none"/>
                <w:u w:val="single"/>
              </w:rPr>
              <w:t xml:space="preserve"> </w:t>
            </w:r>
            <w:r>
              <w:rPr>
                <w:rFonts w:hint="eastAsia" w:ascii="宋体" w:hAnsi="宋体"/>
                <w:color w:val="auto"/>
                <w:szCs w:val="21"/>
                <w:highlight w:val="none"/>
              </w:rPr>
              <w:t>；</w:t>
            </w:r>
          </w:p>
          <w:p w14:paraId="0092819A">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ascii="宋体" w:hAnsi="宋体"/>
                <w:color w:val="auto"/>
                <w:szCs w:val="21"/>
                <w:highlight w:val="none"/>
              </w:rPr>
              <w:t>联系电话：</w:t>
            </w:r>
            <w:r>
              <w:rPr>
                <w:rFonts w:hint="eastAsia" w:ascii="宋体" w:hAnsi="宋体"/>
                <w:color w:val="auto"/>
                <w:szCs w:val="21"/>
                <w:highlight w:val="none"/>
                <w:u w:val="single"/>
              </w:rPr>
              <w:t>0771-</w:t>
            </w:r>
            <w:r>
              <w:rPr>
                <w:rFonts w:hint="eastAsia" w:ascii="宋体" w:hAnsi="宋体"/>
                <w:color w:val="auto"/>
                <w:szCs w:val="21"/>
                <w:highlight w:val="none"/>
                <w:u w:val="single"/>
                <w:lang w:val="en-US" w:eastAsia="zh-CN"/>
              </w:rPr>
              <w:t xml:space="preserve">7530030 </w:t>
            </w:r>
            <w:r>
              <w:rPr>
                <w:rFonts w:hint="eastAsia" w:ascii="宋体" w:hAnsi="宋体"/>
                <w:color w:val="auto"/>
                <w:szCs w:val="21"/>
                <w:highlight w:val="none"/>
                <w:lang w:val="en-US" w:eastAsia="zh-CN"/>
              </w:rPr>
              <w:t xml:space="preserve"> </w:t>
            </w:r>
            <w:r>
              <w:rPr>
                <w:rFonts w:hint="eastAsia" w:ascii="宋体" w:hAnsi="宋体"/>
                <w:color w:val="auto"/>
                <w:szCs w:val="21"/>
                <w:highlight w:val="none"/>
              </w:rPr>
              <w:t>，</w:t>
            </w:r>
          </w:p>
          <w:p w14:paraId="62A3BE16">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olor w:val="auto"/>
                <w:szCs w:val="21"/>
                <w:highlight w:val="none"/>
                <w:lang w:eastAsia="zh-CN"/>
              </w:rPr>
            </w:pPr>
            <w:r>
              <w:rPr>
                <w:rFonts w:hint="eastAsia" w:ascii="宋体" w:hAnsi="宋体"/>
                <w:color w:val="auto"/>
                <w:szCs w:val="21"/>
                <w:highlight w:val="none"/>
              </w:rPr>
              <w:t>通讯地址</w:t>
            </w:r>
            <w:r>
              <w:rPr>
                <w:rFonts w:hint="eastAsia" w:ascii="宋体" w:hAnsi="宋体" w:cs="Helvetica"/>
                <w:color w:val="auto"/>
                <w:szCs w:val="21"/>
                <w:highlight w:val="none"/>
              </w:rPr>
              <w:t>：</w:t>
            </w:r>
            <w:r>
              <w:rPr>
                <w:rFonts w:hint="eastAsia" w:ascii="宋体" w:hAnsi="宋体"/>
                <w:color w:val="auto"/>
                <w:szCs w:val="21"/>
                <w:highlight w:val="none"/>
                <w:u w:val="single"/>
                <w:lang w:eastAsia="zh-CN"/>
              </w:rPr>
              <w:t>扶绥县新宁镇同正大道642号</w:t>
            </w:r>
          </w:p>
        </w:tc>
      </w:tr>
      <w:tr w14:paraId="286E394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vMerge w:val="continue"/>
            <w:tcBorders>
              <w:top w:val="single" w:color="000000" w:sz="4" w:space="0"/>
              <w:left w:val="single" w:color="000000" w:sz="4" w:space="0"/>
              <w:bottom w:val="single" w:color="000000" w:sz="4" w:space="0"/>
              <w:right w:val="single" w:color="000000" w:sz="4" w:space="0"/>
            </w:tcBorders>
            <w:noWrap/>
            <w:vAlign w:val="center"/>
          </w:tcPr>
          <w:p w14:paraId="5688B273">
            <w:pPr>
              <w:keepNext w:val="0"/>
              <w:keepLines w:val="0"/>
              <w:pageBreakBefore w:val="0"/>
              <w:widowControl/>
              <w:suppressLineNumbers w:val="0"/>
              <w:kinsoku/>
              <w:wordWrap/>
              <w:overflowPunct/>
              <w:topLinePunct w:val="0"/>
              <w:bidi w:val="0"/>
              <w:adjustRightInd/>
              <w:spacing w:before="0" w:beforeAutospacing="0" w:after="0" w:afterAutospacing="0" w:line="380" w:lineRule="exact"/>
              <w:ind w:left="0" w:right="0"/>
              <w:jc w:val="left"/>
              <w:rPr>
                <w:rFonts w:hint="eastAsia" w:ascii="宋体" w:hAnsi="宋体" w:cs="宋体"/>
                <w:color w:val="auto"/>
                <w:szCs w:val="21"/>
                <w:highlight w:val="none"/>
              </w:rPr>
            </w:pP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F9AD3AB">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olor w:val="auto"/>
                <w:szCs w:val="21"/>
                <w:highlight w:val="none"/>
              </w:rPr>
            </w:pPr>
            <w:r>
              <w:rPr>
                <w:rFonts w:hint="eastAsia" w:hAnsi="宋体"/>
                <w:color w:val="auto"/>
                <w:highlight w:val="none"/>
              </w:rPr>
              <w:t>现场提交质疑办理业务时间</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1711153">
            <w:pPr>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ascii="宋体" w:hAnsi="宋体"/>
                <w:color w:val="auto"/>
                <w:szCs w:val="21"/>
                <w:highlight w:val="none"/>
              </w:rPr>
            </w:pPr>
            <w:r>
              <w:rPr>
                <w:rFonts w:hint="eastAsia" w:hAnsi="宋体"/>
                <w:color w:val="auto"/>
                <w:highlight w:val="none"/>
              </w:rPr>
              <w:t>质疑期内每个工作日</w:t>
            </w:r>
            <w:r>
              <w:rPr>
                <w:rFonts w:hint="eastAsia" w:ascii="宋体" w:hAnsi="宋体" w:cs="宋体"/>
                <w:color w:val="auto"/>
                <w:szCs w:val="21"/>
                <w:highlight w:val="none"/>
                <w:u w:val="single"/>
              </w:rPr>
              <w:t xml:space="preserve"> 8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30 </w:t>
            </w:r>
            <w:r>
              <w:rPr>
                <w:rFonts w:hint="eastAsia" w:ascii="宋体" w:hAnsi="宋体" w:cs="宋体"/>
                <w:color w:val="auto"/>
                <w:szCs w:val="21"/>
                <w:highlight w:val="none"/>
              </w:rPr>
              <w:t>分到</w:t>
            </w:r>
            <w:r>
              <w:rPr>
                <w:rFonts w:hint="eastAsia" w:ascii="宋体" w:hAnsi="宋体" w:cs="宋体"/>
                <w:color w:val="auto"/>
                <w:szCs w:val="21"/>
                <w:highlight w:val="none"/>
                <w:u w:val="single"/>
              </w:rPr>
              <w:t xml:space="preserve"> 12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w:t>
            </w:r>
            <w:r>
              <w:rPr>
                <w:rFonts w:hint="eastAsia" w:ascii="宋体" w:hAnsi="宋体" w:cs="宋体"/>
                <w:color w:val="auto"/>
                <w:szCs w:val="21"/>
                <w:highlight w:val="none"/>
                <w:u w:val="single"/>
              </w:rPr>
              <w:t xml:space="preserve">15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分到</w:t>
            </w:r>
            <w:r>
              <w:rPr>
                <w:rFonts w:hint="eastAsia" w:ascii="宋体" w:hAnsi="宋体" w:cs="宋体"/>
                <w:color w:val="auto"/>
                <w:szCs w:val="21"/>
                <w:highlight w:val="none"/>
                <w:u w:val="single"/>
              </w:rPr>
              <w:t xml:space="preserve"> 18  </w:t>
            </w:r>
            <w:r>
              <w:rPr>
                <w:rFonts w:hint="eastAsia" w:ascii="宋体" w:hAnsi="宋体" w:cs="宋体"/>
                <w:color w:val="auto"/>
                <w:szCs w:val="21"/>
                <w:highlight w:val="none"/>
              </w:rPr>
              <w:t>时</w:t>
            </w:r>
            <w:r>
              <w:rPr>
                <w:rFonts w:hint="eastAsia" w:ascii="宋体" w:hAnsi="宋体" w:cs="宋体"/>
                <w:color w:val="auto"/>
                <w:szCs w:val="21"/>
                <w:highlight w:val="none"/>
                <w:u w:val="single"/>
              </w:rPr>
              <w:t xml:space="preserve"> 00 </w:t>
            </w:r>
            <w:r>
              <w:rPr>
                <w:rFonts w:hint="eastAsia" w:ascii="宋体" w:hAnsi="宋体" w:cs="宋体"/>
                <w:color w:val="auto"/>
                <w:szCs w:val="21"/>
                <w:highlight w:val="none"/>
              </w:rPr>
              <w:t>分</w:t>
            </w:r>
          </w:p>
        </w:tc>
      </w:tr>
      <w:tr w14:paraId="61C47B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19208D3A">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33</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417E783E">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采购代理费</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03D20E0E">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1. 是否收取采购代理费：</w:t>
            </w:r>
          </w:p>
          <w:p w14:paraId="79E74906">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☑是    □ 否</w:t>
            </w:r>
          </w:p>
          <w:p w14:paraId="6559ACCA">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2.采购代理费支付方式：</w:t>
            </w:r>
          </w:p>
          <w:p w14:paraId="08402259">
            <w:pPr>
              <w:keepNext w:val="0"/>
              <w:keepLines w:val="0"/>
              <w:pageBreakBefore w:val="0"/>
              <w:suppressLineNumbers w:val="0"/>
              <w:shd w:val="clear" w:color="auto" w:fill="auto"/>
              <w:kinsoku/>
              <w:wordWrap/>
              <w:overflowPunct/>
              <w:topLinePunct w:val="0"/>
              <w:bidi w:val="0"/>
              <w:adjustRightInd/>
              <w:spacing w:before="0" w:beforeAutospacing="0" w:after="0" w:afterAutospacing="0" w:line="380" w:lineRule="exact"/>
              <w:ind w:left="0" w:right="0"/>
              <w:rPr>
                <w:rFonts w:hint="eastAsia" w:ascii="宋体" w:hAnsi="宋体" w:eastAsia="宋体" w:cs="宋体"/>
                <w:color w:val="auto"/>
                <w:szCs w:val="21"/>
                <w:highlight w:val="none"/>
              </w:rPr>
            </w:pPr>
            <w:r>
              <w:rPr>
                <w:rFonts w:hint="eastAsia" w:ascii="宋体" w:hAnsi="宋体" w:eastAsia="宋体" w:cs="宋体"/>
                <w:color w:val="auto"/>
                <w:szCs w:val="21"/>
                <w:highlight w:val="none"/>
              </w:rPr>
              <w:t>☑本项目代理服务费由</w:t>
            </w:r>
            <w:r>
              <w:rPr>
                <w:rFonts w:hint="eastAsia" w:ascii="宋体" w:hAnsi="宋体" w:eastAsia="宋体" w:cs="宋体"/>
                <w:color w:val="auto"/>
                <w:szCs w:val="21"/>
                <w:highlight w:val="none"/>
                <w:u w:val="single"/>
              </w:rPr>
              <w:t>成交供应商</w:t>
            </w:r>
            <w:r>
              <w:rPr>
                <w:rFonts w:hint="eastAsia" w:ascii="宋体" w:hAnsi="宋体" w:eastAsia="宋体" w:cs="宋体"/>
                <w:color w:val="auto"/>
                <w:szCs w:val="21"/>
                <w:highlight w:val="none"/>
              </w:rPr>
              <w:t>领取成交通知书前，一次性向采购代理机构支付。</w:t>
            </w:r>
          </w:p>
          <w:p w14:paraId="68DC1CD3">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□采购人支付。</w:t>
            </w:r>
          </w:p>
          <w:p w14:paraId="085933EA">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3.采购代理费收取标准：本项目采购代理服务费参照</w:t>
            </w:r>
            <w:r>
              <w:rPr>
                <w:rFonts w:hint="eastAsia" w:ascii="宋体" w:hAnsi="宋体" w:eastAsia="宋体" w:cs="宋体"/>
                <w:color w:val="auto"/>
                <w:highlight w:val="none"/>
                <w:lang w:val="en-US" w:eastAsia="zh-CN"/>
              </w:rPr>
              <w:t>桂价费</w:t>
            </w:r>
            <w:r>
              <w:rPr>
                <w:rFonts w:hint="eastAsia" w:ascii="宋体" w:hAnsi="宋体" w:eastAsia="宋体" w:cs="宋体"/>
                <w:color w:val="auto"/>
                <w:highlight w:val="none"/>
              </w:rPr>
              <w:t>〔20</w:t>
            </w:r>
            <w:r>
              <w:rPr>
                <w:rFonts w:hint="eastAsia" w:ascii="宋体" w:hAnsi="宋体" w:eastAsia="宋体" w:cs="宋体"/>
                <w:color w:val="auto"/>
                <w:highlight w:val="none"/>
                <w:lang w:val="en-US" w:eastAsia="zh-CN"/>
              </w:rPr>
              <w:t>11</w:t>
            </w:r>
            <w:r>
              <w:rPr>
                <w:rFonts w:hint="eastAsia" w:ascii="宋体" w:hAnsi="宋体" w:eastAsia="宋体" w:cs="宋体"/>
                <w:color w:val="auto"/>
                <w:highlight w:val="none"/>
              </w:rPr>
              <w:t>〕</w:t>
            </w:r>
            <w:r>
              <w:rPr>
                <w:rFonts w:hint="eastAsia" w:ascii="宋体" w:hAnsi="宋体" w:eastAsia="宋体" w:cs="宋体"/>
                <w:color w:val="auto"/>
                <w:highlight w:val="none"/>
                <w:lang w:val="en-US" w:eastAsia="zh-CN"/>
              </w:rPr>
              <w:t>55</w:t>
            </w:r>
            <w:r>
              <w:rPr>
                <w:rFonts w:hint="eastAsia" w:ascii="宋体" w:hAnsi="宋体" w:eastAsia="宋体" w:cs="宋体"/>
                <w:color w:val="auto"/>
                <w:highlight w:val="none"/>
              </w:rPr>
              <w:t>号</w:t>
            </w:r>
            <w:r>
              <w:rPr>
                <w:rFonts w:hint="eastAsia" w:ascii="宋体" w:hAnsi="宋体" w:eastAsia="宋体" w:cs="宋体"/>
                <w:color w:val="auto"/>
                <w:highlight w:val="none"/>
                <w:lang w:val="en-US" w:eastAsia="zh-CN"/>
              </w:rPr>
              <w:t>文</w:t>
            </w:r>
            <w:r>
              <w:rPr>
                <w:rFonts w:hint="eastAsia" w:ascii="宋体" w:hAnsi="宋体" w:eastAsia="宋体" w:cs="宋体"/>
                <w:color w:val="auto"/>
                <w:highlight w:val="none"/>
              </w:rPr>
              <w:t>规定下浮20%的标准计算。</w:t>
            </w:r>
          </w:p>
          <w:p w14:paraId="45ACF11D">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□固定采购代理收费</w:t>
            </w:r>
            <w:r>
              <w:rPr>
                <w:rFonts w:hint="eastAsia" w:ascii="宋体" w:hAnsi="宋体" w:eastAsia="宋体" w:cs="宋体"/>
                <w:color w:val="auto"/>
                <w:highlight w:val="none"/>
                <w:u w:val="single"/>
              </w:rPr>
              <w:t xml:space="preserve">              。</w:t>
            </w:r>
          </w:p>
          <w:p w14:paraId="48EC7D7E">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4. 采购代理费收取银行账户</w:t>
            </w:r>
          </w:p>
          <w:p w14:paraId="62947E67">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开户名称：广西国力招标有限公司</w:t>
            </w:r>
          </w:p>
          <w:p w14:paraId="5CF4A068">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开户银行：广西北部湾银行股份有限公司南宁市白沙支行（网银支付可选广西北部湾银行江南支行）</w:t>
            </w:r>
          </w:p>
          <w:p w14:paraId="7A00E966">
            <w:pPr>
              <w:keepNext w:val="0"/>
              <w:keepLines w:val="0"/>
              <w:pageBreakBefore w:val="0"/>
              <w:suppressLineNumbers w:val="0"/>
              <w:shd w:val="clear" w:color="auto" w:fill="auto"/>
              <w:kinsoku/>
              <w:wordWrap/>
              <w:overflowPunct/>
              <w:topLinePunct w:val="0"/>
              <w:bidi w:val="0"/>
              <w:adjustRightInd/>
              <w:snapToGrid w:val="0"/>
              <w:spacing w:before="0" w:beforeAutospacing="0" w:after="0" w:afterAutospacing="0" w:line="380" w:lineRule="exact"/>
              <w:ind w:left="0" w:right="0"/>
              <w:rPr>
                <w:rFonts w:hint="eastAsia" w:ascii="宋体" w:hAnsi="宋体" w:eastAsia="宋体" w:cs="宋体"/>
                <w:color w:val="auto"/>
                <w:highlight w:val="none"/>
              </w:rPr>
            </w:pPr>
            <w:r>
              <w:rPr>
                <w:rFonts w:hint="eastAsia" w:ascii="宋体" w:hAnsi="宋体" w:eastAsia="宋体" w:cs="宋体"/>
                <w:color w:val="auto"/>
                <w:highlight w:val="none"/>
              </w:rPr>
              <w:t xml:space="preserve">银行账号：800109057400039 </w:t>
            </w:r>
          </w:p>
          <w:p w14:paraId="308946CD">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ascii="宋体" w:hAnsi="宋体" w:eastAsia="宋体" w:cs="宋体"/>
                <w:color w:val="auto"/>
                <w:highlight w:val="none"/>
              </w:rPr>
              <w:t>银行行号：</w:t>
            </w:r>
            <w:r>
              <w:rPr>
                <w:rFonts w:hint="eastAsia" w:ascii="宋体" w:hAnsi="宋体" w:eastAsia="宋体" w:cs="宋体"/>
                <w:color w:val="auto"/>
                <w:kern w:val="2"/>
                <w:sz w:val="21"/>
                <w:szCs w:val="24"/>
                <w:highlight w:val="none"/>
                <w:lang w:val="en-US" w:eastAsia="zh-CN" w:bidi="ar-SA"/>
              </w:rPr>
              <w:t>313611002051</w:t>
            </w:r>
          </w:p>
        </w:tc>
      </w:tr>
      <w:tr w14:paraId="029975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4CFCE5DA">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34.1</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6CD9F20">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hAnsi="宋体"/>
                <w:color w:val="auto"/>
                <w:highlight w:val="none"/>
              </w:rPr>
              <w:t>解释</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70FF7689">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b/>
                <w:color w:val="auto"/>
                <w:sz w:val="21"/>
                <w:highlight w:val="none"/>
              </w:rPr>
            </w:pPr>
            <w:r>
              <w:rPr>
                <w:rFonts w:hint="eastAsia" w:hAnsi="宋体" w:cs="宋体"/>
                <w:b/>
                <w:color w:val="auto"/>
                <w:sz w:val="21"/>
                <w:highlight w:val="none"/>
              </w:rPr>
              <w:t>解释权：</w:t>
            </w:r>
            <w:r>
              <w:rPr>
                <w:rFonts w:hint="eastAsia" w:hAnsi="宋体" w:cs="宋体"/>
                <w:color w:val="auto"/>
                <w:sz w:val="21"/>
                <w:highlight w:val="none"/>
              </w:rPr>
              <w:t>构成本磋商文件的各个组成文件应互为解释，互为说明；除磋商文件中有特别规定外，仅适用于竞标阶段的规定，按更正公告（澄清公告）、竞争性磋商公告、供应商须知、采购需求、评审程序、评审方法和评审标准、响应文件格式、合同文本的先后顺序解释；同一组成文件中就同一事项的规定或者约定不一致的，以编排顺序在后者为准；同一组成文件不同版本之间有不一致的，以形成时间在后者为准；更正公告（澄清公告）与同步更新的磋商文件不一致时以更正公告（澄清公告）为准。按本款前述规定仍不能形成结论的，</w:t>
            </w:r>
            <w:r>
              <w:rPr>
                <w:rFonts w:hint="eastAsia" w:hAnsi="宋体" w:cs="宋体"/>
                <w:b/>
                <w:color w:val="auto"/>
                <w:sz w:val="21"/>
                <w:highlight w:val="none"/>
              </w:rPr>
              <w:t>由采购人或者采购代理机构负责解释。</w:t>
            </w:r>
          </w:p>
          <w:p w14:paraId="141DA6F4">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b/>
                <w:color w:val="auto"/>
                <w:sz w:val="21"/>
                <w:highlight w:val="none"/>
              </w:rPr>
            </w:pPr>
            <w:r>
              <w:rPr>
                <w:rFonts w:hint="eastAsia" w:hAnsi="宋体" w:cs="宋体"/>
                <w:b/>
                <w:color w:val="auto"/>
                <w:sz w:val="21"/>
                <w:highlight w:val="none"/>
              </w:rPr>
              <w:t>法律责任：</w:t>
            </w:r>
          </w:p>
          <w:p w14:paraId="3420DC54">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b/>
                <w:color w:val="auto"/>
                <w:sz w:val="21"/>
                <w:highlight w:val="none"/>
              </w:rPr>
              <w:t>1.</w:t>
            </w:r>
            <w:r>
              <w:rPr>
                <w:rFonts w:hint="eastAsia" w:hAnsi="宋体" w:cs="宋体"/>
                <w:color w:val="auto"/>
                <w:sz w:val="21"/>
                <w:highlight w:val="none"/>
              </w:rPr>
              <w:t>本采购文件根据《中华人民共和国政府采购法》、《中华人民共和国民法典》；《中华人民共和国政府采购法实施条例》、《政府采购竞争性磋商采购方式管理暂行办法》等有关</w:t>
            </w:r>
            <w:r>
              <w:rPr>
                <w:rFonts w:hint="eastAsia" w:hAnsi="宋体" w:cs="宋体"/>
                <w:color w:val="auto"/>
                <w:sz w:val="21"/>
                <w:highlight w:val="none"/>
                <w:lang w:eastAsia="zh-CN"/>
              </w:rPr>
              <w:t>法律法规</w:t>
            </w:r>
            <w:r>
              <w:rPr>
                <w:rFonts w:hint="eastAsia" w:hAnsi="宋体" w:cs="宋体"/>
                <w:color w:val="auto"/>
                <w:sz w:val="21"/>
                <w:highlight w:val="none"/>
              </w:rPr>
              <w:t>编制，参与本项目的各政府采购当事人依法享有上述法律法规所赋予的权利与义务。</w:t>
            </w:r>
          </w:p>
          <w:p w14:paraId="5B397D70">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rPr>
                <w:rFonts w:hint="eastAsia" w:hAnsi="宋体" w:cs="宋体"/>
                <w:color w:val="auto"/>
                <w:highlight w:val="none"/>
              </w:rPr>
            </w:pPr>
            <w:r>
              <w:rPr>
                <w:rFonts w:hint="default" w:hAnsi="宋体" w:cs="宋体"/>
                <w:b/>
                <w:color w:val="auto"/>
                <w:highlight w:val="none"/>
              </w:rPr>
              <w:t>2.</w:t>
            </w:r>
            <w:r>
              <w:rPr>
                <w:rFonts w:hint="eastAsia" w:ascii="宋体" w:hAnsi="宋体"/>
                <w:b/>
                <w:color w:val="auto"/>
                <w:szCs w:val="21"/>
                <w:highlight w:val="none"/>
              </w:rPr>
              <w:t xml:space="preserve"> 本项目采购代理机构应严格按照“广西政府采购云”平台项目采购全流程电子化电子开评标规程执行项目采购活动，代理机构在“广西政府采购云”平台的“项目管理”—“采购文件管理”内开评标规则设置作为本采购文件的组成部分，截标之后不可更改，因代理机构开评标规则设置错误导致采购活动无法开展下去的情况，由代理机构负责解释并承担其后果。</w:t>
            </w:r>
          </w:p>
        </w:tc>
      </w:tr>
      <w:tr w14:paraId="021D41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56" w:type="dxa"/>
            <w:tcBorders>
              <w:top w:val="single" w:color="000000" w:sz="4" w:space="0"/>
              <w:left w:val="single" w:color="000000" w:sz="4" w:space="0"/>
              <w:bottom w:val="single" w:color="000000" w:sz="4" w:space="0"/>
              <w:right w:val="single" w:color="000000" w:sz="4" w:space="0"/>
            </w:tcBorders>
            <w:noWrap/>
            <w:vAlign w:val="center"/>
          </w:tcPr>
          <w:p w14:paraId="64124F85">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34.2</w:t>
            </w:r>
          </w:p>
        </w:tc>
        <w:tc>
          <w:tcPr>
            <w:tcW w:w="2326" w:type="dxa"/>
            <w:tcBorders>
              <w:top w:val="single" w:color="000000" w:sz="4" w:space="0"/>
              <w:left w:val="single" w:color="000000" w:sz="4" w:space="0"/>
              <w:bottom w:val="single" w:color="000000" w:sz="4" w:space="0"/>
              <w:right w:val="single" w:color="000000" w:sz="4" w:space="0"/>
            </w:tcBorders>
            <w:noWrap/>
            <w:vAlign w:val="center"/>
          </w:tcPr>
          <w:p w14:paraId="197AAA82">
            <w:pPr>
              <w:keepNext w:val="0"/>
              <w:keepLines w:val="0"/>
              <w:pageBreakBefore w:val="0"/>
              <w:suppressLineNumbers w:val="0"/>
              <w:kinsoku/>
              <w:wordWrap/>
              <w:overflowPunct/>
              <w:topLinePunct w:val="0"/>
              <w:bidi w:val="0"/>
              <w:adjustRightInd/>
              <w:spacing w:before="0" w:beforeAutospacing="0" w:after="0" w:afterAutospacing="0" w:line="380" w:lineRule="exact"/>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其他</w:t>
            </w:r>
          </w:p>
        </w:tc>
        <w:tc>
          <w:tcPr>
            <w:tcW w:w="5972" w:type="dxa"/>
            <w:tcBorders>
              <w:top w:val="single" w:color="000000" w:sz="4" w:space="0"/>
              <w:left w:val="single" w:color="000000" w:sz="4" w:space="0"/>
              <w:bottom w:val="single" w:color="000000" w:sz="4" w:space="0"/>
              <w:right w:val="single" w:color="000000" w:sz="4" w:space="0"/>
            </w:tcBorders>
            <w:noWrap/>
            <w:vAlign w:val="center"/>
          </w:tcPr>
          <w:p w14:paraId="3D129570">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color w:val="auto"/>
                <w:sz w:val="21"/>
                <w:highlight w:val="none"/>
              </w:rPr>
              <w:t>1.本磋商文件中描述供应商的“公章”是指根据我国对公章的管理规定，用供应商法定主体行为名称制作的印章，除本磋商文件有特殊规定外，供应商的财务章、部门章、分公司章、工会章、合同章、竞标/投标专用章、业务专用章及银行的转账章、现金收讫章、现金付讫章等其他形式印章均不能代替公章。</w:t>
            </w:r>
          </w:p>
          <w:p w14:paraId="67952918">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color w:val="auto"/>
                <w:sz w:val="21"/>
                <w:highlight w:val="none"/>
              </w:rPr>
              <w:t>2.供应商为其他组织或者自然人时，本磋商文件规定的法定代表人指负责人或者自然人。本磋商文件所称负责人是指参加竞标的其他组织营业执照上的负责人，本磋商文件所称自然人指参与竞标的自然人本人。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77E5F009">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color w:val="auto"/>
                <w:sz w:val="21"/>
                <w:highlight w:val="none"/>
              </w:rPr>
              <w:t>3.本磋商文件中描述供应商的“签字”是指供应商的法定代表人或者委托代理人亲自在文件规定签署处亲笔写上个人的名字的行为，私章、签字章、印鉴、影印等其他形式均不能代替亲笔签字。</w:t>
            </w:r>
          </w:p>
          <w:p w14:paraId="6DDD81B0">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color w:val="auto"/>
                <w:sz w:val="21"/>
                <w:highlight w:val="none"/>
              </w:rPr>
              <w:t>4.自然人竞标的，磋商文件规定盖公章处由自然人摁手指指印。</w:t>
            </w:r>
          </w:p>
          <w:p w14:paraId="24884E06">
            <w:pPr>
              <w:pStyle w:val="15"/>
              <w:keepNext w:val="0"/>
              <w:keepLines w:val="0"/>
              <w:pageBreakBefore w:val="0"/>
              <w:suppressLineNumbers w:val="0"/>
              <w:kinsoku/>
              <w:wordWrap/>
              <w:overflowPunct/>
              <w:topLinePunct w:val="0"/>
              <w:bidi w:val="0"/>
              <w:adjustRightInd/>
              <w:snapToGrid w:val="0"/>
              <w:spacing w:before="0" w:beforeAutospacing="0" w:after="0" w:afterAutospacing="0" w:line="380" w:lineRule="exact"/>
              <w:ind w:left="0" w:right="0"/>
              <w:rPr>
                <w:rFonts w:hint="eastAsia" w:hAnsi="宋体" w:cs="宋体"/>
                <w:color w:val="auto"/>
                <w:sz w:val="21"/>
                <w:highlight w:val="none"/>
              </w:rPr>
            </w:pPr>
            <w:r>
              <w:rPr>
                <w:rFonts w:hint="eastAsia" w:hAnsi="宋体" w:cs="宋体"/>
                <w:color w:val="auto"/>
                <w:sz w:val="21"/>
                <w:highlight w:val="none"/>
              </w:rPr>
              <w:t>5.本磋商文件所称的“以上”“以下”“以内”“届满”，包括本数；所称的“不满”“超过”“以外”，不包括本数。</w:t>
            </w:r>
          </w:p>
        </w:tc>
      </w:tr>
    </w:tbl>
    <w:p w14:paraId="76784E88">
      <w:pPr>
        <w:spacing w:line="400" w:lineRule="exact"/>
        <w:jc w:val="center"/>
        <w:rPr>
          <w:rFonts w:hint="eastAsia" w:ascii="宋体" w:hAnsi="宋体"/>
          <w:b/>
          <w:color w:val="auto"/>
          <w:sz w:val="32"/>
          <w:szCs w:val="32"/>
          <w:highlight w:val="none"/>
        </w:rPr>
      </w:pPr>
    </w:p>
    <w:p w14:paraId="37B45C3E">
      <w:pPr>
        <w:pStyle w:val="3"/>
        <w:spacing w:line="420" w:lineRule="exact"/>
        <w:jc w:val="center"/>
        <w:rPr>
          <w:rFonts w:hint="eastAsia" w:ascii="宋体" w:hAnsi="宋体" w:cs="宋体"/>
          <w:b w:val="0"/>
          <w:color w:val="auto"/>
          <w:highlight w:val="none"/>
        </w:rPr>
      </w:pPr>
      <w:r>
        <w:rPr>
          <w:rFonts w:hint="eastAsia" w:ascii="宋体" w:hAnsi="宋体"/>
          <w:bCs w:val="0"/>
          <w:color w:val="auto"/>
          <w:highlight w:val="none"/>
        </w:rPr>
        <w:br w:type="page"/>
      </w:r>
      <w:bookmarkStart w:id="35" w:name="_Toc13207"/>
      <w:r>
        <w:rPr>
          <w:rFonts w:hint="eastAsia" w:ascii="宋体" w:hAnsi="宋体"/>
          <w:b w:val="0"/>
          <w:color w:val="auto"/>
          <w:highlight w:val="none"/>
        </w:rPr>
        <w:t>第二节 供应商须知正文</w:t>
      </w:r>
      <w:bookmarkEnd w:id="35"/>
    </w:p>
    <w:p w14:paraId="31A25313">
      <w:pPr>
        <w:pStyle w:val="2"/>
        <w:spacing w:before="0" w:after="0" w:line="440" w:lineRule="exact"/>
        <w:jc w:val="center"/>
        <w:rPr>
          <w:rFonts w:hint="eastAsia" w:ascii="宋体" w:hAnsi="宋体"/>
          <w:color w:val="auto"/>
          <w:sz w:val="24"/>
          <w:highlight w:val="none"/>
        </w:rPr>
      </w:pPr>
      <w:bookmarkStart w:id="36" w:name="_Toc29603"/>
      <w:r>
        <w:rPr>
          <w:rFonts w:hint="eastAsia" w:ascii="宋体" w:hAnsi="宋体"/>
          <w:color w:val="auto"/>
          <w:sz w:val="24"/>
          <w:highlight w:val="none"/>
        </w:rPr>
        <w:t>一、总则</w:t>
      </w:r>
      <w:bookmarkEnd w:id="36"/>
    </w:p>
    <w:p w14:paraId="4581F11C">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1.适用范围</w:t>
      </w:r>
    </w:p>
    <w:p w14:paraId="11ED199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1.1本项目采购人、采购代理机构、供应商、磋商小组的相关行为均受《中华人民共和国政府采购法》《中华人民共和国政府采购法实施条例》</w:t>
      </w:r>
      <w:r>
        <w:rPr>
          <w:rFonts w:hint="eastAsia" w:ascii="宋体" w:hAnsi="宋体"/>
          <w:color w:val="auto"/>
          <w:szCs w:val="21"/>
          <w:highlight w:val="none"/>
        </w:rPr>
        <w:t>《政府采购竞争性磋商采购方式管理暂行办法》《财政部关于政府采购竞争性磋商采购方式管理暂行办法有关问题的补充通知》</w:t>
      </w:r>
      <w:r>
        <w:rPr>
          <w:rFonts w:hint="eastAsia" w:ascii="宋体" w:hAnsi="宋体" w:cs="宋体"/>
          <w:color w:val="auto"/>
          <w:szCs w:val="21"/>
          <w:highlight w:val="none"/>
        </w:rPr>
        <w:t>及本项目本级和上级财政部门政府采购有关规定的约束和保护。</w:t>
      </w:r>
    </w:p>
    <w:p w14:paraId="63D4870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w:t>
      </w:r>
      <w:r>
        <w:rPr>
          <w:rFonts w:hint="eastAsia" w:ascii="宋体" w:hAnsi="宋体" w:cs="宋体"/>
          <w:color w:val="auto"/>
          <w:spacing w:val="-6"/>
          <w:szCs w:val="21"/>
          <w:highlight w:val="none"/>
        </w:rPr>
        <w:t>本竞争性磋商文件（以下简称磋商文件）适用于本项目的所有采购程序和环节（法律、法规另有规定的，从其规定）。</w:t>
      </w:r>
    </w:p>
    <w:p w14:paraId="2B7B1BE7">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2.定义</w:t>
      </w:r>
    </w:p>
    <w:p w14:paraId="70D9304A">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2.1“采购人”是指依法进行政府采购的国家机关、事业单位、团体组织。</w:t>
      </w:r>
    </w:p>
    <w:p w14:paraId="319F0637">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u w:val="single"/>
        </w:rPr>
      </w:pPr>
      <w:r>
        <w:rPr>
          <w:rFonts w:hint="eastAsia" w:ascii="宋体" w:hAnsi="宋体" w:cs="宋体"/>
          <w:color w:val="auto"/>
          <w:szCs w:val="21"/>
          <w:highlight w:val="none"/>
        </w:rPr>
        <w:t>2.2“采购代理机构”是指政府采购集中采购机构和集中采购机构以外的采购代理机构。</w:t>
      </w:r>
    </w:p>
    <w:p w14:paraId="41A3A22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2.3“供应商”是指向采购人提供货物、工程或者服务的法人、其他组织或者自然人。</w:t>
      </w:r>
    </w:p>
    <w:p w14:paraId="70B48BA8">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2.4“服务”是指除货物和工程以外的其他政府采购对象。</w:t>
      </w:r>
    </w:p>
    <w:p w14:paraId="328626A7">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2.5“竞标”是指供应商按照本项目竞争性磋商公告或者邀请函规定的方式获取磋商文件、提交响应文件并希望获得标的的行为。</w:t>
      </w:r>
    </w:p>
    <w:p w14:paraId="792C06A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2.6“响应文件”</w:t>
      </w:r>
      <w:r>
        <w:rPr>
          <w:rFonts w:hint="eastAsia" w:ascii="宋体" w:hAnsi="宋体" w:cs="宋体"/>
          <w:color w:val="auto"/>
          <w:spacing w:val="-6"/>
          <w:szCs w:val="21"/>
          <w:highlight w:val="none"/>
        </w:rPr>
        <w:t>是指：供应商根据本磋商文件要求，编制包含资格证明、报价商务技术等所有内容的文件。</w:t>
      </w:r>
    </w:p>
    <w:p w14:paraId="64448EE5">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2.7“实质性要求”是指磋商文件中已经指明不满足则响应文件按无效响应处理的条款，或者不能负偏离的条款，或者采购需求中带“▲”的条款。</w:t>
      </w:r>
    </w:p>
    <w:p w14:paraId="2FD0B29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2.8“正偏离”，是指响应文件对磋商文件“采购需求”中有关条款作出的响应优于条款要求并有利于采购人的情形。</w:t>
      </w:r>
    </w:p>
    <w:p w14:paraId="29367D3F">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2.9“负偏离”，是指响应文件对磋商文件“采购需求”中有关条款作出的响应不满足条款要求，导致采购人要求不能得到满足的情形。</w:t>
      </w:r>
    </w:p>
    <w:p w14:paraId="050B602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2.10“允许负偏离的条款”是指采购需求中的不属于“实质性要求”的条款。</w:t>
      </w:r>
    </w:p>
    <w:p w14:paraId="5CDABB1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2.11“书面形式”是指合同书、信件和数据电文（包括电报、电传、传真、电子数据交换和电子邮件）等可以有形地表现所载内容的形式。</w:t>
      </w:r>
    </w:p>
    <w:p w14:paraId="1BDD7DFC">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2.12“首次报价”是指供应商提交的首次响应文件中的报价。</w:t>
      </w:r>
    </w:p>
    <w:p w14:paraId="689EC75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2.13“评审报价”是指供应商提交的最后报价并经修正（如有）和政策功能价格扣除（如有）后的价格。</w:t>
      </w:r>
    </w:p>
    <w:p w14:paraId="7EA550BC">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3.供应商的资格条件</w:t>
      </w:r>
    </w:p>
    <w:p w14:paraId="2A6D6C58">
      <w:pPr>
        <w:pageBreakBefore w:val="0"/>
        <w:widowControl w:val="0"/>
        <w:kinsoku/>
        <w:wordWrap/>
        <w:overflowPunct/>
        <w:topLinePunct w:val="0"/>
        <w:autoSpaceDE/>
        <w:autoSpaceDN/>
        <w:bidi w:val="0"/>
        <w:spacing w:line="380" w:lineRule="exact"/>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供应商的资格条件详见“供应商须知前附表”。</w:t>
      </w:r>
    </w:p>
    <w:p w14:paraId="60187510">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4.磋商费用</w:t>
      </w:r>
    </w:p>
    <w:p w14:paraId="5EA101FF">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供应商应承担参与本次采购活动有关的所有费用，包括但不限于、勘查现场、编制和提交响应文件、参加磋商与应答、签订合同等，不论竞标结果如何，均应自行承担。</w:t>
      </w:r>
    </w:p>
    <w:p w14:paraId="00E51DED">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5.联合体竞标</w:t>
      </w:r>
    </w:p>
    <w:p w14:paraId="55E94265">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5.1本项目是否接受联合体竞标，详见“供应商须知前附表”。</w:t>
      </w:r>
    </w:p>
    <w:p w14:paraId="50244D6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5.2</w:t>
      </w:r>
      <w:r>
        <w:rPr>
          <w:rFonts w:hint="eastAsia" w:ascii="宋体" w:hAnsi="宋体"/>
          <w:color w:val="auto"/>
          <w:highlight w:val="none"/>
        </w:rPr>
        <w:t>如接受联合体竞标，</w:t>
      </w:r>
      <w:r>
        <w:rPr>
          <w:rFonts w:hint="eastAsia" w:ascii="宋体" w:hAnsi="宋体" w:cs="宋体"/>
          <w:color w:val="auto"/>
          <w:szCs w:val="21"/>
          <w:highlight w:val="none"/>
        </w:rPr>
        <w:t>联合体竞标要求详见“供应商须知前附表”。</w:t>
      </w:r>
    </w:p>
    <w:p w14:paraId="0BFBCF20">
      <w:pPr>
        <w:pageBreakBefore w:val="0"/>
        <w:widowControl w:val="0"/>
        <w:kinsoku/>
        <w:wordWrap/>
        <w:overflowPunct/>
        <w:topLinePunct w:val="0"/>
        <w:autoSpaceDE/>
        <w:autoSpaceDN/>
        <w:bidi w:val="0"/>
        <w:spacing w:line="380" w:lineRule="exact"/>
        <w:ind w:firstLine="420" w:firstLineChars="200"/>
        <w:rPr>
          <w:rFonts w:hint="eastAsia" w:ascii="宋体" w:hAnsi="宋体"/>
          <w:bCs/>
          <w:color w:val="auto"/>
          <w:szCs w:val="21"/>
          <w:highlight w:val="none"/>
        </w:rPr>
      </w:pPr>
      <w:r>
        <w:rPr>
          <w:rFonts w:hint="eastAsia" w:ascii="宋体" w:hAnsi="宋体" w:cs="宋体"/>
          <w:color w:val="auto"/>
          <w:szCs w:val="21"/>
          <w:highlight w:val="none"/>
        </w:rPr>
        <w:t>5.3</w:t>
      </w:r>
      <w:r>
        <w:rPr>
          <w:rFonts w:hint="eastAsia" w:ascii="宋体" w:hAnsi="宋体"/>
          <w:bCs/>
          <w:color w:val="auto"/>
          <w:szCs w:val="21"/>
          <w:highlight w:val="none"/>
        </w:rPr>
        <w:t>根据《政府采购促进中小企业发展管理办法》（财库</w:t>
      </w:r>
      <w:r>
        <w:rPr>
          <w:rFonts w:hint="eastAsia" w:ascii="宋体" w:hAnsi="宋体"/>
          <w:bCs/>
          <w:color w:val="auto"/>
          <w:szCs w:val="21"/>
          <w:highlight w:val="none"/>
          <w:lang w:eastAsia="zh-CN"/>
        </w:rPr>
        <w:t>〔2020〕46号</w:t>
      </w:r>
      <w:r>
        <w:rPr>
          <w:rFonts w:hint="eastAsia" w:ascii="宋体" w:hAnsi="宋体"/>
          <w:bCs/>
          <w:color w:val="auto"/>
          <w:szCs w:val="21"/>
          <w:highlight w:val="none"/>
        </w:rPr>
        <w:t>）第九条及《广西壮族自治区财政厅关于进一步发挥政府采购政策功能促进企业发展的通知》（桂财采〔2022〕30号</w:t>
      </w:r>
      <w:r>
        <w:rPr>
          <w:rFonts w:hint="eastAsia" w:ascii="仿宋_GB2312" w:hAnsi="Calibri" w:eastAsia="仿宋_GB2312"/>
          <w:color w:val="auto"/>
          <w:sz w:val="24"/>
          <w:highlight w:val="none"/>
        </w:rPr>
        <w:t>）、</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规定，接受大中型企业与小微企业组成联合体的采购项目，对于联合协议约定小微企业的合同份额占到合同总金额 30%以上的，采购人、采购代理机构应当对联合体的报价给予 4%-6%（工程项目为 1%—2%）的扣除，用扣除后的价格参加评审。组成联合体的小微企业与联合体内其他企业、分包企业之间存在直接控股、管理关系的，不享受价格扣除优惠政策。</w:t>
      </w:r>
    </w:p>
    <w:p w14:paraId="7A8CA888">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 xml:space="preserve">6.转包与分包             </w:t>
      </w:r>
    </w:p>
    <w:p w14:paraId="151CC49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6.1本项目是否允许分包详见“供应商须知前附表”，本项目不允许违法分包。</w:t>
      </w:r>
    </w:p>
    <w:p w14:paraId="597F6A63">
      <w:pPr>
        <w:pageBreakBefore w:val="0"/>
        <w:widowControl w:val="0"/>
        <w:kinsoku/>
        <w:wordWrap/>
        <w:overflowPunct/>
        <w:topLinePunct w:val="0"/>
        <w:autoSpaceDE/>
        <w:autoSpaceDN/>
        <w:bidi w:val="0"/>
        <w:spacing w:line="380" w:lineRule="exact"/>
        <w:ind w:firstLine="420" w:firstLineChars="200"/>
        <w:rPr>
          <w:rFonts w:hint="eastAsia" w:ascii="宋体" w:hAnsi="宋体" w:cs="宋体"/>
          <w:bCs/>
          <w:color w:val="auto"/>
          <w:szCs w:val="21"/>
          <w:highlight w:val="none"/>
        </w:rPr>
      </w:pPr>
      <w:r>
        <w:rPr>
          <w:rFonts w:hint="eastAsia" w:ascii="宋体" w:hAnsi="宋体" w:cs="宋体"/>
          <w:color w:val="auto"/>
          <w:szCs w:val="21"/>
          <w:highlight w:val="none"/>
        </w:rPr>
        <w:t>6.2</w:t>
      </w:r>
      <w:r>
        <w:rPr>
          <w:rFonts w:hint="eastAsia" w:ascii="宋体" w:hAnsi="宋体"/>
          <w:bCs/>
          <w:color w:val="auto"/>
          <w:szCs w:val="21"/>
          <w:highlight w:val="none"/>
        </w:rPr>
        <w:t>根据《政府采购促进中小企业发展管理办法》（财库</w:t>
      </w:r>
      <w:r>
        <w:rPr>
          <w:rFonts w:hint="eastAsia" w:ascii="宋体" w:hAnsi="宋体"/>
          <w:bCs/>
          <w:color w:val="auto"/>
          <w:szCs w:val="21"/>
          <w:highlight w:val="none"/>
          <w:lang w:eastAsia="zh-CN"/>
        </w:rPr>
        <w:t>〔2020〕46号</w:t>
      </w:r>
      <w:r>
        <w:rPr>
          <w:rFonts w:hint="eastAsia" w:ascii="宋体" w:hAnsi="宋体"/>
          <w:bCs/>
          <w:color w:val="auto"/>
          <w:szCs w:val="21"/>
          <w:highlight w:val="none"/>
        </w:rPr>
        <w:t>）第九条及《广西壮族自治区财政厅关于进一步发挥政府采购政策功能促进企业发展的通知》（桂财采〔2022〕30号）、</w:t>
      </w:r>
      <w:r>
        <w:rPr>
          <w:rFonts w:hint="eastAsia"/>
          <w:color w:val="auto"/>
          <w:highlight w:val="none"/>
        </w:rPr>
        <w:t>《广西壮族自治区财政厅关于贯彻落实政府采购支持中小企业发展政策的通知》（桂财采〔2022〕31号）</w:t>
      </w:r>
      <w:r>
        <w:rPr>
          <w:rFonts w:hint="eastAsia" w:ascii="宋体" w:hAnsi="宋体"/>
          <w:bCs/>
          <w:color w:val="auto"/>
          <w:szCs w:val="21"/>
          <w:highlight w:val="none"/>
        </w:rPr>
        <w:t>规定，允许大中型企业向一家或者多家小微企业分包的采购项目，对于分包意向协议约定小微企业的合同份额占到合同总金额 30%以上的，采购人、采购代理机构应当对大中型企业的报价给予 4%-6%的扣除，用扣除后的价格参加评审。接受分包的小微企业与分包企业之间存在直接控股、管理关系的，不享受价格扣除优惠政策。</w:t>
      </w:r>
    </w:p>
    <w:p w14:paraId="08B6F1B0">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bookmarkStart w:id="37" w:name="_Toc254970532"/>
      <w:bookmarkStart w:id="38" w:name="_Toc254970673"/>
      <w:r>
        <w:rPr>
          <w:rFonts w:hint="eastAsia" w:ascii="黑体" w:hAnsi="黑体" w:eastAsia="黑体" w:cs="宋体"/>
          <w:b/>
          <w:bCs/>
          <w:color w:val="auto"/>
          <w:sz w:val="24"/>
          <w:highlight w:val="none"/>
        </w:rPr>
        <w:t>7.特别说明</w:t>
      </w:r>
      <w:bookmarkEnd w:id="37"/>
      <w:bookmarkEnd w:id="38"/>
    </w:p>
    <w:p w14:paraId="3D55823C">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bookmarkStart w:id="39" w:name="_8.1提供相同品牌产品且通过资格审查、符合性审查的不同投标人参加同一合"/>
      <w:bookmarkEnd w:id="39"/>
      <w:r>
        <w:rPr>
          <w:rFonts w:hint="eastAsia" w:ascii="宋体" w:hAnsi="宋体" w:cs="宋体"/>
          <w:color w:val="auto"/>
          <w:szCs w:val="21"/>
          <w:highlight w:val="none"/>
        </w:rPr>
        <w:t>7.1</w:t>
      </w:r>
      <w:bookmarkStart w:id="40" w:name="_Hlk65832145"/>
      <w:r>
        <w:rPr>
          <w:rFonts w:hint="eastAsia" w:ascii="宋体" w:hAnsi="宋体"/>
          <w:color w:val="auto"/>
          <w:szCs w:val="21"/>
          <w:highlight w:val="none"/>
        </w:rPr>
        <w:t xml:space="preserve">如果本磋商文件要求提供供应商或制造商的资格、信誉、荣誉、业绩与企业认证等材料的，资格、信誉、荣誉、业绩与企业认证等必须为供应商或者制造商所拥有或自身获得 </w:t>
      </w:r>
      <w:r>
        <w:rPr>
          <w:rFonts w:hint="eastAsia" w:ascii="宋体" w:hAnsi="宋体" w:cs="宋体"/>
          <w:color w:val="auto"/>
          <w:szCs w:val="21"/>
          <w:highlight w:val="none"/>
        </w:rPr>
        <w:t>。</w:t>
      </w:r>
    </w:p>
    <w:bookmarkEnd w:id="40"/>
    <w:p w14:paraId="62B417E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7.2供应商应仔细阅读磋商文件的所有内容，按照磋商文件的要求提交响应文件，并对所提供的全部资料的真实性承担法律责任。</w:t>
      </w:r>
    </w:p>
    <w:p w14:paraId="2473C3A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7.3供应商在竞标活动中提供任何疑似虚假材料，将报监管部门查处；签订合同后发现的，成交供应商须依照《中华人民共和国消费者权益保护法》规定赔偿采购人，且民事赔偿并不免除违法供应商的行政与刑事责任。</w:t>
      </w:r>
    </w:p>
    <w:p w14:paraId="6B0FFB1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7.4在政府采购活动中，采购人员及相关人员与供应商有下列利害关系之一的，应当回避：</w:t>
      </w:r>
    </w:p>
    <w:p w14:paraId="301C8F6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（1）参加采购活动前3年内与供应商存在劳动关系；</w:t>
      </w:r>
    </w:p>
    <w:p w14:paraId="56BC944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（2）参加采购活动前3年内担任供应商的董事、监事；</w:t>
      </w:r>
    </w:p>
    <w:p w14:paraId="4E81A75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（3）参加采购活动前3年内是供应商的控股股东或者实际控制人；</w:t>
      </w:r>
    </w:p>
    <w:p w14:paraId="0C06AEF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（4）与供应商的法定代表人或者负责人有夫妻、直系血亲、三代以内旁系血亲或者近姻亲关系；</w:t>
      </w:r>
    </w:p>
    <w:p w14:paraId="3A99873C">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（5）与供应商有其他可能影响政府采购活动公平、公正进行的关系。</w:t>
      </w:r>
    </w:p>
    <w:p w14:paraId="4DDACEA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认为采购人员及相关人员与其他供应商有利害关系的，可以向采购人或者采购代理机构书面提出回避申请，并说明理由。采购人或者采购代理机构应当及时询问被申请回避人员，有利害关系的被申请回避人员应当回避。</w:t>
      </w:r>
    </w:p>
    <w:p w14:paraId="1847D9C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7.5有下列情形之一的视为供应商相互串通竞标，响应文件将被视为无效：</w:t>
      </w:r>
    </w:p>
    <w:p w14:paraId="4A88939A">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7CC607DF">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（2）不同供应商委托同一单位或者个人办理竞标事宜；</w:t>
      </w:r>
    </w:p>
    <w:p w14:paraId="4C82860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（3）不同的供应商的响应文件载明的项目管理员为同一个人；</w:t>
      </w:r>
    </w:p>
    <w:p w14:paraId="12608B6E">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（4）不同供应商的响应文件异常一致或者报价呈规律性差异；</w:t>
      </w:r>
    </w:p>
    <w:p w14:paraId="7307A45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（5）不同供应商的响应文件相互混装；</w:t>
      </w:r>
    </w:p>
    <w:p w14:paraId="61A11465">
      <w:pPr>
        <w:pageBreakBefore w:val="0"/>
        <w:widowControl w:val="0"/>
        <w:tabs>
          <w:tab w:val="left" w:pos="6931"/>
        </w:tabs>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（6）不同供应商的磋商保证金从同一单位或者个人账户转出。</w:t>
      </w:r>
      <w:r>
        <w:rPr>
          <w:rFonts w:hint="eastAsia" w:ascii="宋体" w:hAnsi="宋体" w:cs="宋体"/>
          <w:color w:val="auto"/>
          <w:szCs w:val="21"/>
          <w:highlight w:val="none"/>
        </w:rPr>
        <w:tab/>
      </w:r>
    </w:p>
    <w:p w14:paraId="1A4C404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7.6供应商有下列情形之一的，属于恶意串通行为，将报同级监督管理部门：</w:t>
      </w:r>
    </w:p>
    <w:p w14:paraId="5954871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（1）供应商直接或者间接从采购人或者采购代理机构处获得其他供应商的相关信息并修改其响应文件；</w:t>
      </w:r>
    </w:p>
    <w:p w14:paraId="4BF8A4D7">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（2）供应商按照采购人或者采购代理机构的授意撤换、修改响应文件；</w:t>
      </w:r>
    </w:p>
    <w:p w14:paraId="6744B2F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（3）供应商之间协商报价、技术方案等响应文件或者响应文件的实质性内容；</w:t>
      </w:r>
    </w:p>
    <w:p w14:paraId="6C429DE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（4）属于同一集团、协会、商会等组织成员的供应商按照该组织要求协同参加政府采购活动；</w:t>
      </w:r>
    </w:p>
    <w:p w14:paraId="55B6A0B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（5）供应商之间事先约定一致抬高或者压低报价，或者在政府采购活动中事先约定轮流以高价位或者低价位成交，或者事先约定由某一特定供应商成交，然后再参加竞标；</w:t>
      </w:r>
    </w:p>
    <w:p w14:paraId="21DC926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（6）供应商之间商定部分供应商放弃参加政府采购活动或者放弃成交；</w:t>
      </w:r>
    </w:p>
    <w:p w14:paraId="0C1A519F">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（7）供应商与采购人或者采购代理机构之间、供应商相互之间，为谋求特定供应商成交或者排斥其他供应商的其他串通行为。</w:t>
      </w:r>
    </w:p>
    <w:p w14:paraId="014CD54D">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41" w:name="_Toc254970534"/>
      <w:bookmarkStart w:id="42" w:name="_Toc27176"/>
      <w:bookmarkStart w:id="43" w:name="_Toc254970675"/>
      <w:r>
        <w:rPr>
          <w:rFonts w:hint="eastAsia" w:ascii="宋体" w:hAnsi="宋体"/>
          <w:color w:val="auto"/>
          <w:sz w:val="24"/>
          <w:highlight w:val="none"/>
        </w:rPr>
        <w:t>二、磋商文件</w:t>
      </w:r>
      <w:bookmarkEnd w:id="41"/>
      <w:bookmarkEnd w:id="42"/>
      <w:bookmarkEnd w:id="43"/>
    </w:p>
    <w:p w14:paraId="006C1BB7">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8.磋商文件的构成</w:t>
      </w:r>
    </w:p>
    <w:p w14:paraId="76818351">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第一章 竞争性磋商公告；</w:t>
      </w:r>
    </w:p>
    <w:p w14:paraId="0D7F1F6C">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第二章 采购需求；</w:t>
      </w:r>
    </w:p>
    <w:p w14:paraId="6A5BE0A7">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 xml:space="preserve">第三章 供应商须知； </w:t>
      </w:r>
    </w:p>
    <w:p w14:paraId="08A09E57">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第四章 评审程序、评审方法和评审标准；</w:t>
      </w:r>
    </w:p>
    <w:p w14:paraId="259EA8B6">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第五章 响应文件格式；</w:t>
      </w:r>
    </w:p>
    <w:p w14:paraId="1F053079">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第六章 合同文本；</w:t>
      </w:r>
    </w:p>
    <w:p w14:paraId="6C08858E">
      <w:pPr>
        <w:pageBreakBefore w:val="0"/>
        <w:widowControl w:val="0"/>
        <w:kinsoku/>
        <w:wordWrap/>
        <w:overflowPunct/>
        <w:topLinePunct w:val="0"/>
        <w:autoSpaceDE/>
        <w:autoSpaceDN/>
        <w:bidi w:val="0"/>
        <w:spacing w:line="380" w:lineRule="exact"/>
        <w:ind w:firstLine="420" w:firstLineChars="200"/>
        <w:jc w:val="left"/>
        <w:rPr>
          <w:rFonts w:hint="eastAsia" w:ascii="宋体" w:hAnsi="宋体"/>
          <w:color w:val="auto"/>
          <w:szCs w:val="21"/>
          <w:highlight w:val="none"/>
        </w:rPr>
      </w:pPr>
      <w:r>
        <w:rPr>
          <w:rFonts w:hint="eastAsia" w:ascii="宋体" w:hAnsi="宋体"/>
          <w:color w:val="auto"/>
          <w:szCs w:val="21"/>
          <w:highlight w:val="none"/>
        </w:rPr>
        <w:t>第七章 质疑、投诉材料格式。</w:t>
      </w:r>
    </w:p>
    <w:p w14:paraId="372E08B9">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9.供应商的询问</w:t>
      </w:r>
    </w:p>
    <w:p w14:paraId="125BCFAA">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供应商应认真阅读磋商文件的采购需求，如供应商对磋商文件有疑问的，如要求采购人作出澄清或者修改的，</w:t>
      </w:r>
      <w:r>
        <w:rPr>
          <w:rFonts w:hint="eastAsia" w:ascii="宋体" w:hAnsi="宋体"/>
          <w:color w:val="auto"/>
          <w:szCs w:val="21"/>
          <w:highlight w:val="none"/>
          <w:lang w:eastAsia="zh-CN"/>
        </w:rPr>
        <w:t>供应商</w:t>
      </w:r>
      <w:r>
        <w:rPr>
          <w:rFonts w:hint="eastAsia" w:ascii="宋体" w:hAnsi="宋体"/>
          <w:color w:val="auto"/>
          <w:szCs w:val="21"/>
          <w:highlight w:val="none"/>
        </w:rPr>
        <w:t>应在提交首次响应文件截止之日前，以书面形式向采购人、采购代理机构提出。</w:t>
      </w:r>
    </w:p>
    <w:p w14:paraId="5C8E14A8">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10.磋商文件的澄清和修改</w:t>
      </w:r>
    </w:p>
    <w:p w14:paraId="055187AA">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10.1已获取磋商文件的潜在供应商，若有问题需要澄清，应于应标截止时间前，以书面形式向采购代理机构提出，采购代理机构与采购人研究后，对认为有必要回答的问题，按照本章10.3的内容处理。</w:t>
      </w:r>
    </w:p>
    <w:p w14:paraId="75AF7097">
      <w:pPr>
        <w:pageBreakBefore w:val="0"/>
        <w:widowControl w:val="0"/>
        <w:kinsoku/>
        <w:wordWrap/>
        <w:overflowPunct/>
        <w:topLinePunct w:val="0"/>
        <w:autoSpaceDE/>
        <w:autoSpaceDN/>
        <w:bidi w:val="0"/>
        <w:spacing w:line="380" w:lineRule="exact"/>
        <w:ind w:firstLine="422" w:firstLineChars="200"/>
        <w:rPr>
          <w:rFonts w:hint="eastAsia" w:ascii="宋体" w:hAnsi="宋体"/>
          <w:b/>
          <w:color w:val="auto"/>
          <w:szCs w:val="21"/>
          <w:highlight w:val="none"/>
        </w:rPr>
      </w:pPr>
      <w:r>
        <w:rPr>
          <w:rFonts w:hint="eastAsia" w:ascii="宋体" w:hAnsi="宋体"/>
          <w:b/>
          <w:color w:val="auto"/>
          <w:szCs w:val="21"/>
          <w:highlight w:val="none"/>
        </w:rPr>
        <w:t>10.2采购人或者采购代理机构可以对已发出的磋商文件进行必要的澄清或者修改，但不得改变采购标的和资格条件。澄清或者修改应当在原公告发布媒体上发布澄清公告。澄清或者修改的内容为磋商文件的组成部分。</w:t>
      </w:r>
    </w:p>
    <w:p w14:paraId="01C36194">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10.3提交首次响应文件截止之日前，采购人、采购代理机构或者磋商小组可以对已发出的磋商文件进行必要的澄清或者修改，澄清或者修改的内容作为磋商文件的组成部分。澄清或者修改的内容可能影响响应文件编制的，采购人、采购代理机构或者磋商小组在提交首次响应文件截止之日3个工作日前，以书面形式（目前为网上公告和系统短信等形式）通知所有获取磋商文件的供应商，不足3个工作日的，应当顺延提交首次响应文件截止之日。</w:t>
      </w:r>
    </w:p>
    <w:p w14:paraId="35937109">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10.4</w:t>
      </w:r>
      <w:r>
        <w:rPr>
          <w:rFonts w:hint="eastAsia" w:ascii="Arial" w:hAnsi="Arial" w:cs="Arial"/>
          <w:color w:val="auto"/>
          <w:highlight w:val="none"/>
          <w:shd w:val="clear" w:color="auto" w:fill="FFFFFF"/>
        </w:rPr>
        <w:t>采购信息更正公告的内容应当包括采购人和采购代理机构名称、地址、联系方式，原公告的采购项目名称及首次公告日期，更正事项、内容及日期，采购项目联系人和电话。</w:t>
      </w:r>
    </w:p>
    <w:p w14:paraId="62A6E20A">
      <w:pPr>
        <w:pageBreakBefore w:val="0"/>
        <w:widowControl w:val="0"/>
        <w:kinsoku/>
        <w:wordWrap/>
        <w:overflowPunct/>
        <w:topLinePunct w:val="0"/>
        <w:autoSpaceDE/>
        <w:autoSpaceDN/>
        <w:bidi w:val="0"/>
        <w:spacing w:line="380" w:lineRule="exact"/>
        <w:ind w:firstLine="420" w:firstLineChars="200"/>
        <w:rPr>
          <w:color w:val="auto"/>
          <w:highlight w:val="none"/>
        </w:rPr>
      </w:pPr>
      <w:r>
        <w:rPr>
          <w:rFonts w:hAnsi="宋体"/>
          <w:color w:val="auto"/>
          <w:highlight w:val="none"/>
        </w:rPr>
        <w:t xml:space="preserve">10.5  </w:t>
      </w:r>
      <w:r>
        <w:rPr>
          <w:rFonts w:hint="eastAsia"/>
          <w:color w:val="auto"/>
          <w:highlight w:val="none"/>
        </w:rPr>
        <w:t>采购人和采购代理机构可以视采购具体情况，变更</w:t>
      </w:r>
      <w:r>
        <w:rPr>
          <w:rFonts w:hint="eastAsia" w:hAnsi="宋体"/>
          <w:color w:val="auto"/>
          <w:highlight w:val="none"/>
        </w:rPr>
        <w:t>提交首次响应文件</w:t>
      </w:r>
      <w:r>
        <w:rPr>
          <w:rFonts w:hint="eastAsia"/>
          <w:color w:val="auto"/>
          <w:highlight w:val="none"/>
        </w:rPr>
        <w:t>截止时间和竞谈时间，将变更时间将在</w:t>
      </w:r>
      <w:r>
        <w:rPr>
          <w:rFonts w:hint="eastAsia" w:hAnsi="宋体"/>
          <w:color w:val="auto"/>
          <w:highlight w:val="none"/>
        </w:rPr>
        <w:t>“采购文件公告”中“七、其他补充事宜</w:t>
      </w:r>
      <w:r>
        <w:rPr>
          <w:rFonts w:hAnsi="宋体"/>
          <w:color w:val="auto"/>
          <w:highlight w:val="none"/>
        </w:rPr>
        <w:t>3.</w:t>
      </w:r>
      <w:r>
        <w:rPr>
          <w:rFonts w:hint="eastAsia" w:hAnsi="宋体"/>
          <w:color w:val="auto"/>
          <w:highlight w:val="none"/>
        </w:rPr>
        <w:t>网上查询地址”</w:t>
      </w:r>
      <w:r>
        <w:rPr>
          <w:rFonts w:hint="eastAsia" w:cs="宋体"/>
          <w:color w:val="auto"/>
          <w:highlight w:val="none"/>
        </w:rPr>
        <w:t>规定的政府采购信息发布媒体上</w:t>
      </w:r>
      <w:r>
        <w:rPr>
          <w:rFonts w:hint="eastAsia"/>
          <w:color w:val="auto"/>
          <w:highlight w:val="none"/>
        </w:rPr>
        <w:t>发布更正公告。</w:t>
      </w:r>
    </w:p>
    <w:p w14:paraId="2E1A5928">
      <w:pPr>
        <w:pageBreakBefore w:val="0"/>
        <w:widowControl w:val="0"/>
        <w:kinsoku/>
        <w:wordWrap/>
        <w:overflowPunct/>
        <w:topLinePunct w:val="0"/>
        <w:autoSpaceDE/>
        <w:autoSpaceDN/>
        <w:bidi w:val="0"/>
        <w:spacing w:line="380" w:lineRule="exact"/>
        <w:ind w:firstLine="400" w:firstLineChars="200"/>
        <w:rPr>
          <w:rFonts w:ascii="宋体" w:hAnsi="Courier New"/>
          <w:color w:val="auto"/>
          <w:kern w:val="0"/>
          <w:sz w:val="20"/>
          <w:szCs w:val="21"/>
          <w:highlight w:val="none"/>
        </w:rPr>
      </w:pPr>
      <w:r>
        <w:rPr>
          <w:rFonts w:hint="eastAsia" w:ascii="宋体" w:hAnsi="Courier New"/>
          <w:color w:val="auto"/>
          <w:kern w:val="0"/>
          <w:sz w:val="20"/>
          <w:szCs w:val="21"/>
          <w:highlight w:val="none"/>
        </w:rPr>
        <w:t>▲</w:t>
      </w:r>
      <w:r>
        <w:rPr>
          <w:rFonts w:hint="eastAsia" w:ascii="宋体" w:hAnsi="Courier New"/>
          <w:b/>
          <w:color w:val="auto"/>
          <w:kern w:val="0"/>
          <w:sz w:val="20"/>
          <w:szCs w:val="21"/>
          <w:highlight w:val="none"/>
        </w:rPr>
        <w:t>响应文件未按磋商文件的澄清、修改的内容编制，又不符合实质性要求的，其响应文件作无效处理。</w:t>
      </w:r>
    </w:p>
    <w:p w14:paraId="56AEDC30">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44" w:name="_Toc2002"/>
      <w:r>
        <w:rPr>
          <w:rFonts w:hint="eastAsia" w:ascii="宋体" w:hAnsi="宋体"/>
          <w:color w:val="auto"/>
          <w:sz w:val="24"/>
          <w:highlight w:val="none"/>
        </w:rPr>
        <w:t>三、响应文件的编制</w:t>
      </w:r>
      <w:bookmarkEnd w:id="44"/>
    </w:p>
    <w:p w14:paraId="38DCEFAF">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11.响应文件的编制原则</w:t>
      </w:r>
    </w:p>
    <w:p w14:paraId="264B74C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供应商必须按照磋商文件的要求编制响应文件，并对其提交的响应文件的真实性、合法性承担法律责任。响应文件必须对磋商文件作出实质性响应。</w:t>
      </w:r>
    </w:p>
    <w:p w14:paraId="202114EB">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12.响应文件的组成</w:t>
      </w:r>
    </w:p>
    <w:p w14:paraId="15AAD39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12.1响应文件由资格证明文件、报价文件、商务和技术文件三部分组成。</w:t>
      </w:r>
    </w:p>
    <w:p w14:paraId="36556AF7">
      <w:pPr>
        <w:pageBreakBefore w:val="0"/>
        <w:widowControl w:val="0"/>
        <w:kinsoku/>
        <w:wordWrap/>
        <w:overflowPunct/>
        <w:topLinePunct w:val="0"/>
        <w:autoSpaceDE/>
        <w:autoSpaceDN/>
        <w:bidi w:val="0"/>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12.1.1资格证明文件：详见须知前附表</w:t>
      </w:r>
    </w:p>
    <w:p w14:paraId="17D98F0E">
      <w:pPr>
        <w:pageBreakBefore w:val="0"/>
        <w:widowControl w:val="0"/>
        <w:kinsoku/>
        <w:wordWrap/>
        <w:overflowPunct/>
        <w:topLinePunct w:val="0"/>
        <w:autoSpaceDE/>
        <w:autoSpaceDN/>
        <w:bidi w:val="0"/>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12.1.2商务技术文件：详见须知前附表</w:t>
      </w:r>
    </w:p>
    <w:p w14:paraId="70B88544">
      <w:pPr>
        <w:pageBreakBefore w:val="0"/>
        <w:widowControl w:val="0"/>
        <w:kinsoku/>
        <w:wordWrap/>
        <w:overflowPunct/>
        <w:topLinePunct w:val="0"/>
        <w:autoSpaceDE/>
        <w:autoSpaceDN/>
        <w:bidi w:val="0"/>
        <w:spacing w:line="380" w:lineRule="exact"/>
        <w:ind w:left="420" w:leftChars="200"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12.1.3报价文件：详见须知前附表</w:t>
      </w:r>
    </w:p>
    <w:p w14:paraId="0A8C4F4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12.2响应文件电子版：详见须知前附表</w:t>
      </w:r>
    </w:p>
    <w:p w14:paraId="44F1B605">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13.计量单位</w:t>
      </w:r>
    </w:p>
    <w:p w14:paraId="50EB7DD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磋商文件已有明确规定的，使用磋商文件规定的计量单位；磋商文件没有规定的，应采用中华人民共和国法定计量单位，货币种类为人民币，否则视同未响应。</w:t>
      </w:r>
    </w:p>
    <w:p w14:paraId="042FB048">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14.竞标的风险</w:t>
      </w:r>
    </w:p>
    <w:p w14:paraId="69DB140E">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供应商没有按照磋商文件要求提供全部资料，或者供应商没有对磋商文件在各方面作出实质性响应可能导致其响应无效，是供应商应当考虑的风险。</w:t>
      </w:r>
    </w:p>
    <w:p w14:paraId="1DCDC9C7">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15.响应报价要求和构成</w:t>
      </w:r>
    </w:p>
    <w:p w14:paraId="67E96E6D">
      <w:pPr>
        <w:pageBreakBefore w:val="0"/>
        <w:widowControl w:val="0"/>
        <w:tabs>
          <w:tab w:val="left" w:pos="2492"/>
        </w:tabs>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15.1响应报价应按“第五章 响应文件格式”中“响应报价表”格式填写。</w:t>
      </w:r>
    </w:p>
    <w:p w14:paraId="062D337B">
      <w:pPr>
        <w:pageBreakBefore w:val="0"/>
        <w:widowControl w:val="0"/>
        <w:tabs>
          <w:tab w:val="left" w:pos="2492"/>
        </w:tabs>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15.2响应报价的价格构成见“供应商须知前附表”。</w:t>
      </w:r>
    </w:p>
    <w:p w14:paraId="7C46B4D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15.3响应报价要求</w:t>
      </w:r>
    </w:p>
    <w:p w14:paraId="3DE9827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15.3.1供应商的响应报价应符合以下要求，否则响应文件按无效响应处理：</w:t>
      </w:r>
    </w:p>
    <w:p w14:paraId="43E9062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（1）供应商必须就“采购需求”中所竞标的每个分标的全部内容分别作完整唯一总价报价，不得存在漏项报价；</w:t>
      </w:r>
    </w:p>
    <w:p w14:paraId="05ACC33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（2）供应商必须就所竞标的分标的单项内容作唯一报价。</w:t>
      </w:r>
    </w:p>
    <w:p w14:paraId="2CABAA4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15.3.2响应报价（包含首次报价、最后报价）超过所竞标分标规定的采购预算金额或者最高限价的，其响应文件将作无效处理。</w:t>
      </w:r>
    </w:p>
    <w:p w14:paraId="05C7BB28">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15.3.3</w:t>
      </w:r>
      <w:bookmarkStart w:id="45" w:name="_Hlk42592874"/>
      <w:r>
        <w:rPr>
          <w:rFonts w:hint="eastAsia" w:ascii="宋体" w:hAnsi="宋体" w:cs="宋体"/>
          <w:color w:val="auto"/>
          <w:szCs w:val="21"/>
          <w:highlight w:val="none"/>
        </w:rPr>
        <w:t>响应报价（包含首次报价、最后报价）超过分项采购预算金额或者最高限价的，其响应文件将作无效处理。</w:t>
      </w:r>
    </w:p>
    <w:bookmarkEnd w:id="45"/>
    <w:p w14:paraId="2D47BCDE">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16.竞标有效期</w:t>
      </w:r>
    </w:p>
    <w:p w14:paraId="4893CD9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16.1竞标有效期是指为保证采购人有足够的时间在提交响应文件后完成评审、确定成交供应商、合同签订等工作而要求供应商提交的响应文件在一定时间内保持有效的期限。</w:t>
      </w:r>
    </w:p>
    <w:p w14:paraId="72CD1B80">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16.2 竞标有效期应由供应商按“供应商须知前附表”规定的期限作出响应。</w:t>
      </w:r>
    </w:p>
    <w:p w14:paraId="77DCC37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16.3供应商的响应文件在竞标有效期内均保持有效。</w:t>
      </w:r>
    </w:p>
    <w:p w14:paraId="217F9529">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17.磋商保证金</w:t>
      </w:r>
    </w:p>
    <w:p w14:paraId="1D7833B8">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08D6A735">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18.响应文件编制的要求</w:t>
      </w:r>
    </w:p>
    <w:p w14:paraId="5DF8C36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18.1各供应商在编制响应文件时请按照磋商文件“第五章 响应文件格式”规定的格式进行，混乱的编排导致响应文件被误读或磋商小组查找不到有效文件是供应商的风险。不完整、编排混乱导致响应文件被误读、漏读或者查找不到相关内容的，</w:t>
      </w:r>
      <w:r>
        <w:rPr>
          <w:rFonts w:hint="eastAsia" w:ascii="宋体" w:hAnsi="宋体" w:cs="宋体"/>
          <w:color w:val="auto"/>
          <w:highlight w:val="none"/>
        </w:rPr>
        <w:t>由此引发的</w:t>
      </w:r>
      <w:r>
        <w:rPr>
          <w:rFonts w:hint="eastAsia" w:ascii="宋体" w:hAnsi="宋体" w:cs="宋体"/>
          <w:color w:val="auto"/>
          <w:szCs w:val="21"/>
          <w:highlight w:val="none"/>
        </w:rPr>
        <w:t>后果由供应商承担。</w:t>
      </w:r>
    </w:p>
    <w:p w14:paraId="4A2D0A3E">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18.2响应文件应按资格证明、报价分别编制，商务技术文件合并编制，本磋商只接受电子版响应文件，要求见本章“12.2响应文件电子版要求”。</w:t>
      </w:r>
    </w:p>
    <w:p w14:paraId="42014AB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w:t>
      </w:r>
      <w:bookmarkStart w:id="46" w:name="_Hlk65832699"/>
      <w:r>
        <w:rPr>
          <w:rFonts w:hint="eastAsia" w:ascii="宋体" w:hAnsi="宋体" w:cs="宋体"/>
          <w:color w:val="auto"/>
          <w:szCs w:val="21"/>
          <w:highlight w:val="none"/>
        </w:rPr>
        <w:t>3</w:t>
      </w:r>
      <w:r>
        <w:rPr>
          <w:rFonts w:hint="eastAsia" w:ascii="宋体" w:hAnsi="宋体"/>
          <w:color w:val="auto"/>
          <w:szCs w:val="21"/>
          <w:highlight w:val="none"/>
        </w:rPr>
        <w:t>响应文件须由供应商在</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第五章 响应文件格式</w:t>
      </w:r>
      <w:r>
        <w:rPr>
          <w:rFonts w:hint="eastAsia" w:ascii="宋体" w:hAnsi="宋体" w:cs="仿宋_GB2312"/>
          <w:color w:val="auto"/>
          <w:kern w:val="0"/>
          <w:szCs w:val="21"/>
          <w:highlight w:val="none"/>
          <w:lang w:val="zh-CN"/>
        </w:rPr>
        <w:t>”</w:t>
      </w:r>
      <w:r>
        <w:rPr>
          <w:rFonts w:hint="eastAsia" w:ascii="宋体" w:hAnsi="宋体"/>
          <w:color w:val="auto"/>
          <w:szCs w:val="21"/>
          <w:highlight w:val="none"/>
        </w:rPr>
        <w:t>规定位置</w:t>
      </w:r>
      <w:r>
        <w:rPr>
          <w:rFonts w:hint="eastAsia" w:ascii="宋体" w:hAnsi="宋体" w:cs="仿宋_GB2312"/>
          <w:color w:val="auto"/>
          <w:szCs w:val="21"/>
          <w:highlight w:val="none"/>
        </w:rPr>
        <w:t>进行签署、盖章</w:t>
      </w:r>
      <w:bookmarkEnd w:id="46"/>
      <w:r>
        <w:rPr>
          <w:rFonts w:hint="eastAsia" w:ascii="宋体" w:hAnsi="宋体" w:cs="宋体"/>
          <w:color w:val="auto"/>
          <w:szCs w:val="21"/>
          <w:highlight w:val="none"/>
        </w:rPr>
        <w:t>，否则其响应文件按无效响应处理。骑缝盖公章不视为在规定位置盖章。</w:t>
      </w:r>
    </w:p>
    <w:p w14:paraId="5A0A517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18.4响应文件中标注的供应商名称应与营业执照（事业单位法人证书、执业许可证、自然人身份证）及电子公章一致，否则其响应文件按无效响应处理。</w:t>
      </w:r>
    </w:p>
    <w:p w14:paraId="3F2C483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18.5响应文件应避免涂改、行间插字或者删除，否则其响应文件按无效响应处理。</w:t>
      </w:r>
    </w:p>
    <w:p w14:paraId="7B9E3BB5">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19.响应文件的密封和标记</w:t>
      </w:r>
    </w:p>
    <w:p w14:paraId="0427B5AC">
      <w:pPr>
        <w:pageBreakBefore w:val="0"/>
        <w:widowControl w:val="0"/>
        <w:kinsoku/>
        <w:wordWrap/>
        <w:overflowPunct/>
        <w:topLinePunct w:val="0"/>
        <w:autoSpaceDE/>
        <w:autoSpaceDN/>
        <w:bidi w:val="0"/>
        <w:spacing w:line="380" w:lineRule="exact"/>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19.1供应商进行电子交易应安装客户端软件—“广西政府采购云电子交易客户端”，并按照磋商文件和电子交易平台的要求编制并加密响应文件。供应商未按规定加密的响应文件，电子交易平台将拒收并提示。</w:t>
      </w:r>
    </w:p>
    <w:p w14:paraId="59C0D5FC">
      <w:pPr>
        <w:pageBreakBefore w:val="0"/>
        <w:widowControl w:val="0"/>
        <w:kinsoku/>
        <w:wordWrap/>
        <w:overflowPunct/>
        <w:topLinePunct w:val="0"/>
        <w:autoSpaceDE/>
        <w:autoSpaceDN/>
        <w:bidi w:val="0"/>
        <w:spacing w:line="380" w:lineRule="exact"/>
        <w:ind w:firstLine="420" w:firstLineChars="200"/>
        <w:rPr>
          <w:rFonts w:hint="eastAsia"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19.2使用“广西政府采购云电子交易客户端”需要提前申领CA数字证书，申领流程见该项目采购公告附件。</w:t>
      </w:r>
    </w:p>
    <w:p w14:paraId="212D3919">
      <w:pPr>
        <w:pStyle w:val="15"/>
        <w:pageBreakBefore w:val="0"/>
        <w:widowControl w:val="0"/>
        <w:kinsoku/>
        <w:wordWrap/>
        <w:overflowPunct/>
        <w:topLinePunct w:val="0"/>
        <w:autoSpaceDE/>
        <w:autoSpaceDN/>
        <w:bidi w:val="0"/>
        <w:spacing w:line="380" w:lineRule="exact"/>
        <w:ind w:firstLine="420" w:firstLineChars="200"/>
        <w:rPr>
          <w:rFonts w:hint="eastAsia" w:hAnsi="宋体" w:cs="仿宋_GB2312"/>
          <w:color w:val="auto"/>
          <w:sz w:val="21"/>
          <w:highlight w:val="none"/>
        </w:rPr>
      </w:pPr>
      <w:r>
        <w:rPr>
          <w:rFonts w:hint="eastAsia" w:hAnsi="宋体" w:cs="仿宋_GB2312"/>
          <w:color w:val="auto"/>
          <w:sz w:val="21"/>
          <w:highlight w:val="none"/>
        </w:rPr>
        <w:t>19.3为确保网上操作合法、有效和安全，供应商应当在响应文件提交截止时间前完成在“政府采购云平台”的身份认证，确保在电子交易过程中能够对相关数据电文进行加密和使用电子签名。</w:t>
      </w:r>
    </w:p>
    <w:p w14:paraId="33D04E8D">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20.响应文件的提交</w:t>
      </w:r>
    </w:p>
    <w:p w14:paraId="2586258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20.1供应商必须在“供应商须知前附表”规定的时间和地点提交响应文件。</w:t>
      </w:r>
    </w:p>
    <w:p w14:paraId="42445945">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20</w:t>
      </w:r>
      <w:r>
        <w:rPr>
          <w:rFonts w:hint="eastAsia" w:ascii="宋体" w:hAnsi="宋体"/>
          <w:color w:val="auto"/>
          <w:szCs w:val="21"/>
          <w:highlight w:val="none"/>
        </w:rPr>
        <w:t>.2 在响应文件提交截止时间以后，不能补充、修改响应文件。</w:t>
      </w:r>
    </w:p>
    <w:p w14:paraId="6F5DC475">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20.3 在提交“最后报价”后，供应商不能退出谈判。</w:t>
      </w:r>
    </w:p>
    <w:p w14:paraId="5015722E">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20.4 电子交易平台收到响应文件，将妥善保存并即时向供应商发出确认回执通知。在响应文件提交截止时间前，除供应商补充、修改或者撤回响应文件外，任何单位和个人不得解密或提取响应文件。</w:t>
      </w:r>
    </w:p>
    <w:p w14:paraId="3B9E95BB">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20.5 采购机构不可视情况延长提交响应文件的截止时间。</w:t>
      </w:r>
    </w:p>
    <w:p w14:paraId="0466095B">
      <w:pPr>
        <w:pageBreakBefore w:val="0"/>
        <w:widowControl w:val="0"/>
        <w:kinsoku/>
        <w:wordWrap/>
        <w:overflowPunct/>
        <w:topLinePunct w:val="0"/>
        <w:autoSpaceDE/>
        <w:autoSpaceDN/>
        <w:bidi w:val="0"/>
        <w:spacing w:line="380" w:lineRule="exact"/>
        <w:ind w:firstLine="420" w:firstLineChars="200"/>
        <w:rPr>
          <w:rFonts w:hint="eastAsia" w:ascii="黑体" w:hAnsi="黑体" w:eastAsia="黑体"/>
          <w:color w:val="auto"/>
          <w:sz w:val="24"/>
          <w:highlight w:val="none"/>
        </w:rPr>
      </w:pPr>
      <w:r>
        <w:rPr>
          <w:rFonts w:hint="eastAsia" w:ascii="宋体" w:hAnsi="宋体"/>
          <w:color w:val="auto"/>
          <w:szCs w:val="21"/>
          <w:highlight w:val="none"/>
        </w:rPr>
        <w:t>20.6备份响应文件。</w:t>
      </w:r>
      <w:r>
        <w:rPr>
          <w:rFonts w:hint="eastAsia" w:ascii="宋体" w:hAnsi="宋体"/>
          <w:color w:val="auto"/>
          <w:szCs w:val="21"/>
          <w:highlight w:val="none"/>
          <w:lang w:eastAsia="zh-CN"/>
        </w:rPr>
        <w:t>详见</w:t>
      </w:r>
      <w:r>
        <w:rPr>
          <w:rFonts w:hint="eastAsia" w:hAnsi="宋体"/>
          <w:bCs/>
          <w:color w:val="auto"/>
          <w:szCs w:val="21"/>
          <w:highlight w:val="none"/>
        </w:rPr>
        <w:t>“供应商须知前附表”。</w:t>
      </w:r>
    </w:p>
    <w:p w14:paraId="13B7CC52">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21.首次响应文件的补充、修改与撤回</w:t>
      </w:r>
    </w:p>
    <w:p w14:paraId="64AF50F5">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详见“供应商须知前附表”。</w:t>
      </w:r>
    </w:p>
    <w:p w14:paraId="4AA17523">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bookmarkStart w:id="47" w:name="_Hlk45702405"/>
      <w:r>
        <w:rPr>
          <w:rFonts w:hint="eastAsia" w:ascii="黑体" w:hAnsi="黑体" w:eastAsia="黑体" w:cs="宋体"/>
          <w:b/>
          <w:bCs/>
          <w:color w:val="auto"/>
          <w:sz w:val="24"/>
          <w:highlight w:val="none"/>
        </w:rPr>
        <w:t>22. 首次响应文件的退回</w:t>
      </w:r>
    </w:p>
    <w:p w14:paraId="4F126E0C">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在首次响应文件提交截止时间止提交响应文件的供应商不足3家时电子响应文件由代理机构在“广西政府采购云”平台操作退回，除此之外采购人和采购代理机构对已提交的电子响应文件概不退回。</w:t>
      </w:r>
    </w:p>
    <w:p w14:paraId="5199CEFE">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23. 截止时间后的撤回</w:t>
      </w:r>
    </w:p>
    <w:p w14:paraId="562D0CA1">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本项目不收取磋商保证金，供应商在首次响应文件提交截止时间后可向采购人、采购代理机构书面申请撤回电子响应文件。</w:t>
      </w:r>
      <w:bookmarkEnd w:id="47"/>
    </w:p>
    <w:p w14:paraId="36F07854">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48" w:name="_Toc31638"/>
      <w:r>
        <w:rPr>
          <w:rFonts w:hint="eastAsia" w:ascii="宋体" w:hAnsi="宋体"/>
          <w:color w:val="auto"/>
          <w:sz w:val="24"/>
          <w:highlight w:val="none"/>
        </w:rPr>
        <w:t>四、评审及磋商</w:t>
      </w:r>
      <w:bookmarkEnd w:id="48"/>
    </w:p>
    <w:p w14:paraId="4695F744">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24.磋商小组成立</w:t>
      </w:r>
    </w:p>
    <w:p w14:paraId="2143A9A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24.1磋商小组由采购人代表和评审专家共3人以上单数组成，其中评审专家人数不得少于磋商小组成员总数的2/3。采购人代表不得以评审专家身份参加本部门或者本单位采购项目的评审。采购代理机构人员不得参加本机构代理的采购项目的评审。达到公开招标数额标准的货物或者服务采购项目，或者达到公开招标规模标准的政府采购工程，经批准采用竞争性磋商方式采购的，磋商小组由5人以上单数组成。</w:t>
      </w:r>
    </w:p>
    <w:p w14:paraId="0E01CAA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24.2评审专家应当从政府采购评审专家库内相关专业的专家名单中随机抽取。市场竞争不充分的科研项目，以及需要扶持的科技成果转化项目，以及情况特殊、通过随机方式难以确定合适的评审专家的项目，经主管预算单位同意，可以自行选定评审专家。技术复杂、专业性强的采购项目，评审专家中应当包含1名法律专家。</w:t>
      </w:r>
    </w:p>
    <w:p w14:paraId="3B478D19">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25.首次响应文件的开启</w:t>
      </w:r>
    </w:p>
    <w:p w14:paraId="56E4567A">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25.1首次响应文件由磋商小组或者采购代理机构在“供应商须知前附表”规定的时间开启。</w:t>
      </w:r>
    </w:p>
    <w:p w14:paraId="716D26FB">
      <w:pPr>
        <w:pStyle w:val="15"/>
        <w:pageBreakBefore w:val="0"/>
        <w:widowControl w:val="0"/>
        <w:kinsoku/>
        <w:wordWrap/>
        <w:overflowPunct/>
        <w:topLinePunct w:val="0"/>
        <w:autoSpaceDE/>
        <w:autoSpaceDN/>
        <w:bidi w:val="0"/>
        <w:spacing w:line="380" w:lineRule="exact"/>
        <w:ind w:firstLine="420" w:firstLineChars="200"/>
        <w:rPr>
          <w:rFonts w:hint="eastAsia" w:hAnsi="宋体"/>
          <w:bCs/>
          <w:color w:val="auto"/>
          <w:sz w:val="21"/>
          <w:highlight w:val="none"/>
        </w:rPr>
      </w:pPr>
      <w:r>
        <w:rPr>
          <w:rFonts w:hint="eastAsia" w:hAnsi="宋体" w:cs="宋体"/>
          <w:color w:val="auto"/>
          <w:sz w:val="21"/>
          <w:highlight w:val="none"/>
        </w:rPr>
        <w:t xml:space="preserve">25.2 </w:t>
      </w:r>
      <w:r>
        <w:rPr>
          <w:rFonts w:hint="eastAsia" w:hAnsi="宋体"/>
          <w:bCs/>
          <w:color w:val="auto"/>
          <w:sz w:val="21"/>
          <w:highlight w:val="none"/>
        </w:rPr>
        <w:t>响应文件解密</w:t>
      </w:r>
    </w:p>
    <w:p w14:paraId="5E91D7EA">
      <w:pPr>
        <w:pStyle w:val="15"/>
        <w:pageBreakBefore w:val="0"/>
        <w:widowControl w:val="0"/>
        <w:kinsoku/>
        <w:wordWrap/>
        <w:overflowPunct/>
        <w:topLinePunct w:val="0"/>
        <w:autoSpaceDE/>
        <w:autoSpaceDN/>
        <w:bidi w:val="0"/>
        <w:snapToGrid w:val="0"/>
        <w:spacing w:line="380" w:lineRule="exact"/>
        <w:ind w:firstLine="420" w:firstLineChars="200"/>
        <w:rPr>
          <w:rFonts w:hint="eastAsia" w:hAnsi="宋体"/>
          <w:color w:val="auto"/>
          <w:sz w:val="21"/>
          <w:highlight w:val="none"/>
        </w:rPr>
      </w:pPr>
      <w:r>
        <w:rPr>
          <w:rFonts w:hint="eastAsia" w:hAnsi="宋体"/>
          <w:bCs/>
          <w:color w:val="auto"/>
          <w:sz w:val="21"/>
          <w:highlight w:val="none"/>
        </w:rPr>
        <w:t>采购代理机构将在“供应商须知前附表”规定的时</w:t>
      </w:r>
      <w:r>
        <w:rPr>
          <w:rFonts w:hint="eastAsia" w:hAnsi="宋体"/>
          <w:color w:val="auto"/>
          <w:sz w:val="21"/>
          <w:highlight w:val="none"/>
        </w:rPr>
        <w:t>间通过电子交易平台组织响应文件开启，采购机构依托电子交易平台发起开始解密指令，供应商的法定代表人或其委托代理人</w:t>
      </w:r>
      <w:r>
        <w:rPr>
          <w:rFonts w:hint="eastAsia" w:hAnsi="宋体"/>
          <w:b/>
          <w:color w:val="auto"/>
          <w:sz w:val="21"/>
          <w:highlight w:val="none"/>
        </w:rPr>
        <w:t>须携带加密时所用的CA锁按平台提示和采购文件的规定登录到“广西政府采购云”平台电子开标大厅签到并在发起解密指令之时起30分钟内完成对电子响应文件在线解密</w:t>
      </w:r>
      <w:r>
        <w:rPr>
          <w:rFonts w:hint="eastAsia" w:hAnsi="宋体"/>
          <w:color w:val="auto"/>
          <w:sz w:val="21"/>
          <w:highlight w:val="none"/>
        </w:rPr>
        <w:t>。发起解密指令之时起5分钟内供应商还未进行解密的，代理机构要通知供应商，供应商没预留联系方式或预留联系方式无效，导致代理机构无法联系到供应商进行解密的，</w:t>
      </w:r>
      <w:r>
        <w:rPr>
          <w:rFonts w:hint="eastAsia" w:hAnsi="宋体"/>
          <w:b/>
          <w:color w:val="auto"/>
          <w:sz w:val="21"/>
          <w:highlight w:val="none"/>
        </w:rPr>
        <w:t>视为响应文件无效。</w:t>
      </w:r>
      <w:r>
        <w:rPr>
          <w:rFonts w:hint="eastAsia" w:hAnsi="宋体"/>
          <w:color w:val="auto"/>
          <w:sz w:val="21"/>
          <w:highlight w:val="none"/>
        </w:rPr>
        <w:t>（解密</w:t>
      </w:r>
      <w:r>
        <w:rPr>
          <w:rFonts w:hint="eastAsia" w:hAnsi="宋体"/>
          <w:bCs/>
          <w:color w:val="auto"/>
          <w:sz w:val="21"/>
          <w:highlight w:val="none"/>
        </w:rPr>
        <w:t>异常情况处理：详见本章</w:t>
      </w:r>
      <w:r>
        <w:rPr>
          <w:rFonts w:hint="eastAsia" w:hAnsi="宋体"/>
          <w:color w:val="auto"/>
          <w:sz w:val="21"/>
          <w:highlight w:val="none"/>
        </w:rPr>
        <w:t>26.3 电子交易活动的中止。）</w:t>
      </w:r>
    </w:p>
    <w:p w14:paraId="3EC99DC4">
      <w:pPr>
        <w:pStyle w:val="15"/>
        <w:pageBreakBefore w:val="0"/>
        <w:widowControl w:val="0"/>
        <w:kinsoku/>
        <w:wordWrap/>
        <w:overflowPunct/>
        <w:topLinePunct w:val="0"/>
        <w:autoSpaceDE/>
        <w:autoSpaceDN/>
        <w:bidi w:val="0"/>
        <w:spacing w:line="380" w:lineRule="exact"/>
        <w:ind w:firstLine="420" w:firstLineChars="200"/>
        <w:rPr>
          <w:color w:val="auto"/>
          <w:sz w:val="21"/>
          <w:highlight w:val="none"/>
        </w:rPr>
      </w:pPr>
      <w:r>
        <w:rPr>
          <w:rFonts w:hint="eastAsia" w:hAnsi="宋体"/>
          <w:color w:val="auto"/>
          <w:sz w:val="21"/>
          <w:highlight w:val="none"/>
        </w:rPr>
        <w:t>如</w:t>
      </w:r>
      <w:r>
        <w:rPr>
          <w:rFonts w:hint="eastAsia" w:hAnsi="宋体"/>
          <w:bCs/>
          <w:color w:val="auto"/>
          <w:sz w:val="21"/>
          <w:highlight w:val="none"/>
        </w:rPr>
        <w:t>供应商成功解密响应文件，但未在“广西政府采购云”电子开标大厅参加谈判的，视同认可谈判过程和结果，</w:t>
      </w:r>
      <w:r>
        <w:rPr>
          <w:rFonts w:hint="eastAsia" w:hAnsi="宋体"/>
          <w:color w:val="auto"/>
          <w:sz w:val="21"/>
          <w:highlight w:val="none"/>
        </w:rPr>
        <w:t>由此产生的后果由供应商自行负责。 参与谈判的供应商</w:t>
      </w:r>
      <w:r>
        <w:rPr>
          <w:rFonts w:hint="eastAsia"/>
          <w:color w:val="auto"/>
          <w:sz w:val="21"/>
          <w:highlight w:val="none"/>
        </w:rPr>
        <w:t>不足3家的，不得谈判。</w:t>
      </w:r>
    </w:p>
    <w:p w14:paraId="2A7E94D0">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26.评审程序、评审方法和评审标准</w:t>
      </w:r>
    </w:p>
    <w:p w14:paraId="2CC7F0C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26.1磋商小组按照“第四章 评审程序、评审方法和评审标准”规定的方法、评审因素、标准和程序对响应文件进行评审。</w:t>
      </w:r>
    </w:p>
    <w:p w14:paraId="08CDD9E4">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olor w:val="auto"/>
          <w:szCs w:val="21"/>
          <w:highlight w:val="none"/>
        </w:rPr>
        <w:t xml:space="preserve">26.2 </w:t>
      </w:r>
      <w:r>
        <w:rPr>
          <w:rFonts w:hint="eastAsia" w:ascii="宋体" w:hAnsi="宋体" w:cs="宋体"/>
          <w:color w:val="auto"/>
          <w:szCs w:val="21"/>
          <w:highlight w:val="none"/>
        </w:rPr>
        <w:t>磋商文件内容违反国家有关强制性规定的，磋商小组应当停止评审并向采购人或者采购代理机构说明情况，并在评审报告中书面体现。</w:t>
      </w:r>
    </w:p>
    <w:p w14:paraId="7551367F">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s="宋体"/>
          <w:color w:val="auto"/>
          <w:szCs w:val="21"/>
          <w:highlight w:val="none"/>
        </w:rPr>
        <w:t xml:space="preserve">26.3 </w:t>
      </w:r>
      <w:r>
        <w:rPr>
          <w:rFonts w:hint="eastAsia" w:ascii="宋体" w:hAnsi="宋体"/>
          <w:color w:val="auto"/>
          <w:szCs w:val="21"/>
          <w:highlight w:val="none"/>
        </w:rPr>
        <w:t>采购需求负偏离要求及磋商顺序详见 “ 供应商须知前附表”。</w:t>
      </w:r>
    </w:p>
    <w:p w14:paraId="7F414C47">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26.4电子交易活动的中止。采购过程中出现以下情形，导致电子交易平台无法正常运行，或者无法保证电子交易的公平、公正和安全时，采购机构可中止电子交易活动：</w:t>
      </w:r>
    </w:p>
    <w:p w14:paraId="74392ACD">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 xml:space="preserve">（1）电子交易平台发生故障而无法登录访问的； </w:t>
      </w:r>
    </w:p>
    <w:p w14:paraId="548B8ECF">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（2）电子交易平台应用或数据库出现错误，不能进行正常操作的；</w:t>
      </w:r>
    </w:p>
    <w:p w14:paraId="3ADC8C8C">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（3）电子交易平台发现严重安全漏洞，有潜在泄密危险的；</w:t>
      </w:r>
    </w:p>
    <w:p w14:paraId="743AAE02">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 xml:space="preserve">（4）病毒发作导致不能进行正常操作的； </w:t>
      </w:r>
    </w:p>
    <w:p w14:paraId="53662340">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（5）其他无法保证电子交易的公平、公正和安全的情况。</w:t>
      </w:r>
    </w:p>
    <w:p w14:paraId="64705F5E">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highlight w:val="none"/>
        </w:rPr>
      </w:pPr>
      <w:r>
        <w:rPr>
          <w:rFonts w:hint="eastAsia" w:ascii="宋体" w:hAnsi="宋体"/>
          <w:color w:val="auto"/>
          <w:highlight w:val="none"/>
        </w:rPr>
        <w:t>26.5出现以上情形，不影响采购公平、公正性的，采购组织机构可以待上述情形消除后继续组织电子交易活动；影响或可能影响采购公平、公正性的，经采购代理机构确认后，应当重新采购。采购代理机构必须对原有的资料及信息作出妥善保密处理，并报财政部门备案。</w:t>
      </w:r>
    </w:p>
    <w:p w14:paraId="03861C96">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49" w:name="_Toc2223"/>
      <w:r>
        <w:rPr>
          <w:rFonts w:hint="eastAsia" w:ascii="宋体" w:hAnsi="宋体"/>
          <w:color w:val="auto"/>
          <w:sz w:val="24"/>
          <w:highlight w:val="none"/>
        </w:rPr>
        <w:t>五、成交及合同</w:t>
      </w:r>
      <w:bookmarkEnd w:id="49"/>
    </w:p>
    <w:p w14:paraId="0535DDF7">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27.确定成交供应商及结果公告</w:t>
      </w:r>
    </w:p>
    <w:p w14:paraId="5236305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27.1确定成交供应商。</w:t>
      </w:r>
      <w:r>
        <w:rPr>
          <w:rFonts w:hint="eastAsia" w:ascii="宋体" w:hAnsi="宋体" w:cs="宋体"/>
          <w:color w:val="auto"/>
          <w:kern w:val="0"/>
          <w:szCs w:val="21"/>
          <w:highlight w:val="none"/>
          <w:u w:val="single"/>
        </w:rPr>
        <w:t xml:space="preserve"> 由采购人直接委托评审专家确定</w:t>
      </w:r>
      <w:r>
        <w:rPr>
          <w:rFonts w:hint="eastAsia" w:ascii="宋体" w:hAnsi="宋体" w:cs="宋体"/>
          <w:color w:val="auto"/>
          <w:szCs w:val="21"/>
          <w:highlight w:val="none"/>
          <w:u w:val="single"/>
        </w:rPr>
        <w:t>，评审报告提出的排序第一的供应商为成交供应商。</w:t>
      </w:r>
    </w:p>
    <w:p w14:paraId="5BFF13C6">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27.2成交通知及成交结果公告。</w:t>
      </w:r>
      <w:r>
        <w:rPr>
          <w:rFonts w:hint="eastAsia" w:ascii="宋体" w:hAnsi="宋体" w:cs="宋体"/>
          <w:color w:val="auto"/>
          <w:kern w:val="0"/>
          <w:szCs w:val="21"/>
          <w:highlight w:val="none"/>
        </w:rPr>
        <w:t>成交</w:t>
      </w:r>
      <w:r>
        <w:rPr>
          <w:rFonts w:hint="eastAsia" w:ascii="宋体" w:hAnsi="宋体" w:cs="宋体"/>
          <w:color w:val="auto"/>
          <w:szCs w:val="21"/>
          <w:highlight w:val="none"/>
        </w:rPr>
        <w:t>供应商确定后2个工作日内，在省级以上财政部门指定的媒体上公</w:t>
      </w:r>
      <w:r>
        <w:rPr>
          <w:rFonts w:hint="eastAsia" w:ascii="宋体" w:hAnsi="宋体" w:cs="宋体"/>
          <w:color w:val="auto"/>
          <w:kern w:val="0"/>
          <w:szCs w:val="21"/>
          <w:highlight w:val="none"/>
        </w:rPr>
        <w:t>告成交结果，</w:t>
      </w:r>
      <w:r>
        <w:rPr>
          <w:rFonts w:hint="eastAsia" w:ascii="宋体" w:hAnsi="宋体" w:cs="宋体"/>
          <w:color w:val="auto"/>
          <w:szCs w:val="21"/>
          <w:highlight w:val="none"/>
        </w:rPr>
        <w:t>同时向成交供应商发出成交通知书，成交通知书规定签订合同的时间不得超过25日。</w:t>
      </w:r>
    </w:p>
    <w:p w14:paraId="3B50DBDF">
      <w:pPr>
        <w:pageBreakBefore w:val="0"/>
        <w:widowControl w:val="0"/>
        <w:kinsoku/>
        <w:wordWrap/>
        <w:overflowPunct/>
        <w:topLinePunct w:val="0"/>
        <w:autoSpaceDE/>
        <w:autoSpaceDN/>
        <w:bidi w:val="0"/>
        <w:spacing w:line="380" w:lineRule="exact"/>
        <w:ind w:firstLine="420" w:firstLineChars="200"/>
        <w:rPr>
          <w:rFonts w:hint="eastAsia" w:ascii="宋体" w:hAnsi="宋体" w:cs="Courier New"/>
          <w:color w:val="auto"/>
          <w:szCs w:val="21"/>
          <w:highlight w:val="none"/>
        </w:rPr>
      </w:pPr>
      <w:r>
        <w:rPr>
          <w:rFonts w:hint="eastAsia" w:ascii="宋体" w:hAnsi="宋体" w:cs="宋体"/>
          <w:color w:val="auto"/>
          <w:szCs w:val="21"/>
          <w:highlight w:val="none"/>
        </w:rPr>
        <w:t>27.3采购人或者采购代理机构发出成交通知书前，应当对成交供应商信用进行查询核实，对列入失信被执行人、重大税收违法案件当事人名单、政府采购严重违法失信行为记录名单及其他不符合《中华人民共和国政府采购法》第二十二条规定条件的供应商，取消其成交资格，并确定排名第二的成交候选人为成交供应商。排名第二的成交候选人因上述规定的同样原因被取消成交资格的，采购人可以确定排名第三的成交候选人为成交供应商，以此类推。以上信息查询记录及相关证据与竞磋文件一并保存。</w:t>
      </w:r>
      <w:r>
        <w:rPr>
          <w:rFonts w:hint="eastAsia" w:ascii="宋体" w:hAnsi="宋体" w:cs="Courier New"/>
          <w:color w:val="auto"/>
          <w:szCs w:val="21"/>
          <w:highlight w:val="none"/>
        </w:rPr>
        <w:t>成交供应商享受</w:t>
      </w:r>
      <w:r>
        <w:rPr>
          <w:rFonts w:hint="eastAsia" w:ascii="宋体" w:hAnsi="宋体"/>
          <w:color w:val="auto"/>
          <w:szCs w:val="21"/>
          <w:highlight w:val="none"/>
        </w:rPr>
        <w:t>《政府采购促进中小企业发展管理办法》（财库〔2020〕46号）规定的中小企业扶持</w:t>
      </w:r>
      <w:r>
        <w:rPr>
          <w:rFonts w:hint="eastAsia" w:ascii="宋体" w:hAnsi="宋体" w:cs="Courier New"/>
          <w:color w:val="auto"/>
          <w:szCs w:val="21"/>
          <w:highlight w:val="none"/>
        </w:rPr>
        <w:t>政策的，采购人、采购代理机构应当随成交结果公开成交供应商的《中小企业声明函》。</w:t>
      </w:r>
    </w:p>
    <w:p w14:paraId="7D1E514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27.4采购人、采购代理机构认为供应商对采购过程、成交结果提出的质疑成立且影响或者可能影响成交结果的，合格供应商符合法定数量时，可以从合格的成交候选人中另行确定成交供应商的，应当依法另行确定成交供应商；否则应当重新开展采购活动。</w:t>
      </w:r>
    </w:p>
    <w:p w14:paraId="06C4BDFB">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bCs/>
          <w:color w:val="auto"/>
          <w:szCs w:val="21"/>
          <w:highlight w:val="none"/>
        </w:rPr>
        <w:t>27.5</w:t>
      </w:r>
      <w:r>
        <w:rPr>
          <w:rFonts w:hint="eastAsia" w:ascii="宋体" w:hAnsi="宋体" w:cs="宋体"/>
          <w:color w:val="auto"/>
          <w:szCs w:val="21"/>
          <w:highlight w:val="none"/>
        </w:rPr>
        <w:t>排名第一的成交候选人放弃成交、因不可抗力提出不能履行合同，采购人可以确定排名第二的成交候选人为成交供应商。排名第二的成交候选人因前款规定的同样原因不能签订合同的，采购人可以确定排名第三的成交候选人为成交供应商。</w:t>
      </w:r>
    </w:p>
    <w:p w14:paraId="4191BAA2">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28.履约保证金</w:t>
      </w:r>
    </w:p>
    <w:p w14:paraId="64D80F94">
      <w:pPr>
        <w:pageBreakBefore w:val="0"/>
        <w:widowControl w:val="0"/>
        <w:kinsoku/>
        <w:wordWrap/>
        <w:overflowPunct/>
        <w:topLinePunct w:val="0"/>
        <w:autoSpaceDE/>
        <w:autoSpaceDN/>
        <w:bidi w:val="0"/>
        <w:spacing w:line="380" w:lineRule="exact"/>
        <w:ind w:firstLine="420" w:firstLineChars="200"/>
        <w:rPr>
          <w:rFonts w:hint="eastAsia" w:ascii="黑体" w:hAnsi="黑体" w:eastAsia="黑体" w:cs="宋体"/>
          <w:b/>
          <w:bCs/>
          <w:color w:val="auto"/>
          <w:sz w:val="24"/>
          <w:highlight w:val="none"/>
        </w:rPr>
      </w:pPr>
      <w:r>
        <w:rPr>
          <w:rFonts w:hint="eastAsia" w:ascii="宋体" w:hAnsi="宋体" w:cs="宋体"/>
          <w:color w:val="auto"/>
          <w:szCs w:val="21"/>
          <w:highlight w:val="none"/>
        </w:rPr>
        <w:t>详见 “供应商须知前附表”</w:t>
      </w:r>
    </w:p>
    <w:p w14:paraId="03B872B9">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29.签订合同</w:t>
      </w:r>
    </w:p>
    <w:p w14:paraId="48BB3367">
      <w:pPr>
        <w:pStyle w:val="36"/>
        <w:pageBreakBefore w:val="0"/>
        <w:widowControl w:val="0"/>
        <w:kinsoku/>
        <w:wordWrap/>
        <w:overflowPunct/>
        <w:topLinePunct w:val="0"/>
        <w:autoSpaceDE/>
        <w:autoSpaceDN/>
        <w:bidi w:val="0"/>
        <w:snapToGrid w:val="0"/>
        <w:spacing w:before="0" w:line="380" w:lineRule="exact"/>
        <w:ind w:firstLine="420"/>
        <w:rPr>
          <w:rFonts w:hint="eastAsia" w:ascii="宋体" w:hAnsi="宋体"/>
          <w:color w:val="auto"/>
          <w:sz w:val="21"/>
          <w:szCs w:val="21"/>
          <w:highlight w:val="none"/>
          <w:lang w:val="zh-CN"/>
        </w:rPr>
      </w:pPr>
      <w:r>
        <w:rPr>
          <w:rFonts w:hint="eastAsia" w:ascii="宋体" w:hAnsi="宋体" w:cs="宋体"/>
          <w:color w:val="auto"/>
          <w:sz w:val="21"/>
          <w:szCs w:val="21"/>
          <w:highlight w:val="none"/>
        </w:rPr>
        <w:t>29.1</w:t>
      </w:r>
      <w:r>
        <w:rPr>
          <w:rFonts w:hint="eastAsia" w:ascii="宋体" w:hAnsi="宋体"/>
          <w:color w:val="auto"/>
          <w:sz w:val="21"/>
          <w:szCs w:val="21"/>
          <w:highlight w:val="none"/>
        </w:rPr>
        <w:t>采购人与成交供应商应当在</w:t>
      </w:r>
      <w:r>
        <w:rPr>
          <w:rFonts w:hint="eastAsia" w:ascii="宋体" w:hAnsi="宋体" w:cs="宋体"/>
          <w:color w:val="auto"/>
          <w:sz w:val="21"/>
          <w:szCs w:val="21"/>
          <w:highlight w:val="none"/>
        </w:rPr>
        <w:t>成交通知书规定的时间内</w:t>
      </w:r>
      <w:r>
        <w:rPr>
          <w:rFonts w:hint="eastAsia" w:ascii="宋体" w:hAnsi="宋体"/>
          <w:color w:val="auto"/>
          <w:sz w:val="21"/>
          <w:szCs w:val="21"/>
          <w:highlight w:val="none"/>
        </w:rPr>
        <w:t>，按照磋商文件确定的合同文本以及采购标的、服务技术、采购金额、采购数量、技术和服务要求等事项签订政府采购合同。</w:t>
      </w:r>
      <w:r>
        <w:rPr>
          <w:rFonts w:hint="eastAsia" w:ascii="宋体" w:hAnsi="宋体"/>
          <w:color w:val="auto"/>
          <w:sz w:val="21"/>
          <w:szCs w:val="21"/>
          <w:highlight w:val="none"/>
          <w:lang w:val="zh-CN"/>
        </w:rPr>
        <w:t>如成交供应商为联合体的，由联合体成员各方法定代表人或其授权代表与采购人代表签订合同。</w:t>
      </w:r>
    </w:p>
    <w:p w14:paraId="3E91ACBB">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29.2采购人不得向成交供应商提出超出磋商文件以外的任何要求作为签订合同的条件，不得与成交供应商订立背离磋商文件确定的合同文本以及采购标的、服务技术、采购金额、采购数量、技术和服务要求等实质性内容的协议。</w:t>
      </w:r>
    </w:p>
    <w:p w14:paraId="61BE3C45">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29.3成交供应商拒绝签订政府采购合同的，采购人可以按照评审报告推荐的成交候选人名单排序，确定下一候选人为成交供应商，也可以重新开展采购活动。拒绝签订政府采购合同的成交供应商不得参加对该项目重新开展的采购活动。</w:t>
      </w:r>
    </w:p>
    <w:p w14:paraId="3DFBD82C">
      <w:pPr>
        <w:pageBreakBefore w:val="0"/>
        <w:widowControl w:val="0"/>
        <w:kinsoku/>
        <w:wordWrap/>
        <w:overflowPunct/>
        <w:topLinePunct w:val="0"/>
        <w:autoSpaceDE/>
        <w:autoSpaceDN/>
        <w:bidi w:val="0"/>
        <w:spacing w:line="380" w:lineRule="exact"/>
        <w:ind w:firstLine="420" w:firstLineChars="200"/>
        <w:rPr>
          <w:rFonts w:hint="eastAsia" w:ascii="宋体" w:hAnsi="宋体"/>
          <w:color w:val="auto"/>
          <w:szCs w:val="21"/>
          <w:highlight w:val="none"/>
        </w:rPr>
      </w:pPr>
      <w:r>
        <w:rPr>
          <w:rFonts w:hint="eastAsia" w:ascii="宋体" w:hAnsi="宋体"/>
          <w:color w:val="auto"/>
          <w:szCs w:val="21"/>
          <w:highlight w:val="none"/>
        </w:rPr>
        <w:t>29.4如签订合同并生效后，供应商无故拒绝或延期，除按照合同条款处理外，列入不良行为记录，并给予通报。</w:t>
      </w:r>
    </w:p>
    <w:p w14:paraId="79F83201">
      <w:pPr>
        <w:pStyle w:val="36"/>
        <w:pageBreakBefore w:val="0"/>
        <w:widowControl w:val="0"/>
        <w:kinsoku/>
        <w:wordWrap/>
        <w:overflowPunct/>
        <w:topLinePunct w:val="0"/>
        <w:autoSpaceDE/>
        <w:autoSpaceDN/>
        <w:bidi w:val="0"/>
        <w:spacing w:before="0" w:line="380" w:lineRule="exact"/>
        <w:ind w:firstLine="420"/>
        <w:rPr>
          <w:rFonts w:hint="eastAsia" w:ascii="宋体" w:hAnsi="宋体" w:cs="宋体"/>
          <w:color w:val="auto"/>
          <w:szCs w:val="21"/>
          <w:highlight w:val="none"/>
        </w:rPr>
      </w:pPr>
      <w:r>
        <w:rPr>
          <w:rFonts w:hint="eastAsia" w:ascii="宋体" w:hAnsi="宋体" w:cs="仿宋_GB2312"/>
          <w:color w:val="auto"/>
          <w:sz w:val="21"/>
          <w:szCs w:val="21"/>
          <w:highlight w:val="none"/>
        </w:rPr>
        <w:t>29.5采购合同由采购人与成交供应商根据</w:t>
      </w:r>
      <w:r>
        <w:rPr>
          <w:rFonts w:hint="eastAsia" w:ascii="宋体" w:hAnsi="宋体"/>
          <w:color w:val="auto"/>
          <w:sz w:val="21"/>
          <w:szCs w:val="21"/>
          <w:highlight w:val="none"/>
        </w:rPr>
        <w:t>磋商文件</w:t>
      </w:r>
      <w:r>
        <w:rPr>
          <w:rFonts w:hint="eastAsia" w:ascii="宋体" w:hAnsi="宋体" w:cs="仿宋_GB2312"/>
          <w:color w:val="auto"/>
          <w:sz w:val="21"/>
          <w:szCs w:val="21"/>
          <w:highlight w:val="none"/>
        </w:rPr>
        <w:t>、响应文件等内容通过政府采购电子交易平台在线签订，自动备案，在线签订须携带的材料见“供应商须</w:t>
      </w:r>
      <w:r>
        <w:rPr>
          <w:rFonts w:hint="eastAsia" w:ascii="宋体" w:hAnsi="宋体"/>
          <w:color w:val="auto"/>
          <w:sz w:val="21"/>
          <w:szCs w:val="21"/>
          <w:highlight w:val="none"/>
        </w:rPr>
        <w:t>知前附表</w:t>
      </w:r>
      <w:r>
        <w:rPr>
          <w:rFonts w:hint="eastAsia" w:ascii="宋体" w:hAnsi="宋体" w:cs="仿宋_GB2312"/>
          <w:color w:val="auto"/>
          <w:sz w:val="21"/>
          <w:szCs w:val="21"/>
          <w:highlight w:val="none"/>
        </w:rPr>
        <w:t>”。</w:t>
      </w:r>
    </w:p>
    <w:p w14:paraId="4BE79FA7">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30.政府采购合同公告</w:t>
      </w:r>
    </w:p>
    <w:p w14:paraId="70A00B2C">
      <w:pPr>
        <w:pageBreakBefore w:val="0"/>
        <w:widowControl w:val="0"/>
        <w:kinsoku/>
        <w:wordWrap/>
        <w:overflowPunct/>
        <w:topLinePunct w:val="0"/>
        <w:autoSpaceDE/>
        <w:autoSpaceDN/>
        <w:bidi w:val="0"/>
        <w:spacing w:line="380" w:lineRule="exact"/>
        <w:ind w:firstLine="420" w:firstLineChars="200"/>
        <w:rPr>
          <w:rFonts w:hint="eastAsia" w:hAnsi="宋体"/>
          <w:color w:val="auto"/>
          <w:highlight w:val="none"/>
        </w:rPr>
      </w:pPr>
      <w:r>
        <w:rPr>
          <w:rFonts w:hint="eastAsia" w:hAnsi="宋体"/>
          <w:color w:val="auto"/>
          <w:highlight w:val="none"/>
        </w:rPr>
        <w:t>采购人或者受托采购代理机构应当自政府采购合同签订之日起</w:t>
      </w:r>
      <w:r>
        <w:rPr>
          <w:rFonts w:hAnsi="宋体"/>
          <w:color w:val="auto"/>
          <w:highlight w:val="none"/>
        </w:rPr>
        <w:t>2</w:t>
      </w:r>
      <w:r>
        <w:rPr>
          <w:rFonts w:hint="eastAsia" w:hAnsi="宋体"/>
          <w:color w:val="auto"/>
          <w:highlight w:val="none"/>
        </w:rPr>
        <w:t>个工作日内，将政府采购合同</w:t>
      </w:r>
      <w:r>
        <w:rPr>
          <w:rFonts w:hint="eastAsia" w:ascii="宋体" w:hAnsi="宋体"/>
          <w:bCs/>
          <w:color w:val="auto"/>
          <w:highlight w:val="none"/>
        </w:rPr>
        <w:t>在以下媒体上发布</w:t>
      </w:r>
      <w:r>
        <w:rPr>
          <w:rFonts w:hint="eastAsia" w:ascii="宋体" w:hAnsi="宋体" w:cs="宋体"/>
          <w:color w:val="auto"/>
          <w:kern w:val="0"/>
          <w:szCs w:val="21"/>
          <w:highlight w:val="none"/>
        </w:rPr>
        <w:t xml:space="preserve"> “广西政府采购网”（http://zfcg.gxzf.gov.cn）</w:t>
      </w:r>
      <w:r>
        <w:rPr>
          <w:rFonts w:hint="eastAsia" w:hAnsi="宋体"/>
          <w:color w:val="auto"/>
          <w:highlight w:val="none"/>
        </w:rPr>
        <w:t>上公告，但政府采购合同中涉及国家秘密、商业秘密的内容除外。</w:t>
      </w:r>
    </w:p>
    <w:p w14:paraId="22EA4C0F">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31. 询问、质疑和投诉</w:t>
      </w:r>
    </w:p>
    <w:p w14:paraId="4B590D6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31.1供应商对政府采购活动事项有疑问的，可以向采购人、采购代理机构提出询问，采购人或者采购代理机构应当在3个工作日内对供应商依法提出的询问作出答复。</w:t>
      </w:r>
    </w:p>
    <w:p w14:paraId="6176D835">
      <w:pPr>
        <w:pageBreakBefore w:val="0"/>
        <w:widowControl w:val="0"/>
        <w:kinsoku/>
        <w:wordWrap/>
        <w:overflowPunct/>
        <w:topLinePunct w:val="0"/>
        <w:autoSpaceDE/>
        <w:autoSpaceDN/>
        <w:bidi w:val="0"/>
        <w:spacing w:line="380" w:lineRule="exact"/>
        <w:ind w:firstLine="420" w:firstLineChars="200"/>
        <w:rPr>
          <w:rFonts w:hint="eastAsia" w:ascii="宋体" w:hAnsi="宋体"/>
          <w:b/>
          <w:color w:val="auto"/>
          <w:szCs w:val="21"/>
          <w:highlight w:val="none"/>
        </w:rPr>
      </w:pPr>
      <w:r>
        <w:rPr>
          <w:rFonts w:hint="eastAsia" w:ascii="宋体" w:hAnsi="宋体" w:cs="宋体"/>
          <w:color w:val="auto"/>
          <w:highlight w:val="none"/>
        </w:rPr>
        <w:t>31.2供应商认为磋商文件、采购过程或者成交结果使自己的合法权益受到损害的，应当在知道或者应知其权益受到损害之日起7个工作日内，以书面形式向采购人、采购代理机构提出质疑，</w:t>
      </w:r>
      <w:r>
        <w:rPr>
          <w:rFonts w:hint="eastAsia" w:ascii="宋体" w:hAnsi="宋体" w:cs="Arial"/>
          <w:color w:val="auto"/>
          <w:highlight w:val="none"/>
          <w:shd w:val="clear" w:color="auto" w:fill="FFFFFF"/>
        </w:rPr>
        <w:t>接收质疑函的方式、联系部门、联系电话和通讯地址等信息详见</w:t>
      </w:r>
      <w:r>
        <w:rPr>
          <w:rFonts w:hint="eastAsia" w:ascii="宋体" w:hAnsi="宋体" w:cs="宋体"/>
          <w:color w:val="auto"/>
          <w:szCs w:val="21"/>
          <w:highlight w:val="none"/>
        </w:rPr>
        <w:t>“供应商须知前附表”</w:t>
      </w:r>
      <w:r>
        <w:rPr>
          <w:rFonts w:hint="eastAsia" w:ascii="宋体" w:hAnsi="宋体" w:cs="宋体"/>
          <w:color w:val="auto"/>
          <w:highlight w:val="none"/>
        </w:rPr>
        <w:t>。</w:t>
      </w:r>
      <w:r>
        <w:rPr>
          <w:rFonts w:hint="eastAsia" w:ascii="宋体" w:hAnsi="宋体"/>
          <w:b/>
          <w:color w:val="auto"/>
          <w:szCs w:val="21"/>
          <w:highlight w:val="none"/>
        </w:rPr>
        <w:t xml:space="preserve">具体质疑起算时间及处理方式如下： </w:t>
      </w:r>
    </w:p>
    <w:p w14:paraId="614B8F34">
      <w:pPr>
        <w:pageBreakBefore w:val="0"/>
        <w:widowControl w:val="0"/>
        <w:kinsoku/>
        <w:wordWrap/>
        <w:overflowPunct/>
        <w:topLinePunct w:val="0"/>
        <w:autoSpaceDE/>
        <w:autoSpaceDN/>
        <w:bidi w:val="0"/>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1</w:t>
      </w:r>
      <w:r>
        <w:rPr>
          <w:rFonts w:hint="eastAsia" w:hAnsi="宋体"/>
          <w:bCs/>
          <w:color w:val="auto"/>
          <w:highlight w:val="none"/>
        </w:rPr>
        <w:t>）潜在供应商依法获取采购文件后，认为采购文件使自己的权益受到损害的，应当在竞争性磋商采购文件公告期限届满之日起</w:t>
      </w:r>
      <w:r>
        <w:rPr>
          <w:rFonts w:hAnsi="宋体"/>
          <w:bCs/>
          <w:color w:val="auto"/>
          <w:highlight w:val="none"/>
        </w:rPr>
        <w:t>7</w:t>
      </w:r>
      <w:r>
        <w:rPr>
          <w:rFonts w:hint="eastAsia" w:hAnsi="宋体"/>
          <w:bCs/>
          <w:color w:val="auto"/>
          <w:highlight w:val="none"/>
        </w:rPr>
        <w:t>个工作日内提出质疑。</w:t>
      </w:r>
      <w:r>
        <w:rPr>
          <w:rFonts w:hint="eastAsia"/>
          <w:color w:val="auto"/>
          <w:highlight w:val="none"/>
        </w:rPr>
        <w:t>委托代理协议无特殊约定的，</w:t>
      </w:r>
      <w:r>
        <w:rPr>
          <w:rFonts w:hint="eastAsia" w:hAnsi="宋体"/>
          <w:bCs/>
          <w:color w:val="auto"/>
          <w:highlight w:val="none"/>
        </w:rPr>
        <w:t>对竞争性磋商文件中采购需求（含资格要求、采购预算和评分办法）的质疑由采购人受理并负责答复；对竞争性磋商文件中的采购执行程序的质疑由采购代理机构受理并负责答复。</w:t>
      </w:r>
    </w:p>
    <w:p w14:paraId="0B8463EE">
      <w:pPr>
        <w:pageBreakBefore w:val="0"/>
        <w:widowControl w:val="0"/>
        <w:kinsoku/>
        <w:wordWrap/>
        <w:overflowPunct/>
        <w:topLinePunct w:val="0"/>
        <w:autoSpaceDE/>
        <w:autoSpaceDN/>
        <w:bidi w:val="0"/>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2</w:t>
      </w:r>
      <w:r>
        <w:rPr>
          <w:rFonts w:hint="eastAsia" w:hAnsi="宋体"/>
          <w:bCs/>
          <w:color w:val="auto"/>
          <w:highlight w:val="none"/>
        </w:rPr>
        <w:t>）供应商认为采购过程使自己的权益受到损害的，应当在各采购程序环节结束之日起</w:t>
      </w:r>
      <w:r>
        <w:rPr>
          <w:rFonts w:hAnsi="宋体"/>
          <w:bCs/>
          <w:color w:val="auto"/>
          <w:highlight w:val="none"/>
        </w:rPr>
        <w:t>7</w:t>
      </w:r>
      <w:r>
        <w:rPr>
          <w:rFonts w:hint="eastAsia" w:hAnsi="宋体"/>
          <w:bCs/>
          <w:color w:val="auto"/>
          <w:highlight w:val="none"/>
        </w:rPr>
        <w:t>个工作日内提出质疑。对采购过程中资格审查、符合性审查等具体评审情况的质疑应向采购人或代理机构提出，由采购人或代理机构受理并负责答复；对采购过程中采购执行程序的质疑由采购代理机构受理并负责答复。</w:t>
      </w:r>
    </w:p>
    <w:p w14:paraId="5C1C0BED">
      <w:pPr>
        <w:pageBreakBefore w:val="0"/>
        <w:widowControl w:val="0"/>
        <w:kinsoku/>
        <w:wordWrap/>
        <w:overflowPunct/>
        <w:topLinePunct w:val="0"/>
        <w:autoSpaceDE/>
        <w:autoSpaceDN/>
        <w:bidi w:val="0"/>
        <w:spacing w:line="380" w:lineRule="exact"/>
        <w:ind w:firstLine="420" w:firstLineChars="200"/>
        <w:rPr>
          <w:rFonts w:hint="eastAsia" w:hAnsi="宋体"/>
          <w:bCs/>
          <w:color w:val="auto"/>
          <w:highlight w:val="none"/>
        </w:rPr>
      </w:pPr>
      <w:r>
        <w:rPr>
          <w:rFonts w:hint="eastAsia" w:hAnsi="宋体"/>
          <w:bCs/>
          <w:color w:val="auto"/>
          <w:highlight w:val="none"/>
        </w:rPr>
        <w:t>（</w:t>
      </w:r>
      <w:r>
        <w:rPr>
          <w:rFonts w:hAnsi="宋体"/>
          <w:bCs/>
          <w:color w:val="auto"/>
          <w:highlight w:val="none"/>
        </w:rPr>
        <w:t>3</w:t>
      </w:r>
      <w:r>
        <w:rPr>
          <w:rFonts w:hint="eastAsia" w:hAnsi="宋体"/>
          <w:bCs/>
          <w:color w:val="auto"/>
          <w:highlight w:val="none"/>
        </w:rPr>
        <w:t>）供应商认为成交结果使自己的权益受到损害的，应当在成交结果公告期限届满之日起</w:t>
      </w:r>
      <w:r>
        <w:rPr>
          <w:rFonts w:hAnsi="宋体"/>
          <w:bCs/>
          <w:color w:val="auto"/>
          <w:highlight w:val="none"/>
        </w:rPr>
        <w:t>7</w:t>
      </w:r>
      <w:r>
        <w:rPr>
          <w:rFonts w:hint="eastAsia" w:hAnsi="宋体"/>
          <w:bCs/>
          <w:color w:val="auto"/>
          <w:highlight w:val="none"/>
        </w:rPr>
        <w:t>个工作日内提出质疑，由采购人受理并负责答复。</w:t>
      </w:r>
    </w:p>
    <w:p w14:paraId="48E3529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31.3供应商提出的询问或者质疑超出采购人对采购代理机构委托授权范围的，采购代理机构应当告知供应商向采购人提出。政府采购评审专家应当配合采购人或者采购代理机构答复供应商的询问和质疑。</w:t>
      </w:r>
    </w:p>
    <w:p w14:paraId="634F825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31.4 供应商提出质疑应当提交质疑函和必要的证明材料，针对同一采购程序环节的质疑必须在法定质疑期内一次性提出。质疑函应当包括下列内容</w:t>
      </w:r>
      <w:r>
        <w:rPr>
          <w:rFonts w:hint="eastAsia" w:hAnsi="宋体"/>
          <w:bCs/>
          <w:color w:val="auto"/>
          <w:highlight w:val="none"/>
        </w:rPr>
        <w:t>（质疑函格式后附）</w:t>
      </w:r>
      <w:r>
        <w:rPr>
          <w:rFonts w:hint="eastAsia" w:ascii="宋体" w:hAnsi="宋体" w:cs="宋体"/>
          <w:color w:val="auto"/>
          <w:highlight w:val="none"/>
        </w:rPr>
        <w:t>：</w:t>
      </w:r>
    </w:p>
    <w:p w14:paraId="101F1F6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（1）供应商的姓名或者名称、地址、邮编、联系人及联系电话；</w:t>
      </w:r>
    </w:p>
    <w:p w14:paraId="3F4F578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（2）质疑项目的名称、编号；</w:t>
      </w:r>
    </w:p>
    <w:p w14:paraId="6CDFDF93">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（3）具体、明确的质疑事项和与质疑事项相关的请求；</w:t>
      </w:r>
    </w:p>
    <w:p w14:paraId="7DDFEB41">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（4）事实依据；</w:t>
      </w:r>
    </w:p>
    <w:p w14:paraId="1075156D">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（5）必要的法律依据；</w:t>
      </w:r>
    </w:p>
    <w:p w14:paraId="51B89C5E">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（6）提出质疑的日期。</w:t>
      </w:r>
    </w:p>
    <w:p w14:paraId="2183817F">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供应商为自然人的，应当由本人签字；供应商为法人或者其他组织的，应当由法定代表人、主要负责人，或者其委托代理人签字或者盖章，并加盖公章。</w:t>
      </w:r>
    </w:p>
    <w:p w14:paraId="54B0569E">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31.5采购人、采购代理机构认为供应商质疑不成立，或者成立但未对成交结果构成影响的，继续开展采购活动；认为供应商质疑成立且影响或者可能影响成交结果的，按照下列情况处理：</w:t>
      </w:r>
    </w:p>
    <w:p w14:paraId="7DE2F625">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（一）对采购文件提出的质疑，依法通过澄清或者修改可以继续开展采购活动的，澄清或者修改采购文件后继续开展采购活动；否则应当修改采购文件后重新开展采购活动。</w:t>
      </w:r>
    </w:p>
    <w:p w14:paraId="7C6CC762">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（二）对采购过程或者成交结果提出的质疑，合格供应商符合法定数量时，可以从合格的成交候选人中另行确定成交供应商的，应当依法另行确定成交供应商；否则应当重新开展采购活动。</w:t>
      </w:r>
    </w:p>
    <w:p w14:paraId="348CA829">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质疑答复导致成交结果改变的，采购人或者采购代理机构应当将有关情况书面报告本级财政部门。</w:t>
      </w:r>
    </w:p>
    <w:p w14:paraId="51F6A117">
      <w:pPr>
        <w:pageBreakBefore w:val="0"/>
        <w:widowControl w:val="0"/>
        <w:kinsoku/>
        <w:wordWrap/>
        <w:overflowPunct/>
        <w:topLinePunct w:val="0"/>
        <w:autoSpaceDE/>
        <w:autoSpaceDN/>
        <w:bidi w:val="0"/>
        <w:spacing w:line="380" w:lineRule="exact"/>
        <w:ind w:firstLine="420" w:firstLineChars="200"/>
        <w:rPr>
          <w:rFonts w:hint="eastAsia" w:ascii="宋体" w:hAnsi="宋体" w:cs="宋体"/>
          <w:color w:val="auto"/>
          <w:highlight w:val="none"/>
        </w:rPr>
      </w:pPr>
      <w:r>
        <w:rPr>
          <w:rFonts w:hint="eastAsia" w:ascii="宋体" w:hAnsi="宋体" w:cs="宋体"/>
          <w:color w:val="auto"/>
          <w:highlight w:val="none"/>
        </w:rPr>
        <w:t>31.6投诉的权利。质疑供应商对采购人、采购代理机构的答复不满意，或者采购人、采购代理机构未在规定时间内作出答复的，可以在答复期满后15个工作日内向《政府采购质疑和投诉办法》（财政部令第94号）第六条规定的财政部门提起投诉（投诉书格式后附），受理投诉方式见“供应商须知前附表”。</w:t>
      </w:r>
      <w:bookmarkStart w:id="50" w:name="_Toc80205930"/>
    </w:p>
    <w:p w14:paraId="3CF3AD42">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51" w:name="_Toc31785"/>
      <w:r>
        <w:rPr>
          <w:rFonts w:hint="eastAsia" w:ascii="宋体" w:hAnsi="宋体"/>
          <w:color w:val="auto"/>
          <w:sz w:val="24"/>
          <w:highlight w:val="none"/>
        </w:rPr>
        <w:t>六、验收</w:t>
      </w:r>
      <w:bookmarkEnd w:id="50"/>
      <w:bookmarkEnd w:id="51"/>
    </w:p>
    <w:p w14:paraId="7B858C82">
      <w:pPr>
        <w:pageBreakBefore w:val="0"/>
        <w:widowControl w:val="0"/>
        <w:tabs>
          <w:tab w:val="left" w:pos="0"/>
        </w:tabs>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32.验收</w:t>
      </w:r>
    </w:p>
    <w:p w14:paraId="6AE826F4">
      <w:pPr>
        <w:pageBreakBefore w:val="0"/>
        <w:widowControl w:val="0"/>
        <w:tabs>
          <w:tab w:val="left" w:pos="0"/>
        </w:tabs>
        <w:kinsoku/>
        <w:wordWrap/>
        <w:overflowPunct/>
        <w:topLinePunct w:val="0"/>
        <w:autoSpaceDE/>
        <w:autoSpaceDN/>
        <w:bidi w:val="0"/>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32.1采购人会同实际使用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0A31B0A">
      <w:pPr>
        <w:pageBreakBefore w:val="0"/>
        <w:widowControl w:val="0"/>
        <w:tabs>
          <w:tab w:val="left" w:pos="0"/>
        </w:tabs>
        <w:kinsoku/>
        <w:wordWrap/>
        <w:overflowPunct/>
        <w:topLinePunct w:val="0"/>
        <w:autoSpaceDE/>
        <w:autoSpaceDN/>
        <w:bidi w:val="0"/>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32.2采购人可以邀请参加本项目的其他供应商或者第三方机构参与验收。参与验收的供应商或者第三方机构的意见作为验收书的参考资料一并存档。</w:t>
      </w:r>
    </w:p>
    <w:p w14:paraId="0AB8B155">
      <w:pPr>
        <w:pageBreakBefore w:val="0"/>
        <w:widowControl w:val="0"/>
        <w:tabs>
          <w:tab w:val="left" w:pos="0"/>
        </w:tabs>
        <w:kinsoku/>
        <w:wordWrap/>
        <w:overflowPunct/>
        <w:topLinePunct w:val="0"/>
        <w:autoSpaceDE/>
        <w:autoSpaceDN/>
        <w:bidi w:val="0"/>
        <w:spacing w:line="380" w:lineRule="exact"/>
        <w:ind w:firstLine="420" w:firstLineChars="200"/>
        <w:rPr>
          <w:rFonts w:hint="eastAsia" w:ascii="宋体" w:hAnsi="宋体" w:cs="Helvetica"/>
          <w:color w:val="auto"/>
          <w:kern w:val="0"/>
          <w:szCs w:val="21"/>
          <w:highlight w:val="none"/>
        </w:rPr>
      </w:pPr>
      <w:r>
        <w:rPr>
          <w:rFonts w:hint="eastAsia" w:ascii="宋体" w:hAnsi="宋体" w:cs="Helvetica"/>
          <w:color w:val="auto"/>
          <w:kern w:val="0"/>
          <w:szCs w:val="21"/>
          <w:highlight w:val="none"/>
        </w:rPr>
        <w:t>32.3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A79AE71">
      <w:pPr>
        <w:pageBreakBefore w:val="0"/>
        <w:widowControl w:val="0"/>
        <w:tabs>
          <w:tab w:val="left" w:pos="0"/>
        </w:tabs>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Helvetica"/>
          <w:color w:val="auto"/>
          <w:kern w:val="0"/>
          <w:szCs w:val="21"/>
          <w:highlight w:val="none"/>
        </w:rPr>
        <w:t>32.4验收合格的项目，实际使用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168CB3FC">
      <w:pPr>
        <w:pStyle w:val="2"/>
        <w:pageBreakBefore w:val="0"/>
        <w:widowControl w:val="0"/>
        <w:kinsoku/>
        <w:wordWrap/>
        <w:overflowPunct/>
        <w:topLinePunct w:val="0"/>
        <w:autoSpaceDE/>
        <w:autoSpaceDN/>
        <w:bidi w:val="0"/>
        <w:spacing w:before="0" w:after="0" w:line="380" w:lineRule="exact"/>
        <w:jc w:val="center"/>
        <w:rPr>
          <w:rFonts w:hint="eastAsia" w:ascii="宋体" w:hAnsi="宋体"/>
          <w:color w:val="auto"/>
          <w:sz w:val="24"/>
          <w:highlight w:val="none"/>
        </w:rPr>
      </w:pPr>
      <w:bookmarkStart w:id="52" w:name="_Toc5536"/>
      <w:r>
        <w:rPr>
          <w:rFonts w:hint="eastAsia" w:ascii="宋体" w:hAnsi="宋体"/>
          <w:color w:val="auto"/>
          <w:sz w:val="24"/>
          <w:highlight w:val="none"/>
        </w:rPr>
        <w:t>七、其他事项</w:t>
      </w:r>
      <w:bookmarkEnd w:id="52"/>
    </w:p>
    <w:p w14:paraId="7DEA77D4">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33.代理服务费</w:t>
      </w:r>
    </w:p>
    <w:p w14:paraId="2BFFD35F">
      <w:pPr>
        <w:pageBreakBefore w:val="0"/>
        <w:widowControl w:val="0"/>
        <w:tabs>
          <w:tab w:val="left" w:pos="2835"/>
        </w:tabs>
        <w:kinsoku/>
        <w:wordWrap/>
        <w:overflowPunct/>
        <w:topLinePunct w:val="0"/>
        <w:autoSpaceDE/>
        <w:autoSpaceDN/>
        <w:bidi w:val="0"/>
        <w:spacing w:line="380" w:lineRule="exact"/>
        <w:ind w:firstLine="420" w:firstLineChars="200"/>
        <w:rPr>
          <w:rFonts w:hint="eastAsia" w:ascii="宋体" w:hAnsi="宋体" w:cs="宋体"/>
          <w:color w:val="auto"/>
          <w:szCs w:val="21"/>
          <w:highlight w:val="none"/>
        </w:rPr>
      </w:pPr>
      <w:r>
        <w:rPr>
          <w:rFonts w:hint="eastAsia" w:ascii="宋体" w:hAnsi="宋体" w:cs="宋体"/>
          <w:color w:val="auto"/>
          <w:szCs w:val="21"/>
          <w:highlight w:val="none"/>
        </w:rPr>
        <w:t>代理服务收费标准及缴费账户详见“供应商须知前附表”，供应商为联合体的，可以由联合体中的一方或者多方共同</w:t>
      </w:r>
      <w:r>
        <w:rPr>
          <w:rFonts w:hint="eastAsia" w:ascii="宋体" w:hAnsi="宋体" w:cs="宋体"/>
          <w:color w:val="auto"/>
          <w:szCs w:val="21"/>
          <w:highlight w:val="none"/>
          <w:lang w:eastAsia="zh-CN"/>
        </w:rPr>
        <w:t>缴纳</w:t>
      </w:r>
      <w:r>
        <w:rPr>
          <w:rFonts w:hint="eastAsia" w:ascii="宋体" w:hAnsi="宋体" w:cs="宋体"/>
          <w:color w:val="auto"/>
          <w:szCs w:val="21"/>
          <w:highlight w:val="none"/>
        </w:rPr>
        <w:t>代理服务费。</w:t>
      </w:r>
    </w:p>
    <w:p w14:paraId="3E0BA4E3">
      <w:pPr>
        <w:pageBreakBefore w:val="0"/>
        <w:widowControl w:val="0"/>
        <w:kinsoku/>
        <w:wordWrap/>
        <w:overflowPunct/>
        <w:topLinePunct w:val="0"/>
        <w:autoSpaceDE/>
        <w:autoSpaceDN/>
        <w:bidi w:val="0"/>
        <w:spacing w:line="380" w:lineRule="exact"/>
        <w:ind w:firstLine="482" w:firstLineChars="200"/>
        <w:rPr>
          <w:rFonts w:hint="eastAsia" w:ascii="黑体" w:hAnsi="黑体" w:eastAsia="黑体" w:cs="宋体"/>
          <w:b/>
          <w:bCs/>
          <w:color w:val="auto"/>
          <w:sz w:val="24"/>
          <w:highlight w:val="none"/>
        </w:rPr>
      </w:pPr>
      <w:r>
        <w:rPr>
          <w:rFonts w:hint="eastAsia" w:ascii="黑体" w:hAnsi="黑体" w:eastAsia="黑体" w:cs="宋体"/>
          <w:b/>
          <w:bCs/>
          <w:color w:val="auto"/>
          <w:sz w:val="24"/>
          <w:highlight w:val="none"/>
        </w:rPr>
        <w:t>34.需要补充的其他内容</w:t>
      </w:r>
    </w:p>
    <w:p w14:paraId="7958E3E5">
      <w:pPr>
        <w:pStyle w:val="15"/>
        <w:pageBreakBefore w:val="0"/>
        <w:widowControl w:val="0"/>
        <w:kinsoku/>
        <w:wordWrap/>
        <w:overflowPunct/>
        <w:topLinePunct w:val="0"/>
        <w:autoSpaceDE/>
        <w:autoSpaceDN/>
        <w:bidi w:val="0"/>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34.1本磋商文件解释规则详见“供应商须知前附表”。</w:t>
      </w:r>
    </w:p>
    <w:p w14:paraId="52688E90">
      <w:pPr>
        <w:pStyle w:val="15"/>
        <w:pageBreakBefore w:val="0"/>
        <w:widowControl w:val="0"/>
        <w:kinsoku/>
        <w:wordWrap/>
        <w:overflowPunct/>
        <w:topLinePunct w:val="0"/>
        <w:autoSpaceDE/>
        <w:autoSpaceDN/>
        <w:bidi w:val="0"/>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34.2 其他事项详见“供应商须知前附表”。</w:t>
      </w:r>
    </w:p>
    <w:p w14:paraId="55F242D4">
      <w:pPr>
        <w:pStyle w:val="15"/>
        <w:pageBreakBefore w:val="0"/>
        <w:widowControl w:val="0"/>
        <w:kinsoku/>
        <w:wordWrap/>
        <w:overflowPunct/>
        <w:topLinePunct w:val="0"/>
        <w:autoSpaceDE/>
        <w:autoSpaceDN/>
        <w:bidi w:val="0"/>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34.3本文件所称中小企业，是指在中华人民共和国境内依法设立，依据国务院批准的中小企业划分标准确定的中型企业、小型企业和微型企业，但与大企业的负责人为同一人，或者与大企业存在直接控股、管理关系的除外。符合中小企业划分标准的个体工商户，在政府采购活动中视同中小企业。在政府采购活动中，供应商提供的</w:t>
      </w:r>
      <w:r>
        <w:rPr>
          <w:rFonts w:hint="eastAsia" w:hAnsi="宋体"/>
          <w:color w:val="auto"/>
          <w:sz w:val="21"/>
          <w:highlight w:val="none"/>
        </w:rPr>
        <w:t>服务由中小企业承接，即提供服务的人员为中小企业依照《中华人民共和国劳动合同法》订立劳动合同的从业人员，不对其中涉及的货物的制造商和工程承建商作出要求的</w:t>
      </w:r>
      <w:r>
        <w:rPr>
          <w:rFonts w:hint="eastAsia" w:hAnsi="宋体" w:cs="宋体"/>
          <w:color w:val="auto"/>
          <w:kern w:val="2"/>
          <w:sz w:val="21"/>
          <w:highlight w:val="none"/>
        </w:rPr>
        <w:t>，享受本文件规定的中小企业扶持政策。</w:t>
      </w:r>
    </w:p>
    <w:p w14:paraId="5176B102">
      <w:pPr>
        <w:pStyle w:val="15"/>
        <w:pageBreakBefore w:val="0"/>
        <w:widowControl w:val="0"/>
        <w:kinsoku/>
        <w:wordWrap/>
        <w:overflowPunct/>
        <w:topLinePunct w:val="0"/>
        <w:autoSpaceDE/>
        <w:autoSpaceDN/>
        <w:bidi w:val="0"/>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以联合体形式参加政府采购活动，联合体各方均为中小企业的，联合体视同中小企业。其中，联合体各方均为小微企业的，联合体视同小微企业。</w:t>
      </w:r>
    </w:p>
    <w:p w14:paraId="59FBC1EC">
      <w:pPr>
        <w:pStyle w:val="15"/>
        <w:pageBreakBefore w:val="0"/>
        <w:widowControl w:val="0"/>
        <w:kinsoku/>
        <w:wordWrap/>
        <w:overflowPunct/>
        <w:topLinePunct w:val="0"/>
        <w:autoSpaceDE/>
        <w:autoSpaceDN/>
        <w:bidi w:val="0"/>
        <w:spacing w:line="380" w:lineRule="exact"/>
        <w:ind w:firstLine="420" w:firstLineChars="200"/>
        <w:textAlignment w:val="center"/>
        <w:rPr>
          <w:rFonts w:hint="eastAsia" w:hAnsi="宋体" w:cs="宋体"/>
          <w:color w:val="auto"/>
          <w:kern w:val="2"/>
          <w:sz w:val="21"/>
          <w:highlight w:val="none"/>
        </w:rPr>
      </w:pPr>
      <w:r>
        <w:rPr>
          <w:rFonts w:hint="eastAsia" w:hAnsi="宋体" w:cs="宋体"/>
          <w:color w:val="auto"/>
          <w:kern w:val="2"/>
          <w:sz w:val="21"/>
          <w:highlight w:val="none"/>
        </w:rPr>
        <w:t>依据本文件规定享受扶持政策获得政府采购合同的，小微企业不得将合同分包给大中型企业，中型企业不得将合同分包给大型企业。</w:t>
      </w:r>
    </w:p>
    <w:p w14:paraId="44C9626E">
      <w:pPr>
        <w:rPr>
          <w:color w:val="auto"/>
          <w:highlight w:val="none"/>
        </w:rPr>
      </w:pPr>
      <w:r>
        <w:rPr>
          <w:color w:val="auto"/>
          <w:highlight w:val="none"/>
        </w:rPr>
        <w:br w:type="page"/>
      </w:r>
    </w:p>
    <w:p w14:paraId="1827D46C">
      <w:pPr>
        <w:spacing w:line="360" w:lineRule="auto"/>
        <w:ind w:firstLine="640" w:firstLineChars="200"/>
        <w:rPr>
          <w:rFonts w:hint="eastAsia" w:ascii="Times New Roman" w:hAnsi="宋体" w:eastAsia="宋体" w:cs="Times New Roman"/>
          <w:color w:val="auto"/>
          <w:highlight w:val="none"/>
        </w:rPr>
      </w:pPr>
      <w:r>
        <w:rPr>
          <w:rFonts w:hint="eastAsia" w:ascii="黑体" w:hAnsi="黑体" w:eastAsia="黑体" w:cs="黑体"/>
          <w:bCs/>
          <w:color w:val="auto"/>
          <w:sz w:val="32"/>
          <w:szCs w:val="32"/>
          <w:highlight w:val="none"/>
        </w:rPr>
        <w:t>附件1：</w:t>
      </w:r>
    </w:p>
    <w:p w14:paraId="60B27742">
      <w:pPr>
        <w:widowControl/>
        <w:shd w:val="clear" w:color="auto" w:fill="FFFFFF"/>
        <w:spacing w:line="480" w:lineRule="atLeast"/>
        <w:jc w:val="center"/>
        <w:rPr>
          <w:rFonts w:hint="eastAsia" w:ascii="仿宋" w:hAnsi="仿宋" w:eastAsia="仿宋" w:cs="宋体"/>
          <w:color w:val="auto"/>
          <w:kern w:val="0"/>
          <w:sz w:val="32"/>
          <w:szCs w:val="32"/>
          <w:highlight w:val="none"/>
        </w:rPr>
      </w:pPr>
      <w:r>
        <w:rPr>
          <w:rFonts w:hint="eastAsia" w:ascii="宋体" w:hAnsi="宋体" w:eastAsia="宋体" w:cs="宋体"/>
          <w:b/>
          <w:bCs/>
          <w:color w:val="auto"/>
          <w:kern w:val="0"/>
          <w:sz w:val="32"/>
          <w:szCs w:val="32"/>
          <w:highlight w:val="none"/>
        </w:rPr>
        <w:t>广西壮族自治区政府采购项目合同验收书（格式）</w:t>
      </w:r>
    </w:p>
    <w:p w14:paraId="3C500969">
      <w:pPr>
        <w:widowControl/>
        <w:shd w:val="clear" w:color="auto" w:fill="FFFFFF"/>
        <w:spacing w:line="480" w:lineRule="atLeast"/>
        <w:jc w:val="center"/>
        <w:rPr>
          <w:rFonts w:hint="eastAsia" w:ascii="仿宋" w:hAnsi="仿宋" w:eastAsia="仿宋" w:cs="宋体"/>
          <w:color w:val="auto"/>
          <w:kern w:val="0"/>
          <w:sz w:val="32"/>
          <w:szCs w:val="32"/>
          <w:highlight w:val="none"/>
        </w:rPr>
      </w:pPr>
    </w:p>
    <w:p w14:paraId="6C6F9AE2">
      <w:pPr>
        <w:widowControl/>
        <w:shd w:val="clear" w:color="auto" w:fill="FFFFFF"/>
        <w:snapToGrid w:val="0"/>
        <w:spacing w:line="320" w:lineRule="atLeast"/>
        <w:ind w:firstLine="480"/>
        <w:jc w:val="left"/>
        <w:rPr>
          <w:rFonts w:hint="eastAsia" w:ascii="仿宋" w:hAnsi="仿宋" w:eastAsia="仿宋" w:cs="宋体"/>
          <w:color w:val="auto"/>
          <w:kern w:val="0"/>
          <w:szCs w:val="21"/>
          <w:highlight w:val="none"/>
        </w:rPr>
      </w:pPr>
      <w:r>
        <w:rPr>
          <w:rFonts w:hint="eastAsia" w:ascii="仿宋" w:hAnsi="仿宋" w:eastAsia="仿宋" w:cs="宋体"/>
          <w:color w:val="auto"/>
          <w:kern w:val="0"/>
          <w:szCs w:val="21"/>
          <w:highlight w:val="none"/>
        </w:rPr>
        <w:t>根据政府采购项目（</w:t>
      </w:r>
      <w:r>
        <w:rPr>
          <w:rFonts w:hint="eastAsia" w:ascii="仿宋" w:hAnsi="仿宋" w:eastAsia="仿宋" w:cs="宋体"/>
          <w:color w:val="auto"/>
          <w:kern w:val="0"/>
          <w:szCs w:val="21"/>
          <w:highlight w:val="none"/>
          <w:u w:val="single"/>
        </w:rPr>
        <w:t>采购合同编号：</w:t>
      </w:r>
      <w:r>
        <w:rPr>
          <w:rFonts w:hint="eastAsia" w:ascii="仿宋" w:hAnsi="仿宋" w:eastAsia="仿宋" w:cs="宋体"/>
          <w:color w:val="auto"/>
          <w:kern w:val="0"/>
          <w:szCs w:val="21"/>
          <w:highlight w:val="none"/>
          <w:u w:val="single"/>
        </w:rPr>
        <w:softHyphen/>
      </w:r>
      <w:r>
        <w:rPr>
          <w:rFonts w:hint="eastAsia" w:ascii="仿宋" w:hAnsi="仿宋" w:eastAsia="仿宋" w:cs="宋体"/>
          <w:color w:val="auto"/>
          <w:kern w:val="0"/>
          <w:szCs w:val="21"/>
          <w:highlight w:val="none"/>
        </w:rPr>
        <w:t>）的约定，我单位对（</w:t>
      </w:r>
      <w:r>
        <w:rPr>
          <w:rFonts w:hint="eastAsia" w:ascii="仿宋" w:hAnsi="仿宋" w:eastAsia="仿宋" w:cs="宋体"/>
          <w:color w:val="auto"/>
          <w:kern w:val="0"/>
          <w:szCs w:val="21"/>
          <w:highlight w:val="none"/>
          <w:u w:val="single"/>
        </w:rPr>
        <w:t>项目名称</w:t>
      </w:r>
      <w:r>
        <w:rPr>
          <w:rFonts w:hint="eastAsia" w:ascii="仿宋" w:hAnsi="仿宋" w:eastAsia="仿宋" w:cs="宋体"/>
          <w:color w:val="auto"/>
          <w:kern w:val="0"/>
          <w:szCs w:val="21"/>
          <w:highlight w:val="none"/>
        </w:rPr>
        <w:t>）政府采购项目成交供应商（</w:t>
      </w:r>
      <w:r>
        <w:rPr>
          <w:rFonts w:hint="eastAsia" w:ascii="仿宋" w:hAnsi="仿宋" w:eastAsia="仿宋" w:cs="宋体"/>
          <w:color w:val="auto"/>
          <w:kern w:val="0"/>
          <w:szCs w:val="21"/>
          <w:highlight w:val="none"/>
          <w:u w:val="single"/>
        </w:rPr>
        <w:t>公司名称</w:t>
      </w:r>
      <w:r>
        <w:rPr>
          <w:rFonts w:hint="eastAsia" w:ascii="仿宋" w:hAnsi="仿宋" w:eastAsia="仿宋" w:cs="宋体"/>
          <w:color w:val="auto"/>
          <w:kern w:val="0"/>
          <w:szCs w:val="21"/>
          <w:highlight w:val="none"/>
        </w:rPr>
        <w:t>）提供的货物（或者工程、服务）进行了验收，验收情况如下：</w:t>
      </w:r>
    </w:p>
    <w:tbl>
      <w:tblPr>
        <w:tblStyle w:val="24"/>
        <w:tblW w:w="0" w:type="auto"/>
        <w:jc w:val="center"/>
        <w:tblLayout w:type="fixed"/>
        <w:tblCellMar>
          <w:top w:w="0" w:type="dxa"/>
          <w:left w:w="0" w:type="dxa"/>
          <w:bottom w:w="0" w:type="dxa"/>
          <w:right w:w="0" w:type="dxa"/>
        </w:tblCellMar>
      </w:tblPr>
      <w:tblGrid>
        <w:gridCol w:w="804"/>
        <w:gridCol w:w="825"/>
        <w:gridCol w:w="1623"/>
        <w:gridCol w:w="798"/>
        <w:gridCol w:w="102"/>
        <w:gridCol w:w="2002"/>
        <w:gridCol w:w="178"/>
        <w:gridCol w:w="685"/>
        <w:gridCol w:w="1428"/>
      </w:tblGrid>
      <w:tr w14:paraId="5BBE4D9B">
        <w:tblPrEx>
          <w:tblCellMar>
            <w:top w:w="0" w:type="dxa"/>
            <w:left w:w="0" w:type="dxa"/>
            <w:bottom w:w="0" w:type="dxa"/>
            <w:right w:w="0" w:type="dxa"/>
          </w:tblCellMar>
        </w:tblPrEx>
        <w:trPr>
          <w:trHeight w:val="497" w:hRule="atLeast"/>
          <w:jc w:val="center"/>
        </w:trPr>
        <w:tc>
          <w:tcPr>
            <w:tcW w:w="3252" w:type="dxa"/>
            <w:gridSpan w:val="3"/>
            <w:tcBorders>
              <w:top w:val="single" w:color="auto" w:sz="8" w:space="0"/>
              <w:left w:val="single" w:color="auto" w:sz="8" w:space="0"/>
              <w:bottom w:val="single" w:color="auto" w:sz="8" w:space="0"/>
              <w:right w:val="single" w:color="auto" w:sz="8" w:space="0"/>
            </w:tcBorders>
            <w:noWrap w:val="0"/>
            <w:vAlign w:val="center"/>
          </w:tcPr>
          <w:p w14:paraId="778882BC">
            <w:pPr>
              <w:keepNext w:val="0"/>
              <w:keepLines w:val="0"/>
              <w:widowControl/>
              <w:suppressLineNumbers w:val="0"/>
              <w:snapToGrid w:val="0"/>
              <w:spacing w:before="100" w:beforeAutospacing="1" w:after="100" w:afterAutospacing="1" w:line="320" w:lineRule="atLeast"/>
              <w:ind w:left="0" w:right="0" w:firstLine="5"/>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验收方式：</w:t>
            </w:r>
          </w:p>
        </w:tc>
        <w:tc>
          <w:tcPr>
            <w:tcW w:w="5193" w:type="dxa"/>
            <w:gridSpan w:val="6"/>
            <w:tcBorders>
              <w:top w:val="single" w:color="auto" w:sz="8" w:space="0"/>
              <w:left w:val="nil"/>
              <w:bottom w:val="single" w:color="auto" w:sz="8" w:space="0"/>
              <w:right w:val="single" w:color="auto" w:sz="8" w:space="0"/>
            </w:tcBorders>
            <w:noWrap w:val="0"/>
            <w:vAlign w:val="center"/>
          </w:tcPr>
          <w:p w14:paraId="599F1E45">
            <w:pPr>
              <w:keepNext w:val="0"/>
              <w:keepLines w:val="0"/>
              <w:widowControl/>
              <w:suppressLineNumbers w:val="0"/>
              <w:snapToGrid w:val="0"/>
              <w:spacing w:before="100" w:beforeAutospacing="1" w:after="100" w:afterAutospacing="1" w:line="320" w:lineRule="atLeast"/>
              <w:ind w:left="0" w:right="0"/>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sym w:font="Wingdings 2" w:char="00A3"/>
            </w:r>
            <w:r>
              <w:rPr>
                <w:rFonts w:hint="default" w:ascii="Verdana" w:hAnsi="Verdana" w:eastAsia="宋体" w:cs="宋体"/>
                <w:color w:val="auto"/>
                <w:kern w:val="0"/>
                <w:szCs w:val="21"/>
                <w:highlight w:val="none"/>
              </w:rPr>
              <w:t>自行验收</w:t>
            </w:r>
            <w:r>
              <w:rPr>
                <w:rFonts w:hint="default" w:ascii="Verdana" w:hAnsi="Verdana" w:eastAsia="宋体" w:cs="宋体"/>
                <w:color w:val="auto"/>
                <w:kern w:val="0"/>
                <w:szCs w:val="21"/>
                <w:highlight w:val="none"/>
              </w:rPr>
              <w:sym w:font="Wingdings 2" w:char="00A3"/>
            </w:r>
            <w:r>
              <w:rPr>
                <w:rFonts w:hint="default" w:ascii="Verdana" w:hAnsi="Verdana" w:eastAsia="宋体" w:cs="宋体"/>
                <w:color w:val="auto"/>
                <w:kern w:val="0"/>
                <w:szCs w:val="21"/>
                <w:highlight w:val="none"/>
              </w:rPr>
              <w:t>委托验收</w:t>
            </w:r>
          </w:p>
        </w:tc>
      </w:tr>
      <w:tr w14:paraId="647524A1">
        <w:tblPrEx>
          <w:tblCellMar>
            <w:top w:w="0" w:type="dxa"/>
            <w:left w:w="0" w:type="dxa"/>
            <w:bottom w:w="0" w:type="dxa"/>
            <w:right w:w="0" w:type="dxa"/>
          </w:tblCellMar>
        </w:tblPrEx>
        <w:trPr>
          <w:trHeight w:val="622" w:hRule="atLeast"/>
          <w:jc w:val="center"/>
        </w:trPr>
        <w:tc>
          <w:tcPr>
            <w:tcW w:w="804" w:type="dxa"/>
            <w:tcBorders>
              <w:top w:val="nil"/>
              <w:left w:val="single" w:color="auto" w:sz="8" w:space="0"/>
              <w:bottom w:val="single" w:color="auto" w:sz="8" w:space="0"/>
              <w:right w:val="single" w:color="auto" w:sz="8" w:space="0"/>
            </w:tcBorders>
            <w:noWrap w:val="0"/>
            <w:vAlign w:val="center"/>
          </w:tcPr>
          <w:p w14:paraId="62A5F56A">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序号</w:t>
            </w:r>
          </w:p>
        </w:tc>
        <w:tc>
          <w:tcPr>
            <w:tcW w:w="2448" w:type="dxa"/>
            <w:gridSpan w:val="2"/>
            <w:tcBorders>
              <w:top w:val="nil"/>
              <w:left w:val="nil"/>
              <w:bottom w:val="single" w:color="auto" w:sz="8" w:space="0"/>
              <w:right w:val="single" w:color="auto" w:sz="8" w:space="0"/>
            </w:tcBorders>
            <w:noWrap w:val="0"/>
            <w:vAlign w:val="center"/>
          </w:tcPr>
          <w:p w14:paraId="1B4E7A8A">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名称</w:t>
            </w:r>
          </w:p>
        </w:tc>
        <w:tc>
          <w:tcPr>
            <w:tcW w:w="2902" w:type="dxa"/>
            <w:gridSpan w:val="3"/>
            <w:tcBorders>
              <w:top w:val="nil"/>
              <w:left w:val="nil"/>
              <w:bottom w:val="single" w:color="auto" w:sz="8" w:space="0"/>
              <w:right w:val="single" w:color="auto" w:sz="8" w:space="0"/>
            </w:tcBorders>
            <w:noWrap w:val="0"/>
            <w:vAlign w:val="center"/>
          </w:tcPr>
          <w:p w14:paraId="79004E87">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货物型号规格、标准及配置等（或者服务内容、标准）</w:t>
            </w:r>
          </w:p>
        </w:tc>
        <w:tc>
          <w:tcPr>
            <w:tcW w:w="863" w:type="dxa"/>
            <w:gridSpan w:val="2"/>
            <w:tcBorders>
              <w:top w:val="nil"/>
              <w:left w:val="nil"/>
              <w:bottom w:val="single" w:color="auto" w:sz="8" w:space="0"/>
              <w:right w:val="single" w:color="auto" w:sz="8" w:space="0"/>
            </w:tcBorders>
            <w:noWrap w:val="0"/>
            <w:vAlign w:val="center"/>
          </w:tcPr>
          <w:p w14:paraId="4FB1B93A">
            <w:pPr>
              <w:keepNext w:val="0"/>
              <w:keepLines w:val="0"/>
              <w:widowControl/>
              <w:suppressLineNumbers w:val="0"/>
              <w:snapToGrid w:val="0"/>
              <w:spacing w:before="100" w:beforeAutospacing="1" w:after="100" w:afterAutospacing="1" w:line="320" w:lineRule="atLeast"/>
              <w:ind w:left="0" w:right="0"/>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数量</w:t>
            </w:r>
          </w:p>
        </w:tc>
        <w:tc>
          <w:tcPr>
            <w:tcW w:w="1428" w:type="dxa"/>
            <w:tcBorders>
              <w:top w:val="nil"/>
              <w:left w:val="nil"/>
              <w:bottom w:val="single" w:color="auto" w:sz="8" w:space="0"/>
              <w:right w:val="single" w:color="auto" w:sz="8" w:space="0"/>
            </w:tcBorders>
            <w:noWrap w:val="0"/>
            <w:vAlign w:val="center"/>
          </w:tcPr>
          <w:p w14:paraId="6F1AB782">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金额</w:t>
            </w:r>
          </w:p>
        </w:tc>
      </w:tr>
      <w:tr w14:paraId="3CDBF5C3">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1432C9DF">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38100001">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199EE405">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43BF37EA">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3B20CE69">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r>
      <w:tr w14:paraId="1EBADD81">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247EFA9F">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0C4CBB55">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797FD2E2">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14C8CD96">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7AB5BDA9">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r>
      <w:tr w14:paraId="6922FED7">
        <w:tblPrEx>
          <w:tblCellMar>
            <w:top w:w="0" w:type="dxa"/>
            <w:left w:w="0" w:type="dxa"/>
            <w:bottom w:w="0" w:type="dxa"/>
            <w:right w:w="0" w:type="dxa"/>
          </w:tblCellMar>
        </w:tblPrEx>
        <w:trPr>
          <w:trHeight w:val="487" w:hRule="atLeast"/>
          <w:jc w:val="center"/>
        </w:trPr>
        <w:tc>
          <w:tcPr>
            <w:tcW w:w="804" w:type="dxa"/>
            <w:tcBorders>
              <w:top w:val="nil"/>
              <w:left w:val="single" w:color="auto" w:sz="8" w:space="0"/>
              <w:bottom w:val="single" w:color="auto" w:sz="8" w:space="0"/>
              <w:right w:val="single" w:color="auto" w:sz="8" w:space="0"/>
            </w:tcBorders>
            <w:noWrap w:val="0"/>
            <w:vAlign w:val="center"/>
          </w:tcPr>
          <w:p w14:paraId="634C05E9">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448" w:type="dxa"/>
            <w:gridSpan w:val="2"/>
            <w:tcBorders>
              <w:top w:val="nil"/>
              <w:left w:val="nil"/>
              <w:bottom w:val="single" w:color="auto" w:sz="8" w:space="0"/>
              <w:right w:val="single" w:color="auto" w:sz="8" w:space="0"/>
            </w:tcBorders>
            <w:noWrap w:val="0"/>
            <w:vAlign w:val="center"/>
          </w:tcPr>
          <w:p w14:paraId="0DFA6005">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902" w:type="dxa"/>
            <w:gridSpan w:val="3"/>
            <w:tcBorders>
              <w:top w:val="nil"/>
              <w:left w:val="nil"/>
              <w:bottom w:val="single" w:color="auto" w:sz="8" w:space="0"/>
              <w:right w:val="single" w:color="auto" w:sz="8" w:space="0"/>
            </w:tcBorders>
            <w:noWrap w:val="0"/>
            <w:vAlign w:val="center"/>
          </w:tcPr>
          <w:p w14:paraId="2133457C">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863" w:type="dxa"/>
            <w:gridSpan w:val="2"/>
            <w:tcBorders>
              <w:top w:val="nil"/>
              <w:left w:val="nil"/>
              <w:bottom w:val="single" w:color="auto" w:sz="8" w:space="0"/>
              <w:right w:val="single" w:color="auto" w:sz="8" w:space="0"/>
            </w:tcBorders>
            <w:noWrap w:val="0"/>
            <w:vAlign w:val="center"/>
          </w:tcPr>
          <w:p w14:paraId="5A39F10C">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3EDC41AB">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r>
      <w:tr w14:paraId="0D4959A4">
        <w:tblPrEx>
          <w:tblCellMar>
            <w:top w:w="0" w:type="dxa"/>
            <w:left w:w="0" w:type="dxa"/>
            <w:bottom w:w="0" w:type="dxa"/>
            <w:right w:w="0" w:type="dxa"/>
          </w:tblCellMar>
        </w:tblPrEx>
        <w:trPr>
          <w:trHeight w:val="487" w:hRule="atLeast"/>
          <w:jc w:val="center"/>
        </w:trPr>
        <w:tc>
          <w:tcPr>
            <w:tcW w:w="6154" w:type="dxa"/>
            <w:gridSpan w:val="6"/>
            <w:tcBorders>
              <w:top w:val="nil"/>
              <w:left w:val="single" w:color="auto" w:sz="8" w:space="0"/>
              <w:bottom w:val="single" w:color="auto" w:sz="8" w:space="0"/>
              <w:right w:val="single" w:color="auto" w:sz="8" w:space="0"/>
            </w:tcBorders>
            <w:noWrap w:val="0"/>
            <w:vAlign w:val="center"/>
          </w:tcPr>
          <w:p w14:paraId="3C68F548">
            <w:pPr>
              <w:keepNext w:val="0"/>
              <w:keepLines w:val="0"/>
              <w:widowControl/>
              <w:suppressLineNumbers w:val="0"/>
              <w:snapToGrid w:val="0"/>
              <w:spacing w:before="100" w:beforeAutospacing="1" w:after="100" w:afterAutospacing="1" w:line="320" w:lineRule="atLeast"/>
              <w:ind w:left="0" w:right="0" w:firstLine="5"/>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合计</w:t>
            </w:r>
          </w:p>
        </w:tc>
        <w:tc>
          <w:tcPr>
            <w:tcW w:w="863" w:type="dxa"/>
            <w:gridSpan w:val="2"/>
            <w:tcBorders>
              <w:top w:val="nil"/>
              <w:left w:val="nil"/>
              <w:bottom w:val="single" w:color="auto" w:sz="8" w:space="0"/>
              <w:right w:val="single" w:color="auto" w:sz="8" w:space="0"/>
            </w:tcBorders>
            <w:noWrap w:val="0"/>
            <w:vAlign w:val="center"/>
          </w:tcPr>
          <w:p w14:paraId="05A3E249">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1428" w:type="dxa"/>
            <w:tcBorders>
              <w:top w:val="nil"/>
              <w:left w:val="nil"/>
              <w:bottom w:val="single" w:color="auto" w:sz="8" w:space="0"/>
              <w:right w:val="single" w:color="auto" w:sz="8" w:space="0"/>
            </w:tcBorders>
            <w:noWrap w:val="0"/>
            <w:vAlign w:val="center"/>
          </w:tcPr>
          <w:p w14:paraId="7DE533D1">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r>
      <w:tr w14:paraId="744FDD9D">
        <w:tblPrEx>
          <w:tblCellMar>
            <w:top w:w="0" w:type="dxa"/>
            <w:left w:w="0" w:type="dxa"/>
            <w:bottom w:w="0" w:type="dxa"/>
            <w:right w:w="0" w:type="dxa"/>
          </w:tblCellMar>
        </w:tblPrEx>
        <w:trPr>
          <w:trHeight w:val="641" w:hRule="atLeast"/>
          <w:jc w:val="center"/>
        </w:trPr>
        <w:tc>
          <w:tcPr>
            <w:tcW w:w="8445" w:type="dxa"/>
            <w:gridSpan w:val="9"/>
            <w:tcBorders>
              <w:top w:val="nil"/>
              <w:left w:val="single" w:color="auto" w:sz="8" w:space="0"/>
              <w:bottom w:val="single" w:color="auto" w:sz="8" w:space="0"/>
              <w:right w:val="single" w:color="auto" w:sz="8" w:space="0"/>
            </w:tcBorders>
            <w:noWrap w:val="0"/>
            <w:vAlign w:val="center"/>
          </w:tcPr>
          <w:p w14:paraId="5D8EA5A8">
            <w:pPr>
              <w:keepNext w:val="0"/>
              <w:keepLines w:val="0"/>
              <w:widowControl/>
              <w:suppressLineNumbers w:val="0"/>
              <w:snapToGrid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合计大写金额：</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仟</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佰</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拾</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万</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仟</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佰</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拾</w:t>
            </w:r>
            <w:r>
              <w:rPr>
                <w:rFonts w:hint="eastAsia" w:ascii="Verdana" w:hAnsi="Verdana" w:cs="宋体"/>
                <w:color w:val="auto"/>
                <w:kern w:val="0"/>
                <w:szCs w:val="21"/>
                <w:highlight w:val="none"/>
                <w:lang w:val="en-US" w:eastAsia="zh-CN"/>
              </w:rPr>
              <w:t xml:space="preserve">   </w:t>
            </w:r>
            <w:r>
              <w:rPr>
                <w:rFonts w:hint="default" w:ascii="Verdana" w:hAnsi="Verdana" w:eastAsia="宋体" w:cs="宋体"/>
                <w:color w:val="auto"/>
                <w:kern w:val="0"/>
                <w:szCs w:val="21"/>
                <w:highlight w:val="none"/>
              </w:rPr>
              <w:t>元</w:t>
            </w:r>
          </w:p>
        </w:tc>
      </w:tr>
      <w:tr w14:paraId="7076B7B4">
        <w:tblPrEx>
          <w:tblCellMar>
            <w:top w:w="0" w:type="dxa"/>
            <w:left w:w="0" w:type="dxa"/>
            <w:bottom w:w="0" w:type="dxa"/>
            <w:right w:w="0" w:type="dxa"/>
          </w:tblCellMar>
        </w:tblPrEx>
        <w:trPr>
          <w:trHeight w:val="641" w:hRule="atLeast"/>
          <w:jc w:val="center"/>
        </w:trPr>
        <w:tc>
          <w:tcPr>
            <w:tcW w:w="1629" w:type="dxa"/>
            <w:gridSpan w:val="2"/>
            <w:tcBorders>
              <w:top w:val="nil"/>
              <w:left w:val="single" w:color="auto" w:sz="8" w:space="0"/>
              <w:bottom w:val="single" w:color="auto" w:sz="8" w:space="0"/>
              <w:right w:val="single" w:color="auto" w:sz="8" w:space="0"/>
            </w:tcBorders>
            <w:noWrap w:val="0"/>
            <w:vAlign w:val="center"/>
          </w:tcPr>
          <w:p w14:paraId="5DBBAD5E">
            <w:pPr>
              <w:keepNext w:val="0"/>
              <w:keepLines w:val="0"/>
              <w:widowControl/>
              <w:suppressLineNumbers w:val="0"/>
              <w:snapToGrid w:val="0"/>
              <w:spacing w:before="100" w:beforeAutospacing="1" w:after="100" w:afterAutospacing="1" w:line="320" w:lineRule="atLeast"/>
              <w:ind w:left="0" w:right="0" w:firstLine="2"/>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实际供货日期</w:t>
            </w:r>
          </w:p>
        </w:tc>
        <w:tc>
          <w:tcPr>
            <w:tcW w:w="2421" w:type="dxa"/>
            <w:gridSpan w:val="2"/>
            <w:tcBorders>
              <w:top w:val="nil"/>
              <w:left w:val="nil"/>
              <w:bottom w:val="single" w:color="auto" w:sz="8" w:space="0"/>
              <w:right w:val="single" w:color="auto" w:sz="8" w:space="0"/>
            </w:tcBorders>
            <w:noWrap w:val="0"/>
            <w:vAlign w:val="center"/>
          </w:tcPr>
          <w:p w14:paraId="2D9910BC">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c>
          <w:tcPr>
            <w:tcW w:w="2282" w:type="dxa"/>
            <w:gridSpan w:val="3"/>
            <w:tcBorders>
              <w:top w:val="nil"/>
              <w:left w:val="nil"/>
              <w:bottom w:val="single" w:color="auto" w:sz="8" w:space="0"/>
              <w:right w:val="single" w:color="auto" w:sz="8" w:space="0"/>
            </w:tcBorders>
            <w:noWrap w:val="0"/>
            <w:vAlign w:val="center"/>
          </w:tcPr>
          <w:p w14:paraId="14A70AF2">
            <w:pPr>
              <w:keepNext w:val="0"/>
              <w:keepLines w:val="0"/>
              <w:widowControl/>
              <w:suppressLineNumbers w:val="0"/>
              <w:snapToGrid w:val="0"/>
              <w:spacing w:before="100" w:beforeAutospacing="1" w:after="100" w:afterAutospacing="1" w:line="320" w:lineRule="atLeast"/>
              <w:ind w:left="0" w:right="0" w:firstLine="46"/>
              <w:jc w:val="center"/>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合同交货验收日期</w:t>
            </w:r>
          </w:p>
        </w:tc>
        <w:tc>
          <w:tcPr>
            <w:tcW w:w="2113" w:type="dxa"/>
            <w:gridSpan w:val="2"/>
            <w:tcBorders>
              <w:top w:val="nil"/>
              <w:left w:val="nil"/>
              <w:bottom w:val="single" w:color="auto" w:sz="8" w:space="0"/>
              <w:right w:val="single" w:color="auto" w:sz="8" w:space="0"/>
            </w:tcBorders>
            <w:noWrap w:val="0"/>
            <w:vAlign w:val="center"/>
          </w:tcPr>
          <w:p w14:paraId="72909555">
            <w:pPr>
              <w:keepNext w:val="0"/>
              <w:keepLines w:val="0"/>
              <w:widowControl/>
              <w:suppressLineNumbers w:val="0"/>
              <w:spacing w:before="100" w:beforeAutospacing="1" w:after="100" w:afterAutospacing="1" w:line="240" w:lineRule="atLeast"/>
              <w:ind w:left="0" w:right="0"/>
              <w:jc w:val="center"/>
              <w:rPr>
                <w:rFonts w:hint="default" w:ascii="Verdana" w:hAnsi="Verdana" w:eastAsia="宋体" w:cs="宋体"/>
                <w:color w:val="auto"/>
                <w:kern w:val="0"/>
                <w:szCs w:val="21"/>
                <w:highlight w:val="none"/>
              </w:rPr>
            </w:pPr>
          </w:p>
        </w:tc>
      </w:tr>
      <w:tr w14:paraId="2453E9E4">
        <w:tblPrEx>
          <w:tblCellMar>
            <w:top w:w="0" w:type="dxa"/>
            <w:left w:w="0" w:type="dxa"/>
            <w:bottom w:w="0" w:type="dxa"/>
            <w:right w:w="0" w:type="dxa"/>
          </w:tblCellMar>
        </w:tblPrEx>
        <w:trPr>
          <w:trHeight w:val="693" w:hRule="atLeast"/>
          <w:jc w:val="center"/>
        </w:trPr>
        <w:tc>
          <w:tcPr>
            <w:tcW w:w="1629" w:type="dxa"/>
            <w:gridSpan w:val="2"/>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7964470">
            <w:pPr>
              <w:keepNext w:val="0"/>
              <w:keepLines w:val="0"/>
              <w:widowControl/>
              <w:suppressLineNumbers w:val="0"/>
              <w:snapToGrid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验收具体内容</w:t>
            </w:r>
          </w:p>
        </w:tc>
        <w:tc>
          <w:tcPr>
            <w:tcW w:w="6816" w:type="dxa"/>
            <w:gridSpan w:val="7"/>
            <w:tcBorders>
              <w:top w:val="nil"/>
              <w:left w:val="nil"/>
              <w:bottom w:val="single" w:color="auto" w:sz="8" w:space="0"/>
              <w:right w:val="single" w:color="auto" w:sz="8" w:space="0"/>
            </w:tcBorders>
            <w:noWrap w:val="0"/>
            <w:tcMar>
              <w:top w:w="0" w:type="dxa"/>
              <w:left w:w="108" w:type="dxa"/>
              <w:bottom w:w="0" w:type="dxa"/>
              <w:right w:w="108" w:type="dxa"/>
            </w:tcMar>
            <w:vAlign w:val="center"/>
          </w:tcPr>
          <w:p w14:paraId="74CA9A09">
            <w:pPr>
              <w:keepNext w:val="0"/>
              <w:keepLines w:val="0"/>
              <w:widowControl/>
              <w:suppressLineNumbers w:val="0"/>
              <w:snapToGrid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应按采购合同、磋商文件、竞标响应文件及验收方案等进行验收；并核对成交供应商在安装调试等方面是否违反合同约定或者服务规范要求、提供的质量保证证明材料是否齐全、应有的配件及附件是否达到合同约定等。可附件)</w:t>
            </w:r>
          </w:p>
        </w:tc>
      </w:tr>
      <w:tr w14:paraId="080D7AFC">
        <w:tblPrEx>
          <w:tblCellMar>
            <w:top w:w="0" w:type="dxa"/>
            <w:left w:w="0" w:type="dxa"/>
            <w:bottom w:w="0" w:type="dxa"/>
            <w:right w:w="0" w:type="dxa"/>
          </w:tblCellMar>
        </w:tblPrEx>
        <w:trPr>
          <w:trHeight w:val="1281" w:hRule="atLeast"/>
          <w:jc w:val="center"/>
        </w:trPr>
        <w:tc>
          <w:tcPr>
            <w:tcW w:w="1629" w:type="dxa"/>
            <w:gridSpan w:val="2"/>
            <w:vMerge w:val="restart"/>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1C12E61">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验收小组意见</w:t>
            </w:r>
          </w:p>
        </w:tc>
        <w:tc>
          <w:tcPr>
            <w:tcW w:w="6816" w:type="dxa"/>
            <w:gridSpan w:val="7"/>
            <w:tcBorders>
              <w:top w:val="nil"/>
              <w:left w:val="nil"/>
              <w:bottom w:val="single" w:color="auto" w:sz="8" w:space="0"/>
              <w:right w:val="single" w:color="auto" w:sz="8" w:space="0"/>
            </w:tcBorders>
            <w:noWrap w:val="0"/>
            <w:vAlign w:val="center"/>
          </w:tcPr>
          <w:p w14:paraId="20B5E683">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验收结论性意见：</w:t>
            </w:r>
          </w:p>
        </w:tc>
      </w:tr>
      <w:tr w14:paraId="76E9A418">
        <w:tblPrEx>
          <w:tblCellMar>
            <w:top w:w="0" w:type="dxa"/>
            <w:left w:w="0" w:type="dxa"/>
            <w:bottom w:w="0" w:type="dxa"/>
            <w:right w:w="0" w:type="dxa"/>
          </w:tblCellMar>
        </w:tblPrEx>
        <w:trPr>
          <w:trHeight w:val="607" w:hRule="atLeast"/>
          <w:jc w:val="center"/>
        </w:trPr>
        <w:tc>
          <w:tcPr>
            <w:tcW w:w="1629" w:type="dxa"/>
            <w:gridSpan w:val="2"/>
            <w:vMerge w:val="continue"/>
            <w:tcBorders>
              <w:top w:val="nil"/>
              <w:left w:val="single" w:color="auto" w:sz="8" w:space="0"/>
              <w:bottom w:val="single" w:color="auto" w:sz="8" w:space="0"/>
              <w:right w:val="single" w:color="auto" w:sz="8" w:space="0"/>
            </w:tcBorders>
            <w:noWrap w:val="0"/>
            <w:vAlign w:val="center"/>
          </w:tcPr>
          <w:p w14:paraId="2CB6364D">
            <w:pPr>
              <w:keepNext w:val="0"/>
              <w:keepLines w:val="0"/>
              <w:widowControl/>
              <w:suppressLineNumbers w:val="0"/>
              <w:spacing w:before="0" w:beforeAutospacing="0" w:after="0" w:afterAutospacing="0"/>
              <w:ind w:left="0" w:right="0"/>
              <w:jc w:val="left"/>
              <w:rPr>
                <w:rFonts w:hint="default" w:ascii="Verdana" w:hAnsi="Verdana" w:eastAsia="宋体" w:cs="宋体"/>
                <w:color w:val="auto"/>
                <w:kern w:val="0"/>
                <w:szCs w:val="21"/>
                <w:highlight w:val="none"/>
              </w:rPr>
            </w:pPr>
          </w:p>
        </w:tc>
        <w:tc>
          <w:tcPr>
            <w:tcW w:w="6816" w:type="dxa"/>
            <w:gridSpan w:val="7"/>
            <w:tcBorders>
              <w:top w:val="nil"/>
              <w:left w:val="nil"/>
              <w:bottom w:val="single" w:color="auto" w:sz="8" w:space="0"/>
              <w:right w:val="single" w:color="auto" w:sz="8" w:space="0"/>
            </w:tcBorders>
            <w:noWrap w:val="0"/>
            <w:vAlign w:val="center"/>
          </w:tcPr>
          <w:p w14:paraId="6B75C1EF">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有异议的意见和说明理由：</w:t>
            </w:r>
          </w:p>
          <w:p w14:paraId="5EBB0A19">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签字：</w:t>
            </w:r>
          </w:p>
        </w:tc>
      </w:tr>
      <w:tr w14:paraId="1CDC0C26">
        <w:tblPrEx>
          <w:tblCellMar>
            <w:top w:w="0" w:type="dxa"/>
            <w:left w:w="0" w:type="dxa"/>
            <w:bottom w:w="0" w:type="dxa"/>
            <w:right w:w="0" w:type="dxa"/>
          </w:tblCellMar>
        </w:tblPrEx>
        <w:trPr>
          <w:trHeight w:val="507"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4F89E714">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验收小组成员签字：</w:t>
            </w:r>
          </w:p>
        </w:tc>
      </w:tr>
      <w:tr w14:paraId="4CF94C80">
        <w:tblPrEx>
          <w:tblCellMar>
            <w:top w:w="0" w:type="dxa"/>
            <w:left w:w="0" w:type="dxa"/>
            <w:bottom w:w="0" w:type="dxa"/>
            <w:right w:w="0" w:type="dxa"/>
          </w:tblCellMar>
        </w:tblPrEx>
        <w:trPr>
          <w:trHeight w:val="736" w:hRule="atLeast"/>
          <w:jc w:val="center"/>
        </w:trPr>
        <w:tc>
          <w:tcPr>
            <w:tcW w:w="8445" w:type="dxa"/>
            <w:gridSpan w:val="9"/>
            <w:tcBorders>
              <w:top w:val="nil"/>
              <w:left w:val="single" w:color="auto" w:sz="8" w:space="0"/>
              <w:bottom w:val="single" w:color="auto" w:sz="8" w:space="0"/>
              <w:right w:val="single" w:color="auto" w:sz="8" w:space="0"/>
            </w:tcBorders>
            <w:noWrap w:val="0"/>
            <w:tcMar>
              <w:top w:w="0" w:type="dxa"/>
              <w:left w:w="108" w:type="dxa"/>
              <w:bottom w:w="0" w:type="dxa"/>
              <w:right w:w="108" w:type="dxa"/>
            </w:tcMar>
            <w:vAlign w:val="center"/>
          </w:tcPr>
          <w:p w14:paraId="50216429">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监督人员或者其他相关人员签字：</w:t>
            </w:r>
          </w:p>
          <w:p w14:paraId="4994DA30">
            <w:pPr>
              <w:keepNext w:val="0"/>
              <w:keepLines w:val="0"/>
              <w:widowControl/>
              <w:suppressLineNumbers w:val="0"/>
              <w:spacing w:before="100" w:beforeAutospacing="1" w:after="100" w:afterAutospacing="1" w:line="320" w:lineRule="atLeast"/>
              <w:ind w:left="0" w:right="0" w:firstLine="74"/>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或者受邀机构的意见（盖章）：</w:t>
            </w:r>
          </w:p>
        </w:tc>
      </w:tr>
      <w:tr w14:paraId="2F6996FE">
        <w:tblPrEx>
          <w:tblCellMar>
            <w:top w:w="0" w:type="dxa"/>
            <w:left w:w="0" w:type="dxa"/>
            <w:bottom w:w="0" w:type="dxa"/>
            <w:right w:w="0" w:type="dxa"/>
          </w:tblCellMar>
        </w:tblPrEx>
        <w:trPr>
          <w:trHeight w:val="758" w:hRule="atLeast"/>
          <w:jc w:val="center"/>
        </w:trPr>
        <w:tc>
          <w:tcPr>
            <w:tcW w:w="4152" w:type="dxa"/>
            <w:gridSpan w:val="5"/>
            <w:tcBorders>
              <w:top w:val="nil"/>
              <w:left w:val="single" w:color="auto" w:sz="8" w:space="0"/>
              <w:bottom w:val="single" w:color="auto" w:sz="8" w:space="0"/>
              <w:right w:val="nil"/>
            </w:tcBorders>
            <w:noWrap w:val="0"/>
            <w:tcMar>
              <w:top w:w="0" w:type="dxa"/>
              <w:left w:w="108" w:type="dxa"/>
              <w:bottom w:w="0" w:type="dxa"/>
              <w:right w:w="108" w:type="dxa"/>
            </w:tcMar>
            <w:vAlign w:val="center"/>
          </w:tcPr>
          <w:p w14:paraId="2D53F653">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成交供应商负责人签字或者盖章：</w:t>
            </w:r>
          </w:p>
          <w:p w14:paraId="4885A65E">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p>
          <w:p w14:paraId="0C251F99">
            <w:pPr>
              <w:keepNext w:val="0"/>
              <w:keepLines w:val="0"/>
              <w:widowControl/>
              <w:suppressLineNumbers w:val="0"/>
              <w:spacing w:before="100" w:beforeAutospacing="1" w:after="100" w:afterAutospacing="1" w:line="320" w:lineRule="atLeast"/>
              <w:ind w:left="0" w:right="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联系电话：年月日</w:t>
            </w:r>
          </w:p>
        </w:tc>
        <w:tc>
          <w:tcPr>
            <w:tcW w:w="4293" w:type="dxa"/>
            <w:gridSpan w:val="4"/>
            <w:tcBorders>
              <w:top w:val="nil"/>
              <w:left w:val="nil"/>
              <w:bottom w:val="single" w:color="auto" w:sz="8" w:space="0"/>
              <w:right w:val="single" w:color="auto" w:sz="8" w:space="0"/>
            </w:tcBorders>
            <w:noWrap w:val="0"/>
            <w:vAlign w:val="center"/>
          </w:tcPr>
          <w:p w14:paraId="782D7570">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采购人或者受托机构的意见（盖章）：</w:t>
            </w:r>
          </w:p>
          <w:p w14:paraId="043AB2EF">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p>
          <w:p w14:paraId="63B6E61F">
            <w:pPr>
              <w:keepNext w:val="0"/>
              <w:keepLines w:val="0"/>
              <w:widowControl/>
              <w:suppressLineNumbers w:val="0"/>
              <w:spacing w:before="100" w:beforeAutospacing="1" w:after="100" w:afterAutospacing="1" w:line="320" w:lineRule="atLeast"/>
              <w:ind w:left="0" w:right="0" w:firstLine="210" w:firstLineChars="100"/>
              <w:jc w:val="left"/>
              <w:rPr>
                <w:rFonts w:hint="default" w:ascii="Verdana" w:hAnsi="Verdana" w:eastAsia="宋体" w:cs="宋体"/>
                <w:color w:val="auto"/>
                <w:kern w:val="0"/>
                <w:szCs w:val="21"/>
                <w:highlight w:val="none"/>
              </w:rPr>
            </w:pPr>
            <w:r>
              <w:rPr>
                <w:rFonts w:hint="default" w:ascii="Verdana" w:hAnsi="Verdana" w:eastAsia="宋体" w:cs="宋体"/>
                <w:color w:val="auto"/>
                <w:kern w:val="0"/>
                <w:szCs w:val="21"/>
                <w:highlight w:val="none"/>
              </w:rPr>
              <w:t>联系电话：年月日</w:t>
            </w:r>
          </w:p>
        </w:tc>
      </w:tr>
    </w:tbl>
    <w:p w14:paraId="35C7DB54">
      <w:pPr>
        <w:widowControl w:val="0"/>
        <w:snapToGrid w:val="0"/>
        <w:jc w:val="both"/>
        <w:rPr>
          <w:rFonts w:hint="eastAsia" w:ascii="黑体" w:hAnsi="黑体" w:eastAsia="黑体" w:cs="黑体"/>
          <w:color w:val="auto"/>
          <w:kern w:val="0"/>
          <w:sz w:val="32"/>
          <w:szCs w:val="32"/>
          <w:highlight w:val="none"/>
          <w:lang w:val="en-US" w:eastAsia="zh-CN" w:bidi="ar-SA"/>
        </w:rPr>
      </w:pPr>
      <w:r>
        <w:rPr>
          <w:rFonts w:ascii="宋体" w:hAnsi="宋体" w:eastAsia="宋体" w:cs="Times New Roman"/>
          <w:color w:val="auto"/>
          <w:kern w:val="0"/>
          <w:sz w:val="20"/>
          <w:szCs w:val="21"/>
          <w:highlight w:val="none"/>
          <w:lang w:val="en-US" w:eastAsia="zh-CN" w:bidi="ar-SA"/>
        </w:rPr>
        <w:br w:type="page"/>
      </w:r>
      <w:r>
        <w:rPr>
          <w:rFonts w:hint="eastAsia" w:ascii="黑体" w:hAnsi="黑体" w:eastAsia="黑体" w:cs="黑体"/>
          <w:color w:val="auto"/>
          <w:kern w:val="0"/>
          <w:sz w:val="32"/>
          <w:szCs w:val="32"/>
          <w:highlight w:val="none"/>
          <w:lang w:val="en-US" w:eastAsia="zh-CN" w:bidi="ar-SA"/>
        </w:rPr>
        <w:t>附件2：</w:t>
      </w:r>
    </w:p>
    <w:p w14:paraId="709BD885">
      <w:pPr>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rPr>
        <w:t>政府采购项目履约保证金退付意见书</w:t>
      </w:r>
    </w:p>
    <w:p w14:paraId="4F718F32">
      <w:pPr>
        <w:jc w:val="center"/>
        <w:rPr>
          <w:rFonts w:hint="eastAsia" w:ascii="黑体" w:hAnsi="黑体" w:eastAsia="黑体" w:cs="Times New Roman"/>
          <w:color w:val="auto"/>
          <w:sz w:val="36"/>
          <w:szCs w:val="36"/>
          <w:highlight w:val="none"/>
        </w:rPr>
      </w:pP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8009"/>
      </w:tblGrid>
      <w:tr w14:paraId="20953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817" w:type="dxa"/>
            <w:vMerge w:val="restart"/>
            <w:noWrap w:val="0"/>
            <w:vAlign w:val="center"/>
          </w:tcPr>
          <w:p w14:paraId="70C6C72C">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供</w:t>
            </w:r>
          </w:p>
          <w:p w14:paraId="499D8797">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应</w:t>
            </w:r>
          </w:p>
          <w:p w14:paraId="6DDC691D">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商</w:t>
            </w:r>
          </w:p>
          <w:p w14:paraId="50D64B9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申</w:t>
            </w:r>
          </w:p>
          <w:p w14:paraId="7A87A24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请</w:t>
            </w:r>
          </w:p>
        </w:tc>
        <w:tc>
          <w:tcPr>
            <w:tcW w:w="8009" w:type="dxa"/>
            <w:noWrap w:val="0"/>
            <w:vAlign w:val="center"/>
          </w:tcPr>
          <w:p w14:paraId="053DE0EB">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项目编号：</w:t>
            </w:r>
          </w:p>
        </w:tc>
      </w:tr>
      <w:tr w14:paraId="6818A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8" w:hRule="atLeast"/>
          <w:jc w:val="center"/>
        </w:trPr>
        <w:tc>
          <w:tcPr>
            <w:tcW w:w="817" w:type="dxa"/>
            <w:vMerge w:val="continue"/>
            <w:noWrap w:val="0"/>
            <w:vAlign w:val="center"/>
          </w:tcPr>
          <w:p w14:paraId="3E59EEF6">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tc>
        <w:tc>
          <w:tcPr>
            <w:tcW w:w="8009" w:type="dxa"/>
            <w:noWrap w:val="0"/>
            <w:vAlign w:val="center"/>
          </w:tcPr>
          <w:p w14:paraId="06AABE6E">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项目名称：</w:t>
            </w:r>
          </w:p>
        </w:tc>
      </w:tr>
      <w:tr w14:paraId="1E52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817" w:type="dxa"/>
            <w:vMerge w:val="continue"/>
            <w:noWrap w:val="0"/>
            <w:vAlign w:val="top"/>
          </w:tcPr>
          <w:p w14:paraId="2E9DFC24">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tc>
        <w:tc>
          <w:tcPr>
            <w:tcW w:w="8009" w:type="dxa"/>
            <w:noWrap w:val="0"/>
            <w:vAlign w:val="top"/>
          </w:tcPr>
          <w:p w14:paraId="393C9D09">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lang w:eastAsia="zh-CN"/>
              </w:rPr>
            </w:pPr>
          </w:p>
          <w:p w14:paraId="21BEA931">
            <w:pPr>
              <w:keepNext w:val="0"/>
              <w:keepLines w:val="0"/>
              <w:suppressLineNumbers w:val="0"/>
              <w:spacing w:before="0" w:beforeAutospacing="0" w:after="0" w:afterAutospacing="0"/>
              <w:ind w:left="0" w:right="0"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该项目已于</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年</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月</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日验收并交付使用。根据合同规定，该项目的履约保证金期限于年月日已满，请将履约保证金</w:t>
            </w:r>
          </w:p>
          <w:p w14:paraId="6D84141E">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（大写）¥（小写）退付到达以下</w:t>
            </w:r>
            <w:r>
              <w:rPr>
                <w:rFonts w:hint="eastAsia" w:cs="Times New Roman"/>
                <w:color w:val="auto"/>
                <w:sz w:val="24"/>
                <w:highlight w:val="none"/>
                <w:lang w:eastAsia="zh-CN"/>
              </w:rPr>
              <w:t>账户</w:t>
            </w:r>
            <w:r>
              <w:rPr>
                <w:rFonts w:hint="eastAsia" w:ascii="Times New Roman" w:hAnsi="Times New Roman" w:eastAsia="宋体" w:cs="Times New Roman"/>
                <w:color w:val="auto"/>
                <w:sz w:val="24"/>
                <w:highlight w:val="none"/>
              </w:rPr>
              <w:t>。</w:t>
            </w:r>
          </w:p>
          <w:p w14:paraId="792DA5D1">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单位名称：</w:t>
            </w:r>
          </w:p>
          <w:p w14:paraId="20CE9F84">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开户银行：</w:t>
            </w:r>
          </w:p>
          <w:p w14:paraId="5DB3EDD7">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cs="Times New Roman"/>
                <w:color w:val="auto"/>
                <w:sz w:val="24"/>
                <w:highlight w:val="none"/>
                <w:lang w:eastAsia="zh-CN"/>
              </w:rPr>
              <w:t>账号</w:t>
            </w:r>
            <w:r>
              <w:rPr>
                <w:rFonts w:hint="eastAsia" w:ascii="Times New Roman" w:hAnsi="Times New Roman" w:eastAsia="宋体" w:cs="Times New Roman"/>
                <w:color w:val="auto"/>
                <w:sz w:val="24"/>
                <w:highlight w:val="none"/>
              </w:rPr>
              <w:t>：</w:t>
            </w:r>
          </w:p>
          <w:p w14:paraId="062B38AF">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联系人及电话：</w:t>
            </w:r>
          </w:p>
          <w:p w14:paraId="796A19AB">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p w14:paraId="3063F52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供应商签章：</w:t>
            </w:r>
          </w:p>
          <w:p w14:paraId="4A8939A4">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年</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月</w:t>
            </w:r>
            <w:r>
              <w:rPr>
                <w:rFonts w:hint="eastAsia" w:cs="Times New Roman"/>
                <w:color w:val="auto"/>
                <w:sz w:val="24"/>
                <w:highlight w:val="none"/>
                <w:lang w:val="en-US" w:eastAsia="zh-CN"/>
              </w:rPr>
              <w:t xml:space="preserve">  </w:t>
            </w:r>
            <w:r>
              <w:rPr>
                <w:rFonts w:hint="eastAsia" w:ascii="Times New Roman" w:hAnsi="Times New Roman" w:eastAsia="宋体" w:cs="Times New Roman"/>
                <w:color w:val="auto"/>
                <w:sz w:val="24"/>
                <w:highlight w:val="none"/>
              </w:rPr>
              <w:t>日</w:t>
            </w:r>
          </w:p>
        </w:tc>
      </w:tr>
      <w:tr w14:paraId="12E3A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5" w:hRule="atLeast"/>
          <w:jc w:val="center"/>
        </w:trPr>
        <w:tc>
          <w:tcPr>
            <w:tcW w:w="817" w:type="dxa"/>
            <w:noWrap w:val="0"/>
            <w:vAlign w:val="center"/>
          </w:tcPr>
          <w:p w14:paraId="3317B19B">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采</w:t>
            </w:r>
          </w:p>
          <w:p w14:paraId="11FC04B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购</w:t>
            </w:r>
          </w:p>
          <w:p w14:paraId="36E95D52">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单</w:t>
            </w:r>
          </w:p>
          <w:p w14:paraId="5FB9541A">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位</w:t>
            </w:r>
          </w:p>
          <w:p w14:paraId="5360F86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意</w:t>
            </w:r>
          </w:p>
          <w:p w14:paraId="535F7BE6">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见</w:t>
            </w:r>
          </w:p>
        </w:tc>
        <w:tc>
          <w:tcPr>
            <w:tcW w:w="8009" w:type="dxa"/>
            <w:noWrap w:val="0"/>
            <w:vAlign w:val="top"/>
          </w:tcPr>
          <w:p w14:paraId="6A98C86F">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p w14:paraId="2D3ACB59">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退付意见：是否同意退付履约保证金及退付金额：</w:t>
            </w:r>
          </w:p>
          <w:p w14:paraId="39C64AF6">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p w14:paraId="718785B7">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p w14:paraId="33297DC4">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lang w:eastAsia="zh-CN"/>
              </w:rPr>
            </w:pPr>
            <w:r>
              <w:rPr>
                <w:rFonts w:hint="eastAsia" w:ascii="Times New Roman" w:hAnsi="Times New Roman" w:eastAsia="宋体" w:cs="Times New Roman"/>
                <w:color w:val="auto"/>
                <w:sz w:val="24"/>
                <w:highlight w:val="none"/>
              </w:rPr>
              <w:t>联系人及电话：</w:t>
            </w:r>
          </w:p>
          <w:p w14:paraId="32734796">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p w14:paraId="6A9F03DC">
            <w:pPr>
              <w:keepNext w:val="0"/>
              <w:keepLines w:val="0"/>
              <w:suppressLineNumbers w:val="0"/>
              <w:spacing w:before="0" w:beforeAutospacing="0" w:after="0" w:afterAutospacing="0"/>
              <w:ind w:left="0" w:right="0" w:firstLine="4560" w:firstLineChars="19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采购人签章：</w:t>
            </w:r>
          </w:p>
          <w:p w14:paraId="795DE0BF">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年月日</w:t>
            </w:r>
          </w:p>
        </w:tc>
      </w:tr>
      <w:tr w14:paraId="41BB26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3" w:hRule="atLeast"/>
          <w:jc w:val="center"/>
        </w:trPr>
        <w:tc>
          <w:tcPr>
            <w:tcW w:w="817" w:type="dxa"/>
            <w:noWrap w:val="0"/>
            <w:vAlign w:val="center"/>
          </w:tcPr>
          <w:p w14:paraId="207A0190">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备注</w:t>
            </w:r>
          </w:p>
        </w:tc>
        <w:tc>
          <w:tcPr>
            <w:tcW w:w="8009" w:type="dxa"/>
            <w:noWrap w:val="0"/>
            <w:vAlign w:val="top"/>
          </w:tcPr>
          <w:p w14:paraId="4E6F06DF">
            <w:pPr>
              <w:keepNext w:val="0"/>
              <w:keepLines w:val="0"/>
              <w:suppressLineNumbers w:val="0"/>
              <w:spacing w:before="0" w:beforeAutospacing="0" w:after="0" w:afterAutospacing="0"/>
              <w:ind w:left="0" w:right="0"/>
              <w:rPr>
                <w:rFonts w:hint="eastAsia" w:ascii="Times New Roman" w:hAnsi="Times New Roman" w:eastAsia="宋体" w:cs="Times New Roman"/>
                <w:color w:val="auto"/>
                <w:sz w:val="24"/>
                <w:highlight w:val="none"/>
              </w:rPr>
            </w:pPr>
          </w:p>
        </w:tc>
      </w:tr>
    </w:tbl>
    <w:p w14:paraId="4DFF8D9F">
      <w:pPr>
        <w:widowControl w:val="0"/>
        <w:spacing w:after="120"/>
        <w:ind w:left="1" w:firstLine="2" w:firstLineChars="1"/>
        <w:jc w:val="both"/>
        <w:rPr>
          <w:rFonts w:hint="eastAsia" w:ascii="宋体" w:hAnsi="Times New Roman" w:eastAsia="宋体" w:cs="Times New Roman"/>
          <w:b/>
          <w:bCs/>
          <w:color w:val="auto"/>
          <w:kern w:val="2"/>
          <w:sz w:val="18"/>
          <w:szCs w:val="18"/>
          <w:highlight w:val="none"/>
          <w:lang w:val="en-US" w:eastAsia="zh-CN" w:bidi="ar-SA"/>
        </w:rPr>
      </w:pPr>
      <w:r>
        <w:rPr>
          <w:rFonts w:hint="eastAsia" w:ascii="宋体" w:hAnsi="Times New Roman" w:eastAsia="宋体" w:cs="Times New Roman"/>
          <w:b/>
          <w:bCs/>
          <w:color w:val="auto"/>
          <w:kern w:val="2"/>
          <w:sz w:val="18"/>
          <w:szCs w:val="18"/>
          <w:highlight w:val="none"/>
          <w:lang w:val="en-US" w:eastAsia="zh-CN" w:bidi="ar-SA"/>
        </w:rPr>
        <w:t>注：供应商凭经采购人审批的退付意见书到履约保证金收取单位财务部门办理履约保证金退付事宜。</w:t>
      </w:r>
    </w:p>
    <w:p w14:paraId="76539CD9">
      <w:pPr>
        <w:widowControl w:val="0"/>
        <w:snapToGrid w:val="0"/>
        <w:spacing w:before="120" w:after="120"/>
        <w:jc w:val="both"/>
        <w:rPr>
          <w:rFonts w:hint="eastAsia" w:ascii="宋体" w:hAnsi="宋体" w:eastAsia="宋体" w:cs="Times New Roman"/>
          <w:color w:val="auto"/>
          <w:kern w:val="0"/>
          <w:sz w:val="20"/>
          <w:szCs w:val="21"/>
          <w:highlight w:val="none"/>
          <w:lang w:val="en-US" w:eastAsia="zh-CN" w:bidi="ar-SA"/>
        </w:rPr>
      </w:pPr>
    </w:p>
    <w:p w14:paraId="6C08CED4">
      <w:pPr>
        <w:rPr>
          <w:rFonts w:hint="eastAsia" w:ascii="Times New Roman" w:hAnsi="宋体" w:eastAsia="宋体" w:cs="Times New Roman"/>
          <w:color w:val="auto"/>
          <w:highlight w:val="none"/>
        </w:rPr>
      </w:pPr>
    </w:p>
    <w:p w14:paraId="43315C4E">
      <w:pPr>
        <w:rPr>
          <w:rFonts w:hint="eastAsia" w:ascii="Times New Roman" w:hAnsi="宋体" w:eastAsia="宋体" w:cs="Times New Roman"/>
          <w:color w:val="auto"/>
          <w:highlight w:val="none"/>
        </w:rPr>
      </w:pPr>
    </w:p>
    <w:p w14:paraId="0E9FCC71">
      <w:pPr>
        <w:widowControl/>
        <w:spacing w:line="720" w:lineRule="exact"/>
        <w:jc w:val="left"/>
        <w:rPr>
          <w:rFonts w:hint="eastAsia" w:ascii="黑体" w:hAnsi="黑体" w:eastAsia="黑体" w:cs="黑体"/>
          <w:color w:val="auto"/>
          <w:sz w:val="32"/>
          <w:szCs w:val="32"/>
          <w:highlight w:val="none"/>
          <w:lang w:val="zh-CN"/>
        </w:rPr>
      </w:pPr>
    </w:p>
    <w:p w14:paraId="6ECF8C59">
      <w:pPr>
        <w:widowControl/>
        <w:spacing w:line="720" w:lineRule="exact"/>
        <w:jc w:val="left"/>
        <w:rPr>
          <w:rFonts w:hint="eastAsia" w:ascii="黑体" w:hAnsi="黑体" w:eastAsia="黑体" w:cs="黑体"/>
          <w:color w:val="auto"/>
          <w:sz w:val="32"/>
          <w:szCs w:val="32"/>
          <w:highlight w:val="none"/>
          <w:lang w:val="zh-CN"/>
        </w:rPr>
      </w:pPr>
    </w:p>
    <w:p w14:paraId="16194EFE">
      <w:pPr>
        <w:widowControl/>
        <w:spacing w:line="720" w:lineRule="exact"/>
        <w:jc w:val="left"/>
        <w:rPr>
          <w:rFonts w:hint="eastAsia" w:ascii="黑体" w:hAnsi="黑体" w:eastAsia="黑体" w:cs="黑体"/>
          <w:color w:val="auto"/>
          <w:sz w:val="32"/>
          <w:szCs w:val="32"/>
          <w:highlight w:val="none"/>
          <w:lang w:val="zh-CN"/>
        </w:rPr>
      </w:pPr>
    </w:p>
    <w:p w14:paraId="5E7AD69C">
      <w:pPr>
        <w:widowControl/>
        <w:spacing w:line="720" w:lineRule="exact"/>
        <w:jc w:val="left"/>
        <w:rPr>
          <w:rFonts w:hint="eastAsia" w:ascii="黑体" w:hAnsi="黑体" w:eastAsia="黑体" w:cs="黑体"/>
          <w:color w:val="auto"/>
          <w:sz w:val="32"/>
          <w:szCs w:val="32"/>
          <w:highlight w:val="none"/>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3</w:t>
      </w:r>
      <w:r>
        <w:rPr>
          <w:rFonts w:hint="eastAsia" w:ascii="黑体" w:hAnsi="黑体" w:eastAsia="黑体" w:cs="黑体"/>
          <w:color w:val="auto"/>
          <w:sz w:val="32"/>
          <w:szCs w:val="32"/>
          <w:highlight w:val="none"/>
          <w:lang w:val="zh-CN"/>
        </w:rPr>
        <w:t>：</w:t>
      </w:r>
    </w:p>
    <w:p w14:paraId="7C97F622">
      <w:pPr>
        <w:widowControl w:val="0"/>
        <w:adjustRightInd w:val="0"/>
        <w:spacing w:before="156" w:line="360" w:lineRule="auto"/>
        <w:ind w:firstLine="480" w:firstLineChars="200"/>
        <w:jc w:val="both"/>
        <w:rPr>
          <w:rFonts w:hint="eastAsia" w:ascii="Times New Roman" w:hAnsi="Times New Roman" w:eastAsia="宋体" w:cs="Times New Roman"/>
          <w:color w:val="auto"/>
          <w:kern w:val="2"/>
          <w:sz w:val="24"/>
          <w:szCs w:val="20"/>
          <w:highlight w:val="none"/>
          <w:lang w:val="en-US" w:eastAsia="zh-CN" w:bidi="ar-SA"/>
        </w:rPr>
      </w:pPr>
    </w:p>
    <w:p w14:paraId="0F47236F">
      <w:pPr>
        <w:spacing w:line="580" w:lineRule="exact"/>
        <w:jc w:val="center"/>
        <w:rPr>
          <w:rFonts w:hint="eastAsia" w:ascii="方正小标宋_GBK" w:hAnsi="Times New Roman" w:eastAsia="方正小标宋_GBK" w:cs="Times New Roman"/>
          <w:color w:val="auto"/>
          <w:sz w:val="44"/>
          <w:szCs w:val="44"/>
          <w:highlight w:val="none"/>
        </w:rPr>
      </w:pPr>
      <w:r>
        <w:rPr>
          <w:rFonts w:hint="eastAsia" w:ascii="方正小标宋_GBK" w:hAnsi="Times New Roman" w:eastAsia="方正小标宋_GBK" w:cs="Times New Roman"/>
          <w:color w:val="auto"/>
          <w:sz w:val="44"/>
          <w:szCs w:val="44"/>
          <w:highlight w:val="none"/>
        </w:rPr>
        <w:t>崇左市线上“政采贷”政策告知函</w:t>
      </w:r>
    </w:p>
    <w:p w14:paraId="38F784FA">
      <w:pPr>
        <w:spacing w:line="580" w:lineRule="exact"/>
        <w:ind w:firstLine="420" w:firstLineChars="200"/>
        <w:rPr>
          <w:rFonts w:ascii="Times New Roman" w:hAnsi="Times New Roman" w:eastAsia="宋体" w:cs="Times New Roman"/>
          <w:color w:val="auto"/>
          <w:szCs w:val="32"/>
          <w:highlight w:val="none"/>
        </w:rPr>
      </w:pPr>
    </w:p>
    <w:p w14:paraId="28F43F3B">
      <w:pPr>
        <w:spacing w:line="580" w:lineRule="exac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各供应商：</w:t>
      </w:r>
    </w:p>
    <w:p w14:paraId="7FB5FEFC">
      <w:pPr>
        <w:spacing w:line="5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欢迎贵公司参与崇左市政府采购活动！</w:t>
      </w:r>
    </w:p>
    <w:p w14:paraId="4FB918B6">
      <w:pPr>
        <w:spacing w:line="5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线上“政采贷”是人民银行南宁中心支行和自治区财政厅共同支持企业发展，针对参与政府采购活动的企业融资难、融资贵、融资慢、融资繁问题推出的一项融资政策。贵公司若成为本次政府采购项目的中标（成交）供应商，可持政府采购合同在线向银行业金融机构申请贷款，融资机构将根据《中国人民银行南宁中心支行广西壮族自治区财政厅关于推广线上“政采贷”融资模式的通知》（南宁银发〔2021〕258号），按照双方自愿的原则提供便捷、优惠的贷款服务。</w:t>
      </w:r>
    </w:p>
    <w:p w14:paraId="1F651BEA">
      <w:pPr>
        <w:spacing w:line="580" w:lineRule="exact"/>
        <w:ind w:firstLine="480"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相关金融产品和银行业金融机构联系方式，可在中征应收账款融资服务平台查询（网址：</w:t>
      </w:r>
      <w:r>
        <w:rPr>
          <w:rFonts w:hint="eastAsia" w:ascii="宋体" w:hAnsi="宋体" w:eastAsia="宋体" w:cs="宋体"/>
          <w:color w:val="auto"/>
          <w:sz w:val="24"/>
          <w:szCs w:val="24"/>
          <w:highlight w:val="none"/>
        </w:rPr>
        <w:fldChar w:fldCharType="begin"/>
      </w:r>
      <w:r>
        <w:rPr>
          <w:rFonts w:hint="eastAsia" w:ascii="宋体" w:hAnsi="宋体" w:eastAsia="宋体" w:cs="宋体"/>
          <w:color w:val="auto"/>
          <w:sz w:val="24"/>
          <w:szCs w:val="24"/>
          <w:highlight w:val="none"/>
        </w:rPr>
        <w:instrText xml:space="preserve"> HYPERLINK "https://www.crcrfsp.com/" </w:instrText>
      </w:r>
      <w:r>
        <w:rPr>
          <w:rFonts w:hint="eastAsia" w:ascii="宋体" w:hAnsi="宋体" w:eastAsia="宋体" w:cs="宋体"/>
          <w:color w:val="auto"/>
          <w:sz w:val="24"/>
          <w:szCs w:val="24"/>
          <w:highlight w:val="none"/>
        </w:rPr>
        <w:fldChar w:fldCharType="separate"/>
      </w:r>
      <w:r>
        <w:rPr>
          <w:rStyle w:val="28"/>
          <w:rFonts w:hint="eastAsia" w:ascii="宋体" w:hAnsi="宋体" w:eastAsia="宋体" w:cs="宋体"/>
          <w:color w:val="auto"/>
          <w:sz w:val="24"/>
          <w:szCs w:val="24"/>
          <w:highlight w:val="none"/>
        </w:rPr>
        <w:t>https://www.crcrfsp.com/</w:t>
      </w:r>
      <w:r>
        <w:rPr>
          <w:rFonts w:hint="eastAsia" w:ascii="宋体" w:hAnsi="宋体" w:eastAsia="宋体" w:cs="宋体"/>
          <w:color w:val="auto"/>
          <w:sz w:val="24"/>
          <w:szCs w:val="24"/>
          <w:highlight w:val="none"/>
        </w:rPr>
        <w:fldChar w:fldCharType="end"/>
      </w:r>
      <w:r>
        <w:rPr>
          <w:rFonts w:hint="eastAsia" w:ascii="宋体" w:hAnsi="宋体" w:eastAsia="宋体" w:cs="宋体"/>
          <w:color w:val="auto"/>
          <w:sz w:val="24"/>
          <w:szCs w:val="24"/>
          <w:highlight w:val="none"/>
        </w:rPr>
        <w:t>，客服电话：400-009-0001）。</w:t>
      </w:r>
    </w:p>
    <w:p w14:paraId="6071088B">
      <w:pPr>
        <w:widowControl w:val="0"/>
        <w:adjustRightInd w:val="0"/>
        <w:spacing w:before="156" w:line="360" w:lineRule="auto"/>
        <w:ind w:firstLine="480" w:firstLineChars="200"/>
        <w:jc w:val="both"/>
        <w:rPr>
          <w:rFonts w:hint="eastAsia" w:ascii="仿宋_GB2312" w:hAnsi="仿宋_GB2312" w:eastAsia="仿宋_GB2312" w:cs="仿宋_GB2312"/>
          <w:color w:val="auto"/>
          <w:kern w:val="2"/>
          <w:sz w:val="24"/>
          <w:szCs w:val="32"/>
          <w:highlight w:val="none"/>
          <w:lang w:val="en-US" w:eastAsia="zh-CN" w:bidi="ar-SA"/>
        </w:rPr>
      </w:pPr>
    </w:p>
    <w:p w14:paraId="6F320365">
      <w:pPr>
        <w:rPr>
          <w:rFonts w:hint="eastAsia" w:ascii="仿宋_GB2312" w:hAnsi="仿宋_GB2312" w:eastAsia="宋体" w:cs="仿宋_GB2312"/>
          <w:color w:val="auto"/>
          <w:szCs w:val="32"/>
          <w:highlight w:val="none"/>
        </w:rPr>
      </w:pPr>
    </w:p>
    <w:p w14:paraId="6380EBAA">
      <w:pPr>
        <w:widowControl w:val="0"/>
        <w:adjustRightInd w:val="0"/>
        <w:spacing w:before="156" w:line="360" w:lineRule="auto"/>
        <w:ind w:firstLine="480" w:firstLineChars="200"/>
        <w:jc w:val="both"/>
        <w:rPr>
          <w:rFonts w:hint="eastAsia" w:ascii="仿宋_GB2312" w:hAnsi="仿宋_GB2312" w:eastAsia="宋体" w:cs="仿宋_GB2312"/>
          <w:color w:val="auto"/>
          <w:kern w:val="2"/>
          <w:sz w:val="24"/>
          <w:szCs w:val="32"/>
          <w:highlight w:val="none"/>
          <w:lang w:val="en-US" w:eastAsia="zh-CN" w:bidi="ar-SA"/>
        </w:rPr>
      </w:pPr>
    </w:p>
    <w:p w14:paraId="24571B02">
      <w:pPr>
        <w:rPr>
          <w:rFonts w:hint="eastAsia" w:ascii="仿宋_GB2312" w:hAnsi="仿宋_GB2312" w:eastAsia="宋体" w:cs="仿宋_GB2312"/>
          <w:color w:val="auto"/>
          <w:szCs w:val="32"/>
          <w:highlight w:val="none"/>
        </w:rPr>
      </w:pPr>
    </w:p>
    <w:p w14:paraId="1B94C909">
      <w:pPr>
        <w:rPr>
          <w:rFonts w:hint="eastAsia" w:ascii="仿宋_GB2312" w:hAnsi="仿宋_GB2312" w:eastAsia="宋体" w:cs="仿宋_GB2312"/>
          <w:color w:val="auto"/>
          <w:szCs w:val="32"/>
          <w:highlight w:val="none"/>
        </w:rPr>
      </w:pPr>
    </w:p>
    <w:p w14:paraId="61A59495">
      <w:pPr>
        <w:widowControl w:val="0"/>
        <w:adjustRightInd w:val="0"/>
        <w:spacing w:before="156" w:line="360" w:lineRule="auto"/>
        <w:ind w:firstLine="480" w:firstLineChars="200"/>
        <w:jc w:val="both"/>
        <w:rPr>
          <w:rFonts w:hint="eastAsia" w:ascii="仿宋_GB2312" w:hAnsi="仿宋_GB2312" w:eastAsia="宋体" w:cs="仿宋_GB2312"/>
          <w:color w:val="auto"/>
          <w:kern w:val="2"/>
          <w:sz w:val="24"/>
          <w:szCs w:val="32"/>
          <w:highlight w:val="none"/>
          <w:lang w:val="en-US" w:eastAsia="zh-CN" w:bidi="ar-SA"/>
        </w:rPr>
      </w:pPr>
    </w:p>
    <w:p w14:paraId="69DE0E47">
      <w:pPr>
        <w:spacing w:line="540" w:lineRule="exact"/>
        <w:rPr>
          <w:rFonts w:hint="eastAsia" w:ascii="黑体" w:hAnsi="黑体" w:eastAsia="黑体" w:cs="黑体"/>
          <w:color w:val="auto"/>
          <w:szCs w:val="32"/>
          <w:highlight w:val="none"/>
        </w:rPr>
      </w:pPr>
    </w:p>
    <w:p w14:paraId="35F512C1">
      <w:pPr>
        <w:widowControl w:val="0"/>
        <w:adjustRightInd w:val="0"/>
        <w:spacing w:before="156" w:line="360" w:lineRule="auto"/>
        <w:ind w:firstLine="480" w:firstLineChars="200"/>
        <w:jc w:val="both"/>
        <w:rPr>
          <w:rFonts w:hint="eastAsia" w:ascii="黑体" w:hAnsi="黑体" w:eastAsia="黑体" w:cs="黑体"/>
          <w:color w:val="auto"/>
          <w:kern w:val="2"/>
          <w:sz w:val="24"/>
          <w:szCs w:val="32"/>
          <w:highlight w:val="none"/>
          <w:lang w:val="en-US" w:eastAsia="zh-CN" w:bidi="ar-SA"/>
        </w:rPr>
      </w:pPr>
    </w:p>
    <w:p w14:paraId="407A3E4F">
      <w:pPr>
        <w:rPr>
          <w:rFonts w:hint="eastAsia" w:ascii="黑体" w:hAnsi="黑体" w:eastAsia="黑体" w:cs="黑体"/>
          <w:color w:val="auto"/>
          <w:szCs w:val="32"/>
          <w:highlight w:val="none"/>
        </w:rPr>
      </w:pPr>
    </w:p>
    <w:p w14:paraId="15AC8AEE">
      <w:pPr>
        <w:widowControl w:val="0"/>
        <w:adjustRightInd w:val="0"/>
        <w:spacing w:before="156" w:line="360" w:lineRule="auto"/>
        <w:ind w:firstLine="480" w:firstLineChars="200"/>
        <w:jc w:val="both"/>
        <w:rPr>
          <w:rFonts w:hint="eastAsia" w:ascii="黑体" w:hAnsi="黑体" w:eastAsia="黑体" w:cs="黑体"/>
          <w:color w:val="auto"/>
          <w:kern w:val="2"/>
          <w:sz w:val="24"/>
          <w:szCs w:val="32"/>
          <w:highlight w:val="none"/>
          <w:lang w:val="en-US" w:eastAsia="zh-CN" w:bidi="ar-SA"/>
        </w:rPr>
      </w:pPr>
    </w:p>
    <w:p w14:paraId="2F3E3ED5">
      <w:pPr>
        <w:rPr>
          <w:rFonts w:hint="eastAsia" w:ascii="Times New Roman" w:hAnsi="Times New Roman" w:eastAsia="宋体" w:cs="Times New Roman"/>
          <w:color w:val="auto"/>
          <w:highlight w:val="none"/>
        </w:rPr>
      </w:pPr>
    </w:p>
    <w:p w14:paraId="5ADE2480">
      <w:pPr>
        <w:spacing w:line="540" w:lineRule="exact"/>
        <w:rPr>
          <w:rFonts w:hint="eastAsia" w:ascii="黑体" w:hAnsi="黑体" w:eastAsia="黑体" w:cs="黑体"/>
          <w:color w:val="auto"/>
          <w:szCs w:val="32"/>
          <w:highlight w:val="none"/>
        </w:rPr>
      </w:pPr>
    </w:p>
    <w:p w14:paraId="00A43F76">
      <w:pPr>
        <w:spacing w:line="540" w:lineRule="exact"/>
        <w:rPr>
          <w:rFonts w:hint="eastAsia" w:ascii="黑体" w:hAnsi="黑体" w:eastAsia="黑体" w:cs="黑体"/>
          <w:color w:val="auto"/>
          <w:sz w:val="32"/>
          <w:szCs w:val="32"/>
          <w:highlight w:val="none"/>
          <w:lang w:val="zh-CN"/>
        </w:rPr>
      </w:pPr>
    </w:p>
    <w:p w14:paraId="024465C4">
      <w:pPr>
        <w:spacing w:line="540" w:lineRule="exact"/>
        <w:rPr>
          <w:rFonts w:hint="default" w:ascii="黑体" w:hAnsi="黑体" w:eastAsia="黑体" w:cs="黑体"/>
          <w:color w:val="auto"/>
          <w:sz w:val="32"/>
          <w:szCs w:val="32"/>
          <w:highlight w:val="none"/>
          <w:lang w:val="en-US"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4</w:t>
      </w:r>
    </w:p>
    <w:p w14:paraId="04A93047">
      <w:pPr>
        <w:widowControl w:val="0"/>
        <w:adjustRightInd w:val="0"/>
        <w:spacing w:before="156" w:line="360" w:lineRule="auto"/>
        <w:ind w:firstLine="480" w:firstLineChars="200"/>
        <w:jc w:val="both"/>
        <w:rPr>
          <w:rFonts w:ascii="Times New Roman" w:hAnsi="Times New Roman" w:eastAsia="宋体" w:cs="Times New Roman"/>
          <w:color w:val="auto"/>
          <w:kern w:val="2"/>
          <w:sz w:val="24"/>
          <w:szCs w:val="20"/>
          <w:highlight w:val="none"/>
          <w:lang w:val="en-US" w:eastAsia="zh-CN" w:bidi="ar-SA"/>
        </w:rPr>
      </w:pPr>
    </w:p>
    <w:p w14:paraId="64D2B580">
      <w:pPr>
        <w:spacing w:line="600" w:lineRule="exact"/>
        <w:jc w:val="center"/>
        <w:rPr>
          <w:rFonts w:hint="eastAsia" w:ascii="黑体" w:hAnsi="黑体" w:eastAsia="黑体" w:cs="黑体"/>
          <w:color w:val="auto"/>
          <w:sz w:val="44"/>
          <w:szCs w:val="44"/>
          <w:highlight w:val="none"/>
        </w:rPr>
      </w:pPr>
      <w:r>
        <w:rPr>
          <w:rFonts w:hint="eastAsia" w:ascii="方正小标宋_GBK" w:hAnsi="Times New Roman" w:eastAsia="方正小标宋_GBK" w:cs="Times New Roman"/>
          <w:color w:val="auto"/>
          <w:sz w:val="44"/>
          <w:szCs w:val="44"/>
          <w:highlight w:val="none"/>
        </w:rPr>
        <w:t>崇左市线上“政采贷”业务流程图</w:t>
      </w:r>
    </w:p>
    <w:p w14:paraId="5B8FEAA2">
      <w:pPr>
        <w:rPr>
          <w:rFonts w:hint="eastAsia" w:ascii="Times New Roman" w:hAnsi="Times New Roman" w:eastAsia="宋体" w:cs="Times New Roman"/>
          <w:color w:val="auto"/>
          <w:highlight w:val="none"/>
        </w:rPr>
      </w:pPr>
      <w:r>
        <w:rPr>
          <w:rFonts w:hint="eastAsia" w:ascii="Times New Roman" w:hAnsi="Times New Roman" w:eastAsia="仿宋_GB2312" w:cs="Times New Roman"/>
          <w:color w:val="auto"/>
          <w:highlight w:val="none"/>
        </w:rPr>
        <w:drawing>
          <wp:inline distT="0" distB="0" distL="114300" distR="114300">
            <wp:extent cx="4926965" cy="7002780"/>
            <wp:effectExtent l="0" t="0" r="6985" b="7620"/>
            <wp:docPr id="4" name="图片 1" descr="流程图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流程图1011"/>
                    <pic:cNvPicPr>
                      <a:picLocks noChangeAspect="1"/>
                    </pic:cNvPicPr>
                  </pic:nvPicPr>
                  <pic:blipFill>
                    <a:blip r:embed="rId9"/>
                    <a:stretch>
                      <a:fillRect/>
                    </a:stretch>
                  </pic:blipFill>
                  <pic:spPr>
                    <a:xfrm>
                      <a:off x="0" y="0"/>
                      <a:ext cx="4926965" cy="7002780"/>
                    </a:xfrm>
                    <a:prstGeom prst="rect">
                      <a:avLst/>
                    </a:prstGeom>
                    <a:noFill/>
                    <a:ln>
                      <a:noFill/>
                    </a:ln>
                  </pic:spPr>
                </pic:pic>
              </a:graphicData>
            </a:graphic>
          </wp:inline>
        </w:drawing>
      </w:r>
    </w:p>
    <w:p w14:paraId="5D35A41C">
      <w:pPr>
        <w:widowControl/>
        <w:ind w:firstLine="420" w:firstLineChars="200"/>
        <w:rPr>
          <w:rFonts w:hint="eastAsia" w:ascii="Times New Roman" w:hAnsi="Times New Roman" w:eastAsia="宋体" w:cs="Times New Roman"/>
          <w:color w:val="auto"/>
          <w:highlight w:val="none"/>
        </w:rPr>
      </w:pPr>
    </w:p>
    <w:p w14:paraId="61ED5875">
      <w:pPr>
        <w:spacing w:line="540" w:lineRule="exact"/>
        <w:rPr>
          <w:rFonts w:hint="eastAsia" w:ascii="黑体" w:hAnsi="黑体" w:eastAsia="黑体" w:cs="黑体"/>
          <w:color w:val="auto"/>
          <w:sz w:val="32"/>
          <w:szCs w:val="32"/>
          <w:highlight w:val="none"/>
          <w:lang w:val="zh-CN"/>
        </w:rPr>
      </w:pPr>
    </w:p>
    <w:p w14:paraId="5FA78026">
      <w:pPr>
        <w:spacing w:line="540" w:lineRule="exact"/>
        <w:rPr>
          <w:rFonts w:hint="eastAsia" w:ascii="黑体" w:hAnsi="黑体" w:eastAsia="黑体" w:cs="黑体"/>
          <w:color w:val="auto"/>
          <w:sz w:val="32"/>
          <w:szCs w:val="32"/>
          <w:highlight w:val="none"/>
          <w:lang w:val="zh-CN"/>
        </w:rPr>
      </w:pPr>
    </w:p>
    <w:p w14:paraId="7C0E51E5">
      <w:pPr>
        <w:spacing w:line="540" w:lineRule="exact"/>
        <w:rPr>
          <w:rFonts w:hint="eastAsia" w:ascii="黑体" w:hAnsi="黑体" w:eastAsia="黑体" w:cs="黑体"/>
          <w:color w:val="auto"/>
          <w:sz w:val="32"/>
          <w:szCs w:val="32"/>
          <w:highlight w:val="none"/>
          <w:lang w:eastAsia="zh-CN"/>
        </w:rPr>
      </w:pPr>
      <w:r>
        <w:rPr>
          <w:rFonts w:hint="eastAsia" w:ascii="黑体" w:hAnsi="黑体" w:eastAsia="黑体" w:cs="黑体"/>
          <w:color w:val="auto"/>
          <w:sz w:val="32"/>
          <w:szCs w:val="32"/>
          <w:highlight w:val="none"/>
          <w:lang w:val="zh-CN"/>
        </w:rPr>
        <w:t>附件</w:t>
      </w:r>
      <w:r>
        <w:rPr>
          <w:rFonts w:hint="eastAsia" w:ascii="黑体" w:hAnsi="黑体" w:eastAsia="黑体" w:cs="黑体"/>
          <w:color w:val="auto"/>
          <w:sz w:val="32"/>
          <w:szCs w:val="32"/>
          <w:highlight w:val="none"/>
          <w:lang w:val="en-US" w:eastAsia="zh-CN"/>
        </w:rPr>
        <w:t>5</w:t>
      </w:r>
    </w:p>
    <w:p w14:paraId="0747B2A4">
      <w:pPr>
        <w:widowControl w:val="0"/>
        <w:adjustRightInd w:val="0"/>
        <w:spacing w:before="156" w:line="360" w:lineRule="auto"/>
        <w:ind w:firstLine="720" w:firstLineChars="200"/>
        <w:jc w:val="center"/>
        <w:rPr>
          <w:rFonts w:ascii="方正小标宋_GBK" w:hAnsi="方正小标宋_GBK" w:eastAsia="方正小标宋_GBK" w:cs="方正小标宋_GBK"/>
          <w:color w:val="auto"/>
          <w:kern w:val="2"/>
          <w:sz w:val="36"/>
          <w:szCs w:val="36"/>
          <w:highlight w:val="none"/>
          <w:lang w:val="en-US" w:eastAsia="zh-CN" w:bidi="ar-SA"/>
        </w:rPr>
      </w:pPr>
      <w:r>
        <w:rPr>
          <w:rFonts w:hint="eastAsia" w:ascii="方正小标宋_GBK" w:hAnsi="方正小标宋_GBK" w:eastAsia="方正小标宋_GBK" w:cs="方正小标宋_GBK"/>
          <w:color w:val="auto"/>
          <w:kern w:val="2"/>
          <w:sz w:val="36"/>
          <w:szCs w:val="36"/>
          <w:highlight w:val="none"/>
          <w:lang w:val="en-US" w:eastAsia="zh-CN" w:bidi="ar-SA"/>
        </w:rPr>
        <w:t>崇左市金融机构线上“政采贷”业务办理联络表</w:t>
      </w:r>
    </w:p>
    <w:tbl>
      <w:tblPr>
        <w:tblStyle w:val="24"/>
        <w:tblW w:w="8314" w:type="dxa"/>
        <w:jc w:val="center"/>
        <w:tblLayout w:type="fixed"/>
        <w:tblCellMar>
          <w:top w:w="0" w:type="dxa"/>
          <w:left w:w="108" w:type="dxa"/>
          <w:bottom w:w="0" w:type="dxa"/>
          <w:right w:w="108" w:type="dxa"/>
        </w:tblCellMar>
      </w:tblPr>
      <w:tblGrid>
        <w:gridCol w:w="2674"/>
        <w:gridCol w:w="3515"/>
        <w:gridCol w:w="2125"/>
      </w:tblGrid>
      <w:tr w14:paraId="407875C5">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0"/>
            <w:vAlign w:val="center"/>
          </w:tcPr>
          <w:p w14:paraId="01C3AD3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金融机构名称</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CECE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bCs/>
                <w:color w:val="auto"/>
                <w:sz w:val="21"/>
                <w:szCs w:val="21"/>
                <w:highlight w:val="none"/>
              </w:rPr>
            </w:pPr>
            <w:r>
              <w:rPr>
                <w:rFonts w:hint="eastAsia" w:ascii="宋体" w:hAnsi="宋体" w:eastAsia="宋体" w:cs="宋体"/>
                <w:b/>
                <w:bCs/>
                <w:color w:val="auto"/>
                <w:kern w:val="0"/>
                <w:sz w:val="21"/>
                <w:szCs w:val="21"/>
                <w:highlight w:val="none"/>
                <w:lang w:bidi="ar"/>
              </w:rPr>
              <w:t>地址</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60DD78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b/>
                <w:bCs/>
                <w:color w:val="auto"/>
                <w:sz w:val="21"/>
                <w:szCs w:val="21"/>
                <w:highlight w:val="none"/>
              </w:rPr>
            </w:pPr>
            <w:r>
              <w:rPr>
                <w:rFonts w:hint="eastAsia" w:ascii="Times New Roman" w:hAnsi="Times New Roman" w:eastAsia="宋体" w:cs="宋体"/>
                <w:b/>
                <w:bCs/>
                <w:color w:val="auto"/>
                <w:kern w:val="0"/>
                <w:sz w:val="21"/>
                <w:szCs w:val="21"/>
                <w:highlight w:val="none"/>
                <w:lang w:bidi="ar"/>
              </w:rPr>
              <w:t>业务</w:t>
            </w:r>
            <w:r>
              <w:rPr>
                <w:rFonts w:hint="eastAsia" w:ascii="宋体" w:hAnsi="宋体" w:eastAsia="宋体" w:cs="宋体"/>
                <w:b/>
                <w:bCs/>
                <w:color w:val="auto"/>
                <w:kern w:val="0"/>
                <w:sz w:val="21"/>
                <w:szCs w:val="21"/>
                <w:highlight w:val="none"/>
                <w:lang w:bidi="ar"/>
              </w:rPr>
              <w:t>咨询电话</w:t>
            </w:r>
          </w:p>
        </w:tc>
      </w:tr>
      <w:tr w14:paraId="4ED204AB">
        <w:tblPrEx>
          <w:tblCellMar>
            <w:top w:w="0" w:type="dxa"/>
            <w:left w:w="108" w:type="dxa"/>
            <w:bottom w:w="0" w:type="dxa"/>
            <w:right w:w="108" w:type="dxa"/>
          </w:tblCellMar>
        </w:tblPrEx>
        <w:trPr>
          <w:trHeight w:val="36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02FB788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Times New Roman" w:hAnsi="Times New Roman" w:eastAsia="宋体" w:cs="宋体"/>
                <w:color w:val="auto"/>
                <w:sz w:val="21"/>
                <w:szCs w:val="21"/>
                <w:highlight w:val="none"/>
              </w:rPr>
            </w:pPr>
            <w:r>
              <w:rPr>
                <w:rFonts w:hint="eastAsia" w:ascii="Times New Roman" w:hAnsi="Times New Roman" w:eastAsia="宋体" w:cs="宋体"/>
                <w:b/>
                <w:bCs/>
                <w:color w:val="auto"/>
                <w:sz w:val="21"/>
                <w:szCs w:val="21"/>
                <w:highlight w:val="none"/>
              </w:rPr>
              <w:t>崇左市本级及江州区</w:t>
            </w:r>
          </w:p>
        </w:tc>
      </w:tr>
      <w:tr w14:paraId="1A2D1194">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7CDB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55160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崇左市骆越大道6号（东盟国际城）裙楼2号楼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3B1B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0771-78204360771-7820439</w:t>
            </w:r>
          </w:p>
        </w:tc>
      </w:tr>
      <w:tr w14:paraId="268E71AD">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C6828D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B02FC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江州区友谊大道26号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7ACC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0771-7917212</w:t>
            </w:r>
          </w:p>
        </w:tc>
      </w:tr>
      <w:tr w14:paraId="4B80C5FF">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C5B49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D0608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江州区江南路48号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2A9ED3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0771-7917054</w:t>
            </w:r>
          </w:p>
        </w:tc>
      </w:tr>
      <w:tr w14:paraId="7F232F73">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BE61C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74E0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崇左市江州区江南路73号建行大厦</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3DC969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0771-7831103</w:t>
            </w:r>
          </w:p>
        </w:tc>
      </w:tr>
      <w:tr w14:paraId="03CAFF3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3D37B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BE74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崇左市江州区龙胤大厦五楼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22473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0771-79286500771-7920613</w:t>
            </w:r>
          </w:p>
        </w:tc>
      </w:tr>
      <w:tr w14:paraId="3FB4D5EA">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31FC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崇左农商行授信审批部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59930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崇左市城西路109号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EE1F2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0771-7925660</w:t>
            </w:r>
          </w:p>
        </w:tc>
      </w:tr>
      <w:tr w14:paraId="1F8992D7">
        <w:tblPrEx>
          <w:tblCellMar>
            <w:top w:w="0" w:type="dxa"/>
            <w:left w:w="108" w:type="dxa"/>
            <w:bottom w:w="0" w:type="dxa"/>
            <w:right w:w="108" w:type="dxa"/>
          </w:tblCellMar>
        </w:tblPrEx>
        <w:trPr>
          <w:trHeight w:val="9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28E535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中国邮政储蓄银行崇左市分行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C2ABF5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崇左市江州区骆越大道2号中国邮政储蓄银行崇左市分行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86B1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0771-7968699</w:t>
            </w:r>
          </w:p>
        </w:tc>
      </w:tr>
      <w:tr w14:paraId="4360691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080E5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桂林银行崇左分行营业部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47069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广西壮族自治区崇左市江州区友谊大道中段龙胤·财富广场101商铺（龙胤大厦六楼营业部）</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6C71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0771-7916636</w:t>
            </w:r>
          </w:p>
        </w:tc>
      </w:tr>
      <w:tr w14:paraId="33DC2834">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568EC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桂林银行江州支行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FF2FB7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崇左市江州区建设路41号桂林银行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EA03D1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0771-7988895</w:t>
            </w:r>
          </w:p>
        </w:tc>
      </w:tr>
      <w:tr w14:paraId="7D96D108">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EAF4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广西北部湾银行崇左分行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7CDFC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崇左市友谊大道中段西侧龙胤财富广场三期财富中心122号商铺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C28CC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0771-7960855</w:t>
            </w:r>
          </w:p>
        </w:tc>
      </w:tr>
      <w:tr w14:paraId="52CECDE6">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E717F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广西北部湾银行崇左市中泰产业园支行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03945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广西壮族自治区崇左市江州区中泰产业园企业总部基地企业服务中心一楼</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782A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0771-7821126</w:t>
            </w:r>
          </w:p>
        </w:tc>
      </w:tr>
      <w:tr w14:paraId="7D991C4D">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0FD99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广西北部湾银行崇左市丽江支行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601B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崇左市江州区丽江路丽江明珠滨江花苑三期106-109号商铺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F1A3B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0771-7831866</w:t>
            </w:r>
          </w:p>
        </w:tc>
      </w:tr>
      <w:tr w14:paraId="1CB63B7C">
        <w:tblPrEx>
          <w:tblCellMar>
            <w:top w:w="0" w:type="dxa"/>
            <w:left w:w="108" w:type="dxa"/>
            <w:bottom w:w="0" w:type="dxa"/>
            <w:right w:w="108" w:type="dxa"/>
          </w:tblCellMar>
        </w:tblPrEx>
        <w:trPr>
          <w:trHeight w:val="350"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3E0FFE2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扶绥县</w:t>
            </w:r>
          </w:p>
        </w:tc>
      </w:tr>
      <w:tr w14:paraId="73CCDA5C">
        <w:tblPrEx>
          <w:tblCellMar>
            <w:top w:w="0" w:type="dxa"/>
            <w:left w:w="108" w:type="dxa"/>
            <w:bottom w:w="0" w:type="dxa"/>
            <w:right w:w="108" w:type="dxa"/>
          </w:tblCellMar>
        </w:tblPrEx>
        <w:trPr>
          <w:trHeight w:val="38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C90C12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3AE84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扶绥县新宁镇同正大道94号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1336E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0771-7535612</w:t>
            </w:r>
          </w:p>
        </w:tc>
      </w:tr>
      <w:tr w14:paraId="4BA9054C">
        <w:tblPrEx>
          <w:tblCellMar>
            <w:top w:w="0" w:type="dxa"/>
            <w:left w:w="108" w:type="dxa"/>
            <w:bottom w:w="0" w:type="dxa"/>
            <w:right w:w="108" w:type="dxa"/>
          </w:tblCellMar>
        </w:tblPrEx>
        <w:trPr>
          <w:trHeight w:val="44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C2818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57D9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扶绥县新宁镇新华路126号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A3EF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0771-7917330</w:t>
            </w:r>
          </w:p>
        </w:tc>
      </w:tr>
      <w:tr w14:paraId="231A9F21">
        <w:tblPrEx>
          <w:tblCellMar>
            <w:top w:w="0" w:type="dxa"/>
            <w:left w:w="108" w:type="dxa"/>
            <w:bottom w:w="0" w:type="dxa"/>
            <w:right w:w="108" w:type="dxa"/>
          </w:tblCellMar>
        </w:tblPrEx>
        <w:trPr>
          <w:trHeight w:val="74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643FB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11E81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扶绥县南密路6号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6F6A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0771-75165110771-7531157</w:t>
            </w:r>
          </w:p>
        </w:tc>
      </w:tr>
      <w:tr w14:paraId="6A137F8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7238C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建行扶绥空港支行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A651CC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扶绥县双拥路3号东信华府18号楼一层</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B8DD7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0771-7525822</w:t>
            </w:r>
          </w:p>
        </w:tc>
      </w:tr>
      <w:tr w14:paraId="4B50D5EA">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FDB4B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中国银行扶绥支行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3DBDE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扶绥县-扶绥大道16号山水城市广场一层商铺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8E865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0771-5025887</w:t>
            </w:r>
          </w:p>
        </w:tc>
      </w:tr>
      <w:tr w14:paraId="111693E9">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0682F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9D7EC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扶绥县新宁镇永宁路2-1号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4DDC11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0771-7533041</w:t>
            </w:r>
          </w:p>
        </w:tc>
      </w:tr>
      <w:tr w14:paraId="4A5D7126">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FB80A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中国邮政储蓄银行扶绥县支行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1F722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扶绥县松江路138号中国邮政储蓄银行扶绥县支行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A2E8F3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0771-75361780771-7536177</w:t>
            </w:r>
          </w:p>
        </w:tc>
      </w:tr>
      <w:tr w14:paraId="1EE78AB5">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BA87C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桂林银行崇左扶绥支行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112EDD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广西崇左市扶绥县新宁镇松江路20号（桂林银行崇左扶绥支行）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7549CA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0771-7661101</w:t>
            </w:r>
          </w:p>
        </w:tc>
      </w:tr>
      <w:tr w14:paraId="488F40E3">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848D4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广西北部湾银行扶绥县支行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E39FBE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崇左市扶绥县新宁镇同正大道333号碧园·未来城商业综合体13号楼一楼1050、1051号商铺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EE0A4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0771-7500768</w:t>
            </w:r>
          </w:p>
        </w:tc>
      </w:tr>
      <w:tr w14:paraId="4401E47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05E3C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扶绥深通村镇银行业发部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960F1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扶绥县大景城1号楼正门旁</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26477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0771-7525678</w:t>
            </w:r>
          </w:p>
        </w:tc>
      </w:tr>
      <w:tr w14:paraId="75B888A7">
        <w:tblPrEx>
          <w:tblCellMar>
            <w:top w:w="0" w:type="dxa"/>
            <w:left w:w="108" w:type="dxa"/>
            <w:bottom w:w="0" w:type="dxa"/>
            <w:right w:w="108" w:type="dxa"/>
          </w:tblCellMar>
        </w:tblPrEx>
        <w:trPr>
          <w:trHeight w:val="47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606D08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宁明县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127A5D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9E96F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p>
        </w:tc>
      </w:tr>
      <w:tr w14:paraId="09C37CA5">
        <w:tblPrEx>
          <w:tblCellMar>
            <w:top w:w="0" w:type="dxa"/>
            <w:left w:w="108" w:type="dxa"/>
            <w:bottom w:w="0" w:type="dxa"/>
            <w:right w:w="108" w:type="dxa"/>
          </w:tblCellMar>
        </w:tblPrEx>
        <w:trPr>
          <w:trHeight w:val="36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FC24C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347E9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宁明县城中镇兴远街70号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44270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0771-8620729</w:t>
            </w:r>
          </w:p>
        </w:tc>
      </w:tr>
      <w:tr w14:paraId="55F8CCB3">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16E61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农业银行宁明县支行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80407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宁明县城中镇明阳街11号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2FEA4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0771-7917093</w:t>
            </w:r>
          </w:p>
        </w:tc>
      </w:tr>
      <w:tr w14:paraId="4E6B6E34">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076BB1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61E9D77">
            <w:pPr>
              <w:keepNext w:val="0"/>
              <w:keepLines w:val="0"/>
              <w:pageBreakBefore w:val="0"/>
              <w:widowControl/>
              <w:suppressLineNumbers w:val="0"/>
              <w:kinsoku/>
              <w:wordWrap/>
              <w:overflowPunct/>
              <w:topLinePunct w:val="0"/>
              <w:autoSpaceDE/>
              <w:autoSpaceDN/>
              <w:bidi w:val="0"/>
              <w:adjustRightInd/>
              <w:snapToGrid/>
              <w:spacing w:before="0" w:beforeAutospacing="0" w:after="90" w:afterAutospacing="0" w:line="380" w:lineRule="exact"/>
              <w:ind w:left="0" w:right="0"/>
              <w:jc w:val="left"/>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宁明县城中镇兴宁大道77号明江财富广场一层1-13号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DDA99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0771-8629006</w:t>
            </w:r>
          </w:p>
        </w:tc>
      </w:tr>
      <w:tr w14:paraId="2E5585A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6A4609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宁明农商行三农零售与乡村振兴金融部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6775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宁明县城中镇明阳街3号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4F544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0771-8628166</w:t>
            </w:r>
          </w:p>
        </w:tc>
      </w:tr>
      <w:tr w14:paraId="3F771BD6">
        <w:tblPrEx>
          <w:tblCellMar>
            <w:top w:w="0" w:type="dxa"/>
            <w:left w:w="108" w:type="dxa"/>
            <w:bottom w:w="0" w:type="dxa"/>
            <w:right w:w="108" w:type="dxa"/>
          </w:tblCellMar>
        </w:tblPrEx>
        <w:trPr>
          <w:trHeight w:val="439"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D532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桂林银行崇左宁明支行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63EDE4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宁明县城中镇兴宁大道中70号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28FF0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0771-8630787</w:t>
            </w:r>
          </w:p>
        </w:tc>
      </w:tr>
      <w:tr w14:paraId="7A10B2B2">
        <w:tblPrEx>
          <w:tblCellMar>
            <w:top w:w="0" w:type="dxa"/>
            <w:left w:w="108" w:type="dxa"/>
            <w:bottom w:w="0" w:type="dxa"/>
            <w:right w:w="108" w:type="dxa"/>
          </w:tblCellMar>
        </w:tblPrEx>
        <w:trPr>
          <w:trHeight w:val="32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5614C2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广西北部湾银行宁明支行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EBA3D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崇左市宁明县城中镇兴宁大道中79号（明都大酒店）A幢楼1楼铺面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427B1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0771-8622237</w:t>
            </w:r>
          </w:p>
        </w:tc>
      </w:tr>
      <w:tr w14:paraId="4690C09E">
        <w:tblPrEx>
          <w:tblCellMar>
            <w:top w:w="0" w:type="dxa"/>
            <w:left w:w="108" w:type="dxa"/>
            <w:bottom w:w="0" w:type="dxa"/>
            <w:right w:w="108" w:type="dxa"/>
          </w:tblCellMar>
        </w:tblPrEx>
        <w:trPr>
          <w:trHeight w:val="377"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27B8D4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大新县</w:t>
            </w:r>
          </w:p>
        </w:tc>
      </w:tr>
      <w:tr w14:paraId="5E858E20">
        <w:tblPrEx>
          <w:tblCellMar>
            <w:top w:w="0" w:type="dxa"/>
            <w:left w:w="108" w:type="dxa"/>
            <w:bottom w:w="0" w:type="dxa"/>
            <w:right w:w="108" w:type="dxa"/>
          </w:tblCellMar>
        </w:tblPrEx>
        <w:trPr>
          <w:trHeight w:val="391"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BCA84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工商银行大新县支行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F24CC1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大新县桃城镇民生街98号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BC74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0771-3628078</w:t>
            </w:r>
          </w:p>
        </w:tc>
      </w:tr>
      <w:tr w14:paraId="0020346D">
        <w:tblPrEx>
          <w:tblCellMar>
            <w:top w:w="0" w:type="dxa"/>
            <w:left w:w="108" w:type="dxa"/>
            <w:bottom w:w="0" w:type="dxa"/>
            <w:right w:w="108" w:type="dxa"/>
          </w:tblCellMar>
        </w:tblPrEx>
        <w:trPr>
          <w:trHeight w:val="45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4CAF40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农业银行大新县支行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644B7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大新县桃城镇伦理路223号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E26CE8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w:t>
            </w:r>
            <w:r>
              <w:rPr>
                <w:rFonts w:hint="eastAsia" w:ascii="宋体" w:hAnsi="宋体" w:eastAsia="宋体" w:cs="宋体"/>
                <w:color w:val="auto"/>
                <w:sz w:val="21"/>
                <w:szCs w:val="21"/>
                <w:highlight w:val="none"/>
              </w:rPr>
              <w:t>7917015</w:t>
            </w:r>
          </w:p>
        </w:tc>
      </w:tr>
      <w:tr w14:paraId="1C519848">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E2E73C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建行大新支行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2DA44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大新县民生街7号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7A61A7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0771-3689766</w:t>
            </w:r>
          </w:p>
        </w:tc>
      </w:tr>
      <w:tr w14:paraId="59D080AF">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B3CE6F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大新农商行三农零售与乡村振兴金融部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ADE6F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大新县城养利路131号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A6678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0771-3623887</w:t>
            </w:r>
          </w:p>
        </w:tc>
      </w:tr>
      <w:tr w14:paraId="376D7DBE">
        <w:tblPrEx>
          <w:tblCellMar>
            <w:top w:w="0" w:type="dxa"/>
            <w:left w:w="108" w:type="dxa"/>
            <w:bottom w:w="0" w:type="dxa"/>
            <w:right w:w="108" w:type="dxa"/>
          </w:tblCellMar>
        </w:tblPrEx>
        <w:trPr>
          <w:trHeight w:val="6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C4A1A2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桂林银行崇左大新支行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3419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崇左市大新县桃城镇民生街7号东盟商业广场1楼桂林银行</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7C7A85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0771-3621996</w:t>
            </w:r>
          </w:p>
        </w:tc>
      </w:tr>
      <w:tr w14:paraId="16569376">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82178E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广西北部湾银行大新支行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F5426E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崇左市大新县桃城镇伦理路230号1楼铺面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2A92CC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sz w:val="21"/>
                <w:szCs w:val="21"/>
                <w:highlight w:val="none"/>
              </w:rPr>
              <w:t>0771-3628366</w:t>
            </w:r>
          </w:p>
        </w:tc>
      </w:tr>
      <w:tr w14:paraId="40A64F3C">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D6FD8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崇左大新长江村镇银行营业部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7915BA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大新县桃城镇德天大道74-1号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B45FF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0771-3698002</w:t>
            </w:r>
          </w:p>
        </w:tc>
      </w:tr>
      <w:tr w14:paraId="2ACB236B">
        <w:tblPrEx>
          <w:tblCellMar>
            <w:top w:w="0" w:type="dxa"/>
            <w:left w:w="108" w:type="dxa"/>
            <w:bottom w:w="0" w:type="dxa"/>
            <w:right w:w="108" w:type="dxa"/>
          </w:tblCellMar>
        </w:tblPrEx>
        <w:trPr>
          <w:trHeight w:val="42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DF740F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崇左大新长江村镇银行百汇支行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88EF7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kern w:val="0"/>
                <w:sz w:val="21"/>
                <w:szCs w:val="21"/>
                <w:highlight w:val="none"/>
                <w:lang w:bidi="ar"/>
              </w:rPr>
            </w:pPr>
            <w:r>
              <w:rPr>
                <w:rFonts w:hint="eastAsia" w:ascii="宋体" w:hAnsi="宋体" w:eastAsia="宋体" w:cs="宋体"/>
                <w:color w:val="auto"/>
                <w:kern w:val="0"/>
                <w:sz w:val="21"/>
                <w:szCs w:val="21"/>
                <w:highlight w:val="none"/>
                <w:lang w:bidi="ar"/>
              </w:rPr>
              <w:t>大新县桃城镇伦那路8号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18B4B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kern w:val="0"/>
                <w:sz w:val="21"/>
                <w:szCs w:val="21"/>
                <w:highlight w:val="none"/>
                <w:lang w:bidi="ar"/>
              </w:rPr>
              <w:t>0771-3626199</w:t>
            </w:r>
          </w:p>
        </w:tc>
      </w:tr>
      <w:tr w14:paraId="126657BA">
        <w:tblPrEx>
          <w:tblCellMar>
            <w:top w:w="0" w:type="dxa"/>
            <w:left w:w="108" w:type="dxa"/>
            <w:bottom w:w="0" w:type="dxa"/>
            <w:right w:w="108" w:type="dxa"/>
          </w:tblCellMar>
        </w:tblPrEx>
        <w:trPr>
          <w:trHeight w:val="35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F3B283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龙州县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39590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083E4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p>
        </w:tc>
      </w:tr>
      <w:tr w14:paraId="65EF44A4">
        <w:tblPrEx>
          <w:tblCellMar>
            <w:top w:w="0" w:type="dxa"/>
            <w:left w:w="108" w:type="dxa"/>
            <w:bottom w:w="0" w:type="dxa"/>
            <w:right w:w="108" w:type="dxa"/>
          </w:tblCellMar>
        </w:tblPrEx>
        <w:trPr>
          <w:trHeight w:val="428"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40DA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2E7EEE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龙州县龙江街60号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3282D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0771-8868619</w:t>
            </w:r>
          </w:p>
        </w:tc>
      </w:tr>
      <w:tr w14:paraId="22EBC181">
        <w:tblPrEx>
          <w:tblCellMar>
            <w:top w:w="0" w:type="dxa"/>
            <w:left w:w="108" w:type="dxa"/>
            <w:bottom w:w="0" w:type="dxa"/>
            <w:right w:w="108" w:type="dxa"/>
          </w:tblCellMar>
        </w:tblPrEx>
        <w:trPr>
          <w:trHeight w:val="544"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313D73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农业银行龙州县支行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0AB51C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龙州县龙州镇康平街26号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6DD0FE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0771-8812504</w:t>
            </w:r>
          </w:p>
        </w:tc>
      </w:tr>
      <w:tr w14:paraId="1EE52315">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B64E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2833F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龙州县龙夏路2号龙州商业广场D栋1号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354E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0771-8820525</w:t>
            </w:r>
          </w:p>
        </w:tc>
      </w:tr>
      <w:tr w14:paraId="79B03F78">
        <w:tblPrEx>
          <w:tblCellMar>
            <w:top w:w="0" w:type="dxa"/>
            <w:left w:w="108" w:type="dxa"/>
            <w:bottom w:w="0" w:type="dxa"/>
            <w:right w:w="108" w:type="dxa"/>
          </w:tblCellMar>
        </w:tblPrEx>
        <w:trPr>
          <w:trHeight w:val="41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175E92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龙州农商行公司机构金融</w:t>
            </w:r>
            <w:r>
              <w:rPr>
                <w:rFonts w:hint="eastAsia" w:ascii="Times New Roman" w:hAnsi="Times New Roman" w:eastAsia="宋体" w:cs="宋体"/>
                <w:color w:val="auto"/>
                <w:sz w:val="21"/>
                <w:szCs w:val="21"/>
                <w:highlight w:val="none"/>
              </w:rPr>
              <w:t>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A535BB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龙州县龙州镇独山路172号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60A5B4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0771-8813013</w:t>
            </w:r>
          </w:p>
        </w:tc>
      </w:tr>
      <w:tr w14:paraId="24B7AAAC">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1937EE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桂林银行崇左龙州支行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2DCE8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龙州县龙州镇同顾大道1号同顾·中央公园20栋10号—13号房</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5DB330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0771-8871021</w:t>
            </w:r>
          </w:p>
        </w:tc>
      </w:tr>
      <w:tr w14:paraId="6CB4EC8F">
        <w:tblPrEx>
          <w:tblCellMar>
            <w:top w:w="0" w:type="dxa"/>
            <w:left w:w="108" w:type="dxa"/>
            <w:bottom w:w="0" w:type="dxa"/>
            <w:right w:w="108" w:type="dxa"/>
          </w:tblCellMar>
        </w:tblPrEx>
        <w:trPr>
          <w:trHeight w:val="33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9371E9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广西北部湾银行龙州支行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D9D83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崇左市龙州县龙州镇龙夏路1号、3号、5号（南湖商务酒店）一楼铺面</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087AE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0771-8811533</w:t>
            </w:r>
          </w:p>
        </w:tc>
      </w:tr>
      <w:tr w14:paraId="00FA24FE">
        <w:tblPrEx>
          <w:tblCellMar>
            <w:top w:w="0" w:type="dxa"/>
            <w:left w:w="108" w:type="dxa"/>
            <w:bottom w:w="0" w:type="dxa"/>
            <w:right w:w="108" w:type="dxa"/>
          </w:tblCellMar>
        </w:tblPrEx>
        <w:trPr>
          <w:trHeight w:val="48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ACE389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天等县</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107A30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C47882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p>
        </w:tc>
      </w:tr>
      <w:tr w14:paraId="3B0236F0">
        <w:tblPrEx>
          <w:tblCellMar>
            <w:top w:w="0" w:type="dxa"/>
            <w:left w:w="108" w:type="dxa"/>
            <w:bottom w:w="0" w:type="dxa"/>
            <w:right w:w="108" w:type="dxa"/>
          </w:tblCellMar>
        </w:tblPrEx>
        <w:trPr>
          <w:trHeight w:val="27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D3381D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0B8DE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天等县天等镇朝阳东路054号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3584D1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0771-3532211</w:t>
            </w:r>
          </w:p>
        </w:tc>
      </w:tr>
      <w:tr w14:paraId="6CE701AD">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3C08F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农业银行天等县支行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CFAE29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天等县天等镇天宝北路007号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5FE52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0771-7917046</w:t>
            </w:r>
          </w:p>
        </w:tc>
      </w:tr>
      <w:tr w14:paraId="03AF8B07">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D9DE10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天等农商行公司机构金融部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2CF608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天等县天等镇仕民路48号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D0F433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0771-3521361</w:t>
            </w:r>
          </w:p>
        </w:tc>
      </w:tr>
      <w:tr w14:paraId="60B50D4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2AB2F3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桂林银行崇左天等支行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4F1AA9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广西崇左市天等县天等镇天宝北路天府中央城5号楼115号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750C94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0771-3522157</w:t>
            </w:r>
          </w:p>
        </w:tc>
      </w:tr>
      <w:tr w14:paraId="6879CEFE">
        <w:tblPrEx>
          <w:tblCellMar>
            <w:top w:w="0" w:type="dxa"/>
            <w:left w:w="108" w:type="dxa"/>
            <w:bottom w:w="0" w:type="dxa"/>
            <w:right w:w="108" w:type="dxa"/>
          </w:tblCellMar>
        </w:tblPrEx>
        <w:trPr>
          <w:trHeight w:val="39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33DDDBC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广西北部湾银行天等支行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5893F3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崇左市天等县天宝南路002号天富商业广场28栋一层商铺6-17号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0D23F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0771-3528688</w:t>
            </w:r>
          </w:p>
        </w:tc>
      </w:tr>
      <w:tr w14:paraId="2E1EB158">
        <w:tblPrEx>
          <w:tblCellMar>
            <w:top w:w="0" w:type="dxa"/>
            <w:left w:w="108" w:type="dxa"/>
            <w:bottom w:w="0" w:type="dxa"/>
            <w:right w:w="108" w:type="dxa"/>
          </w:tblCellMar>
        </w:tblPrEx>
        <w:trPr>
          <w:trHeight w:val="335" w:hRule="atLeast"/>
          <w:jc w:val="center"/>
        </w:trPr>
        <w:tc>
          <w:tcPr>
            <w:tcW w:w="8314" w:type="dxa"/>
            <w:gridSpan w:val="3"/>
            <w:tcBorders>
              <w:top w:val="single" w:color="000000" w:sz="4" w:space="0"/>
              <w:left w:val="single" w:color="000000" w:sz="4" w:space="0"/>
              <w:bottom w:val="single" w:color="000000" w:sz="4" w:space="0"/>
              <w:right w:val="single" w:color="000000" w:sz="4" w:space="0"/>
            </w:tcBorders>
            <w:noWrap/>
            <w:vAlign w:val="center"/>
          </w:tcPr>
          <w:p w14:paraId="15F31F1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b/>
                <w:bCs/>
                <w:color w:val="auto"/>
                <w:sz w:val="21"/>
                <w:szCs w:val="21"/>
                <w:highlight w:val="none"/>
              </w:rPr>
              <w:t>凭祥市</w:t>
            </w:r>
          </w:p>
        </w:tc>
      </w:tr>
      <w:tr w14:paraId="5DD89822">
        <w:tblPrEx>
          <w:tblCellMar>
            <w:top w:w="0" w:type="dxa"/>
            <w:left w:w="108" w:type="dxa"/>
            <w:bottom w:w="0" w:type="dxa"/>
            <w:right w:w="108" w:type="dxa"/>
          </w:tblCellMar>
        </w:tblPrEx>
        <w:trPr>
          <w:trHeight w:val="440"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8C4AD3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工商银行凭祥分行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8700A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凭祥市新华路5号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70CD54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0771-8529259</w:t>
            </w:r>
          </w:p>
        </w:tc>
      </w:tr>
      <w:tr w14:paraId="7C5198E7">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10838F6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农业银行凭祥支行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47EC6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凭祥市北大路216号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5EBACD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0771-7917258</w:t>
            </w:r>
          </w:p>
        </w:tc>
      </w:tr>
      <w:tr w14:paraId="2FA4F269">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706254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231A3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凭祥市屏山路138号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E5107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0771-85250680771-8536852</w:t>
            </w:r>
          </w:p>
        </w:tc>
      </w:tr>
      <w:tr w14:paraId="5B64BEAC">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62430E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建行凭祥中区支行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40FB60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凭祥市金象大道香格里拉3幢3-01至3-03号商铺</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15376D0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0771-8551161</w:t>
            </w:r>
          </w:p>
        </w:tc>
      </w:tr>
      <w:tr w14:paraId="17E9EB00">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4144CEA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建行凭祥浦寨支行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312FEAE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凭祥市浦寨商业城万泰一楼8-9号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4F1F64B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0771-8561665</w:t>
            </w:r>
          </w:p>
        </w:tc>
      </w:tr>
      <w:tr w14:paraId="1D9D7BB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73C4C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中国银行凭祥支行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7425D5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凭祥市-北环路112号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696CB4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0771-8520356</w:t>
            </w:r>
          </w:p>
        </w:tc>
      </w:tr>
      <w:tr w14:paraId="1C76B20D">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0CDC1F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凭祥农商行业务拓展部</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06E5DE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凭祥市友谊关大道13号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0B0F8DB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0771-8535667</w:t>
            </w:r>
          </w:p>
        </w:tc>
      </w:tr>
      <w:tr w14:paraId="59CA8F78">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88B86A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桂林银行广西自贸试验区崇左片区凭祥支行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6272DB3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凭祥市北大路一支40号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2103021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0771-8520550</w:t>
            </w:r>
          </w:p>
        </w:tc>
      </w:tr>
      <w:tr w14:paraId="4E97F5D3">
        <w:tblPrEx>
          <w:tblCellMar>
            <w:top w:w="0" w:type="dxa"/>
            <w:left w:w="108" w:type="dxa"/>
            <w:bottom w:w="0" w:type="dxa"/>
            <w:right w:w="108" w:type="dxa"/>
          </w:tblCellMar>
        </w:tblPrEx>
        <w:trPr>
          <w:trHeight w:val="215" w:hRule="atLeast"/>
          <w:jc w:val="center"/>
        </w:trPr>
        <w:tc>
          <w:tcPr>
            <w:tcW w:w="2674" w:type="dxa"/>
            <w:tcBorders>
              <w:top w:val="single" w:color="000000" w:sz="4" w:space="0"/>
              <w:left w:val="single" w:color="000000" w:sz="4" w:space="0"/>
              <w:bottom w:val="single" w:color="000000" w:sz="4" w:space="0"/>
              <w:right w:val="single" w:color="000000" w:sz="4" w:space="0"/>
            </w:tcBorders>
            <w:noWrap/>
            <w:vAlign w:val="center"/>
          </w:tcPr>
          <w:p w14:paraId="5E16537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广西北部湾银行广西自贸试验区崇左片区凭祥支行</w:t>
            </w:r>
          </w:p>
        </w:tc>
        <w:tc>
          <w:tcPr>
            <w:tcW w:w="3515" w:type="dxa"/>
            <w:tcBorders>
              <w:top w:val="single" w:color="000000" w:sz="4" w:space="0"/>
              <w:left w:val="single" w:color="000000" w:sz="4" w:space="0"/>
              <w:bottom w:val="single" w:color="000000" w:sz="4" w:space="0"/>
              <w:right w:val="single" w:color="000000" w:sz="4" w:space="0"/>
            </w:tcBorders>
            <w:noWrap w:val="0"/>
            <w:vAlign w:val="center"/>
          </w:tcPr>
          <w:p w14:paraId="1C40FA3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凭祥市北大路一支60-1号</w:t>
            </w:r>
          </w:p>
        </w:tc>
        <w:tc>
          <w:tcPr>
            <w:tcW w:w="2125" w:type="dxa"/>
            <w:tcBorders>
              <w:top w:val="single" w:color="000000" w:sz="4" w:space="0"/>
              <w:left w:val="single" w:color="000000" w:sz="4" w:space="0"/>
              <w:bottom w:val="single" w:color="000000" w:sz="4" w:space="0"/>
              <w:right w:val="single" w:color="000000" w:sz="4" w:space="0"/>
            </w:tcBorders>
            <w:noWrap w:val="0"/>
            <w:vAlign w:val="center"/>
          </w:tcPr>
          <w:p w14:paraId="34F9F58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0771-8556667</w:t>
            </w:r>
          </w:p>
        </w:tc>
      </w:tr>
    </w:tbl>
    <w:p w14:paraId="70BC37E6">
      <w:pPr>
        <w:rPr>
          <w:color w:val="auto"/>
          <w:highlight w:val="none"/>
        </w:rPr>
      </w:pPr>
      <w:r>
        <w:rPr>
          <w:color w:val="auto"/>
          <w:highlight w:val="none"/>
        </w:rPr>
        <w:br w:type="page"/>
      </w:r>
    </w:p>
    <w:p w14:paraId="42542E90">
      <w:pPr>
        <w:pStyle w:val="5"/>
        <w:rPr>
          <w:color w:val="auto"/>
          <w:highlight w:val="none"/>
        </w:rPr>
      </w:pPr>
    </w:p>
    <w:p w14:paraId="32FE04A0">
      <w:pPr>
        <w:pStyle w:val="2"/>
        <w:spacing w:before="0" w:after="90" w:line="240" w:lineRule="auto"/>
        <w:jc w:val="center"/>
        <w:rPr>
          <w:color w:val="auto"/>
          <w:highlight w:val="none"/>
        </w:rPr>
      </w:pPr>
      <w:bookmarkStart w:id="53" w:name="_Toc24823"/>
      <w:r>
        <w:rPr>
          <w:rFonts w:hint="eastAsia"/>
          <w:color w:val="auto"/>
          <w:highlight w:val="none"/>
        </w:rPr>
        <w:t>第四章评审程序、评审方法和评审标准</w:t>
      </w:r>
      <w:bookmarkEnd w:id="53"/>
    </w:p>
    <w:p w14:paraId="0D913774">
      <w:pPr>
        <w:pStyle w:val="2"/>
        <w:pageBreakBefore w:val="0"/>
        <w:kinsoku/>
        <w:wordWrap/>
        <w:overflowPunct/>
        <w:topLinePunct w:val="0"/>
        <w:autoSpaceDE/>
        <w:autoSpaceDN/>
        <w:bidi w:val="0"/>
        <w:spacing w:before="0" w:after="0" w:line="380" w:lineRule="exact"/>
        <w:jc w:val="center"/>
        <w:textAlignment w:val="auto"/>
        <w:rPr>
          <w:rFonts w:hint="eastAsia" w:ascii="宋体" w:hAnsi="宋体"/>
          <w:color w:val="auto"/>
          <w:sz w:val="24"/>
          <w:highlight w:val="none"/>
        </w:rPr>
      </w:pPr>
      <w:bookmarkStart w:id="54" w:name="_Toc7530"/>
      <w:r>
        <w:rPr>
          <w:rFonts w:hint="eastAsia" w:ascii="宋体" w:hAnsi="宋体"/>
          <w:color w:val="auto"/>
          <w:sz w:val="24"/>
          <w:highlight w:val="none"/>
        </w:rPr>
        <w:t>第一节 评审程序和评审方法</w:t>
      </w:r>
      <w:bookmarkEnd w:id="54"/>
    </w:p>
    <w:p w14:paraId="4A217589">
      <w:pPr>
        <w:pageBreakBefore w:val="0"/>
        <w:kinsoku/>
        <w:wordWrap/>
        <w:overflowPunct/>
        <w:topLinePunct w:val="0"/>
        <w:autoSpaceDE/>
        <w:autoSpaceDN/>
        <w:bidi w:val="0"/>
        <w:spacing w:line="380" w:lineRule="exact"/>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1.确认磋商文件</w:t>
      </w:r>
    </w:p>
    <w:p w14:paraId="5EA3E35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由磋商小组确认磋商文件。</w:t>
      </w:r>
    </w:p>
    <w:p w14:paraId="06C0A66A">
      <w:pPr>
        <w:pageBreakBefore w:val="0"/>
        <w:kinsoku/>
        <w:wordWrap/>
        <w:overflowPunct/>
        <w:topLinePunct w:val="0"/>
        <w:autoSpaceDE/>
        <w:autoSpaceDN/>
        <w:bidi w:val="0"/>
        <w:spacing w:line="380" w:lineRule="exact"/>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2.资格审查</w:t>
      </w:r>
    </w:p>
    <w:p w14:paraId="22854EEA">
      <w:pPr>
        <w:pageBreakBefore w:val="0"/>
        <w:kinsoku/>
        <w:wordWrap/>
        <w:overflowPunct/>
        <w:topLinePunct w:val="0"/>
        <w:autoSpaceDE/>
        <w:autoSpaceDN/>
        <w:bidi w:val="0"/>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2.1响应文件开启后，磋商小组依法对供应商的资格证明文件进行审查。</w:t>
      </w:r>
    </w:p>
    <w:p w14:paraId="234441C0">
      <w:pPr>
        <w:pageBreakBefore w:val="0"/>
        <w:kinsoku/>
        <w:wordWrap/>
        <w:overflowPunct/>
        <w:topLinePunct w:val="0"/>
        <w:autoSpaceDE/>
        <w:autoSpaceDN/>
        <w:bidi w:val="0"/>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注：采购人代表或者采购代理机构在资格审查结束前，对供应商进行信用查询。</w:t>
      </w:r>
    </w:p>
    <w:p w14:paraId="01363DD2">
      <w:pPr>
        <w:pageBreakBefore w:val="0"/>
        <w:kinsoku/>
        <w:wordWrap/>
        <w:overflowPunct/>
        <w:topLinePunct w:val="0"/>
        <w:autoSpaceDE/>
        <w:autoSpaceDN/>
        <w:bidi w:val="0"/>
        <w:snapToGrid w:val="0"/>
        <w:spacing w:line="38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（1）查询渠道：“广西政府采购云”平台“信用中国”网站(</w:t>
      </w:r>
      <w:r>
        <w:rPr>
          <w:color w:val="auto"/>
          <w:highlight w:val="none"/>
        </w:rPr>
        <w:fldChar w:fldCharType="begin"/>
      </w:r>
      <w:r>
        <w:rPr>
          <w:color w:val="auto"/>
          <w:highlight w:val="none"/>
        </w:rPr>
        <w:instrText xml:space="preserve"> HYPERLINK "http://www.creditchina.gov.cn" </w:instrText>
      </w:r>
      <w:r>
        <w:rPr>
          <w:color w:val="auto"/>
          <w:highlight w:val="none"/>
        </w:rPr>
        <w:fldChar w:fldCharType="separate"/>
      </w:r>
      <w:r>
        <w:rPr>
          <w:rStyle w:val="29"/>
          <w:rFonts w:hint="eastAsia" w:ascii="宋体" w:hAnsi="宋体" w:cs="宋体"/>
          <w:color w:val="auto"/>
          <w:szCs w:val="21"/>
          <w:highlight w:val="none"/>
        </w:rPr>
        <w:t>www.creditchina.gov.cn</w:t>
      </w:r>
      <w:r>
        <w:rPr>
          <w:rStyle w:val="29"/>
          <w:rFonts w:hint="eastAsia" w:ascii="宋体" w:hAnsi="宋体" w:cs="宋体"/>
          <w:color w:val="auto"/>
          <w:szCs w:val="21"/>
          <w:highlight w:val="none"/>
        </w:rPr>
        <w:fldChar w:fldCharType="end"/>
      </w:r>
      <w:r>
        <w:rPr>
          <w:rFonts w:hint="eastAsia" w:ascii="宋体" w:hAnsi="宋体" w:cs="宋体"/>
          <w:color w:val="auto"/>
          <w:szCs w:val="21"/>
          <w:highlight w:val="none"/>
        </w:rPr>
        <w:t>)、中国政府采购网(</w:t>
      </w:r>
      <w:r>
        <w:rPr>
          <w:color w:val="auto"/>
          <w:highlight w:val="none"/>
        </w:rPr>
        <w:fldChar w:fldCharType="begin"/>
      </w:r>
      <w:r>
        <w:rPr>
          <w:color w:val="auto"/>
          <w:highlight w:val="none"/>
        </w:rPr>
        <w:instrText xml:space="preserve"> HYPERLINK "http://www.ccgp.gov.cn" </w:instrText>
      </w:r>
      <w:r>
        <w:rPr>
          <w:color w:val="auto"/>
          <w:highlight w:val="none"/>
        </w:rPr>
        <w:fldChar w:fldCharType="separate"/>
      </w:r>
      <w:r>
        <w:rPr>
          <w:rStyle w:val="29"/>
          <w:rFonts w:hint="eastAsia" w:ascii="宋体" w:hAnsi="宋体" w:cs="宋体"/>
          <w:color w:val="auto"/>
          <w:szCs w:val="21"/>
          <w:highlight w:val="none"/>
        </w:rPr>
        <w:t>www.ccgp.gov.cn</w:t>
      </w:r>
      <w:r>
        <w:rPr>
          <w:rStyle w:val="29"/>
          <w:rFonts w:hint="eastAsia" w:ascii="宋体" w:hAnsi="宋体" w:cs="宋体"/>
          <w:color w:val="auto"/>
          <w:szCs w:val="21"/>
          <w:highlight w:val="none"/>
        </w:rPr>
        <w:fldChar w:fldCharType="end"/>
      </w:r>
      <w:r>
        <w:rPr>
          <w:rFonts w:hint="eastAsia" w:ascii="宋体" w:hAnsi="宋体" w:cs="宋体"/>
          <w:color w:val="auto"/>
          <w:szCs w:val="21"/>
          <w:highlight w:val="none"/>
        </w:rPr>
        <w:t>)链接入口。</w:t>
      </w:r>
    </w:p>
    <w:p w14:paraId="3CD4F773">
      <w:pPr>
        <w:pageBreakBefore w:val="0"/>
        <w:kinsoku/>
        <w:wordWrap/>
        <w:overflowPunct/>
        <w:topLinePunct w:val="0"/>
        <w:autoSpaceDE/>
        <w:autoSpaceDN/>
        <w:bidi w:val="0"/>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（2）信用查询截止时点：资格审查结束前。</w:t>
      </w:r>
    </w:p>
    <w:p w14:paraId="5C8D127E">
      <w:pPr>
        <w:pageBreakBefore w:val="0"/>
        <w:kinsoku/>
        <w:wordWrap/>
        <w:overflowPunct/>
        <w:topLinePunct w:val="0"/>
        <w:autoSpaceDE/>
        <w:autoSpaceDN/>
        <w:bidi w:val="0"/>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查询记录和证据留存方式：在查询网站中直接打印查询记录，截图另存为电子文档作为评审资料保存。</w:t>
      </w:r>
    </w:p>
    <w:p w14:paraId="3896FA0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（3）信用信息使用规则：对在“信用中国”网站(www.creditchina.gov.cn) 、中国政府采购网(www.ccgp.gov.cn)被列入失信被执行人、重大税收违法案件当事人名单、政府采购严重违法失信行为记录名单及其他不符合《中华人民共和国政府采购法》第二十二条规定条件的供应商，资格审查不通过，不得参与政府采购活动。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2BAD4397">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2.2资格审查标准为本磋商文件中载明对供应商资格要求的条件。资格审查采用合格制，凡符合磋商文件规定的供应商资格要求的响应文件均通过资格审查。</w:t>
      </w:r>
    </w:p>
    <w:p w14:paraId="24F0E107">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2.3供应商有下列情形之一的，资格审查不通过，其响应文件按无效响应处理：</w:t>
      </w:r>
    </w:p>
    <w:p w14:paraId="7E22599E">
      <w:pPr>
        <w:pageBreakBefore w:val="0"/>
        <w:kinsoku/>
        <w:wordWrap/>
        <w:overflowPunct/>
        <w:topLinePunct w:val="0"/>
        <w:autoSpaceDE/>
        <w:autoSpaceDN/>
        <w:bidi w:val="0"/>
        <w:snapToGrid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（1）不具备磋商文件中规定的资格要求的；</w:t>
      </w:r>
    </w:p>
    <w:p w14:paraId="4295E313">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（2）响应文件未提供任一项“供应商须知前附表”资格证明文件规定的“必须提供”的文件资料的；</w:t>
      </w:r>
    </w:p>
    <w:p w14:paraId="1C1B821A">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（3）响应文件提供的资格证明文件出现任一项不符合“供应商须知前附表”资格证明文件规定的“必须提供”的文件资料要求或者无效的。</w:t>
      </w:r>
    </w:p>
    <w:p w14:paraId="338DD72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bookmarkStart w:id="55" w:name="_Hlk68601553"/>
      <w:r>
        <w:rPr>
          <w:rFonts w:hint="eastAsia" w:ascii="宋体" w:hAnsi="宋体" w:cs="宋体"/>
          <w:color w:val="auto"/>
          <w:szCs w:val="21"/>
          <w:highlight w:val="none"/>
        </w:rPr>
        <w:t>（4）同一合同项下的不同供应商，单位负责人为同一人或者存在直接控股、管理关系的；为本项目提供过整体设计、规范编制或者项目管理、监理、检测等服务的。</w:t>
      </w:r>
      <w:bookmarkEnd w:id="55"/>
    </w:p>
    <w:p w14:paraId="14E658DA">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2.4通过资格审查的合格供应商不足3家的，不得进入符合性审查环节，采购人或者采购代理机构应当重新开展采购活动。</w:t>
      </w:r>
    </w:p>
    <w:p w14:paraId="1577CD9F">
      <w:pPr>
        <w:pageBreakBefore w:val="0"/>
        <w:kinsoku/>
        <w:wordWrap/>
        <w:overflowPunct/>
        <w:topLinePunct w:val="0"/>
        <w:autoSpaceDE/>
        <w:autoSpaceDN/>
        <w:bidi w:val="0"/>
        <w:spacing w:line="380" w:lineRule="exact"/>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3.符合性审查</w:t>
      </w:r>
    </w:p>
    <w:p w14:paraId="33B1C9F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3.1由磋商小组对通过资格审查的合格供应商的响应文件的响应报价、商务、技术等实质性要求进行符合性审查，以确定其是否满足磋商文件的实质性要求。</w:t>
      </w:r>
    </w:p>
    <w:p w14:paraId="39C47329">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3.2磋商小组在对响应文件进行符合性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017B212">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pacing w:val="-6"/>
          <w:szCs w:val="21"/>
          <w:highlight w:val="none"/>
        </w:rPr>
      </w:pPr>
      <w:r>
        <w:rPr>
          <w:rFonts w:hint="eastAsia" w:ascii="宋体" w:hAnsi="宋体" w:cs="宋体"/>
          <w:color w:val="auto"/>
          <w:szCs w:val="21"/>
          <w:highlight w:val="none"/>
        </w:rPr>
        <w:t>3.3磋商小组要求供应商澄清、说明或者更正响应文件应当以电子澄清函形式作出。供应商的澄清、说明或者更正应当已电子回函形式按照磋商小组的要求作出明确的澄清、说明或者更正，未按磋商小组的要求作出明确澄清、说明或者更正的供应商的响应文件将按照有利于采购人的原则由磋商小组进行判定。供应商的澄清、说明或者更正必须加盖电子公章</w:t>
      </w:r>
      <w:r>
        <w:rPr>
          <w:rFonts w:hint="eastAsia" w:ascii="宋体" w:hAnsi="宋体" w:cs="宋体"/>
          <w:color w:val="auto"/>
          <w:spacing w:val="-6"/>
          <w:szCs w:val="21"/>
          <w:highlight w:val="none"/>
        </w:rPr>
        <w:t>。供应商为自然人的，必须由本人签字并附身份证明。</w:t>
      </w:r>
    </w:p>
    <w:p w14:paraId="3D88E8B5">
      <w:pPr>
        <w:pageBreakBefore w:val="0"/>
        <w:kinsoku/>
        <w:wordWrap/>
        <w:overflowPunct/>
        <w:topLinePunct w:val="0"/>
        <w:autoSpaceDE/>
        <w:autoSpaceDN/>
        <w:bidi w:val="0"/>
        <w:spacing w:line="380" w:lineRule="exact"/>
        <w:ind w:firstLine="396" w:firstLineChars="200"/>
        <w:textAlignment w:val="auto"/>
        <w:rPr>
          <w:rFonts w:hint="eastAsia" w:ascii="宋体" w:hAnsi="宋体" w:cs="宋体"/>
          <w:color w:val="auto"/>
          <w:szCs w:val="21"/>
          <w:highlight w:val="none"/>
        </w:rPr>
      </w:pPr>
      <w:r>
        <w:rPr>
          <w:rFonts w:hint="eastAsia" w:ascii="宋体" w:hAnsi="宋体" w:cs="宋体"/>
          <w:color w:val="auto"/>
          <w:spacing w:val="-6"/>
          <w:szCs w:val="21"/>
          <w:highlight w:val="none"/>
        </w:rPr>
        <w:t>3.4</w:t>
      </w:r>
      <w:r>
        <w:rPr>
          <w:rFonts w:hint="eastAsia" w:ascii="宋体" w:hAnsi="宋体" w:cs="宋体"/>
          <w:color w:val="auto"/>
          <w:szCs w:val="21"/>
          <w:highlight w:val="none"/>
        </w:rPr>
        <w:t xml:space="preserve">首次响应文件报价出现前后不一致的，按照下列规定修正： </w:t>
      </w:r>
    </w:p>
    <w:p w14:paraId="7CB8D352">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（1）响应文件中报价表内容与响应文件中相应内容不一致的，以报价表为准；</w:t>
      </w:r>
    </w:p>
    <w:p w14:paraId="3BC95FB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（2）大写金额和小写金额不一致的，以大写金额为准；</w:t>
      </w:r>
    </w:p>
    <w:p w14:paraId="43D0816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（3）单价金额小数点或者百分比有明显错位的，以报价表的总价为准，并修改单价；</w:t>
      </w:r>
    </w:p>
    <w:p w14:paraId="7CC15971">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（4）总价金额与按单价汇总金额不一致的，以单价金额计算结果为准。</w:t>
      </w:r>
    </w:p>
    <w:p w14:paraId="488E9F67">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同时出现两种以上不一致的，按照以上（1）-（4）规定的顺序逐条进行修正。修正后的报价经供应商确认后产生约束力，供应商不确认的，其响应文件按无效响应处理。</w:t>
      </w:r>
    </w:p>
    <w:p w14:paraId="747F63B9">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3.5商务技术、报价评审</w:t>
      </w:r>
    </w:p>
    <w:p w14:paraId="4E5AEC5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在评审时，如发现下列情形之一的，将被视为响应文件无效处理：</w:t>
      </w:r>
    </w:p>
    <w:p w14:paraId="7B85127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（1）商务技术评审</w:t>
      </w:r>
    </w:p>
    <w:p w14:paraId="771C924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1）响应文件未按磋商文件要求签署、盖章；</w:t>
      </w:r>
    </w:p>
    <w:p w14:paraId="5619CF1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2）委托代理人未能出具有效身份证明或者出具的身份证明与授权委托书中的信息不符； </w:t>
      </w:r>
    </w:p>
    <w:p w14:paraId="359E8263">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3）响应文件未提供任一项“供应商须知前附表” 商务技术文件中 “必须提供”或者“委托时必须提供”的文件资料；响应文件提供的商务技术文件出现任一项不符合“供应商须知前附表”商务技术文件中 “必须提供”或者“委托时必须提供”文件资料要求的规定或者提供的商务技术文件无效。</w:t>
      </w:r>
    </w:p>
    <w:p w14:paraId="798AE95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4）商务条款中标“▲”的条款发生负偏离的或者允许负偏离的条款数超过“供应商须知前附表”规定项数的或者标明实质性的要求发生负偏离；</w:t>
      </w:r>
    </w:p>
    <w:p w14:paraId="15F6D54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5）未对竞标有效期作出响应或者响应文件承诺的竞标有效期不满足磋商文件要求；</w:t>
      </w:r>
    </w:p>
    <w:p w14:paraId="733C8B2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6）响应文件的实质性内容未使用中文表述、使用计量单位不符合磋商文件要求；</w:t>
      </w:r>
    </w:p>
    <w:p w14:paraId="6C0B403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7）响应文件中的文件资料因填写不齐全或者内容虚假或者出现其他情形而导致被磋商小组认定无效；</w:t>
      </w:r>
    </w:p>
    <w:p w14:paraId="58D6CC6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8）响应文件含有采购人不能接受的附加条件；</w:t>
      </w:r>
    </w:p>
    <w:p w14:paraId="422F49C2">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9）属于“供应商须知正文”第7.5条情形；</w:t>
      </w:r>
    </w:p>
    <w:p w14:paraId="109FBD5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10）技术需求允许负偏离的条款数超过“供应商须知前附表”规定项数；</w:t>
      </w:r>
    </w:p>
    <w:p w14:paraId="574F794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11）虚假竞标，或者出现其他情形而导致被磋商小组认定无效；</w:t>
      </w:r>
    </w:p>
    <w:p w14:paraId="7240571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12）竞标技术方案不明确，磋商文件未允许但响应文件中存在一个或者一个以上备选（替代）竞标方案；</w:t>
      </w:r>
    </w:p>
    <w:p w14:paraId="5C39057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13）响应文件标注的项目名称或者项目编号与竞争性磋商文件标注的项目名称或者项目编号不一致的；</w:t>
      </w:r>
    </w:p>
    <w:p w14:paraId="6051E6C0">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14）未响应磋商文件实质性要求；</w:t>
      </w:r>
    </w:p>
    <w:p w14:paraId="4DACFFE0">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15）法律、法规和磋商文件规定的其他无效情形。</w:t>
      </w:r>
    </w:p>
    <w:p w14:paraId="0D85E9A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（2）报价评审</w:t>
      </w:r>
    </w:p>
    <w:p w14:paraId="1A8D34F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 响应文件未提供“供应商须知前附表” 报价文件中规定的“响应报价表”；</w:t>
      </w:r>
    </w:p>
    <w:p w14:paraId="2674E4BA">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2）未采用人民币报价或者未按照磋商文件标明的币种报价；</w:t>
      </w:r>
    </w:p>
    <w:p w14:paraId="0888494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供应商未就所竞标分标进行报价或者存在漏项报价；供应商未就所竞标分标的单项内容作唯一报价；供应商未就所竞标分标的全部内容作唯一总价报价；供应商响应文件中存在有选择、有条件报价的（磋商文件允许有备选方案或者其他约定的除外）；</w:t>
      </w:r>
    </w:p>
    <w:p w14:paraId="483D43D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响应报价（包含首次报价、最后报价）超过所竞标分标规定的采购预算金额或者最高限价的（如本项目公布了最高限价）；响应报价（包含首次报价、最后报价）超过磋商文件分项采购预算金额或者最高限价的（如本项目公布了最高限价）；</w:t>
      </w:r>
    </w:p>
    <w:p w14:paraId="63CBD94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修正后的报价，供应商不确认的；或者经供应商确认修正后的响应报价（包含首次报价、最后报价）超过所竞标分标规定的采购预算金额或者最高限价（如本项目公布了最高限价）；或者经供应商确认修正后响应报价（包含首次报价、最后报价）超过磋商文件分项采购预算金额或者最高限价的（如本项目公布了最高限价）。</w:t>
      </w:r>
    </w:p>
    <w:p w14:paraId="05A76395">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6）响应文件响应的标的数量及单位与竞争性磋商采购文件要求实质性不一致的。</w:t>
      </w:r>
    </w:p>
    <w:p w14:paraId="6BCF196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3.6磋商小组对响应文件进行评审，未实质性响应磋商文件的响应文件按无效处理，磋商小组应当将资格和符合性不通过的情况告知有关供应商。磋商小组从符合磋商文件规定的相应资格条件的供应商名单中确定不少于3家的供应商参加磋商。</w:t>
      </w:r>
    </w:p>
    <w:p w14:paraId="62FDAAD5">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3.7非政府购买服务项目，通过符合性审查的合格供应商不足3家的，不得进入磋商环节，采购人或者采购代理机构应当重新开展采购活动。政府购买服务项目，按《财政部关于政府采购竞争性磋商采购方式管理暂行办法有关问题的补充通知》（财库〔2015〕124号）规定，采购过程中通过符合性审查的供应商（社会资本）只有2家的，磋商采购活动可以继续进行。</w:t>
      </w:r>
    </w:p>
    <w:p w14:paraId="2AC43746">
      <w:pPr>
        <w:pageBreakBefore w:val="0"/>
        <w:kinsoku/>
        <w:wordWrap/>
        <w:overflowPunct/>
        <w:topLinePunct w:val="0"/>
        <w:autoSpaceDE/>
        <w:autoSpaceDN/>
        <w:bidi w:val="0"/>
        <w:spacing w:line="380" w:lineRule="exact"/>
        <w:ind w:firstLine="422" w:firstLineChars="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4.磋商程序</w:t>
      </w:r>
    </w:p>
    <w:p w14:paraId="3306184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4.1磋商小组按照“供应商须知前附表”确定的</w:t>
      </w:r>
      <w:r>
        <w:rPr>
          <w:rFonts w:hint="eastAsia" w:ascii="宋体" w:hAnsi="宋体" w:cs="宋体"/>
          <w:color w:val="auto"/>
          <w:szCs w:val="21"/>
          <w:highlight w:val="none"/>
        </w:rPr>
        <w:t>顺序，集中与单一供应商分别进行磋商，并给予所有参加磋商的供应商平等的磋商机会。符合磋商资格的供应商必须在接到磋商通知后规定时间内参加磋商，未在规定时间内参加磋商的视同放弃参加磋商权利，其响应文件按无效响应处理。</w:t>
      </w:r>
    </w:p>
    <w:p w14:paraId="23F4C4B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4.2在磋商过程中，磋商小组可以根据磋商文件和磋商情况实质性变动采购需求中的技术、服务要求以及合同草案条款，但不得变动磋商文件中的其他内容。实质性变动的内容，须经采购人代表确认。可能实质性变动的内容为采购需求中的技术、服务要求以及合同草案条款。</w:t>
      </w:r>
    </w:p>
    <w:p w14:paraId="5A334D6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4.3对磋商文件作出的实质性变动是磋商文件的有效组成部分，由磋商小组及时以电子澄清函形式同时通知所有参加磋商的供应商。</w:t>
      </w:r>
    </w:p>
    <w:p w14:paraId="5A293D6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4.4供应商必须按照磋商文件的变动情况和磋商小组的要求以回函的形式重新提交响应文件，并加盖电子公章。供应商为自然人的，必须由本人签字并附身份证明。参加磋商的供应商未在规定时间内重新提交响应文件的，视同退出磋商。</w:t>
      </w:r>
    </w:p>
    <w:p w14:paraId="78477790">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4.5磋商中，</w:t>
      </w:r>
      <w:r>
        <w:rPr>
          <w:rFonts w:hint="eastAsia" w:ascii="宋体" w:hAnsi="宋体" w:cs="宋体"/>
          <w:color w:val="auto"/>
          <w:spacing w:val="-6"/>
          <w:szCs w:val="21"/>
          <w:highlight w:val="none"/>
        </w:rPr>
        <w:t>磋商的任何一方不得透露与磋商有关的其他供应商的技术资料、价格和其他信息。</w:t>
      </w:r>
    </w:p>
    <w:p w14:paraId="3216F3D9">
      <w:pPr>
        <w:pageBreakBefore w:val="0"/>
        <w:widowControl/>
        <w:tabs>
          <w:tab w:val="left" w:pos="540"/>
        </w:tabs>
        <w:kinsoku/>
        <w:wordWrap/>
        <w:overflowPunct/>
        <w:topLinePunct w:val="0"/>
        <w:autoSpaceDE/>
        <w:autoSpaceDN/>
        <w:bidi w:val="0"/>
        <w:spacing w:line="380" w:lineRule="exact"/>
        <w:ind w:firstLine="420" w:firstLineChars="200"/>
        <w:jc w:val="left"/>
        <w:textAlignment w:val="auto"/>
        <w:rPr>
          <w:rFonts w:hint="eastAsia" w:ascii="宋体" w:hAnsi="宋体" w:cs="宋体"/>
          <w:b/>
          <w:color w:val="auto"/>
          <w:szCs w:val="21"/>
          <w:highlight w:val="none"/>
        </w:rPr>
      </w:pPr>
      <w:r>
        <w:rPr>
          <w:rFonts w:hint="eastAsia" w:ascii="宋体" w:hAnsi="宋体" w:cs="宋体"/>
          <w:color w:val="auto"/>
          <w:szCs w:val="21"/>
          <w:highlight w:val="none"/>
        </w:rPr>
        <w:t>4.6磋商小组应对磋商过程和重要磋商内容进行记录，作为评标报告一部分，磋商小组在记录上签字确认。</w:t>
      </w:r>
      <w:r>
        <w:rPr>
          <w:rFonts w:hint="eastAsia" w:ascii="宋体" w:hAnsi="宋体" w:cs="宋体"/>
          <w:b/>
          <w:color w:val="auto"/>
          <w:szCs w:val="21"/>
          <w:highlight w:val="none"/>
        </w:rPr>
        <w:t>主要内容包括：</w:t>
      </w:r>
    </w:p>
    <w:p w14:paraId="1D94545D">
      <w:pPr>
        <w:pStyle w:val="36"/>
        <w:pageBreakBefore w:val="0"/>
        <w:kinsoku/>
        <w:wordWrap/>
        <w:overflowPunct/>
        <w:topLinePunct w:val="0"/>
        <w:autoSpaceDE/>
        <w:autoSpaceDN/>
        <w:bidi w:val="0"/>
        <w:spacing w:before="0" w:line="380" w:lineRule="exact"/>
        <w:ind w:firstLine="396"/>
        <w:textAlignment w:val="auto"/>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（1）按照相关规定进行公示的，公示情况说明；</w:t>
      </w:r>
    </w:p>
    <w:p w14:paraId="01B54A66">
      <w:pPr>
        <w:pStyle w:val="36"/>
        <w:pageBreakBefore w:val="0"/>
        <w:kinsoku/>
        <w:wordWrap/>
        <w:overflowPunct/>
        <w:topLinePunct w:val="0"/>
        <w:autoSpaceDE/>
        <w:autoSpaceDN/>
        <w:bidi w:val="0"/>
        <w:spacing w:before="0" w:line="380" w:lineRule="exact"/>
        <w:ind w:firstLine="396"/>
        <w:textAlignment w:val="auto"/>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（2）磋商日期和地点，磋商人员名单；</w:t>
      </w:r>
    </w:p>
    <w:p w14:paraId="33072972">
      <w:pPr>
        <w:pStyle w:val="36"/>
        <w:pageBreakBefore w:val="0"/>
        <w:kinsoku/>
        <w:wordWrap/>
        <w:overflowPunct/>
        <w:topLinePunct w:val="0"/>
        <w:autoSpaceDE/>
        <w:autoSpaceDN/>
        <w:bidi w:val="0"/>
        <w:spacing w:before="0" w:line="380" w:lineRule="exact"/>
        <w:ind w:firstLine="396"/>
        <w:textAlignment w:val="auto"/>
        <w:rPr>
          <w:rFonts w:hint="eastAsia" w:ascii="宋体" w:hAnsi="宋体" w:cs="宋体"/>
          <w:color w:val="auto"/>
          <w:spacing w:val="-6"/>
          <w:kern w:val="2"/>
          <w:sz w:val="21"/>
          <w:szCs w:val="21"/>
          <w:highlight w:val="none"/>
        </w:rPr>
      </w:pPr>
      <w:r>
        <w:rPr>
          <w:rFonts w:hint="eastAsia" w:ascii="宋体" w:hAnsi="宋体" w:cs="宋体"/>
          <w:color w:val="auto"/>
          <w:spacing w:val="-6"/>
          <w:kern w:val="2"/>
          <w:sz w:val="21"/>
          <w:szCs w:val="21"/>
          <w:highlight w:val="none"/>
        </w:rPr>
        <w:t>（3）合同主要条款及价格商定情况。</w:t>
      </w:r>
    </w:p>
    <w:p w14:paraId="58858F54">
      <w:pPr>
        <w:pageBreakBefore w:val="0"/>
        <w:widowControl/>
        <w:tabs>
          <w:tab w:val="left" w:pos="540"/>
        </w:tabs>
        <w:kinsoku/>
        <w:wordWrap/>
        <w:overflowPunct/>
        <w:topLinePunct w:val="0"/>
        <w:autoSpaceDE/>
        <w:autoSpaceDN/>
        <w:bidi w:val="0"/>
        <w:spacing w:line="380" w:lineRule="exact"/>
        <w:ind w:firstLine="420" w:firstLineChars="200"/>
        <w:jc w:val="left"/>
        <w:textAlignment w:val="auto"/>
        <w:rPr>
          <w:rFonts w:hint="eastAsia" w:ascii="宋体" w:hAnsi="宋体" w:cs="宋体"/>
          <w:color w:val="auto"/>
          <w:szCs w:val="21"/>
          <w:highlight w:val="none"/>
        </w:rPr>
      </w:pPr>
      <w:r>
        <w:rPr>
          <w:rFonts w:hint="eastAsia" w:ascii="宋体" w:hAnsi="宋体" w:cs="宋体"/>
          <w:color w:val="auto"/>
          <w:szCs w:val="21"/>
          <w:highlight w:val="none"/>
        </w:rPr>
        <w:t>4.7磋商过程中重新提交的响应文件，供应商可以在开启前补充、修改。</w:t>
      </w:r>
    </w:p>
    <w:p w14:paraId="69D2B391">
      <w:pPr>
        <w:pageBreakBefore w:val="0"/>
        <w:tabs>
          <w:tab w:val="left" w:pos="2835"/>
        </w:tabs>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4.8对磋商过程提交的响应文件进行有效性、完整性和响应程度审查，通过审查的合格供应商不足3家的，采购人或者采购代理机构应当重新开展采购活动。</w:t>
      </w:r>
    </w:p>
    <w:p w14:paraId="5554AFCA">
      <w:pPr>
        <w:pageBreakBefore w:val="0"/>
        <w:kinsoku/>
        <w:wordWrap/>
        <w:overflowPunct/>
        <w:topLinePunct w:val="0"/>
        <w:autoSpaceDE/>
        <w:autoSpaceDN/>
        <w:bidi w:val="0"/>
        <w:spacing w:line="380" w:lineRule="exact"/>
        <w:ind w:firstLine="200"/>
        <w:textAlignment w:val="auto"/>
        <w:rPr>
          <w:rFonts w:hint="eastAsia" w:ascii="宋体" w:hAnsi="宋体" w:cs="宋体"/>
          <w:color w:val="auto"/>
          <w:szCs w:val="21"/>
          <w:highlight w:val="none"/>
        </w:rPr>
      </w:pPr>
      <w:r>
        <w:rPr>
          <w:rFonts w:hint="eastAsia" w:ascii="宋体" w:hAnsi="宋体" w:cs="宋体"/>
          <w:b/>
          <w:bCs/>
          <w:color w:val="auto"/>
          <w:szCs w:val="21"/>
          <w:highlight w:val="none"/>
        </w:rPr>
        <w:t>5. 最后报价</w:t>
      </w:r>
    </w:p>
    <w:p w14:paraId="0939C7B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磋商文件能够详细列明采购标的的技术、服务要求的，磋商结束后，由磋商小组要求所有继续参加磋商的供应商在规定时间内密封提交最后报价，除本章第5.3条外，提交最后报价的供应商不得少于3家，否则必须重新采购。</w:t>
      </w:r>
    </w:p>
    <w:p w14:paraId="04B388A5">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5.2磋商文件不能详细列明采购标的的技术、服务要求，需经磋商由供应商提供最后设计方案或者解决方案的，磋商结束后，由磋商小组按照少数服从多数的原则投票推荐3家以上供应商的设计方案或者解决方案，并要求其在规定时间内密封提交最后报价。</w:t>
      </w:r>
    </w:p>
    <w:p w14:paraId="69D1084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5.3 最后报价是供应商响应文件的有效组成部分。符合《政府采购竞争性磋商采购方式管理暂行办法》（财库〔2014〕214号）第三条第四项“市场竞争不充分的科研项目，以及需要扶持的科技成果转化项目”的，提交最后报价的供应商可以为2家。</w:t>
      </w:r>
    </w:p>
    <w:p w14:paraId="2B904FD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5.4已经提交响应文件的供应商，在提交最后报价之前，可以根据磋商情况退出磋商，退出磋商的供应商的响应文件按无效响应处理。</w:t>
      </w:r>
    </w:p>
    <w:p w14:paraId="5060D3C2">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5.5供应商未在规定时间内提交最后报价的，视同退出磋商。</w:t>
      </w:r>
    </w:p>
    <w:p w14:paraId="0FC36EB9">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5.6磋商小组收齐某一分标最后报价后统一开启，磋商小组对最后报价进行有效性、完整性和响应程度的审查。</w:t>
      </w:r>
    </w:p>
    <w:p w14:paraId="718098FB">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 xml:space="preserve">5.7最终响应文件的报价出现前后不一致的，按照本章第3.4条的规定修正。 </w:t>
      </w:r>
    </w:p>
    <w:p w14:paraId="5B980C7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5.8修正后的最终报价出现下列情形的，按无效响应处理：</w:t>
      </w:r>
    </w:p>
    <w:p w14:paraId="4D71F9C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（1）供应商不确认的（全流程电子化评标采取在线确认）；</w:t>
      </w:r>
    </w:p>
    <w:p w14:paraId="12AF7017">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（2）经供应商确认修正后的响应报价（包含首次报价、最后报价）超过所竞标分标规定的采购预算金额或者最高限价的（如本项目公布了最高限价）；</w:t>
      </w:r>
    </w:p>
    <w:p w14:paraId="0B23DE1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（3）经供应商确认修正后的响应报价（包含首次报价、最后报价）超过分项采购预算金额或者最高限价的（如本项目公布了最高限价）。</w:t>
      </w:r>
    </w:p>
    <w:p w14:paraId="4159630A">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5.9经供应商确认修正后的最后报价作为评审及签订合同的依据。</w:t>
      </w:r>
    </w:p>
    <w:p w14:paraId="423C311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5.10供应商出现最后报价按无效响应处理或者响应文件按无效处理时，磋商小组应当告知有关供应商。</w:t>
      </w:r>
    </w:p>
    <w:p w14:paraId="5C28FFC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5.11最后报价结束后，磋商小组不得再与供应商进行任何形式的商谈。</w:t>
      </w:r>
    </w:p>
    <w:p w14:paraId="5BE0E311">
      <w:pPr>
        <w:pageBreakBefore w:val="0"/>
        <w:kinsoku/>
        <w:wordWrap/>
        <w:overflowPunct/>
        <w:topLinePunct w:val="0"/>
        <w:autoSpaceDE/>
        <w:autoSpaceDN/>
        <w:bidi w:val="0"/>
        <w:spacing w:line="380" w:lineRule="exact"/>
        <w:ind w:firstLine="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6.比较与评价</w:t>
      </w:r>
    </w:p>
    <w:p w14:paraId="26286B61">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6.1评审方法：综合评分法。</w:t>
      </w:r>
    </w:p>
    <w:p w14:paraId="7C60F79D">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6.2经磋商确定最终采购需求和提交最后报价的供应商后，由磋商小组采用综合评分法对提交最后报价的供应商的响应文件和最后报价进行综合评分。</w:t>
      </w:r>
    </w:p>
    <w:p w14:paraId="61E54B79">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6.3评审时，磋商小组各成员应当独立对每个有效响应的文件进行评价、打分，然后汇总每个供应商每项评分因素的得分。</w:t>
      </w:r>
    </w:p>
    <w:p w14:paraId="306D75A1">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评审委员会成员要根据政府采购法律法规和采购文件所载明的评审方法、标准进行评审。对供应商的价格分等客观评分项的评分应当一致，对其他需要借助专业知识评判的主观评分项，应当严格按照评分细则公正评分。</w:t>
      </w:r>
    </w:p>
    <w:p w14:paraId="32E4AC37">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（2）磋商小组按照磋商文件中规定的评审标准计算各供应商的报价得分。项目评审过程中，不得去掉最后报价中的最高报价和最低报价。</w:t>
      </w:r>
    </w:p>
    <w:p w14:paraId="0BA8C5C5">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（3）各供应商的得分为磋商小组所有成员的有效评分的算术平均数。</w:t>
      </w:r>
    </w:p>
    <w:p w14:paraId="10BDFC16">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6.4评审价为供应商的最后报价进行政策性扣除后的价格，评审价只是作为评审时使用。最终成交供应商的成交金额等于最后报价（如有修正，以确认修正后的最后报价为准）。</w:t>
      </w:r>
    </w:p>
    <w:p w14:paraId="3DD5C495">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szCs w:val="21"/>
          <w:highlight w:val="none"/>
        </w:rPr>
        <w:t>6.5由磋商小组根据综合评分情况，按照评审得分由高到低顺序推荐3名以上成交候选供应商，并编写评</w:t>
      </w:r>
      <w:r>
        <w:rPr>
          <w:rFonts w:hint="eastAsia" w:ascii="宋体" w:hAnsi="宋体" w:cs="宋体"/>
          <w:color w:val="auto"/>
          <w:kern w:val="0"/>
          <w:szCs w:val="21"/>
          <w:highlight w:val="none"/>
        </w:rPr>
        <w:t>审报告。符合本章第4.3条情形的，可以推荐2家成交候选供应商。评审得分相同的，按照最后报价由低到高的顺序推荐。评审得分且最后报价相同的，按照技术指标优劣顺序推荐。</w:t>
      </w:r>
    </w:p>
    <w:p w14:paraId="4635D028">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kern w:val="0"/>
          <w:szCs w:val="21"/>
          <w:highlight w:val="none"/>
        </w:rPr>
      </w:pPr>
      <w:r>
        <w:rPr>
          <w:rFonts w:hint="eastAsia" w:ascii="宋体" w:hAnsi="宋体" w:cs="宋体"/>
          <w:color w:val="auto"/>
          <w:kern w:val="0"/>
          <w:szCs w:val="21"/>
          <w:highlight w:val="none"/>
        </w:rPr>
        <w:t>6.6评审报告应当由磋商小组全体人员签字认可。磋商小组成员对评审报告有异议的，磋商小组按照少数服从多数的原则推荐成交候选供应商，采购程序继续进行。对评审报告有异议的磋商小组成员，应当在报告上签署不同意见并说明理由，由磋商小组书面记录相关情况。磋商小组成员拒绝在报告上签字又不书面说明其不同意见和理由的，视为同意评审报告。</w:t>
      </w:r>
    </w:p>
    <w:p w14:paraId="018CDE74">
      <w:pPr>
        <w:pageBreakBefore w:val="0"/>
        <w:kinsoku/>
        <w:wordWrap/>
        <w:overflowPunct/>
        <w:topLinePunct w:val="0"/>
        <w:autoSpaceDE/>
        <w:autoSpaceDN/>
        <w:bidi w:val="0"/>
        <w:spacing w:line="380" w:lineRule="exact"/>
        <w:ind w:firstLine="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7.评审复核</w:t>
      </w:r>
    </w:p>
    <w:p w14:paraId="2E580B5E">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7.1评审报告签署前，评审委员会要对评审结果进行复核，复核意见要体现在评审报告中。</w:t>
      </w:r>
    </w:p>
    <w:p w14:paraId="5E30279C">
      <w:pPr>
        <w:pageBreakBefore w:val="0"/>
        <w:kinsoku/>
        <w:wordWrap/>
        <w:overflowPunct/>
        <w:topLinePunct w:val="0"/>
        <w:autoSpaceDE/>
        <w:autoSpaceDN/>
        <w:bidi w:val="0"/>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7.2评审结果汇总完成后，采购人、采购代理机构和评审委员会均不得修改评审结果或者要求重新评审，但资格性检查认定错误、分值汇总计算错误、分项评分超出评分标准范围、客观分评分不一致、经评审委员会一致认定评分畸高、畸低的情形除外。出现上述除外情形的，评审委员会应当现场修改评审结果，并在评审报告中明确记载。</w:t>
      </w:r>
    </w:p>
    <w:p w14:paraId="1178ECC9">
      <w:pPr>
        <w:pageBreakBefore w:val="0"/>
        <w:kinsoku/>
        <w:wordWrap/>
        <w:overflowPunct/>
        <w:topLinePunct w:val="0"/>
        <w:autoSpaceDE/>
        <w:autoSpaceDN/>
        <w:bidi w:val="0"/>
        <w:spacing w:line="380" w:lineRule="exact"/>
        <w:ind w:firstLine="200"/>
        <w:textAlignment w:val="auto"/>
        <w:rPr>
          <w:rFonts w:hint="eastAsia" w:ascii="宋体" w:hAnsi="宋体" w:cs="宋体"/>
          <w:b/>
          <w:bCs/>
          <w:color w:val="auto"/>
          <w:szCs w:val="21"/>
          <w:highlight w:val="none"/>
        </w:rPr>
      </w:pPr>
      <w:r>
        <w:rPr>
          <w:rFonts w:hint="eastAsia" w:ascii="宋体" w:hAnsi="宋体" w:cs="宋体"/>
          <w:b/>
          <w:bCs/>
          <w:color w:val="auto"/>
          <w:szCs w:val="21"/>
          <w:highlight w:val="none"/>
        </w:rPr>
        <w:t>8.评审标准</w:t>
      </w:r>
    </w:p>
    <w:p w14:paraId="233404DC">
      <w:pPr>
        <w:pageBreakBefore w:val="0"/>
        <w:kinsoku/>
        <w:wordWrap/>
        <w:overflowPunct/>
        <w:topLinePunct w:val="0"/>
        <w:autoSpaceDE/>
        <w:autoSpaceDN/>
        <w:bidi w:val="0"/>
        <w:spacing w:line="380" w:lineRule="exact"/>
        <w:ind w:firstLine="420" w:firstLineChars="200"/>
        <w:textAlignment w:val="auto"/>
        <w:rPr>
          <w:rFonts w:hint="eastAsia" w:ascii="宋体" w:hAnsi="宋体"/>
          <w:bCs/>
          <w:color w:val="auto"/>
          <w:szCs w:val="21"/>
          <w:highlight w:val="none"/>
        </w:rPr>
      </w:pPr>
      <w:r>
        <w:rPr>
          <w:rFonts w:hint="eastAsia" w:ascii="宋体" w:hAnsi="宋体"/>
          <w:bCs/>
          <w:color w:val="auto"/>
          <w:szCs w:val="21"/>
          <w:highlight w:val="none"/>
        </w:rPr>
        <w:t>8.1评审依据：磋商小组将以磋商响应文件为评审依据，对供应商的报价、技术、商务等方面内容按百分制打分。（计分方法按四舍五入取至百分位）</w:t>
      </w:r>
    </w:p>
    <w:tbl>
      <w:tblPr>
        <w:tblStyle w:val="2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1260"/>
        <w:gridCol w:w="5550"/>
        <w:gridCol w:w="1003"/>
      </w:tblGrid>
      <w:tr w14:paraId="28CE6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077802F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序号</w:t>
            </w:r>
          </w:p>
        </w:tc>
        <w:tc>
          <w:tcPr>
            <w:tcW w:w="1260" w:type="dxa"/>
            <w:vAlign w:val="center"/>
          </w:tcPr>
          <w:p w14:paraId="2A21D7A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评分类型</w:t>
            </w:r>
          </w:p>
        </w:tc>
        <w:tc>
          <w:tcPr>
            <w:tcW w:w="5550" w:type="dxa"/>
            <w:vAlign w:val="center"/>
          </w:tcPr>
          <w:p w14:paraId="4E5B9D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评分标准</w:t>
            </w:r>
          </w:p>
        </w:tc>
        <w:tc>
          <w:tcPr>
            <w:tcW w:w="1003" w:type="dxa"/>
            <w:vAlign w:val="center"/>
          </w:tcPr>
          <w:p w14:paraId="274B37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分值</w:t>
            </w:r>
          </w:p>
        </w:tc>
      </w:tr>
      <w:tr w14:paraId="51208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5E6F5D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1</w:t>
            </w:r>
          </w:p>
        </w:tc>
        <w:tc>
          <w:tcPr>
            <w:tcW w:w="1260" w:type="dxa"/>
            <w:vAlign w:val="center"/>
          </w:tcPr>
          <w:p w14:paraId="6F84423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报价（满</w:t>
            </w:r>
          </w:p>
          <w:p w14:paraId="52B571B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分1</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分）</w:t>
            </w:r>
          </w:p>
        </w:tc>
        <w:tc>
          <w:tcPr>
            <w:tcW w:w="5550" w:type="dxa"/>
            <w:vAlign w:val="center"/>
          </w:tcPr>
          <w:p w14:paraId="615B4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Courier New"/>
                <w:bCs/>
                <w:color w:val="auto"/>
                <w:kern w:val="0"/>
                <w:sz w:val="21"/>
                <w:szCs w:val="21"/>
                <w:highlight w:val="none"/>
                <w:lang w:val="en-US" w:eastAsia="zh-CN" w:bidi="ar-SA"/>
              </w:rPr>
            </w:pPr>
            <w:r>
              <w:rPr>
                <w:rFonts w:hint="eastAsia" w:ascii="宋体" w:hAnsi="Courier New" w:eastAsia="宋体" w:cs="Courier New"/>
                <w:color w:val="auto"/>
                <w:kern w:val="2"/>
                <w:sz w:val="21"/>
                <w:szCs w:val="21"/>
                <w:highlight w:val="none"/>
                <w:lang w:val="en-US" w:eastAsia="zh-CN" w:bidi="ar-SA"/>
              </w:rPr>
              <w:t>1.符合《政府采购促进中小企业发展管理办法》（财库﹝2020﹞46 号）规定情形</w:t>
            </w:r>
            <w:r>
              <w:rPr>
                <w:rFonts w:hint="eastAsia" w:ascii="宋体" w:hAnsi="宋体" w:eastAsia="宋体" w:cs="Courier New"/>
                <w:color w:val="auto"/>
                <w:kern w:val="2"/>
                <w:sz w:val="21"/>
                <w:szCs w:val="21"/>
                <w:highlight w:val="none"/>
                <w:lang w:val="en-US" w:eastAsia="zh-CN" w:bidi="ar-SA"/>
              </w:rPr>
              <w:t>且</w:t>
            </w:r>
            <w:r>
              <w:rPr>
                <w:rFonts w:hint="eastAsia" w:ascii="宋体" w:hAnsi="宋体" w:eastAsia="宋体" w:cs="Courier New"/>
                <w:bCs/>
                <w:color w:val="auto"/>
                <w:kern w:val="2"/>
                <w:sz w:val="21"/>
                <w:szCs w:val="21"/>
                <w:highlight w:val="none"/>
                <w:lang w:val="en-US" w:eastAsia="zh-CN" w:bidi="ar-SA"/>
              </w:rPr>
              <w:t>按该办法中规定的格式提供了《中小企业声明函》的</w:t>
            </w:r>
            <w:r>
              <w:rPr>
                <w:rFonts w:hint="eastAsia" w:ascii="宋体" w:hAnsi="宋体" w:eastAsia="宋体" w:cs="Courier New"/>
                <w:bCs/>
                <w:color w:val="auto"/>
                <w:kern w:val="0"/>
                <w:sz w:val="21"/>
                <w:szCs w:val="21"/>
                <w:highlight w:val="none"/>
                <w:lang w:val="en-US" w:eastAsia="zh-CN" w:bidi="ar-SA"/>
              </w:rPr>
              <w:t>，对其最后报价给予10%的扣除，扣除后的价格为评标报价，即评标报价=最后报价×（1-10%）；大中型企业与小型、微型企业组成联合体磋商，其中小型、微型企业的协议合同金额占到联合体协议合同总金额30%以上的，联合体最后报价给予4%的扣除，扣除后的价格为评标报价，即评标报价=最后报价×（1-4%）；除上述情况外，评标报价=最后报价。</w:t>
            </w:r>
          </w:p>
          <w:p w14:paraId="34D087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Courier New"/>
                <w:bCs/>
                <w:color w:val="auto"/>
                <w:kern w:val="0"/>
                <w:sz w:val="21"/>
                <w:szCs w:val="21"/>
                <w:highlight w:val="none"/>
                <w:lang w:val="en-US" w:eastAsia="zh-CN" w:bidi="ar-SA"/>
              </w:rPr>
            </w:pPr>
            <w:r>
              <w:rPr>
                <w:rFonts w:hint="eastAsia" w:ascii="宋体" w:hAnsi="宋体" w:eastAsia="宋体" w:cs="Courier New"/>
                <w:bCs/>
                <w:color w:val="auto"/>
                <w:kern w:val="0"/>
                <w:sz w:val="21"/>
                <w:szCs w:val="21"/>
                <w:highlight w:val="none"/>
                <w:lang w:val="en-US" w:eastAsia="zh-CN" w:bidi="ar-SA"/>
              </w:rPr>
              <w:t>2.按照《财政部、司法部关于政府采购支持监狱企业发展有关问题的通知》（财库〔2014〕68号）的规定，监狱企业视同小型、微型企业。监狱企业参加政府采购活动时，应当提供由省级以上监狱管理局、戒毒管理局(含新疆生产建设兵团)出具的属于监狱企业的证明文件。</w:t>
            </w:r>
          </w:p>
          <w:p w14:paraId="6751E28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Courier New"/>
                <w:bCs/>
                <w:color w:val="auto"/>
                <w:kern w:val="0"/>
                <w:sz w:val="21"/>
                <w:szCs w:val="21"/>
                <w:highlight w:val="none"/>
                <w:lang w:val="en-US" w:eastAsia="zh-CN" w:bidi="ar-SA"/>
              </w:rPr>
            </w:pPr>
            <w:r>
              <w:rPr>
                <w:rFonts w:hint="eastAsia" w:ascii="宋体" w:hAnsi="宋体" w:eastAsia="宋体" w:cs="Courier New"/>
                <w:bCs/>
                <w:color w:val="auto"/>
                <w:kern w:val="0"/>
                <w:sz w:val="21"/>
                <w:szCs w:val="21"/>
                <w:highlight w:val="none"/>
                <w:lang w:val="en-US" w:eastAsia="zh-CN" w:bidi="ar-SA"/>
              </w:rPr>
              <w:t>3.按照《关于促进残疾人就业政府采购政策的通知》（财库〔2017〕141号）的规定，残疾人福利性单位视同小型、微型企业。残疾人福利性单位参加政府采购活动时，应当提供该通知规定的《残疾人福利性单位声明函》，并对声明的真实性负责。</w:t>
            </w:r>
          </w:p>
          <w:p w14:paraId="0E9E7B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Courier New"/>
                <w:bCs/>
                <w:color w:val="auto"/>
                <w:kern w:val="0"/>
                <w:sz w:val="21"/>
                <w:szCs w:val="21"/>
                <w:highlight w:val="none"/>
                <w:lang w:val="en-US" w:eastAsia="zh-CN" w:bidi="ar-SA"/>
              </w:rPr>
            </w:pPr>
            <w:r>
              <w:rPr>
                <w:rFonts w:hint="eastAsia" w:ascii="宋体" w:hAnsi="宋体" w:eastAsia="宋体" w:cs="Courier New"/>
                <w:bCs/>
                <w:color w:val="auto"/>
                <w:kern w:val="0"/>
                <w:sz w:val="21"/>
                <w:szCs w:val="21"/>
                <w:highlight w:val="none"/>
                <w:lang w:val="en-US" w:eastAsia="zh-CN" w:bidi="ar-SA"/>
              </w:rPr>
              <w:t>4.以进入比较与评价环节的最低的评审报价为基准价，基准价得分为1</w:t>
            </w:r>
            <w:r>
              <w:rPr>
                <w:rFonts w:hint="eastAsia" w:ascii="宋体" w:hAnsi="宋体" w:cs="Courier New"/>
                <w:bCs/>
                <w:color w:val="auto"/>
                <w:kern w:val="0"/>
                <w:sz w:val="21"/>
                <w:szCs w:val="21"/>
                <w:highlight w:val="none"/>
                <w:lang w:val="en-US" w:eastAsia="zh-CN" w:bidi="ar-SA"/>
              </w:rPr>
              <w:t>0</w:t>
            </w:r>
            <w:r>
              <w:rPr>
                <w:rFonts w:hint="eastAsia" w:ascii="宋体" w:hAnsi="宋体" w:eastAsia="宋体" w:cs="Courier New"/>
                <w:bCs/>
                <w:color w:val="auto"/>
                <w:kern w:val="0"/>
                <w:sz w:val="21"/>
                <w:szCs w:val="21"/>
                <w:highlight w:val="none"/>
                <w:lang w:val="en-US" w:eastAsia="zh-CN" w:bidi="ar-SA"/>
              </w:rPr>
              <w:t>分。</w:t>
            </w:r>
          </w:p>
          <w:p w14:paraId="76EF8D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Courier New"/>
                <w:bCs/>
                <w:color w:val="auto"/>
                <w:kern w:val="0"/>
                <w:sz w:val="21"/>
                <w:szCs w:val="21"/>
                <w:highlight w:val="none"/>
                <w:lang w:val="en-US" w:eastAsia="zh-CN" w:bidi="ar-SA"/>
              </w:rPr>
            </w:pPr>
            <w:r>
              <w:rPr>
                <w:rFonts w:hint="eastAsia" w:ascii="宋体" w:hAnsi="宋体" w:eastAsia="宋体" w:cs="Courier New"/>
                <w:bCs/>
                <w:color w:val="auto"/>
                <w:kern w:val="0"/>
                <w:sz w:val="21"/>
                <w:szCs w:val="21"/>
                <w:highlight w:val="none"/>
                <w:lang w:val="en-US" w:eastAsia="zh-CN" w:bidi="ar-SA"/>
              </w:rPr>
              <w:t>5.价格分计算公式：</w:t>
            </w:r>
          </w:p>
          <w:p w14:paraId="0239B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eastAsia="宋体" w:cs="Courier New"/>
                <w:bCs/>
                <w:color w:val="auto"/>
                <w:kern w:val="0"/>
                <w:sz w:val="21"/>
                <w:szCs w:val="21"/>
                <w:highlight w:val="none"/>
                <w:lang w:val="en-US" w:eastAsia="zh-CN" w:bidi="ar-SA"/>
              </w:rPr>
              <w:t xml:space="preserve">报价得分=（基准价/评审报价）× </w:t>
            </w:r>
            <w:r>
              <w:rPr>
                <w:rFonts w:hint="eastAsia" w:ascii="宋体" w:hAnsi="宋体" w:cs="Courier New"/>
                <w:bCs/>
                <w:color w:val="auto"/>
                <w:kern w:val="0"/>
                <w:sz w:val="21"/>
                <w:szCs w:val="21"/>
                <w:highlight w:val="none"/>
                <w:lang w:val="en-US" w:eastAsia="zh-CN" w:bidi="ar-SA"/>
              </w:rPr>
              <w:t>10</w:t>
            </w:r>
            <w:r>
              <w:rPr>
                <w:rFonts w:hint="eastAsia" w:ascii="宋体" w:hAnsi="宋体" w:eastAsia="宋体" w:cs="Courier New"/>
                <w:bCs/>
                <w:color w:val="auto"/>
                <w:kern w:val="0"/>
                <w:sz w:val="21"/>
                <w:szCs w:val="21"/>
                <w:highlight w:val="none"/>
                <w:lang w:val="en-US" w:eastAsia="zh-CN" w:bidi="ar-SA"/>
              </w:rPr>
              <w:t>分</w:t>
            </w:r>
          </w:p>
        </w:tc>
        <w:tc>
          <w:tcPr>
            <w:tcW w:w="1003" w:type="dxa"/>
            <w:vAlign w:val="center"/>
          </w:tcPr>
          <w:p w14:paraId="32067E9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szCs w:val="21"/>
                <w:highlight w:val="none"/>
              </w:rPr>
            </w:pPr>
            <w:r>
              <w:rPr>
                <w:rFonts w:hint="eastAsia" w:ascii="宋体" w:hAnsi="宋体" w:cs="宋体"/>
                <w:color w:val="auto"/>
                <w:kern w:val="0"/>
                <w:szCs w:val="21"/>
                <w:highlight w:val="none"/>
                <w:lang w:bidi="ar"/>
              </w:rPr>
              <w:t>0~1</w:t>
            </w:r>
            <w:r>
              <w:rPr>
                <w:rFonts w:hint="eastAsia" w:ascii="宋体" w:hAnsi="宋体" w:cs="宋体"/>
                <w:color w:val="auto"/>
                <w:kern w:val="0"/>
                <w:szCs w:val="21"/>
                <w:highlight w:val="none"/>
                <w:lang w:val="en-US" w:eastAsia="zh-CN" w:bidi="ar"/>
              </w:rPr>
              <w:t>0</w:t>
            </w:r>
            <w:r>
              <w:rPr>
                <w:rFonts w:hint="eastAsia" w:ascii="宋体" w:hAnsi="宋体" w:cs="宋体"/>
                <w:color w:val="auto"/>
                <w:kern w:val="0"/>
                <w:szCs w:val="21"/>
                <w:highlight w:val="none"/>
                <w:lang w:bidi="ar"/>
              </w:rPr>
              <w:t>分</w:t>
            </w:r>
          </w:p>
        </w:tc>
      </w:tr>
      <w:tr w14:paraId="1BB53F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5074D0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2</w:t>
            </w:r>
          </w:p>
        </w:tc>
        <w:tc>
          <w:tcPr>
            <w:tcW w:w="1260" w:type="dxa"/>
            <w:vAlign w:val="center"/>
          </w:tcPr>
          <w:p w14:paraId="5C51345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技术</w:t>
            </w:r>
          </w:p>
        </w:tc>
        <w:tc>
          <w:tcPr>
            <w:tcW w:w="5550" w:type="dxa"/>
            <w:vAlign w:val="center"/>
          </w:tcPr>
          <w:p w14:paraId="7939A4D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技术分</w:t>
            </w:r>
          </w:p>
        </w:tc>
        <w:tc>
          <w:tcPr>
            <w:tcW w:w="1003" w:type="dxa"/>
            <w:vAlign w:val="center"/>
          </w:tcPr>
          <w:p w14:paraId="123085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b/>
                <w:color w:val="auto"/>
                <w:szCs w:val="20"/>
                <w:highlight w:val="none"/>
                <w:lang w:val="en-US" w:eastAsia="zh-CN"/>
              </w:rPr>
            </w:pPr>
            <w:r>
              <w:rPr>
                <w:rFonts w:hint="eastAsia" w:ascii="宋体" w:hAnsi="宋体"/>
                <w:b/>
                <w:color w:val="auto"/>
                <w:szCs w:val="20"/>
                <w:highlight w:val="none"/>
              </w:rPr>
              <w:t>0～</w:t>
            </w:r>
            <w:r>
              <w:rPr>
                <w:rFonts w:hint="eastAsia" w:ascii="宋体" w:hAnsi="宋体"/>
                <w:b/>
                <w:color w:val="auto"/>
                <w:szCs w:val="20"/>
                <w:highlight w:val="none"/>
                <w:lang w:val="en-US" w:eastAsia="zh-CN"/>
              </w:rPr>
              <w:t>67</w:t>
            </w:r>
          </w:p>
        </w:tc>
      </w:tr>
      <w:tr w14:paraId="4EFA0E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030E9E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2.1</w:t>
            </w:r>
          </w:p>
        </w:tc>
        <w:tc>
          <w:tcPr>
            <w:tcW w:w="1260" w:type="dxa"/>
            <w:vAlign w:val="center"/>
          </w:tcPr>
          <w:p w14:paraId="06FD15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cs="宋体"/>
                <w:color w:val="auto"/>
                <w:kern w:val="0"/>
                <w:szCs w:val="21"/>
                <w:highlight w:val="none"/>
                <w:lang w:bidi="ar"/>
              </w:rPr>
            </w:pPr>
            <w:r>
              <w:rPr>
                <w:rFonts w:hint="eastAsia" w:ascii="宋体" w:hAnsi="宋体" w:cs="宋体"/>
                <w:color w:val="auto"/>
                <w:kern w:val="0"/>
                <w:szCs w:val="21"/>
                <w:highlight w:val="none"/>
                <w:lang w:bidi="ar"/>
              </w:rPr>
              <w:t>线上人力资源数据运营服务方案分</w:t>
            </w:r>
          </w:p>
          <w:p w14:paraId="0C0C51A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主观分</w:t>
            </w:r>
            <w:r>
              <w:rPr>
                <w:rFonts w:hint="eastAsia" w:ascii="宋体" w:hAnsi="宋体" w:cs="宋体"/>
                <w:color w:val="auto"/>
                <w:kern w:val="0"/>
                <w:szCs w:val="21"/>
                <w:highlight w:val="none"/>
                <w:lang w:bidi="ar"/>
              </w:rPr>
              <w:t>）</w:t>
            </w:r>
          </w:p>
        </w:tc>
        <w:tc>
          <w:tcPr>
            <w:tcW w:w="5550" w:type="dxa"/>
            <w:vAlign w:val="center"/>
          </w:tcPr>
          <w:p w14:paraId="6C194D1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由磋商小组根据各磋商供应商提供的方案完整性内容进行评定，进行独立评分，不提供方案不得分。 </w:t>
            </w:r>
          </w:p>
          <w:p w14:paraId="1F40427E">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一档（</w:t>
            </w:r>
            <w:r>
              <w:rPr>
                <w:rFonts w:hint="eastAsia" w:ascii="宋体" w:hAnsi="宋体" w:cs="宋体"/>
                <w:color w:val="auto"/>
                <w:szCs w:val="21"/>
                <w:highlight w:val="none"/>
                <w:lang w:val="en-US" w:eastAsia="zh-CN"/>
              </w:rPr>
              <w:t>6</w:t>
            </w:r>
            <w:r>
              <w:rPr>
                <w:rFonts w:hint="eastAsia" w:ascii="宋体" w:hAnsi="宋体" w:eastAsia="宋体" w:cs="宋体"/>
                <w:color w:val="auto"/>
                <w:szCs w:val="21"/>
                <w:highlight w:val="none"/>
              </w:rPr>
              <w:t>分）：</w:t>
            </w:r>
            <w:r>
              <w:rPr>
                <w:rFonts w:hint="default" w:ascii="宋体" w:hAnsi="宋体" w:eastAsia="宋体" w:cs="宋体"/>
                <w:color w:val="auto"/>
                <w:szCs w:val="21"/>
                <w:highlight w:val="none"/>
              </w:rPr>
              <w:t>提供运营执行方案</w:t>
            </w:r>
            <w:r>
              <w:rPr>
                <w:rFonts w:hint="eastAsia" w:ascii="宋体" w:hAnsi="宋体" w:cs="宋体"/>
                <w:color w:val="auto"/>
                <w:szCs w:val="21"/>
                <w:highlight w:val="none"/>
                <w:lang w:val="en-US" w:eastAsia="zh-CN"/>
              </w:rPr>
              <w:t>满足采购需求</w:t>
            </w:r>
            <w:r>
              <w:rPr>
                <w:rFonts w:hint="default" w:ascii="宋体" w:hAnsi="宋体" w:eastAsia="宋体" w:cs="宋体"/>
                <w:color w:val="auto"/>
                <w:szCs w:val="21"/>
                <w:highlight w:val="none"/>
              </w:rPr>
              <w:t>，内容包含但不限于</w:t>
            </w:r>
            <w:r>
              <w:rPr>
                <w:rFonts w:hint="eastAsia" w:ascii="宋体" w:hAnsi="宋体" w:eastAsia="宋体" w:cs="宋体"/>
                <w:color w:val="auto"/>
                <w:szCs w:val="21"/>
                <w:highlight w:val="none"/>
                <w:lang w:val="en-US" w:eastAsia="zh-CN"/>
              </w:rPr>
              <w:t>智能化就业服务平台的日常运营</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就业信息资源库运营服务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就业数据支持与服务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岗位开发与引入服务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岗位信息审核</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个人简历审核</w:t>
            </w:r>
            <w:r>
              <w:rPr>
                <w:rFonts w:hint="eastAsia" w:ascii="宋体" w:hAnsi="宋体" w:cs="宋体"/>
                <w:color w:val="auto"/>
                <w:szCs w:val="21"/>
                <w:highlight w:val="none"/>
                <w:lang w:val="en-US" w:eastAsia="zh-CN"/>
              </w:rPr>
              <w:t>、</w:t>
            </w:r>
            <w:r>
              <w:rPr>
                <w:rFonts w:hint="default" w:ascii="宋体" w:hAnsi="宋体" w:eastAsia="宋体" w:cs="宋体"/>
                <w:color w:val="auto"/>
                <w:szCs w:val="21"/>
                <w:highlight w:val="none"/>
                <w:lang w:val="en-US" w:eastAsia="zh-CN"/>
              </w:rPr>
              <w:t>后台运营支持</w:t>
            </w:r>
            <w:r>
              <w:rPr>
                <w:rFonts w:hint="eastAsia" w:ascii="宋体" w:hAnsi="宋体" w:cs="宋体"/>
                <w:color w:val="auto"/>
                <w:szCs w:val="21"/>
                <w:highlight w:val="none"/>
                <w:lang w:val="en-US" w:eastAsia="zh-CN"/>
              </w:rPr>
              <w:t>等内容，</w:t>
            </w:r>
            <w:r>
              <w:rPr>
                <w:rFonts w:hint="eastAsia" w:ascii="宋体" w:hAnsi="宋体" w:eastAsia="宋体" w:cs="宋体"/>
                <w:color w:val="auto"/>
                <w:szCs w:val="21"/>
                <w:highlight w:val="none"/>
                <w:lang w:eastAsia="zh-CN"/>
              </w:rPr>
              <w:t>对</w:t>
            </w: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lang w:eastAsia="zh-CN"/>
              </w:rPr>
              <w:t>人员</w:t>
            </w:r>
            <w:r>
              <w:rPr>
                <w:rFonts w:hint="eastAsia" w:ascii="宋体" w:hAnsi="宋体" w:cs="宋体"/>
                <w:color w:val="auto"/>
                <w:szCs w:val="21"/>
                <w:highlight w:val="none"/>
                <w:lang w:eastAsia="zh-CN"/>
              </w:rPr>
              <w:t>建立</w:t>
            </w:r>
            <w:r>
              <w:rPr>
                <w:rFonts w:hint="eastAsia" w:ascii="宋体" w:hAnsi="宋体" w:eastAsia="宋体" w:cs="宋体"/>
                <w:color w:val="auto"/>
                <w:szCs w:val="21"/>
                <w:highlight w:val="none"/>
                <w:lang w:eastAsia="zh-CN"/>
              </w:rPr>
              <w:t>完善详细的</w:t>
            </w:r>
            <w:r>
              <w:rPr>
                <w:rFonts w:hint="eastAsia" w:ascii="宋体" w:hAnsi="宋体" w:eastAsia="宋体" w:cs="宋体"/>
                <w:color w:val="auto"/>
                <w:szCs w:val="21"/>
                <w:highlight w:val="none"/>
              </w:rPr>
              <w:t>服务考核机制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能保障项目服务质量。</w:t>
            </w:r>
          </w:p>
          <w:p w14:paraId="6CE72337">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default" w:ascii="宋体" w:hAnsi="宋体" w:eastAsia="宋体" w:cs="宋体"/>
                <w:color w:val="auto"/>
                <w:szCs w:val="21"/>
                <w:highlight w:val="none"/>
                <w:lang w:val="en-US" w:eastAsia="zh-CN"/>
              </w:rPr>
            </w:pPr>
            <w:r>
              <w:rPr>
                <w:rFonts w:hint="eastAsia" w:ascii="宋体" w:hAnsi="宋体" w:cs="宋体"/>
                <w:color w:val="auto"/>
                <w:szCs w:val="21"/>
                <w:highlight w:val="none"/>
                <w:lang w:val="en-US" w:eastAsia="zh-CN"/>
              </w:rPr>
              <w:t>二</w:t>
            </w:r>
            <w:r>
              <w:rPr>
                <w:rFonts w:hint="eastAsia" w:ascii="宋体" w:hAnsi="宋体" w:eastAsia="宋体" w:cs="宋体"/>
                <w:color w:val="auto"/>
                <w:szCs w:val="21"/>
                <w:highlight w:val="none"/>
              </w:rPr>
              <w:t>档（</w:t>
            </w:r>
            <w:r>
              <w:rPr>
                <w:rFonts w:hint="eastAsia" w:ascii="宋体" w:hAnsi="宋体" w:cs="宋体"/>
                <w:color w:val="auto"/>
                <w:szCs w:val="21"/>
                <w:highlight w:val="none"/>
                <w:lang w:val="en-US" w:eastAsia="zh-CN"/>
              </w:rPr>
              <w:t>12</w:t>
            </w:r>
            <w:r>
              <w:rPr>
                <w:rFonts w:hint="eastAsia" w:ascii="宋体" w:hAnsi="宋体" w:eastAsia="宋体" w:cs="宋体"/>
                <w:color w:val="auto"/>
                <w:szCs w:val="21"/>
                <w:highlight w:val="none"/>
              </w:rPr>
              <w:t>分）：</w:t>
            </w:r>
            <w:r>
              <w:rPr>
                <w:rFonts w:hint="default" w:ascii="宋体" w:hAnsi="宋体" w:eastAsia="宋体" w:cs="宋体"/>
                <w:color w:val="auto"/>
                <w:szCs w:val="21"/>
                <w:highlight w:val="none"/>
              </w:rPr>
              <w:t>提供运营执行方案</w:t>
            </w:r>
            <w:r>
              <w:rPr>
                <w:rFonts w:hint="eastAsia" w:ascii="宋体" w:hAnsi="宋体" w:cs="宋体"/>
                <w:color w:val="auto"/>
                <w:szCs w:val="21"/>
                <w:highlight w:val="none"/>
                <w:lang w:val="en-US" w:eastAsia="zh-CN"/>
              </w:rPr>
              <w:t>详细合理</w:t>
            </w:r>
            <w:r>
              <w:rPr>
                <w:rFonts w:hint="default" w:ascii="宋体" w:hAnsi="宋体" w:eastAsia="宋体" w:cs="宋体"/>
                <w:color w:val="auto"/>
                <w:szCs w:val="21"/>
                <w:highlight w:val="none"/>
              </w:rPr>
              <w:t>，内容包含但不限于</w:t>
            </w:r>
            <w:r>
              <w:rPr>
                <w:rFonts w:hint="eastAsia" w:ascii="宋体" w:hAnsi="宋体" w:eastAsia="宋体" w:cs="宋体"/>
                <w:color w:val="auto"/>
                <w:szCs w:val="21"/>
                <w:highlight w:val="none"/>
                <w:lang w:val="en-US" w:eastAsia="zh-CN"/>
              </w:rPr>
              <w:t>智能化就业服务平台的日常运营</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就业信息资源库运营服务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就业数据支持与服务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岗位开发与引入服务</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岗位信息审核</w:t>
            </w:r>
            <w:r>
              <w:rPr>
                <w:rFonts w:hint="eastAsia" w:ascii="宋体" w:hAnsi="宋体" w:cs="宋体"/>
                <w:color w:val="auto"/>
                <w:szCs w:val="21"/>
                <w:highlight w:val="none"/>
                <w:lang w:val="en-US" w:eastAsia="zh-CN"/>
              </w:rPr>
              <w:t>、</w:t>
            </w:r>
            <w:r>
              <w:rPr>
                <w:rFonts w:hint="eastAsia" w:ascii="宋体" w:hAnsi="宋体" w:eastAsia="宋体" w:cs="宋体"/>
                <w:color w:val="auto"/>
                <w:szCs w:val="21"/>
                <w:highlight w:val="none"/>
                <w:lang w:val="en-US" w:eastAsia="zh-CN"/>
              </w:rPr>
              <w:t>个人简历审核</w:t>
            </w:r>
            <w:r>
              <w:rPr>
                <w:rFonts w:hint="eastAsia" w:ascii="宋体" w:hAnsi="宋体" w:cs="宋体"/>
                <w:color w:val="auto"/>
                <w:szCs w:val="21"/>
                <w:highlight w:val="none"/>
                <w:lang w:val="en-US" w:eastAsia="zh-CN"/>
              </w:rPr>
              <w:t>、</w:t>
            </w:r>
            <w:r>
              <w:rPr>
                <w:rFonts w:hint="default" w:ascii="宋体" w:hAnsi="宋体" w:eastAsia="宋体" w:cs="宋体"/>
                <w:color w:val="auto"/>
                <w:szCs w:val="21"/>
                <w:highlight w:val="none"/>
                <w:lang w:val="en-US" w:eastAsia="zh-CN"/>
              </w:rPr>
              <w:t>后台运营支持</w:t>
            </w:r>
            <w:r>
              <w:rPr>
                <w:rFonts w:hint="eastAsia" w:ascii="宋体" w:hAnsi="宋体" w:cs="宋体"/>
                <w:color w:val="auto"/>
                <w:szCs w:val="21"/>
                <w:highlight w:val="none"/>
                <w:lang w:val="en-US" w:eastAsia="zh-CN"/>
              </w:rPr>
              <w:t>等内容，</w:t>
            </w:r>
            <w:r>
              <w:rPr>
                <w:rFonts w:hint="eastAsia" w:ascii="宋体" w:hAnsi="宋体" w:eastAsia="宋体" w:cs="宋体"/>
                <w:color w:val="auto"/>
                <w:szCs w:val="21"/>
                <w:highlight w:val="none"/>
                <w:lang w:eastAsia="zh-CN"/>
              </w:rPr>
              <w:t>对</w:t>
            </w:r>
            <w:r>
              <w:rPr>
                <w:rFonts w:hint="eastAsia" w:ascii="宋体" w:hAnsi="宋体" w:cs="宋体"/>
                <w:color w:val="auto"/>
                <w:szCs w:val="21"/>
                <w:highlight w:val="none"/>
                <w:lang w:val="en-US" w:eastAsia="zh-CN"/>
              </w:rPr>
              <w:t>服务</w:t>
            </w:r>
            <w:r>
              <w:rPr>
                <w:rFonts w:hint="eastAsia" w:ascii="宋体" w:hAnsi="宋体" w:eastAsia="宋体" w:cs="宋体"/>
                <w:color w:val="auto"/>
                <w:szCs w:val="21"/>
                <w:highlight w:val="none"/>
                <w:lang w:eastAsia="zh-CN"/>
              </w:rPr>
              <w:t>人员</w:t>
            </w:r>
            <w:r>
              <w:rPr>
                <w:rFonts w:hint="eastAsia" w:ascii="宋体" w:hAnsi="宋体" w:cs="宋体"/>
                <w:color w:val="auto"/>
                <w:szCs w:val="21"/>
                <w:highlight w:val="none"/>
                <w:lang w:eastAsia="zh-CN"/>
              </w:rPr>
              <w:t>建立</w:t>
            </w:r>
            <w:r>
              <w:rPr>
                <w:rFonts w:hint="eastAsia" w:ascii="宋体" w:hAnsi="宋体" w:eastAsia="宋体" w:cs="宋体"/>
                <w:color w:val="auto"/>
                <w:szCs w:val="21"/>
                <w:highlight w:val="none"/>
                <w:lang w:eastAsia="zh-CN"/>
              </w:rPr>
              <w:t>完善详细的</w:t>
            </w:r>
            <w:r>
              <w:rPr>
                <w:rFonts w:hint="eastAsia" w:ascii="宋体" w:hAnsi="宋体" w:eastAsia="宋体" w:cs="宋体"/>
                <w:color w:val="auto"/>
                <w:szCs w:val="21"/>
                <w:highlight w:val="none"/>
              </w:rPr>
              <w:t>服务考核机制</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内容详细充分，</w:t>
            </w:r>
            <w:r>
              <w:rPr>
                <w:rFonts w:hint="default" w:ascii="宋体" w:hAnsi="宋体" w:eastAsia="宋体" w:cs="宋体"/>
                <w:color w:val="auto"/>
                <w:szCs w:val="21"/>
                <w:highlight w:val="none"/>
              </w:rPr>
              <w:t>服务时间、投诉处理、服务质量、满意度</w:t>
            </w:r>
            <w:r>
              <w:rPr>
                <w:rFonts w:hint="eastAsia" w:ascii="宋体" w:hAnsi="宋体" w:cs="宋体"/>
                <w:color w:val="auto"/>
                <w:szCs w:val="21"/>
                <w:highlight w:val="none"/>
                <w:lang w:val="en-US" w:eastAsia="zh-CN"/>
              </w:rPr>
              <w:t>考核具体</w:t>
            </w:r>
            <w:r>
              <w:rPr>
                <w:rFonts w:hint="eastAsia" w:ascii="宋体" w:hAnsi="宋体" w:eastAsia="宋体" w:cs="宋体"/>
                <w:color w:val="auto"/>
                <w:szCs w:val="21"/>
                <w:highlight w:val="none"/>
              </w:rPr>
              <w:t>能很好保障项目服务质量。</w:t>
            </w:r>
            <w:r>
              <w:rPr>
                <w:rFonts w:hint="eastAsia" w:ascii="宋体" w:hAnsi="宋体" w:cs="宋体"/>
                <w:color w:val="auto"/>
                <w:szCs w:val="21"/>
                <w:highlight w:val="none"/>
                <w:lang w:eastAsia="zh-CN"/>
              </w:rPr>
              <w:t>提供</w:t>
            </w:r>
            <w:r>
              <w:rPr>
                <w:rFonts w:hint="eastAsia" w:ascii="宋体" w:hAnsi="宋体" w:cs="宋体"/>
                <w:color w:val="auto"/>
                <w:szCs w:val="21"/>
                <w:highlight w:val="none"/>
                <w:lang w:val="en-US" w:eastAsia="zh-CN"/>
              </w:rPr>
              <w:t>具体的运营服务流程，承诺能够</w:t>
            </w:r>
            <w:r>
              <w:rPr>
                <w:rFonts w:hint="eastAsia" w:ascii="宋体" w:hAnsi="宋体" w:eastAsia="宋体" w:cs="宋体"/>
                <w:color w:val="auto"/>
                <w:szCs w:val="21"/>
                <w:highlight w:val="none"/>
                <w:lang w:val="en-US" w:eastAsia="zh-CN"/>
              </w:rPr>
              <w:t>按照采购人要求定期提供</w:t>
            </w:r>
            <w:r>
              <w:rPr>
                <w:rFonts w:hint="default" w:ascii="宋体" w:hAnsi="宋体" w:eastAsia="宋体" w:cs="宋体"/>
                <w:color w:val="auto"/>
                <w:szCs w:val="21"/>
                <w:highlight w:val="none"/>
                <w:lang w:val="en-US" w:eastAsia="zh-CN"/>
              </w:rPr>
              <w:t>就业数据运营简报</w:t>
            </w:r>
            <w:r>
              <w:rPr>
                <w:rFonts w:hint="eastAsia" w:ascii="宋体" w:hAnsi="宋体" w:eastAsia="宋体" w:cs="宋体"/>
                <w:color w:val="auto"/>
                <w:szCs w:val="21"/>
                <w:highlight w:val="none"/>
                <w:lang w:val="en-US" w:eastAsia="zh-CN"/>
              </w:rPr>
              <w:t>，</w:t>
            </w:r>
            <w:r>
              <w:rPr>
                <w:rFonts w:hint="default" w:ascii="宋体" w:hAnsi="宋体" w:eastAsia="宋体" w:cs="宋体"/>
                <w:color w:val="auto"/>
                <w:szCs w:val="21"/>
                <w:highlight w:val="none"/>
                <w:lang w:val="en-US" w:eastAsia="zh-CN"/>
              </w:rPr>
              <w:t>人才库数据质量</w:t>
            </w:r>
            <w:r>
              <w:rPr>
                <w:rFonts w:hint="eastAsia" w:ascii="宋体" w:hAnsi="宋体" w:eastAsia="宋体" w:cs="宋体"/>
                <w:color w:val="auto"/>
                <w:szCs w:val="21"/>
                <w:highlight w:val="none"/>
                <w:lang w:val="en-US" w:eastAsia="zh-CN"/>
              </w:rPr>
              <w:t>控制措施完整、规范。</w:t>
            </w:r>
          </w:p>
          <w:p w14:paraId="51130709">
            <w:pPr>
              <w:keepNext w:val="0"/>
              <w:keepLines w:val="0"/>
              <w:pageBreakBefore w:val="0"/>
              <w:numPr>
                <w:ilvl w:val="0"/>
                <w:numId w:val="0"/>
              </w:numPr>
              <w:suppressLineNumbers w:val="0"/>
              <w:kinsoku/>
              <w:wordWrap/>
              <w:overflowPunct/>
              <w:topLinePunct w:val="0"/>
              <w:autoSpaceDE/>
              <w:autoSpaceDN/>
              <w:bidi w:val="0"/>
              <w:adjustRightInd/>
              <w:snapToGrid/>
              <w:spacing w:before="0" w:beforeAutospacing="0" w:after="0" w:afterAutospacing="0" w:line="380" w:lineRule="exact"/>
              <w:ind w:left="0" w:leftChars="0" w:right="0" w:rightChars="0" w:firstLine="420" w:firstLineChars="200"/>
              <w:textAlignment w:val="auto"/>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val="en-US" w:eastAsia="zh-CN"/>
              </w:rPr>
              <w:t>三</w:t>
            </w:r>
            <w:r>
              <w:rPr>
                <w:rFonts w:hint="eastAsia" w:ascii="宋体" w:hAnsi="宋体" w:eastAsia="宋体" w:cs="宋体"/>
                <w:color w:val="auto"/>
                <w:szCs w:val="21"/>
                <w:highlight w:val="none"/>
              </w:rPr>
              <w:t>档（</w:t>
            </w:r>
            <w:r>
              <w:rPr>
                <w:rFonts w:hint="eastAsia" w:ascii="宋体" w:hAnsi="宋体" w:eastAsia="宋体" w:cs="宋体"/>
                <w:color w:val="auto"/>
                <w:szCs w:val="21"/>
                <w:highlight w:val="none"/>
                <w:lang w:val="en-US" w:eastAsia="zh-CN"/>
              </w:rPr>
              <w:t>18</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在满足二档评分要求的基础上，提供有线下服务终端内容维护服务内容及措施，有</w:t>
            </w:r>
            <w:r>
              <w:rPr>
                <w:rFonts w:hint="default" w:ascii="宋体" w:hAnsi="宋体" w:eastAsia="宋体" w:cs="宋体"/>
                <w:color w:val="auto"/>
                <w:szCs w:val="21"/>
                <w:highlight w:val="none"/>
                <w:lang w:val="en-US" w:eastAsia="zh-CN"/>
              </w:rPr>
              <w:t>常态化的</w:t>
            </w:r>
            <w:r>
              <w:rPr>
                <w:rFonts w:hint="eastAsia" w:ascii="宋体" w:hAnsi="宋体" w:eastAsia="宋体" w:cs="宋体"/>
                <w:color w:val="auto"/>
                <w:szCs w:val="21"/>
                <w:highlight w:val="none"/>
                <w:lang w:val="en-US" w:eastAsia="zh-CN"/>
              </w:rPr>
              <w:t>维护服务</w:t>
            </w:r>
            <w:r>
              <w:rPr>
                <w:rFonts w:hint="default" w:ascii="宋体" w:hAnsi="宋体" w:eastAsia="宋体" w:cs="宋体"/>
                <w:color w:val="auto"/>
                <w:szCs w:val="21"/>
                <w:highlight w:val="none"/>
                <w:lang w:val="en-US" w:eastAsia="zh-CN"/>
              </w:rPr>
              <w:t>执行</w:t>
            </w:r>
            <w:r>
              <w:rPr>
                <w:rFonts w:hint="eastAsia" w:ascii="宋体" w:hAnsi="宋体" w:eastAsia="宋体" w:cs="宋体"/>
                <w:color w:val="auto"/>
                <w:szCs w:val="21"/>
                <w:highlight w:val="none"/>
                <w:lang w:val="en-US" w:eastAsia="zh-CN"/>
              </w:rPr>
              <w:t>流程，</w:t>
            </w:r>
            <w:r>
              <w:rPr>
                <w:rFonts w:hint="default" w:ascii="宋体" w:hAnsi="宋体" w:eastAsia="宋体" w:cs="宋体"/>
                <w:color w:val="auto"/>
                <w:szCs w:val="21"/>
                <w:highlight w:val="none"/>
                <w:lang w:val="en-US" w:eastAsia="zh-CN"/>
              </w:rPr>
              <w:t>每年策划不少于4场线上招聘专场</w:t>
            </w:r>
            <w:r>
              <w:rPr>
                <w:rFonts w:hint="eastAsia" w:ascii="宋体" w:hAnsi="宋体" w:eastAsia="宋体" w:cs="宋体"/>
                <w:color w:val="auto"/>
                <w:szCs w:val="21"/>
                <w:highlight w:val="none"/>
                <w:lang w:val="en-US" w:eastAsia="zh-CN"/>
              </w:rPr>
              <w:t>，具有多渠道的招聘宣传</w:t>
            </w:r>
            <w:r>
              <w:rPr>
                <w:rFonts w:hint="eastAsia" w:ascii="宋体" w:hAnsi="宋体" w:eastAsia="宋体" w:cs="宋体"/>
                <w:color w:val="auto"/>
                <w:szCs w:val="21"/>
                <w:highlight w:val="none"/>
              </w:rPr>
              <w:t>推广方案满足宣传推广数量和质量要求，人员配备安排合理，各岗位责任分工合理可行，对于</w:t>
            </w:r>
            <w:r>
              <w:rPr>
                <w:rFonts w:hint="default" w:ascii="宋体" w:hAnsi="宋体" w:eastAsia="宋体" w:cs="宋体"/>
                <w:color w:val="auto"/>
                <w:szCs w:val="21"/>
                <w:highlight w:val="none"/>
                <w:lang w:val="en-US" w:eastAsia="zh-CN"/>
              </w:rPr>
              <w:t>线上招聘活动</w:t>
            </w:r>
            <w:r>
              <w:rPr>
                <w:rFonts w:hint="eastAsia" w:ascii="宋体" w:hAnsi="宋体" w:eastAsia="宋体" w:cs="宋体"/>
                <w:color w:val="auto"/>
                <w:szCs w:val="21"/>
                <w:highlight w:val="none"/>
              </w:rPr>
              <w:t>制定周密、细致的工作计划及流程</w:t>
            </w:r>
            <w:r>
              <w:rPr>
                <w:rFonts w:hint="eastAsia" w:ascii="宋体" w:hAnsi="宋体" w:eastAsia="宋体" w:cs="宋体"/>
                <w:color w:val="auto"/>
                <w:szCs w:val="21"/>
                <w:highlight w:val="none"/>
                <w:lang w:eastAsia="zh-CN"/>
              </w:rPr>
              <w:t>。</w:t>
            </w:r>
          </w:p>
          <w:p w14:paraId="7468548A">
            <w:pPr>
              <w:keepNext w:val="0"/>
              <w:keepLines w:val="0"/>
              <w:pageBreakBefore w:val="0"/>
              <w:suppressLineNumbers w:val="0"/>
              <w:shd w:val="clear" w:color="auto" w:fill="auto"/>
              <w:kinsoku/>
              <w:wordWrap/>
              <w:overflowPunct/>
              <w:topLinePunct w:val="0"/>
              <w:autoSpaceDN/>
              <w:bidi w:val="0"/>
              <w:adjustRightInd/>
              <w:snapToGrid/>
              <w:spacing w:before="0" w:beforeAutospacing="0" w:after="0" w:afterAutospacing="0" w:line="380" w:lineRule="exact"/>
              <w:ind w:left="0" w:right="0" w:firstLine="420" w:firstLineChars="200"/>
              <w:jc w:val="left"/>
              <w:textAlignment w:val="auto"/>
              <w:rPr>
                <w:rFonts w:hint="eastAsia"/>
                <w:color w:val="auto"/>
                <w:highlight w:val="none"/>
                <w:lang w:val="en-US" w:eastAsia="zh-CN"/>
              </w:rPr>
            </w:pPr>
            <w:r>
              <w:rPr>
                <w:rFonts w:hint="eastAsia" w:ascii="宋体" w:hAnsi="宋体" w:cs="宋体"/>
                <w:color w:val="auto"/>
                <w:szCs w:val="21"/>
                <w:highlight w:val="none"/>
                <w:lang w:val="en-US" w:eastAsia="zh-CN"/>
              </w:rPr>
              <w:t>四</w:t>
            </w:r>
            <w:r>
              <w:rPr>
                <w:rFonts w:hint="eastAsia" w:ascii="宋体" w:hAnsi="宋体" w:eastAsia="宋体" w:cs="宋体"/>
                <w:color w:val="auto"/>
                <w:szCs w:val="21"/>
                <w:highlight w:val="none"/>
              </w:rPr>
              <w:t>档（</w:t>
            </w:r>
            <w:r>
              <w:rPr>
                <w:rFonts w:hint="eastAsia" w:ascii="宋体" w:hAnsi="宋体" w:cs="宋体"/>
                <w:color w:val="auto"/>
                <w:szCs w:val="21"/>
                <w:highlight w:val="none"/>
                <w:lang w:val="en-US" w:eastAsia="zh-CN"/>
              </w:rPr>
              <w:t>24</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在满足</w:t>
            </w:r>
            <w:r>
              <w:rPr>
                <w:rFonts w:hint="eastAsia" w:ascii="宋体" w:hAnsi="宋体" w:cs="宋体"/>
                <w:color w:val="auto"/>
                <w:szCs w:val="21"/>
                <w:highlight w:val="none"/>
                <w:lang w:val="en-US" w:eastAsia="zh-CN"/>
              </w:rPr>
              <w:t>三</w:t>
            </w:r>
            <w:r>
              <w:rPr>
                <w:rFonts w:hint="eastAsia" w:ascii="宋体" w:hAnsi="宋体" w:eastAsia="宋体" w:cs="宋体"/>
                <w:color w:val="auto"/>
                <w:szCs w:val="21"/>
                <w:highlight w:val="none"/>
                <w:lang w:val="en-US" w:eastAsia="zh-CN"/>
              </w:rPr>
              <w:t>档评分要求的基础上，</w:t>
            </w:r>
            <w:r>
              <w:rPr>
                <w:rFonts w:hint="eastAsia" w:ascii="宋体" w:hAnsi="宋体" w:cs="宋体"/>
                <w:bCs/>
                <w:color w:val="auto"/>
                <w:highlight w:val="none"/>
              </w:rPr>
              <w:t>在</w:t>
            </w:r>
            <w:r>
              <w:rPr>
                <w:rFonts w:hint="eastAsia" w:ascii="宋体" w:hAnsi="宋体" w:cs="宋体"/>
                <w:bCs/>
                <w:color w:val="auto"/>
                <w:highlight w:val="none"/>
                <w:lang w:val="en-US" w:eastAsia="zh-CN"/>
              </w:rPr>
              <w:t>运营</w:t>
            </w:r>
            <w:r>
              <w:rPr>
                <w:rFonts w:hint="eastAsia" w:ascii="宋体" w:hAnsi="宋体" w:cs="宋体"/>
                <w:bCs/>
                <w:color w:val="auto"/>
                <w:highlight w:val="none"/>
              </w:rPr>
              <w:t>方案中有详细的关键技术说明，</w:t>
            </w:r>
            <w:r>
              <w:rPr>
                <w:rFonts w:hint="eastAsia" w:ascii="宋体" w:hAnsi="宋体" w:cs="宋体"/>
                <w:color w:val="auto"/>
                <w:kern w:val="0"/>
                <w:szCs w:val="21"/>
                <w:highlight w:val="none"/>
                <w:lang w:bidi="ar"/>
              </w:rPr>
              <w:t>线上人力资源数据运营服务方案</w:t>
            </w:r>
            <w:r>
              <w:rPr>
                <w:rFonts w:hint="eastAsia" w:ascii="宋体" w:hAnsi="宋体" w:cs="宋体"/>
                <w:bCs/>
                <w:color w:val="auto"/>
                <w:highlight w:val="none"/>
              </w:rPr>
              <w:t>优于招标文件的需求，</w:t>
            </w:r>
            <w:r>
              <w:rPr>
                <w:rFonts w:hint="eastAsia" w:ascii="宋体" w:hAnsi="宋体" w:cs="宋体"/>
                <w:color w:val="auto"/>
                <w:kern w:val="0"/>
                <w:szCs w:val="21"/>
                <w:highlight w:val="none"/>
                <w:lang w:val="en-US" w:eastAsia="zh-CN" w:bidi="ar"/>
              </w:rPr>
              <w:t>为采购人提供免费增值服务</w:t>
            </w:r>
            <w:r>
              <w:rPr>
                <w:rFonts w:hint="eastAsia" w:ascii="宋体" w:hAnsi="宋体" w:eastAsia="宋体" w:cs="宋体"/>
                <w:color w:val="auto"/>
                <w:sz w:val="21"/>
                <w:szCs w:val="21"/>
                <w:highlight w:val="none"/>
              </w:rPr>
              <w:t>内容契合项目需求，能较好提高项目服务水平，具体列出</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项以上增值服务措施内容被评委采纳且有利于提升项目整体服务水平</w:t>
            </w:r>
            <w:r>
              <w:rPr>
                <w:rFonts w:hint="eastAsia" w:ascii="宋体" w:hAnsi="宋体" w:cs="宋体"/>
                <w:bCs/>
                <w:color w:val="auto"/>
                <w:highlight w:val="none"/>
              </w:rPr>
              <w:t>。</w:t>
            </w:r>
          </w:p>
        </w:tc>
        <w:tc>
          <w:tcPr>
            <w:tcW w:w="1003" w:type="dxa"/>
            <w:vAlign w:val="center"/>
          </w:tcPr>
          <w:p w14:paraId="0BA55F4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24</w:t>
            </w:r>
            <w:r>
              <w:rPr>
                <w:rFonts w:hint="eastAsia" w:ascii="宋体" w:hAnsi="宋体" w:cs="宋体"/>
                <w:color w:val="auto"/>
                <w:kern w:val="0"/>
                <w:szCs w:val="21"/>
                <w:highlight w:val="none"/>
                <w:lang w:bidi="ar"/>
              </w:rPr>
              <w:t>分</w:t>
            </w:r>
          </w:p>
        </w:tc>
      </w:tr>
      <w:tr w14:paraId="0E2B6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1E3397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bidi="ar"/>
              </w:rPr>
              <w:t>2.</w:t>
            </w:r>
            <w:r>
              <w:rPr>
                <w:rFonts w:hint="eastAsia" w:ascii="宋体" w:hAnsi="宋体" w:cs="宋体"/>
                <w:color w:val="auto"/>
                <w:kern w:val="0"/>
                <w:szCs w:val="21"/>
                <w:highlight w:val="none"/>
                <w:lang w:val="en-US" w:eastAsia="zh-CN" w:bidi="ar"/>
              </w:rPr>
              <w:t>2</w:t>
            </w:r>
          </w:p>
        </w:tc>
        <w:tc>
          <w:tcPr>
            <w:tcW w:w="1260" w:type="dxa"/>
            <w:vAlign w:val="center"/>
          </w:tcPr>
          <w:p w14:paraId="72E12E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p>
          <w:p w14:paraId="5A8A634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 xml:space="preserve">项目团队与履约能力 </w:t>
            </w:r>
          </w:p>
          <w:p w14:paraId="64E4B2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（主观分）</w:t>
            </w:r>
          </w:p>
        </w:tc>
        <w:tc>
          <w:tcPr>
            <w:tcW w:w="5550" w:type="dxa"/>
            <w:vAlign w:val="center"/>
          </w:tcPr>
          <w:p w14:paraId="40385067">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 xml:space="preserve">由磋商小组根据各磋商供应商提供的项目团队与履约能力内容进行评定，进行独立评分，不提供方案不得分。 </w:t>
            </w:r>
          </w:p>
          <w:p w14:paraId="7FB11002">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一档（</w:t>
            </w:r>
            <w:r>
              <w:rPr>
                <w:rFonts w:hint="eastAsia" w:ascii="宋体" w:hAnsi="宋体" w:cs="宋体"/>
                <w:color w:val="auto"/>
                <w:sz w:val="21"/>
                <w:szCs w:val="21"/>
                <w:highlight w:val="none"/>
                <w:lang w:val="en-US" w:eastAsia="zh-CN"/>
              </w:rPr>
              <w:t>4</w:t>
            </w:r>
            <w:r>
              <w:rPr>
                <w:rFonts w:hint="eastAsia" w:ascii="宋体" w:hAnsi="宋体" w:eastAsia="宋体" w:cs="宋体"/>
                <w:color w:val="auto"/>
                <w:sz w:val="21"/>
                <w:szCs w:val="21"/>
                <w:highlight w:val="none"/>
              </w:rPr>
              <w:t>分）团队人员及设备设施配备基本齐全，拟投入实施团队人员数量</w:t>
            </w:r>
            <w:r>
              <w:rPr>
                <w:rFonts w:hint="eastAsia" w:ascii="宋体" w:hAnsi="宋体" w:eastAsia="宋体" w:cs="宋体"/>
                <w:color w:val="auto"/>
                <w:sz w:val="21"/>
                <w:szCs w:val="21"/>
                <w:highlight w:val="none"/>
                <w:lang w:val="en-US" w:eastAsia="zh-CN"/>
              </w:rPr>
              <w:t>≥</w:t>
            </w:r>
            <w:r>
              <w:rPr>
                <w:rFonts w:hint="eastAsia" w:ascii="宋体" w:hAnsi="宋体" w:cs="宋体"/>
                <w:color w:val="auto"/>
                <w:sz w:val="21"/>
                <w:szCs w:val="21"/>
                <w:highlight w:val="none"/>
                <w:lang w:val="en-US" w:eastAsia="zh-CN"/>
              </w:rPr>
              <w:t>5</w:t>
            </w:r>
            <w:r>
              <w:rPr>
                <w:rFonts w:hint="eastAsia" w:ascii="宋体" w:hAnsi="宋体" w:eastAsia="宋体" w:cs="宋体"/>
                <w:color w:val="auto"/>
                <w:sz w:val="21"/>
                <w:szCs w:val="21"/>
                <w:highlight w:val="none"/>
              </w:rPr>
              <w:t>人，基本满足项目实施需求。建立相关团队人员运营管理制度性文件，规章制度不够健全。</w:t>
            </w:r>
          </w:p>
          <w:p w14:paraId="4CC4CC57">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二档（</w:t>
            </w:r>
            <w:r>
              <w:rPr>
                <w:rFonts w:hint="eastAsia" w:ascii="宋体" w:hAnsi="宋体" w:cs="宋体"/>
                <w:color w:val="auto"/>
                <w:sz w:val="21"/>
                <w:szCs w:val="21"/>
                <w:highlight w:val="none"/>
                <w:lang w:val="en-US" w:eastAsia="zh-CN"/>
              </w:rPr>
              <w:t>8</w:t>
            </w:r>
            <w:r>
              <w:rPr>
                <w:rFonts w:hint="eastAsia" w:ascii="宋体" w:hAnsi="宋体" w:eastAsia="宋体" w:cs="宋体"/>
                <w:color w:val="auto"/>
                <w:sz w:val="21"/>
                <w:szCs w:val="21"/>
                <w:highlight w:val="none"/>
              </w:rPr>
              <w:t>分）团队人员及设备设施配备齐全，拟投入实施团队人员数量≥</w:t>
            </w:r>
            <w:r>
              <w:rPr>
                <w:rFonts w:hint="eastAsia" w:ascii="宋体" w:hAnsi="宋体" w:cs="宋体"/>
                <w:color w:val="auto"/>
                <w:sz w:val="21"/>
                <w:szCs w:val="21"/>
                <w:highlight w:val="none"/>
                <w:lang w:val="en-US" w:eastAsia="zh-CN"/>
              </w:rPr>
              <w:t>10</w:t>
            </w:r>
            <w:r>
              <w:rPr>
                <w:rFonts w:hint="eastAsia" w:ascii="宋体" w:hAnsi="宋体" w:eastAsia="宋体" w:cs="宋体"/>
                <w:color w:val="auto"/>
                <w:sz w:val="21"/>
                <w:szCs w:val="21"/>
                <w:highlight w:val="none"/>
              </w:rPr>
              <w:t>人，满足项目实施需求。建立</w:t>
            </w:r>
            <w:r>
              <w:rPr>
                <w:rFonts w:hint="eastAsia" w:ascii="宋体" w:hAnsi="宋体" w:cs="宋体"/>
                <w:color w:val="auto"/>
                <w:sz w:val="21"/>
                <w:szCs w:val="21"/>
                <w:highlight w:val="none"/>
                <w:lang w:val="en-US" w:eastAsia="zh-CN"/>
              </w:rPr>
              <w:t>项目</w:t>
            </w:r>
            <w:r>
              <w:rPr>
                <w:rFonts w:hint="eastAsia" w:ascii="宋体" w:hAnsi="宋体" w:eastAsia="宋体" w:cs="宋体"/>
                <w:color w:val="auto"/>
                <w:sz w:val="21"/>
                <w:szCs w:val="21"/>
                <w:highlight w:val="none"/>
              </w:rPr>
              <w:t>团队人员管理制度性文件，规章制度基本健全。</w:t>
            </w:r>
          </w:p>
          <w:p w14:paraId="1E06AC3A">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三档（</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分）团队人员及设备设施配备齐全、充足，满足项目实施需求。服务团队经验较丰富，参与人员及技术力量投入有保障</w:t>
            </w:r>
            <w:r>
              <w:rPr>
                <w:rFonts w:hint="eastAsia" w:ascii="宋体" w:hAnsi="宋体" w:eastAsia="宋体" w:cs="宋体"/>
                <w:color w:val="auto"/>
                <w:sz w:val="21"/>
                <w:szCs w:val="21"/>
                <w:highlight w:val="none"/>
                <w:lang w:eastAsia="zh-CN"/>
              </w:rPr>
              <w:t>，拟投入实施团队人员数量≥</w:t>
            </w:r>
            <w:r>
              <w:rPr>
                <w:rFonts w:hint="eastAsia" w:ascii="宋体" w:hAnsi="宋体" w:cs="宋体"/>
                <w:color w:val="auto"/>
                <w:sz w:val="21"/>
                <w:szCs w:val="21"/>
                <w:highlight w:val="none"/>
                <w:lang w:val="en-US" w:eastAsia="zh-CN"/>
              </w:rPr>
              <w:t>15</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建立团队人员管理制度性文件，规章制度比较完善，项目运作机制比较成熟，便于项目实施。</w:t>
            </w:r>
          </w:p>
          <w:p w14:paraId="4FB915B7">
            <w:pPr>
              <w:pStyle w:val="7"/>
              <w:keepNext w:val="0"/>
              <w:keepLines w:val="0"/>
              <w:pageBreakBefore w:val="0"/>
              <w:widowControl w:val="0"/>
              <w:suppressLineNumbers w:val="0"/>
              <w:kinsoku/>
              <w:wordWrap/>
              <w:overflowPunct/>
              <w:topLinePunct w:val="0"/>
              <w:autoSpaceDN/>
              <w:bidi w:val="0"/>
              <w:adjustRightInd/>
              <w:snapToGrid/>
              <w:spacing w:before="0" w:beforeAutospacing="0" w:after="0" w:afterAutospacing="0" w:line="380" w:lineRule="exact"/>
              <w:ind w:left="0" w:right="0" w:firstLine="420" w:firstLineChars="200"/>
              <w:jc w:val="both"/>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四档（</w:t>
            </w:r>
            <w:r>
              <w:rPr>
                <w:rFonts w:hint="eastAsia" w:ascii="宋体" w:hAnsi="宋体" w:eastAsia="宋体" w:cs="宋体"/>
                <w:color w:val="auto"/>
                <w:sz w:val="21"/>
                <w:szCs w:val="21"/>
                <w:highlight w:val="none"/>
                <w:lang w:val="en-US" w:eastAsia="zh-CN"/>
              </w:rPr>
              <w:t>1</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分）团队人员配备合理、岗位分工明确、人员、设备设施配备齐全充足，较好满足项目实施需求。服务团队专业、经验丰富，参与人员及技术力量投入充足</w:t>
            </w:r>
            <w:r>
              <w:rPr>
                <w:rFonts w:hint="eastAsia" w:ascii="宋体" w:hAnsi="宋体" w:eastAsia="宋体" w:cs="宋体"/>
                <w:color w:val="auto"/>
                <w:sz w:val="21"/>
                <w:szCs w:val="21"/>
                <w:highlight w:val="none"/>
                <w:lang w:eastAsia="zh-CN"/>
              </w:rPr>
              <w:t>，拟投入实施团队人员数量≥</w:t>
            </w:r>
            <w:r>
              <w:rPr>
                <w:rFonts w:hint="eastAsia" w:ascii="宋体" w:hAnsi="宋体" w:cs="宋体"/>
                <w:color w:val="auto"/>
                <w:sz w:val="21"/>
                <w:szCs w:val="21"/>
                <w:highlight w:val="none"/>
                <w:lang w:val="en-US" w:eastAsia="zh-CN"/>
              </w:rPr>
              <w:t>2</w:t>
            </w:r>
            <w:r>
              <w:rPr>
                <w:rFonts w:hint="eastAsia" w:ascii="宋体" w:hAnsi="宋体" w:eastAsia="宋体" w:cs="宋体"/>
                <w:color w:val="auto"/>
                <w:sz w:val="21"/>
                <w:szCs w:val="21"/>
                <w:highlight w:val="none"/>
                <w:lang w:val="en-US" w:eastAsia="zh-CN"/>
              </w:rPr>
              <w:t>0</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建立相关项目人力资源管理、财务管理、应急突发事件管理等运营管理制度性文件，规章制度完善，项目运作机制成熟、科学，有针对性，逻辑清晰、切合实际</w:t>
            </w:r>
            <w:r>
              <w:rPr>
                <w:rFonts w:hint="eastAsia" w:ascii="宋体" w:hAnsi="宋体" w:eastAsia="宋体" w:cs="宋体"/>
                <w:color w:val="auto"/>
                <w:sz w:val="21"/>
                <w:szCs w:val="21"/>
                <w:highlight w:val="none"/>
                <w:lang w:eastAsia="zh-CN"/>
              </w:rPr>
              <w:t>。</w:t>
            </w:r>
          </w:p>
          <w:p w14:paraId="402350FA">
            <w:pPr>
              <w:pStyle w:val="8"/>
              <w:keepNext w:val="0"/>
              <w:keepLines w:val="0"/>
              <w:pageBreakBefore w:val="0"/>
              <w:suppressLineNumbers w:val="0"/>
              <w:kinsoku/>
              <w:wordWrap/>
              <w:overflowPunct/>
              <w:topLinePunct w:val="0"/>
              <w:autoSpaceDN/>
              <w:bidi w:val="0"/>
              <w:adjustRightInd/>
              <w:snapToGrid/>
              <w:spacing w:before="0" w:beforeAutospacing="0" w:after="0" w:afterAutospacing="0" w:line="380" w:lineRule="exact"/>
              <w:ind w:left="0" w:right="0"/>
              <w:textAlignment w:val="auto"/>
              <w:rPr>
                <w:rFonts w:hint="default" w:ascii="宋体" w:hAnsi="宋体" w:cs="宋体"/>
                <w:color w:val="auto"/>
                <w:szCs w:val="21"/>
                <w:highlight w:val="none"/>
                <w:lang w:val="en-US"/>
              </w:rPr>
            </w:pPr>
            <w:r>
              <w:rPr>
                <w:rFonts w:hint="eastAsia" w:ascii="宋体" w:hAnsi="宋体" w:cs="宋体"/>
                <w:color w:val="auto"/>
                <w:sz w:val="21"/>
                <w:szCs w:val="21"/>
                <w:highlight w:val="none"/>
                <w:lang w:val="en-US" w:eastAsia="zh-CN"/>
              </w:rPr>
              <w:t>注：拟投入人员须提供截标前半年内任意一个月人员参保证明或劳动合同证明。否则不予计分。</w:t>
            </w:r>
          </w:p>
        </w:tc>
        <w:tc>
          <w:tcPr>
            <w:tcW w:w="1003" w:type="dxa"/>
            <w:vAlign w:val="center"/>
          </w:tcPr>
          <w:p w14:paraId="329872F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cs="宋体"/>
                <w:color w:val="auto"/>
                <w:szCs w:val="21"/>
                <w:highlight w:val="none"/>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16</w:t>
            </w:r>
            <w:r>
              <w:rPr>
                <w:rFonts w:hint="eastAsia" w:ascii="宋体" w:hAnsi="宋体" w:cs="宋体"/>
                <w:color w:val="auto"/>
                <w:kern w:val="0"/>
                <w:szCs w:val="21"/>
                <w:highlight w:val="none"/>
                <w:lang w:bidi="ar"/>
              </w:rPr>
              <w:t>分</w:t>
            </w:r>
          </w:p>
        </w:tc>
      </w:tr>
      <w:tr w14:paraId="21E642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6C63F0C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2.3</w:t>
            </w:r>
          </w:p>
        </w:tc>
        <w:tc>
          <w:tcPr>
            <w:tcW w:w="1260" w:type="dxa"/>
            <w:vAlign w:val="center"/>
          </w:tcPr>
          <w:p w14:paraId="0B8D85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kern w:val="0"/>
                <w:szCs w:val="21"/>
                <w:highlight w:val="none"/>
                <w:lang w:val="en-US" w:eastAsia="zh-CN" w:bidi="ar"/>
              </w:rPr>
            </w:pPr>
            <w:r>
              <w:rPr>
                <w:rFonts w:hint="default" w:ascii="宋体" w:hAnsi="宋体" w:eastAsia="宋体" w:cs="宋体"/>
                <w:b w:val="0"/>
                <w:bCs w:val="0"/>
                <w:color w:val="auto"/>
                <w:szCs w:val="21"/>
                <w:highlight w:val="none"/>
                <w:lang w:val="en-US" w:eastAsia="zh-CN"/>
              </w:rPr>
              <w:t>第二年运营支持服务</w:t>
            </w:r>
            <w:r>
              <w:rPr>
                <w:rFonts w:hint="eastAsia" w:ascii="宋体" w:hAnsi="宋体" w:cs="宋体"/>
                <w:b w:val="0"/>
                <w:bCs w:val="0"/>
                <w:color w:val="auto"/>
                <w:szCs w:val="21"/>
                <w:highlight w:val="none"/>
                <w:lang w:val="en-US" w:eastAsia="zh-CN"/>
              </w:rPr>
              <w:t>方案</w:t>
            </w:r>
            <w:r>
              <w:rPr>
                <w:rFonts w:hint="eastAsia" w:ascii="宋体" w:hAnsi="宋体" w:cs="宋体"/>
                <w:color w:val="auto"/>
                <w:kern w:val="0"/>
                <w:sz w:val="21"/>
                <w:szCs w:val="21"/>
                <w:highlight w:val="none"/>
                <w:lang w:val="en-US" w:eastAsia="zh-CN" w:bidi="ar"/>
              </w:rPr>
              <w:t>（主观分）</w:t>
            </w:r>
          </w:p>
        </w:tc>
        <w:tc>
          <w:tcPr>
            <w:tcW w:w="5550" w:type="dxa"/>
            <w:vAlign w:val="center"/>
          </w:tcPr>
          <w:p w14:paraId="42A9E01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由磋商小组会根据竞标人提供的</w:t>
            </w:r>
            <w:r>
              <w:rPr>
                <w:rFonts w:hint="default" w:ascii="宋体" w:hAnsi="宋体" w:cs="宋体"/>
                <w:color w:val="auto"/>
                <w:kern w:val="0"/>
                <w:szCs w:val="21"/>
                <w:highlight w:val="none"/>
                <w:lang w:val="en-US" w:eastAsia="zh-CN" w:bidi="ar"/>
              </w:rPr>
              <w:t>第二年运营支持服务</w:t>
            </w:r>
            <w:r>
              <w:rPr>
                <w:rFonts w:hint="eastAsia" w:ascii="宋体" w:hAnsi="宋体" w:cs="宋体"/>
                <w:color w:val="auto"/>
                <w:kern w:val="0"/>
                <w:szCs w:val="21"/>
                <w:highlight w:val="none"/>
                <w:lang w:val="en-US" w:eastAsia="zh-CN" w:bidi="ar"/>
              </w:rPr>
              <w:t>方案进行评定，进行独立评分，不提供方案不得分。</w:t>
            </w:r>
          </w:p>
          <w:p w14:paraId="7F60DB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一档（</w:t>
            </w:r>
            <w:r>
              <w:rPr>
                <w:rFonts w:hint="eastAsia" w:ascii="宋体" w:hAnsi="宋体" w:cs="宋体"/>
                <w:color w:val="auto"/>
                <w:kern w:val="0"/>
                <w:szCs w:val="21"/>
                <w:highlight w:val="none"/>
                <w:lang w:val="en-US" w:eastAsia="zh-CN" w:bidi="ar"/>
              </w:rPr>
              <w:t>5</w:t>
            </w:r>
            <w:r>
              <w:rPr>
                <w:rFonts w:hint="eastAsia" w:ascii="宋体" w:hAnsi="宋体" w:cs="宋体"/>
                <w:color w:val="auto"/>
                <w:kern w:val="0"/>
                <w:szCs w:val="21"/>
                <w:highlight w:val="none"/>
                <w:lang w:bidi="ar"/>
              </w:rPr>
              <w:t>分）：方案基本符合项目基本情况，</w:t>
            </w:r>
            <w:r>
              <w:rPr>
                <w:rFonts w:hint="eastAsia" w:ascii="宋体" w:hAnsi="宋体" w:cs="宋体"/>
                <w:color w:val="auto"/>
                <w:kern w:val="0"/>
                <w:szCs w:val="21"/>
                <w:highlight w:val="none"/>
                <w:lang w:val="en-US" w:eastAsia="zh-CN" w:bidi="ar"/>
              </w:rPr>
              <w:t>包含就业信息资源库运营服务数据建设、数据支持服务、提供有</w:t>
            </w:r>
            <w:r>
              <w:rPr>
                <w:rFonts w:hint="default" w:ascii="宋体" w:hAnsi="宋体" w:cs="宋体"/>
                <w:color w:val="auto"/>
                <w:kern w:val="0"/>
                <w:szCs w:val="21"/>
                <w:highlight w:val="none"/>
                <w:lang w:val="en-US" w:eastAsia="zh-CN" w:bidi="ar"/>
              </w:rPr>
              <w:t>专题分析报告</w:t>
            </w:r>
            <w:r>
              <w:rPr>
                <w:rFonts w:hint="eastAsia" w:ascii="宋体" w:hAnsi="宋体" w:cs="宋体"/>
                <w:color w:val="auto"/>
                <w:kern w:val="0"/>
                <w:szCs w:val="21"/>
                <w:highlight w:val="none"/>
                <w:lang w:val="en-US" w:eastAsia="zh-CN" w:bidi="ar"/>
              </w:rPr>
              <w:t>模板</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zh-CN" w:eastAsia="zh-CN" w:bidi="ar"/>
              </w:rPr>
              <w:t>提出了基本可行的工作方案、技术措施，</w:t>
            </w:r>
            <w:r>
              <w:rPr>
                <w:rFonts w:hint="eastAsia" w:ascii="宋体" w:hAnsi="宋体" w:cs="宋体"/>
                <w:color w:val="auto"/>
                <w:kern w:val="0"/>
                <w:szCs w:val="21"/>
                <w:highlight w:val="none"/>
                <w:lang w:bidi="ar"/>
              </w:rPr>
              <w:t>内容基本完整，但</w:t>
            </w:r>
            <w:r>
              <w:rPr>
                <w:rFonts w:hint="eastAsia" w:ascii="宋体" w:hAnsi="宋体" w:cs="宋体"/>
                <w:color w:val="auto"/>
                <w:kern w:val="0"/>
                <w:szCs w:val="21"/>
                <w:highlight w:val="none"/>
                <w:lang w:eastAsia="zh-CN" w:bidi="ar"/>
              </w:rPr>
              <w:t>缺乏</w:t>
            </w:r>
            <w:r>
              <w:rPr>
                <w:rFonts w:hint="eastAsia" w:ascii="宋体" w:hAnsi="宋体" w:cs="宋体"/>
                <w:color w:val="auto"/>
                <w:kern w:val="0"/>
                <w:szCs w:val="21"/>
                <w:highlight w:val="none"/>
                <w:lang w:bidi="ar"/>
              </w:rPr>
              <w:t>亮点和独到的见解，可执行性一般。</w:t>
            </w:r>
          </w:p>
          <w:p w14:paraId="63ABF4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cs="宋体"/>
                <w:color w:val="auto"/>
                <w:kern w:val="0"/>
                <w:szCs w:val="21"/>
                <w:highlight w:val="none"/>
                <w:lang w:eastAsia="zh-CN" w:bidi="ar"/>
              </w:rPr>
            </w:pPr>
            <w:r>
              <w:rPr>
                <w:rFonts w:hint="eastAsia" w:ascii="宋体" w:hAnsi="宋体" w:cs="宋体"/>
                <w:color w:val="auto"/>
                <w:kern w:val="0"/>
                <w:szCs w:val="21"/>
                <w:highlight w:val="none"/>
                <w:lang w:bidi="ar"/>
              </w:rPr>
              <w:t>二档（</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分）：方案</w:t>
            </w:r>
            <w:r>
              <w:rPr>
                <w:rFonts w:hint="eastAsia" w:ascii="宋体" w:hAnsi="宋体" w:cs="宋体"/>
                <w:color w:val="auto"/>
                <w:kern w:val="0"/>
                <w:szCs w:val="21"/>
                <w:highlight w:val="none"/>
                <w:lang w:val="en-US" w:eastAsia="zh-CN" w:bidi="ar"/>
              </w:rPr>
              <w:t>满足</w:t>
            </w:r>
            <w:r>
              <w:rPr>
                <w:rFonts w:hint="eastAsia" w:ascii="宋体" w:hAnsi="宋体" w:cs="宋体"/>
                <w:color w:val="auto"/>
                <w:kern w:val="0"/>
                <w:szCs w:val="21"/>
                <w:highlight w:val="none"/>
                <w:lang w:bidi="ar"/>
              </w:rPr>
              <w:t>项目</w:t>
            </w:r>
            <w:r>
              <w:rPr>
                <w:rFonts w:hint="eastAsia" w:ascii="宋体" w:hAnsi="宋体" w:cs="宋体"/>
                <w:color w:val="auto"/>
                <w:kern w:val="0"/>
                <w:szCs w:val="21"/>
                <w:highlight w:val="none"/>
                <w:lang w:val="en-US" w:eastAsia="zh-CN" w:bidi="ar"/>
              </w:rPr>
              <w:t>运营要求</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en-US" w:eastAsia="zh-CN" w:bidi="ar"/>
              </w:rPr>
              <w:t>包含就业信息资源库运营服务数据建设、数据支持服务、提供有</w:t>
            </w:r>
            <w:r>
              <w:rPr>
                <w:rFonts w:hint="default" w:ascii="宋体" w:hAnsi="宋体" w:cs="宋体"/>
                <w:color w:val="auto"/>
                <w:kern w:val="0"/>
                <w:szCs w:val="21"/>
                <w:highlight w:val="none"/>
                <w:lang w:val="en-US" w:eastAsia="zh-CN" w:bidi="ar"/>
              </w:rPr>
              <w:t>专题分析报告</w:t>
            </w:r>
            <w:r>
              <w:rPr>
                <w:rFonts w:hint="eastAsia" w:ascii="宋体" w:hAnsi="宋体" w:cs="宋体"/>
                <w:color w:val="auto"/>
                <w:kern w:val="0"/>
                <w:szCs w:val="21"/>
                <w:highlight w:val="none"/>
                <w:lang w:val="en-US" w:eastAsia="zh-CN" w:bidi="ar"/>
              </w:rPr>
              <w:t>模板</w:t>
            </w:r>
            <w:r>
              <w:rPr>
                <w:rFonts w:hint="eastAsia" w:ascii="宋体" w:hAnsi="宋体" w:cs="宋体"/>
                <w:color w:val="auto"/>
                <w:kern w:val="0"/>
                <w:szCs w:val="21"/>
                <w:highlight w:val="none"/>
                <w:lang w:bidi="ar"/>
              </w:rPr>
              <w:t>，</w:t>
            </w:r>
            <w:r>
              <w:rPr>
                <w:rFonts w:hint="eastAsia" w:ascii="宋体" w:hAnsi="宋体" w:cs="宋体"/>
                <w:color w:val="auto"/>
                <w:kern w:val="0"/>
                <w:szCs w:val="21"/>
                <w:highlight w:val="none"/>
                <w:lang w:val="zh-CN" w:eastAsia="zh-CN" w:bidi="ar"/>
              </w:rPr>
              <w:t>提出了基本可行的工作方案、技术措施，</w:t>
            </w:r>
            <w:r>
              <w:rPr>
                <w:rFonts w:hint="eastAsia" w:ascii="宋体" w:hAnsi="宋体" w:cs="宋体"/>
                <w:color w:val="auto"/>
                <w:kern w:val="0"/>
                <w:szCs w:val="21"/>
                <w:highlight w:val="none"/>
                <w:lang w:val="en-US" w:eastAsia="zh-CN" w:bidi="ar"/>
              </w:rPr>
              <w:t>具有</w:t>
            </w:r>
            <w:r>
              <w:rPr>
                <w:rFonts w:hint="default" w:ascii="宋体" w:hAnsi="宋体" w:cs="宋体"/>
                <w:color w:val="auto"/>
                <w:kern w:val="0"/>
                <w:szCs w:val="21"/>
                <w:highlight w:val="none"/>
                <w:lang w:val="en-US" w:eastAsia="zh-CN" w:bidi="ar"/>
              </w:rPr>
              <w:t>信息质量智能风控服务</w:t>
            </w:r>
            <w:r>
              <w:rPr>
                <w:rFonts w:hint="eastAsia" w:ascii="宋体" w:hAnsi="宋体" w:cs="宋体"/>
                <w:color w:val="auto"/>
                <w:kern w:val="0"/>
                <w:szCs w:val="21"/>
                <w:highlight w:val="none"/>
                <w:lang w:val="en-US" w:eastAsia="zh-CN" w:bidi="ar"/>
              </w:rPr>
              <w:t>，具</w:t>
            </w:r>
            <w:r>
              <w:rPr>
                <w:rFonts w:hint="eastAsia" w:ascii="宋体" w:hAnsi="宋体" w:cs="宋体"/>
                <w:color w:val="auto"/>
                <w:kern w:val="0"/>
                <w:szCs w:val="21"/>
                <w:highlight w:val="none"/>
                <w:lang w:bidi="ar"/>
              </w:rPr>
              <w:t>有可行的质量控制和风险管控措施，制定相应的风险应对策略</w:t>
            </w:r>
            <w:r>
              <w:rPr>
                <w:rFonts w:hint="eastAsia" w:ascii="宋体" w:hAnsi="宋体" w:cs="宋体"/>
                <w:color w:val="auto"/>
                <w:kern w:val="0"/>
                <w:szCs w:val="21"/>
                <w:highlight w:val="none"/>
                <w:lang w:eastAsia="zh-CN" w:bidi="ar"/>
              </w:rPr>
              <w:t>，</w:t>
            </w:r>
            <w:r>
              <w:rPr>
                <w:rFonts w:hint="eastAsia" w:ascii="宋体" w:hAnsi="宋体" w:cs="宋体"/>
                <w:color w:val="auto"/>
                <w:kern w:val="0"/>
                <w:szCs w:val="21"/>
                <w:highlight w:val="none"/>
                <w:lang w:bidi="ar"/>
              </w:rPr>
              <w:t>运行机制详细合理</w:t>
            </w:r>
            <w:r>
              <w:rPr>
                <w:rFonts w:hint="eastAsia" w:ascii="宋体" w:hAnsi="宋体" w:cs="宋体"/>
                <w:color w:val="auto"/>
                <w:kern w:val="0"/>
                <w:szCs w:val="21"/>
                <w:highlight w:val="none"/>
                <w:lang w:eastAsia="zh-CN" w:bidi="ar"/>
              </w:rPr>
              <w:t>。</w:t>
            </w:r>
          </w:p>
          <w:p w14:paraId="23342F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val="en-US" w:eastAsia="zh-CN" w:bidi="ar"/>
              </w:rPr>
              <w:t>三</w:t>
            </w:r>
            <w:r>
              <w:rPr>
                <w:rFonts w:hint="eastAsia" w:ascii="宋体" w:hAnsi="宋体" w:cs="宋体"/>
                <w:color w:val="auto"/>
                <w:kern w:val="0"/>
                <w:szCs w:val="21"/>
                <w:highlight w:val="none"/>
                <w:lang w:bidi="ar"/>
              </w:rPr>
              <w:t>档（</w:t>
            </w:r>
            <w:r>
              <w:rPr>
                <w:rFonts w:hint="eastAsia" w:ascii="宋体" w:hAnsi="宋体" w:cs="宋体"/>
                <w:color w:val="auto"/>
                <w:kern w:val="0"/>
                <w:szCs w:val="21"/>
                <w:highlight w:val="none"/>
                <w:lang w:val="en-US" w:eastAsia="zh-CN" w:bidi="ar"/>
              </w:rPr>
              <w:t>15</w:t>
            </w:r>
            <w:r>
              <w:rPr>
                <w:rFonts w:hint="eastAsia" w:ascii="宋体" w:hAnsi="宋体" w:cs="宋体"/>
                <w:color w:val="auto"/>
                <w:kern w:val="0"/>
                <w:szCs w:val="21"/>
                <w:highlight w:val="none"/>
                <w:lang w:bidi="ar"/>
              </w:rPr>
              <w:t>分）：方案</w:t>
            </w:r>
            <w:r>
              <w:rPr>
                <w:rFonts w:hint="eastAsia" w:ascii="宋体" w:hAnsi="宋体" w:cs="宋体"/>
                <w:color w:val="auto"/>
                <w:kern w:val="0"/>
                <w:szCs w:val="21"/>
                <w:highlight w:val="none"/>
                <w:lang w:val="en-US" w:eastAsia="zh-CN" w:bidi="ar"/>
              </w:rPr>
              <w:t>与本项目实际需求适配度高，</w:t>
            </w:r>
            <w:r>
              <w:rPr>
                <w:rFonts w:hint="eastAsia" w:ascii="宋体" w:hAnsi="宋体" w:cs="宋体"/>
                <w:color w:val="auto"/>
                <w:kern w:val="0"/>
                <w:szCs w:val="21"/>
                <w:highlight w:val="none"/>
                <w:lang w:bidi="ar"/>
              </w:rPr>
              <w:t>依托人工智能等前沿实践经验，为政策制定与成效评估注入前瞻、精准的数据动能。</w:t>
            </w:r>
            <w:r>
              <w:rPr>
                <w:rFonts w:hint="eastAsia" w:ascii="宋体" w:hAnsi="宋体" w:cs="宋体"/>
                <w:color w:val="auto"/>
                <w:kern w:val="0"/>
                <w:szCs w:val="21"/>
                <w:highlight w:val="none"/>
                <w:lang w:val="en-US" w:eastAsia="zh-CN" w:bidi="ar"/>
              </w:rPr>
              <w:t>制定了较详细的</w:t>
            </w:r>
            <w:r>
              <w:rPr>
                <w:rFonts w:hint="eastAsia" w:ascii="宋体" w:hAnsi="宋体" w:cs="宋体"/>
                <w:color w:val="auto"/>
                <w:kern w:val="0"/>
                <w:szCs w:val="21"/>
                <w:highlight w:val="none"/>
                <w:lang w:bidi="ar"/>
              </w:rPr>
              <w:t>第二年运营支持服务</w:t>
            </w:r>
            <w:r>
              <w:rPr>
                <w:rFonts w:hint="eastAsia" w:ascii="宋体" w:hAnsi="宋体" w:cs="宋体"/>
                <w:color w:val="auto"/>
                <w:kern w:val="0"/>
                <w:szCs w:val="21"/>
                <w:highlight w:val="none"/>
                <w:lang w:val="en-US" w:eastAsia="zh-CN" w:bidi="ar"/>
              </w:rPr>
              <w:t>计划，包含</w:t>
            </w:r>
            <w:r>
              <w:rPr>
                <w:rFonts w:hint="eastAsia" w:ascii="宋体" w:hAnsi="宋体" w:cs="宋体"/>
                <w:color w:val="auto"/>
                <w:kern w:val="0"/>
                <w:szCs w:val="21"/>
                <w:highlight w:val="none"/>
                <w:lang w:bidi="ar"/>
              </w:rPr>
              <w:t>数据运营</w:t>
            </w:r>
            <w:r>
              <w:rPr>
                <w:rFonts w:hint="eastAsia" w:ascii="宋体" w:hAnsi="宋体" w:cs="宋体"/>
                <w:color w:val="auto"/>
                <w:kern w:val="0"/>
                <w:szCs w:val="21"/>
                <w:highlight w:val="none"/>
                <w:lang w:eastAsia="zh-CN" w:bidi="ar"/>
              </w:rPr>
              <w:t>、</w:t>
            </w:r>
            <w:r>
              <w:rPr>
                <w:rFonts w:hint="default" w:ascii="宋体" w:hAnsi="宋体" w:cs="宋体"/>
                <w:color w:val="auto"/>
                <w:kern w:val="0"/>
                <w:szCs w:val="21"/>
                <w:highlight w:val="none"/>
                <w:lang w:val="en-US" w:eastAsia="zh-CN" w:bidi="ar"/>
              </w:rPr>
              <w:t>应用运营</w:t>
            </w:r>
            <w:r>
              <w:rPr>
                <w:rFonts w:hint="eastAsia" w:ascii="宋体" w:hAnsi="宋体" w:cs="宋体"/>
                <w:color w:val="auto"/>
                <w:kern w:val="0"/>
                <w:szCs w:val="21"/>
                <w:highlight w:val="none"/>
                <w:lang w:val="en-US" w:eastAsia="zh-CN" w:bidi="ar"/>
              </w:rPr>
              <w:t>、拟投入的运营人员安排等内容，满足</w:t>
            </w:r>
            <w:r>
              <w:rPr>
                <w:rFonts w:hint="eastAsia" w:ascii="宋体" w:hAnsi="宋体" w:cs="宋体"/>
                <w:color w:val="auto"/>
                <w:kern w:val="0"/>
                <w:szCs w:val="21"/>
                <w:highlight w:val="none"/>
                <w:lang w:bidi="ar"/>
              </w:rPr>
              <w:t>项目</w:t>
            </w:r>
            <w:r>
              <w:rPr>
                <w:rFonts w:hint="eastAsia" w:ascii="宋体" w:hAnsi="宋体" w:cs="宋体"/>
                <w:color w:val="auto"/>
                <w:kern w:val="0"/>
                <w:szCs w:val="21"/>
                <w:highlight w:val="none"/>
                <w:lang w:val="en-US" w:eastAsia="zh-CN" w:bidi="ar"/>
              </w:rPr>
              <w:t>后期运营需求，针对性强。</w:t>
            </w:r>
          </w:p>
        </w:tc>
        <w:tc>
          <w:tcPr>
            <w:tcW w:w="1003" w:type="dxa"/>
            <w:vAlign w:val="center"/>
          </w:tcPr>
          <w:p w14:paraId="5FEDDF9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15</w:t>
            </w:r>
            <w:r>
              <w:rPr>
                <w:rFonts w:hint="eastAsia" w:ascii="宋体" w:hAnsi="宋体" w:cs="宋体"/>
                <w:color w:val="auto"/>
                <w:kern w:val="0"/>
                <w:szCs w:val="21"/>
                <w:highlight w:val="none"/>
                <w:lang w:bidi="ar"/>
              </w:rPr>
              <w:t>分</w:t>
            </w:r>
          </w:p>
        </w:tc>
      </w:tr>
      <w:tr w14:paraId="5A87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center"/>
          </w:tcPr>
          <w:p w14:paraId="729FAAE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2.4</w:t>
            </w:r>
          </w:p>
        </w:tc>
        <w:tc>
          <w:tcPr>
            <w:tcW w:w="1260" w:type="dxa"/>
            <w:vAlign w:val="center"/>
          </w:tcPr>
          <w:p w14:paraId="3AD3C111">
            <w:pPr>
              <w:keepNext w:val="0"/>
              <w:keepLines w:val="0"/>
              <w:pageBreakBefore w:val="0"/>
              <w:suppressLineNumbers w:val="0"/>
              <w:kinsoku/>
              <w:wordWrap/>
              <w:overflowPunct/>
              <w:topLinePunct w:val="0"/>
              <w:autoSpaceDE w:val="0"/>
              <w:autoSpaceDN/>
              <w:bidi w:val="0"/>
              <w:adjustRightInd/>
              <w:snapToGrid/>
              <w:spacing w:before="0" w:beforeAutospacing="0" w:after="0" w:afterAutospacing="0" w:line="380" w:lineRule="exact"/>
              <w:ind w:left="0" w:right="0"/>
              <w:jc w:val="center"/>
              <w:textAlignment w:val="auto"/>
              <w:rPr>
                <w:rFonts w:hint="default" w:ascii="宋体" w:hAnsi="宋体" w:eastAsia="宋体" w:cs="宋体"/>
                <w:color w:val="auto"/>
                <w:kern w:val="0"/>
                <w:sz w:val="21"/>
                <w:szCs w:val="21"/>
                <w:highlight w:val="none"/>
                <w:lang w:val="en-US" w:eastAsia="zh-CN" w:bidi="ar"/>
              </w:rPr>
            </w:pPr>
            <w:r>
              <w:rPr>
                <w:rFonts w:hint="eastAsia" w:ascii="宋体" w:hAnsi="宋体" w:cs="宋体"/>
                <w:color w:val="auto"/>
                <w:sz w:val="21"/>
                <w:szCs w:val="21"/>
                <w:highlight w:val="none"/>
                <w:lang w:val="en-US" w:eastAsia="zh-CN"/>
              </w:rPr>
              <w:t>平台培训方案（主观分）</w:t>
            </w:r>
          </w:p>
        </w:tc>
        <w:tc>
          <w:tcPr>
            <w:tcW w:w="5550" w:type="dxa"/>
            <w:vAlign w:val="center"/>
          </w:tcPr>
          <w:p w14:paraId="5C8765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由磋商小组根据竞标人提供的平台培训方案进行评定，进行独立评分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不提供方案不得分。</w:t>
            </w:r>
          </w:p>
          <w:p w14:paraId="5D1E78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一档(3分)</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培训方案与采购需求贴合度较差，培训内容缺失或偏离需求，培训方式不合理</w:t>
            </w:r>
            <w:r>
              <w:rPr>
                <w:rFonts w:hint="eastAsia" w:ascii="宋体" w:hAnsi="宋体" w:cs="宋体"/>
                <w:color w:val="auto"/>
                <w:sz w:val="21"/>
                <w:szCs w:val="21"/>
                <w:highlight w:val="none"/>
                <w:lang w:eastAsia="zh-CN"/>
              </w:rPr>
              <w:t>；</w:t>
            </w:r>
          </w:p>
          <w:p w14:paraId="39F784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二档(</w:t>
            </w:r>
            <w:r>
              <w:rPr>
                <w:rFonts w:hint="eastAsia" w:ascii="宋体" w:hAnsi="宋体" w:cs="宋体"/>
                <w:color w:val="auto"/>
                <w:sz w:val="21"/>
                <w:szCs w:val="21"/>
                <w:highlight w:val="none"/>
                <w:lang w:val="en-US" w:eastAsia="zh-CN"/>
              </w:rPr>
              <w:t>6</w:t>
            </w:r>
            <w:r>
              <w:rPr>
                <w:rFonts w:hint="eastAsia" w:ascii="宋体" w:hAnsi="宋体" w:eastAsia="宋体" w:cs="宋体"/>
                <w:color w:val="auto"/>
                <w:sz w:val="21"/>
                <w:szCs w:val="21"/>
                <w:highlight w:val="none"/>
              </w:rPr>
              <w:t>分)：培</w:t>
            </w:r>
            <w:r>
              <w:rPr>
                <w:rFonts w:hint="eastAsia" w:ascii="宋体" w:hAnsi="宋体" w:cs="宋体"/>
                <w:color w:val="auto"/>
                <w:sz w:val="21"/>
                <w:szCs w:val="21"/>
                <w:highlight w:val="none"/>
                <w:lang w:eastAsia="zh-CN"/>
              </w:rPr>
              <w:t>训方</w:t>
            </w:r>
            <w:r>
              <w:rPr>
                <w:rFonts w:hint="eastAsia" w:ascii="宋体" w:hAnsi="宋体" w:eastAsia="宋体" w:cs="宋体"/>
                <w:color w:val="auto"/>
                <w:sz w:val="21"/>
                <w:szCs w:val="21"/>
                <w:highlight w:val="none"/>
              </w:rPr>
              <w:t>案与采购需求贴合度一般，培训方式较为单一</w:t>
            </w:r>
            <w:r>
              <w:rPr>
                <w:rFonts w:hint="eastAsia" w:ascii="宋体" w:hAnsi="宋体" w:cs="宋体"/>
                <w:color w:val="auto"/>
                <w:sz w:val="21"/>
                <w:szCs w:val="21"/>
                <w:highlight w:val="none"/>
                <w:lang w:eastAsia="zh-CN"/>
              </w:rPr>
              <w:t>；为采购人提供有专人指导和容易上手的平台操作培训课程及培训内容安排；</w:t>
            </w:r>
          </w:p>
          <w:p w14:paraId="74DB91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三档(</w:t>
            </w:r>
            <w:r>
              <w:rPr>
                <w:rFonts w:hint="eastAsia" w:ascii="宋体" w:hAnsi="宋体" w:cs="宋体"/>
                <w:color w:val="auto"/>
                <w:sz w:val="21"/>
                <w:szCs w:val="21"/>
                <w:highlight w:val="none"/>
                <w:lang w:val="en-US" w:eastAsia="zh-CN"/>
              </w:rPr>
              <w:t>9</w:t>
            </w:r>
            <w:r>
              <w:rPr>
                <w:rFonts w:hint="eastAsia" w:ascii="宋体" w:hAnsi="宋体" w:eastAsia="宋体" w:cs="宋体"/>
                <w:color w:val="auto"/>
                <w:sz w:val="21"/>
                <w:szCs w:val="21"/>
                <w:highlight w:val="none"/>
              </w:rPr>
              <w:t>分)：培训方案基本贴合采购需求，合并章节但仍覆盖用人单位、个体求职者、乡镇/社区服务站工作人员，培训内容和方式较为合理，提供《平台后台操作指导手册》</w:t>
            </w:r>
            <w:r>
              <w:rPr>
                <w:rFonts w:hint="eastAsia" w:ascii="宋体" w:hAnsi="宋体" w:cs="宋体"/>
                <w:color w:val="auto"/>
                <w:sz w:val="21"/>
                <w:szCs w:val="21"/>
                <w:highlight w:val="none"/>
                <w:lang w:eastAsia="zh-CN"/>
              </w:rPr>
              <w:t>；</w:t>
            </w:r>
          </w:p>
          <w:p w14:paraId="66F4AA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textAlignment w:val="auto"/>
              <w:rPr>
                <w:rFonts w:hint="eastAsia" w:ascii="宋体" w:hAnsi="宋体" w:eastAsia="宋体" w:cs="宋体"/>
                <w:color w:val="auto"/>
                <w:kern w:val="0"/>
                <w:sz w:val="21"/>
                <w:szCs w:val="21"/>
                <w:highlight w:val="none"/>
                <w:lang w:val="en-US" w:eastAsia="zh-CN" w:bidi="ar"/>
              </w:rPr>
            </w:pPr>
            <w:r>
              <w:rPr>
                <w:rFonts w:hint="eastAsia" w:ascii="宋体" w:hAnsi="宋体" w:eastAsia="宋体" w:cs="宋体"/>
                <w:color w:val="auto"/>
                <w:sz w:val="21"/>
                <w:szCs w:val="21"/>
                <w:highlight w:val="none"/>
              </w:rPr>
              <w:t>四档(</w:t>
            </w:r>
            <w:r>
              <w:rPr>
                <w:rFonts w:hint="eastAsia" w:ascii="宋体" w:hAnsi="宋体" w:cs="宋体"/>
                <w:color w:val="auto"/>
                <w:sz w:val="21"/>
                <w:szCs w:val="21"/>
                <w:highlight w:val="none"/>
                <w:lang w:val="en-US" w:eastAsia="zh-CN"/>
              </w:rPr>
              <w:t>12</w:t>
            </w:r>
            <w:r>
              <w:rPr>
                <w:rFonts w:hint="eastAsia" w:ascii="宋体" w:hAnsi="宋体" w:eastAsia="宋体" w:cs="宋体"/>
                <w:color w:val="auto"/>
                <w:sz w:val="21"/>
                <w:szCs w:val="21"/>
                <w:highlight w:val="none"/>
              </w:rPr>
              <w:t>分)：培训方案完全贴合采购需求，针对“用人单位、求职者、乡镇/社区服务站工作人员、重点企业”四类群体均有培训方案，培训方式灵活多样，培训内容详细，提供《平台后台操作指导手册》、</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培训意见回执表</w:t>
            </w:r>
            <w:r>
              <w:rPr>
                <w:rFonts w:hint="eastAsia" w:ascii="宋体" w:hAnsi="宋体" w:cs="宋体"/>
                <w:color w:val="auto"/>
                <w:sz w:val="21"/>
                <w:szCs w:val="21"/>
                <w:highlight w:val="none"/>
                <w:lang w:eastAsia="zh-CN"/>
              </w:rPr>
              <w:t>》</w:t>
            </w:r>
            <w:r>
              <w:rPr>
                <w:rFonts w:hint="eastAsia" w:ascii="宋体" w:hAnsi="宋体" w:eastAsia="宋体" w:cs="宋体"/>
                <w:color w:val="auto"/>
                <w:sz w:val="21"/>
                <w:szCs w:val="21"/>
                <w:highlight w:val="none"/>
              </w:rPr>
              <w:t>。对平台的操作过程中注意事项有详细指引，前期阶段承诺拟派技术人员提供驻场服务，培训方案重难点突出，完全实现采购人培训要求。</w:t>
            </w:r>
          </w:p>
        </w:tc>
        <w:tc>
          <w:tcPr>
            <w:tcW w:w="1003" w:type="dxa"/>
            <w:vAlign w:val="center"/>
          </w:tcPr>
          <w:p w14:paraId="330F53C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0~12分</w:t>
            </w:r>
          </w:p>
        </w:tc>
      </w:tr>
      <w:tr w14:paraId="117D99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Align w:val="bottom"/>
          </w:tcPr>
          <w:p w14:paraId="369F287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3</w:t>
            </w:r>
          </w:p>
        </w:tc>
        <w:tc>
          <w:tcPr>
            <w:tcW w:w="1260" w:type="dxa"/>
            <w:vAlign w:val="bottom"/>
          </w:tcPr>
          <w:p w14:paraId="17CA722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商务</w:t>
            </w:r>
          </w:p>
        </w:tc>
        <w:tc>
          <w:tcPr>
            <w:tcW w:w="5550" w:type="dxa"/>
            <w:vAlign w:val="bottom"/>
          </w:tcPr>
          <w:p w14:paraId="199944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b/>
                <w:color w:val="auto"/>
                <w:szCs w:val="20"/>
                <w:highlight w:val="none"/>
              </w:rPr>
            </w:pPr>
            <w:r>
              <w:rPr>
                <w:rFonts w:hint="eastAsia" w:ascii="宋体" w:hAnsi="宋体"/>
                <w:b/>
                <w:color w:val="auto"/>
                <w:szCs w:val="20"/>
                <w:highlight w:val="none"/>
              </w:rPr>
              <w:t>商务分</w:t>
            </w:r>
          </w:p>
        </w:tc>
        <w:tc>
          <w:tcPr>
            <w:tcW w:w="1003" w:type="dxa"/>
            <w:vAlign w:val="bottom"/>
          </w:tcPr>
          <w:p w14:paraId="77EB33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default" w:ascii="宋体" w:hAnsi="宋体" w:eastAsia="宋体"/>
                <w:b/>
                <w:color w:val="auto"/>
                <w:szCs w:val="20"/>
                <w:highlight w:val="none"/>
                <w:lang w:val="en-US" w:eastAsia="zh-CN"/>
              </w:rPr>
            </w:pPr>
            <w:r>
              <w:rPr>
                <w:rFonts w:hint="eastAsia" w:ascii="宋体" w:hAnsi="宋体"/>
                <w:b/>
                <w:color w:val="auto"/>
                <w:szCs w:val="20"/>
                <w:highlight w:val="none"/>
              </w:rPr>
              <w:t>0～</w:t>
            </w:r>
            <w:r>
              <w:rPr>
                <w:rFonts w:hint="eastAsia" w:ascii="宋体" w:hAnsi="宋体"/>
                <w:b/>
                <w:color w:val="auto"/>
                <w:szCs w:val="20"/>
                <w:highlight w:val="none"/>
                <w:lang w:val="en-US" w:eastAsia="zh-CN"/>
              </w:rPr>
              <w:t>23分</w:t>
            </w:r>
          </w:p>
        </w:tc>
      </w:tr>
      <w:tr w14:paraId="6812A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restart"/>
            <w:vAlign w:val="center"/>
          </w:tcPr>
          <w:p w14:paraId="77A789F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eastAsia="宋体" w:cs="宋体"/>
                <w:color w:val="auto"/>
                <w:kern w:val="0"/>
                <w:szCs w:val="21"/>
                <w:highlight w:val="none"/>
                <w:lang w:eastAsia="zh-CN" w:bidi="ar"/>
              </w:rPr>
            </w:pPr>
            <w:r>
              <w:rPr>
                <w:rFonts w:hint="eastAsia" w:ascii="宋体" w:hAnsi="宋体" w:cs="宋体"/>
                <w:color w:val="auto"/>
                <w:kern w:val="0"/>
                <w:szCs w:val="21"/>
                <w:highlight w:val="none"/>
                <w:lang w:bidi="ar"/>
              </w:rPr>
              <w:t>3.</w:t>
            </w:r>
            <w:r>
              <w:rPr>
                <w:rFonts w:hint="eastAsia" w:ascii="宋体" w:hAnsi="宋体" w:cs="宋体"/>
                <w:color w:val="auto"/>
                <w:kern w:val="0"/>
                <w:szCs w:val="21"/>
                <w:highlight w:val="none"/>
                <w:lang w:val="en-US" w:eastAsia="zh-CN" w:bidi="ar"/>
              </w:rPr>
              <w:t>1</w:t>
            </w:r>
          </w:p>
        </w:tc>
        <w:tc>
          <w:tcPr>
            <w:tcW w:w="1260" w:type="dxa"/>
            <w:vMerge w:val="restart"/>
            <w:vAlign w:val="center"/>
          </w:tcPr>
          <w:p w14:paraId="531A58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val="en-US" w:eastAsia="zh-CN" w:bidi="ar"/>
              </w:rPr>
              <w:t>综合实力</w:t>
            </w:r>
            <w:r>
              <w:rPr>
                <w:rFonts w:hint="eastAsia" w:ascii="宋体" w:hAnsi="宋体" w:cs="宋体"/>
                <w:color w:val="auto"/>
                <w:kern w:val="0"/>
                <w:szCs w:val="21"/>
                <w:highlight w:val="none"/>
                <w:lang w:bidi="ar"/>
              </w:rPr>
              <w:t>分（</w:t>
            </w:r>
            <w:r>
              <w:rPr>
                <w:rFonts w:hint="eastAsia" w:ascii="宋体" w:hAnsi="宋体" w:cs="宋体"/>
                <w:color w:val="auto"/>
                <w:kern w:val="0"/>
                <w:szCs w:val="21"/>
                <w:highlight w:val="none"/>
                <w:lang w:val="en-US" w:eastAsia="zh-CN" w:bidi="ar"/>
              </w:rPr>
              <w:t>客观分</w:t>
            </w:r>
            <w:r>
              <w:rPr>
                <w:rFonts w:hint="eastAsia" w:ascii="宋体" w:hAnsi="宋体" w:cs="宋体"/>
                <w:color w:val="auto"/>
                <w:kern w:val="0"/>
                <w:szCs w:val="21"/>
                <w:highlight w:val="none"/>
                <w:lang w:bidi="ar"/>
              </w:rPr>
              <w:t>）</w:t>
            </w:r>
          </w:p>
        </w:tc>
        <w:tc>
          <w:tcPr>
            <w:tcW w:w="5550" w:type="dxa"/>
            <w:vAlign w:val="center"/>
          </w:tcPr>
          <w:p w14:paraId="59CBAE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1、供应商自2022年1月以来具有类似业绩，每提供1个得2分，最多得10分。【注：业绩时间以中标（成交）通知书时间或合同签订时间为准，须提供中标（成交）通知书或合同复印件，要求清晰反映项目名称及项目内容，否则不得分】</w:t>
            </w:r>
            <w:bookmarkStart w:id="238" w:name="_GoBack"/>
            <w:bookmarkEnd w:id="238"/>
          </w:p>
        </w:tc>
        <w:tc>
          <w:tcPr>
            <w:tcW w:w="1003" w:type="dxa"/>
            <w:vAlign w:val="center"/>
          </w:tcPr>
          <w:p w14:paraId="527554C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10</w:t>
            </w:r>
            <w:r>
              <w:rPr>
                <w:rFonts w:hint="eastAsia" w:ascii="宋体" w:hAnsi="宋体" w:cs="宋体"/>
                <w:color w:val="auto"/>
                <w:kern w:val="0"/>
                <w:szCs w:val="21"/>
                <w:highlight w:val="none"/>
                <w:lang w:bidi="ar"/>
              </w:rPr>
              <w:t>分</w:t>
            </w:r>
          </w:p>
        </w:tc>
      </w:tr>
      <w:tr w14:paraId="40292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vAlign w:val="center"/>
          </w:tcPr>
          <w:p w14:paraId="55156EE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p>
        </w:tc>
        <w:tc>
          <w:tcPr>
            <w:tcW w:w="1260" w:type="dxa"/>
            <w:vMerge w:val="continue"/>
            <w:vAlign w:val="center"/>
          </w:tcPr>
          <w:p w14:paraId="6C681C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val="en-US" w:eastAsia="zh-CN" w:bidi="ar"/>
              </w:rPr>
            </w:pPr>
          </w:p>
        </w:tc>
        <w:tc>
          <w:tcPr>
            <w:tcW w:w="5550" w:type="dxa"/>
            <w:vAlign w:val="center"/>
          </w:tcPr>
          <w:p w14:paraId="13A710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2、拟投入项目实施人员持有人力资源管理师证/职业指导师证/劳动关系协调师，每提供一个证书得2分，本项满分10分。（一人一证，不重复计分）</w:t>
            </w:r>
          </w:p>
          <w:p w14:paraId="13394D0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注：拟投入人员须提供其有效的资格或职称证书复印件及截标前半年内任意一个月参保证明或劳动合同证明。否则不予计分。</w:t>
            </w:r>
          </w:p>
        </w:tc>
        <w:tc>
          <w:tcPr>
            <w:tcW w:w="1003" w:type="dxa"/>
            <w:vAlign w:val="center"/>
          </w:tcPr>
          <w:p w14:paraId="38630DA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0~10分</w:t>
            </w:r>
          </w:p>
        </w:tc>
      </w:tr>
      <w:tr w14:paraId="1C87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6" w:type="dxa"/>
            <w:vMerge w:val="continue"/>
            <w:vAlign w:val="center"/>
          </w:tcPr>
          <w:p w14:paraId="08322C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p>
        </w:tc>
        <w:tc>
          <w:tcPr>
            <w:tcW w:w="1260" w:type="dxa"/>
            <w:vMerge w:val="continue"/>
            <w:vAlign w:val="center"/>
          </w:tcPr>
          <w:p w14:paraId="274A619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val="en-US" w:eastAsia="zh-CN" w:bidi="ar"/>
              </w:rPr>
            </w:pPr>
          </w:p>
        </w:tc>
        <w:tc>
          <w:tcPr>
            <w:tcW w:w="5550" w:type="dxa"/>
            <w:vAlign w:val="center"/>
          </w:tcPr>
          <w:p w14:paraId="5D3E720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3、磋商供应商拟投入的实施人员中，具有计算机技术与软件相关专业技术资格或计算机相关职称，每投入1名个中级（及以上）资格或职称得1.5分，满分3分。</w:t>
            </w:r>
          </w:p>
          <w:p w14:paraId="778A3E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firstLine="420" w:firstLineChars="200"/>
              <w:jc w:val="left"/>
              <w:textAlignment w:val="auto"/>
              <w:rPr>
                <w:rFonts w:hint="eastAsia" w:ascii="宋体" w:hAnsi="宋体" w:cs="宋体"/>
                <w:color w:val="auto"/>
                <w:kern w:val="0"/>
                <w:szCs w:val="21"/>
                <w:highlight w:val="none"/>
                <w:lang w:val="en-US" w:eastAsia="zh-CN" w:bidi="ar"/>
              </w:rPr>
            </w:pPr>
            <w:r>
              <w:rPr>
                <w:rFonts w:hint="eastAsia" w:ascii="宋体" w:hAnsi="宋体" w:cs="宋体"/>
                <w:color w:val="auto"/>
                <w:kern w:val="0"/>
                <w:szCs w:val="21"/>
                <w:highlight w:val="none"/>
                <w:lang w:val="en-US" w:eastAsia="zh-CN" w:bidi="ar"/>
              </w:rPr>
              <w:t>注：拟投入人员须提供其有效的资格或职称证书复印件及截标前半年内任意一个月参保证明或劳动合同证明。否则不予计分。</w:t>
            </w:r>
          </w:p>
        </w:tc>
        <w:tc>
          <w:tcPr>
            <w:tcW w:w="1003" w:type="dxa"/>
            <w:vAlign w:val="center"/>
          </w:tcPr>
          <w:p w14:paraId="705B3B3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center"/>
              <w:textAlignment w:val="auto"/>
              <w:rPr>
                <w:rFonts w:hint="eastAsia" w:ascii="宋体" w:hAnsi="宋体" w:cs="宋体"/>
                <w:color w:val="auto"/>
                <w:kern w:val="0"/>
                <w:szCs w:val="21"/>
                <w:highlight w:val="none"/>
                <w:lang w:bidi="ar"/>
              </w:rPr>
            </w:pPr>
            <w:r>
              <w:rPr>
                <w:rFonts w:hint="eastAsia" w:ascii="宋体" w:hAnsi="宋体" w:cs="宋体"/>
                <w:color w:val="auto"/>
                <w:kern w:val="0"/>
                <w:szCs w:val="21"/>
                <w:highlight w:val="none"/>
                <w:lang w:bidi="ar"/>
              </w:rPr>
              <w:t>0~</w:t>
            </w:r>
            <w:r>
              <w:rPr>
                <w:rFonts w:hint="eastAsia" w:ascii="宋体" w:hAnsi="宋体" w:cs="宋体"/>
                <w:color w:val="auto"/>
                <w:kern w:val="0"/>
                <w:szCs w:val="21"/>
                <w:highlight w:val="none"/>
                <w:lang w:val="en-US" w:eastAsia="zh-CN" w:bidi="ar"/>
              </w:rPr>
              <w:t>3</w:t>
            </w:r>
            <w:r>
              <w:rPr>
                <w:rFonts w:hint="eastAsia" w:ascii="宋体" w:hAnsi="宋体" w:cs="宋体"/>
                <w:color w:val="auto"/>
                <w:kern w:val="0"/>
                <w:szCs w:val="21"/>
                <w:highlight w:val="none"/>
                <w:lang w:bidi="ar"/>
              </w:rPr>
              <w:t>分</w:t>
            </w:r>
          </w:p>
        </w:tc>
      </w:tr>
      <w:tr w14:paraId="06989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8519" w:type="dxa"/>
            <w:gridSpan w:val="4"/>
            <w:vAlign w:val="center"/>
          </w:tcPr>
          <w:p w14:paraId="26714D6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380" w:lineRule="exact"/>
              <w:ind w:left="0" w:right="0"/>
              <w:jc w:val="left"/>
              <w:textAlignment w:val="auto"/>
              <w:rPr>
                <w:rFonts w:hint="eastAsia" w:ascii="宋体" w:hAnsi="宋体"/>
                <w:b/>
                <w:color w:val="auto"/>
                <w:szCs w:val="20"/>
                <w:highlight w:val="none"/>
              </w:rPr>
            </w:pPr>
            <w:r>
              <w:rPr>
                <w:rFonts w:hint="eastAsia" w:ascii="宋体" w:hAnsi="宋体"/>
                <w:b/>
                <w:color w:val="auto"/>
                <w:szCs w:val="20"/>
                <w:highlight w:val="none"/>
              </w:rPr>
              <w:t>总得分＝1＋2＋3</w:t>
            </w:r>
          </w:p>
        </w:tc>
      </w:tr>
    </w:tbl>
    <w:p w14:paraId="6DFD4216">
      <w:pPr>
        <w:pStyle w:val="15"/>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hAnsi="宋体" w:cs="宋体"/>
          <w:color w:val="auto"/>
          <w:kern w:val="2"/>
          <w:sz w:val="21"/>
          <w:szCs w:val="24"/>
          <w:highlight w:val="none"/>
        </w:rPr>
      </w:pPr>
      <w:r>
        <w:rPr>
          <w:rFonts w:hAnsi="宋体" w:cs="宋体"/>
          <w:color w:val="auto"/>
          <w:kern w:val="2"/>
          <w:sz w:val="21"/>
          <w:szCs w:val="24"/>
          <w:highlight w:val="none"/>
        </w:rPr>
        <w:t xml:space="preserve"> </w:t>
      </w:r>
      <w:r>
        <w:rPr>
          <w:rFonts w:hint="eastAsia" w:hAnsi="宋体" w:cs="宋体"/>
          <w:color w:val="auto"/>
          <w:kern w:val="2"/>
          <w:sz w:val="21"/>
          <w:szCs w:val="24"/>
          <w:highlight w:val="none"/>
        </w:rPr>
        <w:t xml:space="preserve">  8.2商务技术评审因素为客观评分项的，应在评分项目或评分标准中予以标注为“客观分”。对供应商的客观评分项目，各评审专家评分应当一致。</w:t>
      </w:r>
    </w:p>
    <w:p w14:paraId="24F0D673">
      <w:pPr>
        <w:pStyle w:val="15"/>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hAnsi="宋体" w:cs="宋体"/>
          <w:color w:val="auto"/>
          <w:kern w:val="2"/>
          <w:sz w:val="21"/>
          <w:szCs w:val="24"/>
          <w:highlight w:val="none"/>
        </w:rPr>
      </w:pPr>
      <w:r>
        <w:rPr>
          <w:rFonts w:hAnsi="宋体" w:cs="宋体"/>
          <w:color w:val="auto"/>
          <w:kern w:val="2"/>
          <w:sz w:val="21"/>
          <w:szCs w:val="24"/>
          <w:highlight w:val="none"/>
        </w:rPr>
        <w:t>8</w:t>
      </w:r>
      <w:r>
        <w:rPr>
          <w:rFonts w:hint="eastAsia" w:hAnsi="宋体" w:cs="宋体"/>
          <w:color w:val="auto"/>
          <w:kern w:val="2"/>
          <w:sz w:val="21"/>
          <w:szCs w:val="24"/>
          <w:highlight w:val="none"/>
        </w:rPr>
        <w:t>.</w:t>
      </w:r>
      <w:r>
        <w:rPr>
          <w:rFonts w:hAnsi="宋体" w:cs="宋体"/>
          <w:color w:val="auto"/>
          <w:kern w:val="2"/>
          <w:sz w:val="21"/>
          <w:szCs w:val="24"/>
          <w:highlight w:val="none"/>
        </w:rPr>
        <w:t>3</w:t>
      </w:r>
      <w:r>
        <w:rPr>
          <w:rFonts w:hint="eastAsia" w:hAnsi="宋体" w:cs="宋体"/>
          <w:color w:val="auto"/>
          <w:kern w:val="2"/>
          <w:sz w:val="21"/>
          <w:szCs w:val="24"/>
          <w:highlight w:val="none"/>
        </w:rPr>
        <w:t>终止竞争性磋商采购活动</w:t>
      </w:r>
    </w:p>
    <w:p w14:paraId="2BCCCC0E">
      <w:pPr>
        <w:pStyle w:val="15"/>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hAnsi="宋体" w:cs="宋体"/>
          <w:color w:val="auto"/>
          <w:kern w:val="2"/>
          <w:sz w:val="21"/>
          <w:szCs w:val="24"/>
          <w:highlight w:val="none"/>
        </w:rPr>
      </w:pPr>
      <w:r>
        <w:rPr>
          <w:rFonts w:hint="eastAsia" w:hAnsi="宋体" w:cs="宋体"/>
          <w:color w:val="auto"/>
          <w:kern w:val="2"/>
          <w:sz w:val="21"/>
          <w:szCs w:val="24"/>
          <w:highlight w:val="none"/>
        </w:rPr>
        <w:t>磋商小组发现竞争性磋商文件存在歧义、重大缺陷导致评审工作无法进行，或者竞争性磋商文件内容违反国家有关规定的，要停止评审工作并向采购人或采购代理机构书面说明情况，采购人或采购代理机构应当修改竞争性磋商文件后重新组织采购活动；发现供应商提供虚假材料、串通等违法违规行为的，要及时向采购人或采购代理机构报告。</w:t>
      </w:r>
    </w:p>
    <w:p w14:paraId="601CDA6B">
      <w:pPr>
        <w:pStyle w:val="2"/>
        <w:pageBreakBefore w:val="0"/>
        <w:kinsoku/>
        <w:wordWrap/>
        <w:overflowPunct/>
        <w:topLinePunct w:val="0"/>
        <w:autoSpaceDE/>
        <w:autoSpaceDN/>
        <w:bidi w:val="0"/>
        <w:snapToGrid/>
        <w:spacing w:before="0" w:after="0" w:line="380" w:lineRule="exact"/>
        <w:jc w:val="center"/>
        <w:textAlignment w:val="auto"/>
        <w:rPr>
          <w:rFonts w:hint="eastAsia" w:ascii="宋体" w:hAnsi="宋体"/>
          <w:color w:val="auto"/>
          <w:sz w:val="24"/>
          <w:highlight w:val="none"/>
        </w:rPr>
      </w:pPr>
      <w:bookmarkStart w:id="56" w:name="_Toc80205935"/>
    </w:p>
    <w:p w14:paraId="2E192FE8">
      <w:pPr>
        <w:pStyle w:val="2"/>
        <w:pageBreakBefore w:val="0"/>
        <w:kinsoku/>
        <w:wordWrap/>
        <w:overflowPunct/>
        <w:topLinePunct w:val="0"/>
        <w:autoSpaceDE/>
        <w:autoSpaceDN/>
        <w:bidi w:val="0"/>
        <w:snapToGrid/>
        <w:spacing w:before="0" w:after="0" w:line="380" w:lineRule="exact"/>
        <w:jc w:val="center"/>
        <w:textAlignment w:val="auto"/>
        <w:rPr>
          <w:rFonts w:hint="eastAsia" w:ascii="宋体" w:hAnsi="宋体"/>
          <w:color w:val="auto"/>
          <w:sz w:val="24"/>
          <w:highlight w:val="none"/>
        </w:rPr>
      </w:pPr>
      <w:bookmarkStart w:id="57" w:name="_Toc7069"/>
      <w:r>
        <w:rPr>
          <w:rFonts w:hint="eastAsia" w:ascii="宋体" w:hAnsi="宋体"/>
          <w:color w:val="auto"/>
          <w:sz w:val="24"/>
          <w:highlight w:val="none"/>
        </w:rPr>
        <w:t>第二节 评标报告</w:t>
      </w:r>
      <w:bookmarkEnd w:id="56"/>
      <w:bookmarkEnd w:id="57"/>
    </w:p>
    <w:p w14:paraId="0191A65D">
      <w:pPr>
        <w:pageBreakBefore w:val="0"/>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1.成交标准</w:t>
      </w:r>
    </w:p>
    <w:p w14:paraId="3EDB5223">
      <w:pPr>
        <w:pageBreakBefore w:val="0"/>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bCs/>
          <w:color w:val="auto"/>
          <w:szCs w:val="21"/>
          <w:highlight w:val="none"/>
        </w:rPr>
        <w:t>由磋商小组根据综合评分情况，按照评审得分由高到低顺序推荐3名以上成交候选供应商</w:t>
      </w:r>
      <w:r>
        <w:rPr>
          <w:rFonts w:hint="eastAsia" w:ascii="宋体" w:hAnsi="宋体" w:cs="宋体"/>
          <w:color w:val="auto"/>
          <w:szCs w:val="21"/>
          <w:highlight w:val="none"/>
        </w:rPr>
        <w:t>,并在线编写电子评审报告</w:t>
      </w:r>
      <w:r>
        <w:rPr>
          <w:rFonts w:hint="eastAsia" w:ascii="宋体" w:hAnsi="宋体" w:cs="宋体"/>
          <w:bCs/>
          <w:color w:val="auto"/>
          <w:szCs w:val="21"/>
          <w:highlight w:val="none"/>
        </w:rPr>
        <w:t>。符合本章第一节第5.3条情形的，可以推荐2家成交候选供应商。评审得分相同的，按照最后报价（不计算价格折扣）由低到高的顺序推荐。评审得分且最后报价（不计算价格折扣）相同的，按照线上人力资源数据运营服务</w:t>
      </w:r>
      <w:r>
        <w:rPr>
          <w:rFonts w:hint="eastAsia" w:ascii="宋体" w:hAnsi="宋体" w:cs="宋体"/>
          <w:bCs/>
          <w:color w:val="auto"/>
          <w:szCs w:val="21"/>
          <w:highlight w:val="none"/>
          <w:lang w:val="en-US" w:eastAsia="zh-CN"/>
        </w:rPr>
        <w:t>方案</w:t>
      </w:r>
      <w:r>
        <w:rPr>
          <w:rFonts w:hint="eastAsia" w:ascii="宋体" w:hAnsi="宋体" w:cs="宋体"/>
          <w:bCs/>
          <w:color w:val="auto"/>
          <w:szCs w:val="21"/>
          <w:highlight w:val="none"/>
          <w:lang w:eastAsia="zh-CN"/>
        </w:rPr>
        <w:t>、项目团队与履约能力</w:t>
      </w:r>
      <w:r>
        <w:rPr>
          <w:rFonts w:hint="eastAsia" w:ascii="宋体" w:hAnsi="宋体" w:cs="宋体"/>
          <w:bCs/>
          <w:color w:val="auto"/>
          <w:szCs w:val="21"/>
          <w:highlight w:val="none"/>
        </w:rPr>
        <w:t>优劣顺序推荐（按技术得分由高到低排序，技术得分相同的按照服务需求偏离分由高到低排序）。评审得分、最后报价（不计算价格折扣）、技术得分、服务需求偏离分均相同的，由磋商小组随机抽取推荐。</w:t>
      </w:r>
    </w:p>
    <w:p w14:paraId="2B30EA82">
      <w:pPr>
        <w:pageBreakBefore w:val="0"/>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2.评标争议事项处理</w:t>
      </w:r>
    </w:p>
    <w:p w14:paraId="2BE8394A">
      <w:pPr>
        <w:pStyle w:val="36"/>
        <w:pageBreakBefore w:val="0"/>
        <w:kinsoku/>
        <w:wordWrap/>
        <w:overflowPunct/>
        <w:topLinePunct w:val="0"/>
        <w:autoSpaceDE/>
        <w:autoSpaceDN/>
        <w:bidi w:val="0"/>
        <w:snapToGrid/>
        <w:spacing w:before="0" w:line="380" w:lineRule="exact"/>
        <w:ind w:firstLine="420"/>
        <w:textAlignment w:val="auto"/>
        <w:rPr>
          <w:rFonts w:hint="eastAsia" w:ascii="宋体" w:hAnsi="宋体" w:cs="宋体"/>
          <w:color w:val="auto"/>
          <w:kern w:val="2"/>
          <w:sz w:val="21"/>
          <w:szCs w:val="21"/>
          <w:highlight w:val="none"/>
        </w:rPr>
      </w:pPr>
      <w:r>
        <w:rPr>
          <w:rFonts w:hint="eastAsia" w:ascii="宋体" w:hAnsi="宋体" w:cs="宋体"/>
          <w:color w:val="auto"/>
          <w:kern w:val="2"/>
          <w:sz w:val="21"/>
          <w:szCs w:val="21"/>
          <w:highlight w:val="none"/>
        </w:rPr>
        <w:t>磋商小组成员对需要共同认定的事项存在争议的，应当按照少数服从多数的原则作出结论。持不同意见的磋商小组成员应当在评标报告上签署不同意见及理由，否则视为同意评标报告。</w:t>
      </w:r>
    </w:p>
    <w:p w14:paraId="6155D325">
      <w:pPr>
        <w:pageBreakBefore w:val="0"/>
        <w:kinsoku/>
        <w:wordWrap/>
        <w:overflowPunct/>
        <w:topLinePunct w:val="0"/>
        <w:autoSpaceDE/>
        <w:autoSpaceDN/>
        <w:bidi w:val="0"/>
        <w:snapToGrid/>
        <w:spacing w:line="380" w:lineRule="exact"/>
        <w:ind w:firstLine="420" w:firstLineChars="200"/>
        <w:jc w:val="center"/>
        <w:textAlignment w:val="auto"/>
        <w:rPr>
          <w:rFonts w:hint="eastAsia" w:ascii="宋体" w:hAnsi="宋体"/>
          <w:color w:val="auto"/>
          <w:highlight w:val="none"/>
        </w:rPr>
      </w:pPr>
      <w:bookmarkStart w:id="58" w:name="_Toc80205936"/>
    </w:p>
    <w:p w14:paraId="575BBA52">
      <w:pPr>
        <w:pStyle w:val="2"/>
        <w:pageBreakBefore w:val="0"/>
        <w:kinsoku/>
        <w:wordWrap/>
        <w:overflowPunct/>
        <w:topLinePunct w:val="0"/>
        <w:autoSpaceDE/>
        <w:autoSpaceDN/>
        <w:bidi w:val="0"/>
        <w:snapToGrid/>
        <w:spacing w:before="0" w:after="0" w:line="380" w:lineRule="exact"/>
        <w:jc w:val="center"/>
        <w:textAlignment w:val="auto"/>
        <w:rPr>
          <w:rFonts w:hint="eastAsia" w:ascii="宋体" w:hAnsi="宋体"/>
          <w:color w:val="auto"/>
          <w:sz w:val="24"/>
          <w:highlight w:val="none"/>
        </w:rPr>
      </w:pPr>
      <w:bookmarkStart w:id="59" w:name="_Toc6545"/>
      <w:r>
        <w:rPr>
          <w:rFonts w:hint="eastAsia" w:ascii="宋体" w:hAnsi="宋体"/>
          <w:color w:val="auto"/>
          <w:sz w:val="24"/>
          <w:highlight w:val="none"/>
        </w:rPr>
        <w:t>第三节 评审过程的保密与录像</w:t>
      </w:r>
      <w:bookmarkEnd w:id="58"/>
      <w:bookmarkEnd w:id="59"/>
    </w:p>
    <w:p w14:paraId="3660F240">
      <w:pPr>
        <w:pageBreakBefore w:val="0"/>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1.保密。</w:t>
      </w:r>
    </w:p>
    <w:p w14:paraId="2B2E6DD2">
      <w:pPr>
        <w:pageBreakBefore w:val="0"/>
        <w:widowControl/>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评审活动在严格保密的情况下进行。评审过程中凡是与采购响应文件评审和比较、中标成交供应商推荐等评审有关的情况，以及涉及国家秘密和商业秘密等信息，评审委员会成员、采购人和采购机构工作人员、相关监督人员等与评审有关的人员应当予以保密。</w:t>
      </w:r>
    </w:p>
    <w:p w14:paraId="69C35540">
      <w:pPr>
        <w:pageBreakBefore w:val="0"/>
        <w:widowControl/>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2.录音录像。</w:t>
      </w:r>
    </w:p>
    <w:p w14:paraId="62D5861B">
      <w:pPr>
        <w:pageBreakBefore w:val="0"/>
        <w:kinsoku/>
        <w:wordWrap/>
        <w:overflowPunct/>
        <w:topLinePunct w:val="0"/>
        <w:autoSpaceDE/>
        <w:autoSpaceDN/>
        <w:bidi w:val="0"/>
        <w:snapToGrid/>
        <w:spacing w:line="380" w:lineRule="exact"/>
        <w:ind w:firstLine="420" w:firstLineChars="200"/>
        <w:textAlignment w:val="auto"/>
        <w:rPr>
          <w:rFonts w:hint="eastAsia" w:ascii="宋体" w:hAnsi="宋体" w:cs="宋体"/>
          <w:color w:val="auto"/>
          <w:szCs w:val="21"/>
          <w:highlight w:val="none"/>
        </w:rPr>
      </w:pPr>
      <w:r>
        <w:rPr>
          <w:rFonts w:hint="eastAsia" w:ascii="宋体" w:hAnsi="宋体" w:cs="宋体"/>
          <w:color w:val="auto"/>
          <w:szCs w:val="21"/>
          <w:highlight w:val="none"/>
        </w:rPr>
        <w:t>采购代理机构对评审工作现场及操作屏幕进行全过程录音录像，录音录像资料作为采购项目文件随其他文件一并存档。</w:t>
      </w:r>
    </w:p>
    <w:p w14:paraId="5C18201D">
      <w:pPr>
        <w:pageBreakBefore w:val="0"/>
        <w:kinsoku/>
        <w:wordWrap/>
        <w:overflowPunct/>
        <w:topLinePunct w:val="0"/>
        <w:autoSpaceDE/>
        <w:autoSpaceDN/>
        <w:bidi w:val="0"/>
        <w:snapToGrid/>
        <w:spacing w:line="380" w:lineRule="exact"/>
        <w:textAlignment w:val="auto"/>
        <w:rPr>
          <w:rFonts w:cs="宋体"/>
          <w:color w:val="auto"/>
          <w:highlight w:val="none"/>
        </w:rPr>
      </w:pPr>
    </w:p>
    <w:p w14:paraId="70F1007B">
      <w:pPr>
        <w:jc w:val="center"/>
        <w:rPr>
          <w:color w:val="auto"/>
          <w:highlight w:val="none"/>
        </w:rPr>
      </w:pPr>
      <w:r>
        <w:rPr>
          <w:b/>
          <w:bCs/>
          <w:color w:val="auto"/>
          <w:highlight w:val="none"/>
        </w:rPr>
        <w:br w:type="page"/>
      </w:r>
    </w:p>
    <w:p w14:paraId="0182209D">
      <w:pPr>
        <w:pStyle w:val="2"/>
        <w:spacing w:before="0" w:after="90" w:line="240" w:lineRule="auto"/>
        <w:jc w:val="center"/>
        <w:rPr>
          <w:color w:val="auto"/>
          <w:highlight w:val="none"/>
        </w:rPr>
      </w:pPr>
      <w:bookmarkStart w:id="60" w:name="_Toc15481"/>
      <w:bookmarkStart w:id="61" w:name="_Toc80205938"/>
      <w:r>
        <w:rPr>
          <w:rFonts w:hint="eastAsia"/>
          <w:color w:val="auto"/>
          <w:highlight w:val="none"/>
        </w:rPr>
        <w:t>第五章响应文件格式</w:t>
      </w:r>
      <w:bookmarkEnd w:id="60"/>
    </w:p>
    <w:p w14:paraId="0061DC91">
      <w:pPr>
        <w:pStyle w:val="2"/>
        <w:spacing w:before="0" w:after="0" w:line="440" w:lineRule="exact"/>
        <w:jc w:val="center"/>
        <w:rPr>
          <w:rFonts w:hint="eastAsia" w:ascii="宋体" w:hAnsi="宋体"/>
          <w:color w:val="auto"/>
          <w:sz w:val="24"/>
          <w:highlight w:val="none"/>
        </w:rPr>
      </w:pPr>
      <w:bookmarkStart w:id="62" w:name="_Toc10790"/>
      <w:r>
        <w:rPr>
          <w:rFonts w:hint="eastAsia" w:ascii="宋体" w:hAnsi="宋体"/>
          <w:color w:val="auto"/>
          <w:sz w:val="24"/>
          <w:highlight w:val="none"/>
        </w:rPr>
        <w:t>第一节 封面格式</w:t>
      </w:r>
      <w:bookmarkEnd w:id="61"/>
      <w:bookmarkEnd w:id="62"/>
    </w:p>
    <w:p w14:paraId="00AC47E7">
      <w:pPr>
        <w:snapToGrid w:val="0"/>
        <w:spacing w:before="120" w:beforeLines="50" w:after="50"/>
        <w:rPr>
          <w:rFonts w:hint="eastAsia" w:ascii="宋体" w:hAnsi="宋体"/>
          <w:color w:val="auto"/>
          <w:sz w:val="24"/>
          <w:szCs w:val="20"/>
          <w:highlight w:val="none"/>
        </w:rPr>
      </w:pPr>
    </w:p>
    <w:p w14:paraId="52F4A9A5">
      <w:pPr>
        <w:snapToGrid w:val="0"/>
        <w:spacing w:before="120" w:beforeLines="50" w:after="50"/>
        <w:jc w:val="center"/>
        <w:rPr>
          <w:rFonts w:hint="eastAsia" w:ascii="宋体" w:hAnsi="宋体"/>
          <w:bCs/>
          <w:color w:val="auto"/>
          <w:sz w:val="24"/>
          <w:szCs w:val="20"/>
          <w:highlight w:val="none"/>
        </w:rPr>
      </w:pPr>
    </w:p>
    <w:p w14:paraId="39082088">
      <w:pPr>
        <w:snapToGrid w:val="0"/>
        <w:spacing w:before="120" w:beforeLines="50" w:after="50"/>
        <w:jc w:val="center"/>
        <w:rPr>
          <w:rFonts w:hint="eastAsia" w:ascii="方正小标宋简体" w:hAnsi="方正小标宋简体" w:eastAsia="方正小标宋简体" w:cs="方正小标宋简体"/>
          <w:bCs/>
          <w:color w:val="auto"/>
          <w:sz w:val="44"/>
          <w:szCs w:val="44"/>
          <w:highlight w:val="none"/>
        </w:rPr>
      </w:pPr>
      <w:r>
        <w:rPr>
          <w:rFonts w:hint="eastAsia" w:ascii="方正小标宋简体" w:hAnsi="方正小标宋简体" w:eastAsia="方正小标宋简体" w:cs="方正小标宋简体"/>
          <w:bCs/>
          <w:color w:val="auto"/>
          <w:sz w:val="44"/>
          <w:szCs w:val="44"/>
          <w:highlight w:val="none"/>
        </w:rPr>
        <w:t>响  应  文  件</w:t>
      </w:r>
    </w:p>
    <w:p w14:paraId="52F9171B">
      <w:pPr>
        <w:snapToGrid w:val="0"/>
        <w:spacing w:before="120" w:beforeLines="50" w:after="50"/>
        <w:rPr>
          <w:rFonts w:hint="eastAsia" w:ascii="宋体" w:hAnsi="宋体"/>
          <w:bCs/>
          <w:color w:val="auto"/>
          <w:sz w:val="24"/>
          <w:szCs w:val="20"/>
          <w:highlight w:val="none"/>
        </w:rPr>
      </w:pPr>
    </w:p>
    <w:p w14:paraId="2C2C0711">
      <w:pPr>
        <w:snapToGrid w:val="0"/>
        <w:spacing w:before="120" w:beforeLines="50" w:after="50"/>
        <w:rPr>
          <w:rFonts w:hint="eastAsia" w:ascii="宋体" w:hAnsi="宋体"/>
          <w:bCs/>
          <w:color w:val="auto"/>
          <w:sz w:val="24"/>
          <w:szCs w:val="20"/>
          <w:highlight w:val="none"/>
        </w:rPr>
      </w:pPr>
    </w:p>
    <w:p w14:paraId="39290B96">
      <w:pPr>
        <w:snapToGrid w:val="0"/>
        <w:spacing w:before="120" w:beforeLines="50" w:after="50"/>
        <w:rPr>
          <w:rFonts w:hint="eastAsia" w:ascii="仿宋_GB2312" w:hAnsi="仿宋_GB2312" w:eastAsia="仿宋_GB2312" w:cs="仿宋_GB2312"/>
          <w:bCs/>
          <w:color w:val="auto"/>
          <w:sz w:val="32"/>
          <w:szCs w:val="32"/>
          <w:highlight w:val="none"/>
        </w:rPr>
      </w:pPr>
    </w:p>
    <w:p w14:paraId="4367F8A9">
      <w:pPr>
        <w:snapToGrid w:val="0"/>
        <w:spacing w:before="120" w:beforeLines="50" w:after="50"/>
        <w:rPr>
          <w:rFonts w:hint="eastAsia" w:ascii="宋体" w:hAnsi="宋体" w:eastAsia="宋体" w:cs="仿宋_GB2312"/>
          <w:bCs/>
          <w:color w:val="auto"/>
          <w:spacing w:val="-6"/>
          <w:sz w:val="32"/>
          <w:szCs w:val="32"/>
          <w:highlight w:val="none"/>
          <w:lang w:eastAsia="zh-CN"/>
        </w:rPr>
      </w:pPr>
      <w:r>
        <w:rPr>
          <w:rFonts w:hint="eastAsia" w:ascii="宋体" w:hAnsi="宋体" w:cs="仿宋_GB2312"/>
          <w:bCs/>
          <w:color w:val="auto"/>
          <w:sz w:val="32"/>
          <w:szCs w:val="32"/>
          <w:highlight w:val="none"/>
        </w:rPr>
        <w:t>项目名称：</w:t>
      </w:r>
      <w:r>
        <w:rPr>
          <w:rFonts w:hint="eastAsia" w:ascii="宋体" w:hAnsi="宋体" w:cs="仿宋_GB2312"/>
          <w:bCs/>
          <w:color w:val="auto"/>
          <w:spacing w:val="-6"/>
          <w:sz w:val="32"/>
          <w:szCs w:val="32"/>
          <w:highlight w:val="none"/>
          <w:lang w:eastAsia="zh-CN"/>
        </w:rPr>
        <w:t>扶绥县就业公共服务能力提升项目—线上人力资源数据运营服务</w:t>
      </w:r>
    </w:p>
    <w:p w14:paraId="0FC5FFB1">
      <w:pPr>
        <w:snapToGrid w:val="0"/>
        <w:spacing w:before="120" w:beforeLines="50" w:after="50"/>
        <w:ind w:firstLine="480" w:firstLineChars="150"/>
        <w:rPr>
          <w:rFonts w:hint="eastAsia" w:ascii="宋体" w:hAnsi="宋体" w:cs="仿宋_GB2312"/>
          <w:bCs/>
          <w:color w:val="auto"/>
          <w:sz w:val="32"/>
          <w:szCs w:val="32"/>
          <w:highlight w:val="none"/>
        </w:rPr>
      </w:pPr>
    </w:p>
    <w:p w14:paraId="0A55F9C6">
      <w:pPr>
        <w:snapToGrid w:val="0"/>
        <w:spacing w:before="120" w:beforeLines="50" w:after="50"/>
        <w:rPr>
          <w:rFonts w:hint="eastAsia" w:ascii="宋体" w:hAnsi="宋体" w:eastAsia="宋体" w:cs="仿宋_GB2312"/>
          <w:bCs/>
          <w:color w:val="auto"/>
          <w:sz w:val="32"/>
          <w:szCs w:val="32"/>
          <w:highlight w:val="none"/>
          <w:lang w:eastAsia="zh-CN"/>
        </w:rPr>
      </w:pPr>
      <w:r>
        <w:rPr>
          <w:rFonts w:hint="eastAsia" w:ascii="宋体" w:hAnsi="宋体" w:cs="仿宋_GB2312"/>
          <w:bCs/>
          <w:color w:val="auto"/>
          <w:sz w:val="32"/>
          <w:szCs w:val="32"/>
          <w:highlight w:val="none"/>
        </w:rPr>
        <w:t>项目编号：</w:t>
      </w:r>
      <w:r>
        <w:rPr>
          <w:rFonts w:hint="eastAsia" w:ascii="宋体" w:hAnsi="宋体" w:cs="仿宋_GB2312"/>
          <w:bCs/>
          <w:color w:val="auto"/>
          <w:sz w:val="32"/>
          <w:szCs w:val="32"/>
          <w:highlight w:val="none"/>
          <w:lang w:eastAsia="zh-CN"/>
        </w:rPr>
        <w:t>CZZC2025-C3-210076-GLZB</w:t>
      </w:r>
    </w:p>
    <w:p w14:paraId="12EF5630">
      <w:pPr>
        <w:snapToGrid w:val="0"/>
        <w:spacing w:before="120" w:beforeLines="50" w:after="50"/>
        <w:ind w:firstLine="480" w:firstLineChars="150"/>
        <w:rPr>
          <w:rFonts w:hint="eastAsia" w:ascii="宋体" w:hAnsi="宋体" w:cs="仿宋_GB2312"/>
          <w:bCs/>
          <w:color w:val="auto"/>
          <w:sz w:val="32"/>
          <w:szCs w:val="32"/>
          <w:highlight w:val="none"/>
        </w:rPr>
      </w:pPr>
    </w:p>
    <w:p w14:paraId="3948C079">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所竞分标（如有则填写，无分标时填写“无”或者留空）：</w:t>
      </w:r>
    </w:p>
    <w:p w14:paraId="075DB850">
      <w:pPr>
        <w:snapToGrid w:val="0"/>
        <w:spacing w:before="120" w:beforeLines="50" w:after="50"/>
        <w:rPr>
          <w:rFonts w:hint="eastAsia" w:ascii="宋体" w:hAnsi="宋体" w:cs="仿宋_GB2312"/>
          <w:bCs/>
          <w:color w:val="auto"/>
          <w:sz w:val="32"/>
          <w:szCs w:val="32"/>
          <w:highlight w:val="none"/>
        </w:rPr>
      </w:pPr>
    </w:p>
    <w:p w14:paraId="71127575">
      <w:pPr>
        <w:snapToGrid w:val="0"/>
        <w:spacing w:before="120" w:beforeLines="50" w:after="50"/>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供应商名称：</w:t>
      </w:r>
    </w:p>
    <w:p w14:paraId="1B6588D7">
      <w:pPr>
        <w:snapToGrid w:val="0"/>
        <w:spacing w:before="120" w:beforeLines="50" w:after="50"/>
        <w:rPr>
          <w:rFonts w:hint="eastAsia" w:ascii="宋体" w:hAnsi="宋体" w:cs="仿宋_GB2312"/>
          <w:bCs/>
          <w:color w:val="auto"/>
          <w:sz w:val="32"/>
          <w:szCs w:val="32"/>
          <w:highlight w:val="none"/>
        </w:rPr>
      </w:pPr>
    </w:p>
    <w:p w14:paraId="4F860C22">
      <w:pPr>
        <w:snapToGrid w:val="0"/>
        <w:spacing w:before="120" w:beforeLines="50" w:after="50"/>
        <w:ind w:firstLine="480" w:firstLineChars="150"/>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首次响应文件提交截止时间前不得解密</w:t>
      </w:r>
    </w:p>
    <w:p w14:paraId="26915F91">
      <w:pPr>
        <w:snapToGrid w:val="0"/>
        <w:spacing w:before="120" w:beforeLines="50" w:after="50"/>
        <w:ind w:firstLine="5440" w:firstLineChars="1700"/>
        <w:jc w:val="center"/>
        <w:rPr>
          <w:rFonts w:hint="eastAsia" w:ascii="宋体" w:hAnsi="宋体" w:cs="仿宋_GB2312"/>
          <w:bCs/>
          <w:color w:val="auto"/>
          <w:sz w:val="32"/>
          <w:szCs w:val="32"/>
          <w:highlight w:val="none"/>
        </w:rPr>
      </w:pPr>
    </w:p>
    <w:p w14:paraId="4A058FD0">
      <w:pPr>
        <w:snapToGrid w:val="0"/>
        <w:spacing w:before="120" w:beforeLines="50" w:after="50"/>
        <w:ind w:firstLine="645"/>
        <w:jc w:val="center"/>
        <w:rPr>
          <w:rFonts w:hint="eastAsia" w:ascii="宋体" w:hAnsi="宋体" w:cs="仿宋_GB2312"/>
          <w:bCs/>
          <w:color w:val="auto"/>
          <w:sz w:val="32"/>
          <w:szCs w:val="32"/>
          <w:highlight w:val="none"/>
        </w:rPr>
      </w:pPr>
      <w:r>
        <w:rPr>
          <w:rFonts w:hint="eastAsia" w:ascii="宋体" w:hAnsi="宋体" w:cs="仿宋_GB2312"/>
          <w:bCs/>
          <w:color w:val="auto"/>
          <w:sz w:val="32"/>
          <w:szCs w:val="32"/>
          <w:highlight w:val="none"/>
        </w:rPr>
        <w:t>年    月    日</w:t>
      </w:r>
    </w:p>
    <w:p w14:paraId="40FFC7B8">
      <w:pPr>
        <w:widowControl/>
        <w:jc w:val="left"/>
        <w:rPr>
          <w:color w:val="auto"/>
          <w:highlight w:val="none"/>
        </w:rPr>
        <w:sectPr>
          <w:footerReference r:id="rId4" w:type="default"/>
          <w:pgSz w:w="11910" w:h="16840"/>
          <w:pgMar w:top="1340" w:right="1500" w:bottom="280" w:left="1680" w:header="720" w:footer="720" w:gutter="0"/>
          <w:cols w:space="720" w:num="1"/>
        </w:sectPr>
      </w:pPr>
    </w:p>
    <w:p w14:paraId="7C3C7144">
      <w:pPr>
        <w:pStyle w:val="3"/>
        <w:jc w:val="center"/>
        <w:rPr>
          <w:rFonts w:hint="eastAsia" w:ascii="宋体" w:hAnsi="宋体"/>
          <w:color w:val="auto"/>
          <w:kern w:val="44"/>
          <w:sz w:val="24"/>
          <w:szCs w:val="44"/>
          <w:highlight w:val="none"/>
        </w:rPr>
      </w:pPr>
      <w:bookmarkStart w:id="63" w:name="_Toc80205939"/>
      <w:bookmarkStart w:id="64" w:name="_Toc6112"/>
      <w:r>
        <w:rPr>
          <w:rFonts w:hint="eastAsia" w:ascii="宋体" w:hAnsi="宋体"/>
          <w:color w:val="auto"/>
          <w:kern w:val="44"/>
          <w:sz w:val="24"/>
          <w:szCs w:val="44"/>
          <w:highlight w:val="none"/>
        </w:rPr>
        <w:t>第二节 资格证明文件格式</w:t>
      </w:r>
      <w:bookmarkEnd w:id="63"/>
      <w:bookmarkEnd w:id="64"/>
    </w:p>
    <w:p w14:paraId="1C3097CC">
      <w:pPr>
        <w:shd w:val="clear" w:color="auto" w:fill="auto"/>
        <w:snapToGrid w:val="0"/>
        <w:spacing w:before="120" w:beforeLines="50" w:after="50"/>
        <w:rPr>
          <w:rFonts w:ascii="宋体" w:hAnsi="宋体"/>
          <w:color w:val="auto"/>
          <w:sz w:val="24"/>
          <w:highlight w:val="none"/>
        </w:rPr>
      </w:pPr>
      <w:r>
        <w:rPr>
          <w:rFonts w:hint="eastAsia" w:ascii="宋体" w:hAnsi="宋体"/>
          <w:color w:val="auto"/>
          <w:sz w:val="24"/>
          <w:highlight w:val="none"/>
        </w:rPr>
        <w:t xml:space="preserve">                                                  </w:t>
      </w:r>
    </w:p>
    <w:p w14:paraId="23BAB5B5">
      <w:pPr>
        <w:shd w:val="clear" w:color="auto" w:fill="auto"/>
        <w:snapToGrid w:val="0"/>
        <w:spacing w:before="120" w:beforeLines="50" w:after="50"/>
        <w:jc w:val="right"/>
        <w:rPr>
          <w:rFonts w:ascii="宋体" w:hAnsi="宋体"/>
          <w:color w:val="auto"/>
          <w:sz w:val="24"/>
          <w:highlight w:val="none"/>
        </w:rPr>
      </w:pPr>
    </w:p>
    <w:p w14:paraId="2B650A95">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7C94BA2C">
      <w:pPr>
        <w:shd w:val="clear" w:color="auto" w:fill="auto"/>
        <w:snapToGrid w:val="0"/>
        <w:spacing w:before="120" w:beforeLines="50" w:after="50"/>
        <w:rPr>
          <w:rFonts w:ascii="宋体" w:hAnsi="宋体"/>
          <w:color w:val="auto"/>
          <w:sz w:val="24"/>
          <w:highlight w:val="none"/>
        </w:rPr>
      </w:pPr>
    </w:p>
    <w:p w14:paraId="045DA63B">
      <w:pPr>
        <w:shd w:val="clear" w:color="auto" w:fill="auto"/>
        <w:snapToGrid w:val="0"/>
        <w:spacing w:before="120" w:beforeLines="50" w:after="50"/>
        <w:rPr>
          <w:rFonts w:ascii="宋体" w:hAnsi="宋体"/>
          <w:color w:val="auto"/>
          <w:sz w:val="24"/>
          <w:highlight w:val="none"/>
        </w:rPr>
      </w:pPr>
    </w:p>
    <w:p w14:paraId="19AB4C52">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资  格  证  明  文  件（封面）</w:t>
      </w:r>
    </w:p>
    <w:p w14:paraId="7E788B28">
      <w:pPr>
        <w:shd w:val="clear" w:color="auto" w:fill="auto"/>
        <w:snapToGrid w:val="0"/>
        <w:spacing w:before="120" w:beforeLines="50" w:after="50"/>
        <w:rPr>
          <w:rFonts w:ascii="宋体" w:hAnsi="宋体"/>
          <w:bCs/>
          <w:color w:val="auto"/>
          <w:sz w:val="24"/>
          <w:highlight w:val="none"/>
        </w:rPr>
      </w:pPr>
    </w:p>
    <w:p w14:paraId="370E0C8D">
      <w:pPr>
        <w:shd w:val="clear" w:color="auto" w:fill="auto"/>
        <w:snapToGrid w:val="0"/>
        <w:spacing w:before="120" w:beforeLines="50" w:after="50"/>
        <w:rPr>
          <w:rFonts w:ascii="宋体" w:hAnsi="宋体"/>
          <w:bCs/>
          <w:color w:val="auto"/>
          <w:sz w:val="24"/>
          <w:highlight w:val="none"/>
        </w:rPr>
      </w:pPr>
    </w:p>
    <w:p w14:paraId="4D5B2968">
      <w:pPr>
        <w:shd w:val="clear" w:color="auto" w:fill="auto"/>
        <w:snapToGrid w:val="0"/>
        <w:spacing w:before="120" w:beforeLines="50" w:after="50"/>
        <w:rPr>
          <w:rFonts w:ascii="宋体" w:hAnsi="宋体"/>
          <w:bCs/>
          <w:color w:val="auto"/>
          <w:sz w:val="24"/>
          <w:highlight w:val="none"/>
        </w:rPr>
      </w:pPr>
    </w:p>
    <w:p w14:paraId="16996091">
      <w:pPr>
        <w:shd w:val="clear" w:color="auto" w:fill="auto"/>
        <w:snapToGrid w:val="0"/>
        <w:spacing w:before="120" w:beforeLines="50" w:after="50"/>
        <w:rPr>
          <w:rFonts w:ascii="宋体" w:hAnsi="宋体"/>
          <w:bCs/>
          <w:color w:val="auto"/>
          <w:sz w:val="24"/>
          <w:highlight w:val="none"/>
        </w:rPr>
      </w:pPr>
    </w:p>
    <w:p w14:paraId="27661F9F">
      <w:pPr>
        <w:shd w:val="clear" w:color="auto" w:fill="auto"/>
        <w:snapToGrid w:val="0"/>
        <w:spacing w:before="120" w:beforeLines="50" w:after="50"/>
        <w:rPr>
          <w:rFonts w:ascii="宋体" w:hAnsi="宋体"/>
          <w:bCs/>
          <w:color w:val="auto"/>
          <w:sz w:val="24"/>
          <w:highlight w:val="none"/>
        </w:rPr>
      </w:pPr>
    </w:p>
    <w:p w14:paraId="70AA8F55">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14:paraId="16B9A465">
      <w:pPr>
        <w:shd w:val="clear" w:color="auto" w:fill="auto"/>
        <w:snapToGrid w:val="0"/>
        <w:spacing w:before="120" w:beforeLines="50" w:after="50"/>
        <w:ind w:firstLine="540" w:firstLineChars="225"/>
        <w:rPr>
          <w:rFonts w:ascii="宋体" w:hAnsi="宋体" w:cs="仿宋_GB2312"/>
          <w:bCs/>
          <w:color w:val="auto"/>
          <w:sz w:val="24"/>
          <w:highlight w:val="none"/>
        </w:rPr>
      </w:pPr>
    </w:p>
    <w:p w14:paraId="4F3456A2">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项目编号：</w:t>
      </w:r>
    </w:p>
    <w:p w14:paraId="52F92D42">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14:paraId="1BCF8C38">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0773F2E4">
      <w:pPr>
        <w:shd w:val="clear" w:color="auto" w:fill="auto"/>
        <w:snapToGrid w:val="0"/>
        <w:spacing w:before="120" w:beforeLines="50" w:after="50"/>
        <w:ind w:firstLine="540" w:firstLineChars="225"/>
        <w:rPr>
          <w:rFonts w:ascii="宋体" w:hAnsi="宋体" w:cs="仿宋_GB2312"/>
          <w:bCs/>
          <w:color w:val="auto"/>
          <w:sz w:val="24"/>
          <w:highlight w:val="none"/>
        </w:rPr>
      </w:pPr>
    </w:p>
    <w:p w14:paraId="05975775">
      <w:pPr>
        <w:shd w:val="clear" w:color="auto" w:fill="auto"/>
        <w:snapToGrid w:val="0"/>
        <w:spacing w:before="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供应商名称：</w:t>
      </w:r>
    </w:p>
    <w:p w14:paraId="54390C59">
      <w:pPr>
        <w:shd w:val="clear" w:color="auto" w:fill="auto"/>
        <w:snapToGrid w:val="0"/>
        <w:spacing w:before="50" w:after="50"/>
        <w:ind w:firstLine="540" w:firstLineChars="225"/>
        <w:rPr>
          <w:rFonts w:ascii="宋体" w:hAnsi="宋体" w:cs="仿宋_GB2312"/>
          <w:bCs/>
          <w:color w:val="auto"/>
          <w:sz w:val="24"/>
          <w:highlight w:val="none"/>
        </w:rPr>
      </w:pPr>
    </w:p>
    <w:p w14:paraId="39CAC91A">
      <w:pPr>
        <w:shd w:val="clear" w:color="auto" w:fill="auto"/>
        <w:snapToGrid w:val="0"/>
        <w:spacing w:before="50" w:after="50"/>
        <w:ind w:firstLine="540" w:firstLineChars="225"/>
        <w:rPr>
          <w:rFonts w:ascii="宋体" w:hAnsi="宋体" w:cs="仿宋_GB2312"/>
          <w:bCs/>
          <w:color w:val="auto"/>
          <w:sz w:val="24"/>
          <w:highlight w:val="none"/>
        </w:rPr>
      </w:pPr>
    </w:p>
    <w:p w14:paraId="74826E23">
      <w:pPr>
        <w:shd w:val="clear" w:color="auto" w:fill="auto"/>
        <w:snapToGrid w:val="0"/>
        <w:spacing w:before="50" w:after="50"/>
        <w:ind w:firstLine="540" w:firstLineChars="225"/>
        <w:rPr>
          <w:rFonts w:ascii="宋体" w:hAnsi="宋体" w:cs="仿宋_GB2312"/>
          <w:bCs/>
          <w:color w:val="auto"/>
          <w:sz w:val="24"/>
          <w:highlight w:val="none"/>
        </w:rPr>
      </w:pPr>
    </w:p>
    <w:p w14:paraId="2DA78D4C">
      <w:pPr>
        <w:shd w:val="clear" w:color="auto" w:fill="auto"/>
        <w:snapToGrid w:val="0"/>
        <w:spacing w:before="50" w:after="50"/>
        <w:ind w:firstLine="960" w:firstLineChars="400"/>
        <w:rPr>
          <w:rFonts w:ascii="宋体" w:hAnsi="宋体" w:cs="仿宋_GB2312"/>
          <w:bCs/>
          <w:color w:val="auto"/>
          <w:sz w:val="24"/>
          <w:highlight w:val="none"/>
        </w:rPr>
      </w:pPr>
    </w:p>
    <w:p w14:paraId="6F7D2D76">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14:paraId="4367B815">
      <w:pPr>
        <w:snapToGrid w:val="0"/>
        <w:spacing w:before="120" w:beforeLines="50" w:after="50" w:line="360" w:lineRule="auto"/>
        <w:jc w:val="left"/>
        <w:rPr>
          <w:rFonts w:hint="eastAsia" w:ascii="宋体" w:hAnsi="宋体"/>
          <w:b/>
          <w:bCs/>
          <w:color w:val="auto"/>
          <w:sz w:val="32"/>
          <w:szCs w:val="32"/>
          <w:highlight w:val="none"/>
        </w:rPr>
      </w:pPr>
      <w:r>
        <w:rPr>
          <w:rFonts w:ascii="宋体" w:hAnsi="宋体"/>
          <w:color w:val="auto"/>
          <w:sz w:val="24"/>
          <w:highlight w:val="none"/>
        </w:rPr>
        <w:br w:type="page"/>
      </w:r>
    </w:p>
    <w:p w14:paraId="2BFD1E0E">
      <w:pPr>
        <w:numPr>
          <w:ilvl w:val="0"/>
          <w:numId w:val="0"/>
        </w:numPr>
        <w:snapToGrid w:val="0"/>
        <w:spacing w:before="156" w:beforeLines="50" w:after="50" w:line="360" w:lineRule="auto"/>
        <w:ind w:firstLine="645" w:firstLineChars="0"/>
        <w:rPr>
          <w:rFonts w:hint="eastAsia" w:ascii="宋体" w:hAnsi="宋体"/>
          <w:b/>
          <w:bCs/>
          <w:color w:val="auto"/>
          <w:sz w:val="32"/>
          <w:szCs w:val="32"/>
          <w:highlight w:val="none"/>
        </w:rPr>
      </w:pPr>
      <w:bookmarkStart w:id="65" w:name="_Toc80205940"/>
      <w:bookmarkStart w:id="66" w:name="_Toc15525"/>
      <w:r>
        <w:rPr>
          <w:rFonts w:hint="eastAsia" w:ascii="宋体" w:hAnsi="宋体" w:cs="Times New Roman"/>
          <w:b/>
          <w:bCs/>
          <w:color w:val="auto"/>
          <w:kern w:val="2"/>
          <w:sz w:val="32"/>
          <w:szCs w:val="32"/>
          <w:highlight w:val="none"/>
          <w:lang w:val="en-US" w:eastAsia="zh-CN" w:bidi="ar-SA"/>
        </w:rPr>
        <w:t>1</w:t>
      </w:r>
      <w:r>
        <w:rPr>
          <w:rFonts w:hint="eastAsia" w:ascii="宋体" w:hAnsi="宋体" w:eastAsia="宋体" w:cs="Times New Roman"/>
          <w:b/>
          <w:bCs/>
          <w:color w:val="auto"/>
          <w:kern w:val="2"/>
          <w:sz w:val="32"/>
          <w:szCs w:val="32"/>
          <w:highlight w:val="none"/>
          <w:lang w:val="en-US" w:eastAsia="zh-CN" w:bidi="ar-SA"/>
        </w:rPr>
        <w:t>.</w:t>
      </w:r>
      <w:r>
        <w:rPr>
          <w:rFonts w:hint="eastAsia" w:ascii="宋体" w:hAnsi="宋体"/>
          <w:b/>
          <w:bCs/>
          <w:color w:val="auto"/>
          <w:sz w:val="32"/>
          <w:szCs w:val="32"/>
          <w:highlight w:val="none"/>
        </w:rPr>
        <w:t>资格证明文件目录</w:t>
      </w:r>
    </w:p>
    <w:p w14:paraId="7B827270">
      <w:pPr>
        <w:numPr>
          <w:ilvl w:val="0"/>
          <w:numId w:val="0"/>
        </w:numPr>
        <w:snapToGrid w:val="0"/>
        <w:spacing w:before="156" w:beforeLines="50" w:after="50" w:line="360" w:lineRule="auto"/>
        <w:ind w:firstLine="640" w:firstLineChars="200"/>
        <w:rPr>
          <w:rFonts w:ascii="宋体" w:hAnsi="宋体" w:eastAsia="宋体" w:cs="Times New Roman"/>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3C2EA99D">
      <w:pPr>
        <w:snapToGrid w:val="0"/>
        <w:spacing w:before="156" w:beforeLines="50" w:after="50"/>
        <w:rPr>
          <w:rFonts w:hint="eastAsia" w:ascii="宋体" w:hAnsi="宋体" w:eastAsia="宋体" w:cs="Times New Roman"/>
          <w:color w:val="auto"/>
          <w:sz w:val="24"/>
          <w:szCs w:val="20"/>
          <w:highlight w:val="none"/>
          <w:lang w:eastAsia="zh-CN"/>
        </w:rPr>
      </w:pPr>
    </w:p>
    <w:p w14:paraId="1A7F3286">
      <w:pPr>
        <w:spacing w:line="300" w:lineRule="auto"/>
        <w:rPr>
          <w:rFonts w:hint="eastAsia" w:ascii="宋体" w:hAnsi="宋体" w:eastAsia="宋体" w:cs="Times New Roman"/>
          <w:color w:val="auto"/>
          <w:szCs w:val="21"/>
          <w:highlight w:val="none"/>
        </w:rPr>
      </w:pPr>
    </w:p>
    <w:p w14:paraId="3B0F8641">
      <w:pPr>
        <w:spacing w:line="300" w:lineRule="auto"/>
        <w:rPr>
          <w:rFonts w:hint="eastAsia" w:ascii="宋体" w:hAnsi="宋体" w:eastAsia="宋体" w:cs="Times New Roman"/>
          <w:color w:val="auto"/>
          <w:szCs w:val="21"/>
          <w:highlight w:val="none"/>
        </w:rPr>
      </w:pPr>
    </w:p>
    <w:p w14:paraId="0E499FA6">
      <w:pPr>
        <w:spacing w:line="300" w:lineRule="auto"/>
        <w:rPr>
          <w:rFonts w:hint="eastAsia" w:ascii="宋体" w:hAnsi="宋体" w:eastAsia="宋体" w:cs="Times New Roman"/>
          <w:color w:val="auto"/>
          <w:szCs w:val="21"/>
          <w:highlight w:val="none"/>
        </w:rPr>
      </w:pPr>
    </w:p>
    <w:p w14:paraId="5E61B5FC">
      <w:pPr>
        <w:spacing w:line="300" w:lineRule="auto"/>
        <w:rPr>
          <w:rFonts w:hint="eastAsia" w:ascii="宋体" w:hAnsi="宋体" w:eastAsia="宋体" w:cs="Times New Roman"/>
          <w:color w:val="auto"/>
          <w:szCs w:val="21"/>
          <w:highlight w:val="none"/>
        </w:rPr>
      </w:pPr>
    </w:p>
    <w:p w14:paraId="7E1CED02">
      <w:pPr>
        <w:spacing w:line="300" w:lineRule="auto"/>
        <w:rPr>
          <w:rFonts w:hint="eastAsia" w:ascii="宋体" w:hAnsi="宋体" w:eastAsia="宋体" w:cs="Times New Roman"/>
          <w:color w:val="auto"/>
          <w:szCs w:val="21"/>
          <w:highlight w:val="none"/>
        </w:rPr>
      </w:pPr>
    </w:p>
    <w:p w14:paraId="0600F14C">
      <w:pPr>
        <w:spacing w:line="300" w:lineRule="auto"/>
        <w:rPr>
          <w:rFonts w:hint="eastAsia" w:ascii="宋体" w:hAnsi="宋体" w:eastAsia="宋体" w:cs="Times New Roman"/>
          <w:color w:val="auto"/>
          <w:szCs w:val="21"/>
          <w:highlight w:val="none"/>
        </w:rPr>
      </w:pPr>
    </w:p>
    <w:p w14:paraId="324253BA">
      <w:pPr>
        <w:spacing w:line="300" w:lineRule="auto"/>
        <w:rPr>
          <w:rFonts w:hint="eastAsia" w:ascii="宋体" w:hAnsi="宋体" w:eastAsia="宋体" w:cs="Times New Roman"/>
          <w:color w:val="auto"/>
          <w:szCs w:val="21"/>
          <w:highlight w:val="none"/>
        </w:rPr>
      </w:pPr>
    </w:p>
    <w:p w14:paraId="49AF1206">
      <w:pPr>
        <w:spacing w:line="300" w:lineRule="auto"/>
        <w:rPr>
          <w:rFonts w:hint="eastAsia" w:ascii="宋体" w:hAnsi="宋体" w:eastAsia="宋体" w:cs="Times New Roman"/>
          <w:color w:val="auto"/>
          <w:szCs w:val="21"/>
          <w:highlight w:val="none"/>
        </w:rPr>
      </w:pPr>
    </w:p>
    <w:p w14:paraId="664394EF">
      <w:pPr>
        <w:spacing w:line="300" w:lineRule="auto"/>
        <w:rPr>
          <w:rFonts w:hint="eastAsia" w:ascii="宋体" w:hAnsi="宋体" w:eastAsia="宋体" w:cs="Times New Roman"/>
          <w:color w:val="auto"/>
          <w:szCs w:val="21"/>
          <w:highlight w:val="none"/>
        </w:rPr>
      </w:pPr>
    </w:p>
    <w:p w14:paraId="3F1D3199">
      <w:pPr>
        <w:spacing w:line="300" w:lineRule="auto"/>
        <w:rPr>
          <w:rFonts w:hint="eastAsia" w:ascii="宋体" w:hAnsi="宋体" w:eastAsia="宋体" w:cs="Times New Roman"/>
          <w:color w:val="auto"/>
          <w:szCs w:val="21"/>
          <w:highlight w:val="none"/>
        </w:rPr>
      </w:pPr>
    </w:p>
    <w:p w14:paraId="70A50809">
      <w:pPr>
        <w:spacing w:line="300" w:lineRule="auto"/>
        <w:rPr>
          <w:rFonts w:hint="eastAsia" w:ascii="宋体" w:hAnsi="宋体" w:eastAsia="宋体" w:cs="Times New Roman"/>
          <w:color w:val="auto"/>
          <w:szCs w:val="21"/>
          <w:highlight w:val="none"/>
        </w:rPr>
      </w:pPr>
    </w:p>
    <w:p w14:paraId="62C2E3A7">
      <w:pPr>
        <w:spacing w:line="300" w:lineRule="auto"/>
        <w:rPr>
          <w:rFonts w:hint="eastAsia" w:ascii="宋体" w:hAnsi="宋体" w:eastAsia="宋体" w:cs="Times New Roman"/>
          <w:color w:val="auto"/>
          <w:szCs w:val="21"/>
          <w:highlight w:val="none"/>
        </w:rPr>
      </w:pPr>
    </w:p>
    <w:p w14:paraId="490AD340">
      <w:pPr>
        <w:spacing w:line="300" w:lineRule="auto"/>
        <w:rPr>
          <w:rFonts w:hint="eastAsia" w:ascii="宋体" w:hAnsi="宋体" w:eastAsia="宋体" w:cs="Times New Roman"/>
          <w:color w:val="auto"/>
          <w:szCs w:val="21"/>
          <w:highlight w:val="none"/>
        </w:rPr>
      </w:pPr>
    </w:p>
    <w:p w14:paraId="6DA8C321">
      <w:pPr>
        <w:spacing w:line="300" w:lineRule="auto"/>
        <w:rPr>
          <w:rFonts w:hint="eastAsia" w:ascii="宋体" w:hAnsi="宋体" w:eastAsia="宋体" w:cs="Times New Roman"/>
          <w:color w:val="auto"/>
          <w:szCs w:val="21"/>
          <w:highlight w:val="none"/>
        </w:rPr>
      </w:pPr>
    </w:p>
    <w:p w14:paraId="37FECB9A">
      <w:pPr>
        <w:spacing w:line="300" w:lineRule="auto"/>
        <w:rPr>
          <w:rFonts w:hint="eastAsia" w:ascii="宋体" w:hAnsi="宋体" w:eastAsia="宋体" w:cs="Times New Roman"/>
          <w:color w:val="auto"/>
          <w:szCs w:val="21"/>
          <w:highlight w:val="none"/>
        </w:rPr>
      </w:pPr>
    </w:p>
    <w:p w14:paraId="2926626C">
      <w:pPr>
        <w:snapToGrid w:val="0"/>
        <w:spacing w:before="50" w:after="120" w:afterLines="50" w:line="360" w:lineRule="auto"/>
        <w:jc w:val="center"/>
        <w:rPr>
          <w:rFonts w:hint="eastAsia" w:ascii="仿宋_GB2312" w:hAnsi="仿宋_GB2312" w:eastAsia="仿宋_GB2312" w:cs="仿宋_GB2312"/>
          <w:color w:val="auto"/>
          <w:kern w:val="0"/>
          <w:sz w:val="32"/>
          <w:szCs w:val="32"/>
          <w:highlight w:val="none"/>
          <w:lang w:bidi="ar"/>
        </w:rPr>
      </w:pPr>
      <w:r>
        <w:rPr>
          <w:rFonts w:ascii="宋体" w:hAnsi="宋体" w:eastAsia="宋体" w:cs="Times New Roman"/>
          <w:color w:val="auto"/>
          <w:szCs w:val="21"/>
          <w:highlight w:val="none"/>
        </w:rPr>
        <w:br w:type="page"/>
      </w:r>
      <w:r>
        <w:rPr>
          <w:rFonts w:hint="eastAsia" w:ascii="宋体" w:hAnsi="宋体" w:eastAsia="宋体" w:cs="Times New Roman"/>
          <w:b/>
          <w:color w:val="auto"/>
          <w:sz w:val="32"/>
          <w:szCs w:val="32"/>
          <w:highlight w:val="none"/>
        </w:rPr>
        <w:t>崇左市政府采购供应商信用承诺函</w:t>
      </w:r>
    </w:p>
    <w:p w14:paraId="5AAA3D88">
      <w:pPr>
        <w:widowControl/>
        <w:spacing w:line="440" w:lineRule="exact"/>
        <w:rPr>
          <w:rFonts w:hint="eastAsia" w:ascii="宋体" w:hAnsi="宋体" w:eastAsia="宋体" w:cs="宋体"/>
          <w:color w:val="auto"/>
          <w:sz w:val="24"/>
          <w:highlight w:val="none"/>
          <w:u w:val="single"/>
        </w:rPr>
      </w:pPr>
      <w:r>
        <w:rPr>
          <w:rFonts w:hint="eastAsia" w:ascii="宋体" w:hAnsi="宋体" w:eastAsia="宋体" w:cs="宋体"/>
          <w:color w:val="auto"/>
          <w:kern w:val="0"/>
          <w:sz w:val="24"/>
          <w:highlight w:val="none"/>
          <w:lang w:bidi="ar"/>
        </w:rPr>
        <w:t>致</w:t>
      </w:r>
      <w:r>
        <w:rPr>
          <w:rFonts w:hint="eastAsia" w:ascii="宋体" w:hAnsi="宋体" w:cs="宋体"/>
          <w:color w:val="auto"/>
          <w:kern w:val="0"/>
          <w:sz w:val="24"/>
          <w:highlight w:val="none"/>
          <w:u w:val="single"/>
          <w:lang w:val="en-US" w:eastAsia="zh-CN" w:bidi="ar"/>
        </w:rPr>
        <w:t xml:space="preserve"> </w:t>
      </w:r>
      <w:r>
        <w:rPr>
          <w:rFonts w:hint="eastAsia" w:ascii="宋体" w:hAnsi="宋体" w:eastAsia="宋体" w:cs="宋体"/>
          <w:color w:val="auto"/>
          <w:kern w:val="0"/>
          <w:sz w:val="24"/>
          <w:highlight w:val="none"/>
          <w:u w:val="single"/>
          <w:lang w:bidi="ar"/>
        </w:rPr>
        <w:t>广西国力招标有限公司</w:t>
      </w:r>
      <w:r>
        <w:rPr>
          <w:rFonts w:hint="eastAsia" w:ascii="宋体" w:hAnsi="宋体" w:eastAsia="宋体" w:cs="宋体"/>
          <w:color w:val="auto"/>
          <w:kern w:val="0"/>
          <w:sz w:val="24"/>
          <w:highlight w:val="none"/>
          <w:lang w:bidi="ar"/>
        </w:rPr>
        <w:t>:</w:t>
      </w:r>
    </w:p>
    <w:p w14:paraId="42572C97">
      <w:pPr>
        <w:widowControl/>
        <w:spacing w:line="440" w:lineRule="exact"/>
        <w:ind w:firstLine="480" w:firstLineChars="200"/>
        <w:rPr>
          <w:rFonts w:hint="eastAsia" w:ascii="宋体" w:hAnsi="宋体" w:eastAsia="宋体" w:cs="宋体"/>
          <w:color w:val="auto"/>
          <w:spacing w:val="-6"/>
          <w:sz w:val="24"/>
          <w:highlight w:val="none"/>
          <w:lang w:eastAsia="zh-CN"/>
        </w:rPr>
      </w:pPr>
      <w:r>
        <w:rPr>
          <w:rFonts w:hint="eastAsia" w:ascii="宋体" w:hAnsi="宋体" w:eastAsia="宋体" w:cs="宋体"/>
          <w:color w:val="auto"/>
          <w:kern w:val="0"/>
          <w:sz w:val="24"/>
          <w:highlight w:val="none"/>
          <w:lang w:bidi="ar"/>
        </w:rPr>
        <w:t>我方自愿参加</w:t>
      </w:r>
      <w:r>
        <w:rPr>
          <w:rFonts w:hint="eastAsia" w:ascii="宋体" w:hAnsi="宋体" w:eastAsia="宋体" w:cs="宋体"/>
          <w:color w:val="auto"/>
          <w:kern w:val="0"/>
          <w:sz w:val="24"/>
          <w:highlight w:val="none"/>
          <w:u w:val="single"/>
          <w:lang w:val="en-US" w:eastAsia="zh-CN" w:bidi="ar"/>
        </w:rPr>
        <w:t xml:space="preserve">  </w:t>
      </w:r>
      <w:r>
        <w:rPr>
          <w:rFonts w:hint="eastAsia" w:ascii="宋体" w:hAnsi="宋体" w:eastAsia="宋体" w:cs="宋体"/>
          <w:color w:val="auto"/>
          <w:kern w:val="0"/>
          <w:sz w:val="24"/>
          <w:highlight w:val="none"/>
          <w:u w:val="single"/>
          <w:lang w:bidi="ar"/>
        </w:rPr>
        <w:t>（项目名称）</w:t>
      </w:r>
      <w:r>
        <w:rPr>
          <w:rFonts w:hint="eastAsia" w:ascii="宋体" w:hAnsi="宋体" w:eastAsia="宋体" w:cs="宋体"/>
          <w:color w:val="auto"/>
          <w:kern w:val="0"/>
          <w:sz w:val="24"/>
          <w:highlight w:val="none"/>
          <w:u w:val="single"/>
          <w:lang w:val="en-US" w:eastAsia="zh-CN" w:bidi="ar"/>
        </w:rPr>
        <w:t xml:space="preserve"> </w:t>
      </w:r>
      <w:r>
        <w:rPr>
          <w:rFonts w:hint="eastAsia" w:ascii="宋体" w:hAnsi="宋体" w:eastAsia="宋体" w:cs="宋体"/>
          <w:color w:val="auto"/>
          <w:kern w:val="0"/>
          <w:sz w:val="24"/>
          <w:highlight w:val="none"/>
          <w:lang w:bidi="ar"/>
        </w:rPr>
        <w:t>项目</w:t>
      </w:r>
      <w:r>
        <w:rPr>
          <w:rFonts w:hint="eastAsia" w:ascii="宋体" w:hAnsi="宋体" w:eastAsia="宋体" w:cs="宋体"/>
          <w:color w:val="auto"/>
          <w:spacing w:val="6"/>
          <w:sz w:val="24"/>
          <w:highlight w:val="none"/>
        </w:rPr>
        <w:t>（项目编号：</w:t>
      </w:r>
      <w:r>
        <w:rPr>
          <w:rFonts w:hint="eastAsia" w:ascii="宋体" w:hAnsi="宋体" w:eastAsia="宋体" w:cs="宋体"/>
          <w:color w:val="auto"/>
          <w:spacing w:val="6"/>
          <w:sz w:val="24"/>
          <w:highlight w:val="none"/>
          <w:u w:val="single"/>
          <w:lang w:val="en-US" w:eastAsia="zh-CN"/>
        </w:rPr>
        <w:t xml:space="preserve">      </w:t>
      </w:r>
      <w:r>
        <w:rPr>
          <w:rFonts w:hint="eastAsia" w:ascii="宋体" w:hAnsi="宋体" w:eastAsia="宋体" w:cs="宋体"/>
          <w:color w:val="auto"/>
          <w:spacing w:val="6"/>
          <w:sz w:val="24"/>
          <w:highlight w:val="none"/>
        </w:rPr>
        <w:t>）</w:t>
      </w:r>
      <w:r>
        <w:rPr>
          <w:rFonts w:hint="eastAsia" w:ascii="宋体" w:hAnsi="宋体" w:eastAsia="宋体" w:cs="宋体"/>
          <w:color w:val="auto"/>
          <w:kern w:val="0"/>
          <w:sz w:val="24"/>
          <w:highlight w:val="none"/>
          <w:lang w:bidi="ar"/>
        </w:rPr>
        <w:t>的政府采购活动，严格遵守《中华人民共和国政府采购法》及相关法律法规，依法诚信经营，无条件遵守本次政府采购活动的各项规定，并郑重承诺</w:t>
      </w:r>
      <w:r>
        <w:rPr>
          <w:rFonts w:hint="eastAsia" w:ascii="宋体" w:hAnsi="宋体" w:eastAsia="宋体" w:cs="宋体"/>
          <w:color w:val="auto"/>
          <w:spacing w:val="-6"/>
          <w:kern w:val="0"/>
          <w:sz w:val="24"/>
          <w:highlight w:val="none"/>
          <w:lang w:bidi="ar"/>
        </w:rPr>
        <w:t>：</w:t>
      </w:r>
    </w:p>
    <w:p w14:paraId="6E356132">
      <w:pPr>
        <w:widowControl/>
        <w:spacing w:line="440" w:lineRule="exact"/>
        <w:ind w:firstLine="480" w:firstLineChars="200"/>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1.我方</w:t>
      </w:r>
      <w:r>
        <w:rPr>
          <w:rFonts w:hint="eastAsia" w:ascii="宋体" w:hAnsi="宋体" w:eastAsia="宋体" w:cs="宋体"/>
          <w:color w:val="auto"/>
          <w:spacing w:val="6"/>
          <w:sz w:val="24"/>
          <w:highlight w:val="none"/>
        </w:rPr>
        <w:t>具有独立承担民事责任的能力或我方属于银行、保险、石油石化、电力、电信等有行业特殊情况的法人的分支机构在参加本次政府采购活动前已取得总公司的授权。</w:t>
      </w:r>
    </w:p>
    <w:p w14:paraId="64ED2442">
      <w:pPr>
        <w:widowControl/>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bidi="ar"/>
        </w:rPr>
        <w:t>2.我方具有符合采购文件资格要求的财务状况报告。</w:t>
      </w:r>
    </w:p>
    <w:p w14:paraId="32CDD640">
      <w:pPr>
        <w:widowControl/>
        <w:spacing w:line="440" w:lineRule="exact"/>
        <w:ind w:firstLine="456" w:firstLineChars="200"/>
        <w:rPr>
          <w:rFonts w:hint="eastAsia" w:ascii="宋体" w:hAnsi="宋体" w:eastAsia="宋体" w:cs="宋体"/>
          <w:color w:val="auto"/>
          <w:spacing w:val="-17"/>
          <w:sz w:val="24"/>
          <w:highlight w:val="none"/>
          <w:lang w:eastAsia="zh-CN"/>
        </w:rPr>
      </w:pPr>
      <w:r>
        <w:rPr>
          <w:rFonts w:hint="eastAsia" w:ascii="宋体" w:hAnsi="宋体" w:eastAsia="宋体" w:cs="宋体"/>
          <w:color w:val="auto"/>
          <w:spacing w:val="-6"/>
          <w:kern w:val="0"/>
          <w:sz w:val="24"/>
          <w:highlight w:val="none"/>
          <w:lang w:bidi="ar"/>
        </w:rPr>
        <w:t>3.我方具有符合采购文件资格要求的依法缴纳税收和社会保障资金的良好记录。</w:t>
      </w:r>
    </w:p>
    <w:p w14:paraId="1DB27F2C">
      <w:pPr>
        <w:widowControl/>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bidi="ar"/>
        </w:rPr>
        <w:t>4.我方具有符合采购文件资格要求履行合同所必需的设备和专业技术能力。</w:t>
      </w:r>
    </w:p>
    <w:p w14:paraId="39221B42">
      <w:pPr>
        <w:widowControl/>
        <w:spacing w:line="440" w:lineRule="exact"/>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bidi="ar"/>
        </w:rPr>
        <w:t>5.我方参加政府采购活动前3年内在经营活动中没有重大违法记录。</w:t>
      </w:r>
    </w:p>
    <w:p w14:paraId="26F50C84">
      <w:pPr>
        <w:widowControl/>
        <w:spacing w:line="440" w:lineRule="exact"/>
        <w:ind w:firstLine="480" w:firstLineChars="200"/>
        <w:rPr>
          <w:rFonts w:hint="eastAsia" w:ascii="宋体" w:hAnsi="宋体" w:eastAsia="宋体" w:cs="宋体"/>
          <w:color w:val="auto"/>
          <w:kern w:val="0"/>
          <w:sz w:val="24"/>
          <w:highlight w:val="none"/>
          <w:lang w:bidi="ar"/>
        </w:rPr>
      </w:pPr>
      <w:r>
        <w:rPr>
          <w:rFonts w:hint="eastAsia" w:ascii="宋体" w:hAnsi="宋体" w:eastAsia="宋体" w:cs="宋体"/>
          <w:color w:val="auto"/>
          <w:kern w:val="0"/>
          <w:sz w:val="24"/>
          <w:highlight w:val="none"/>
          <w:lang w:bidi="ar"/>
        </w:rPr>
        <w:t>我方对以上承诺内容的真实性负责。如有虚假，将依法承担相应责任。</w:t>
      </w:r>
    </w:p>
    <w:p w14:paraId="65CB774C">
      <w:pPr>
        <w:widowControl/>
        <w:spacing w:line="440" w:lineRule="exact"/>
        <w:ind w:firstLine="480" w:firstLineChars="200"/>
        <w:rPr>
          <w:rFonts w:hint="eastAsia" w:ascii="宋体" w:hAnsi="宋体" w:eastAsia="宋体" w:cs="宋体"/>
          <w:color w:val="auto"/>
          <w:kern w:val="0"/>
          <w:sz w:val="24"/>
          <w:highlight w:val="none"/>
          <w:lang w:bidi="ar"/>
        </w:rPr>
      </w:pPr>
    </w:p>
    <w:p w14:paraId="0FAE5AB4">
      <w:pPr>
        <w:widowControl/>
        <w:spacing w:line="440" w:lineRule="exact"/>
        <w:ind w:firstLine="480" w:firstLineChars="200"/>
        <w:rPr>
          <w:rFonts w:hint="eastAsia" w:ascii="宋体" w:hAnsi="宋体" w:eastAsia="宋体" w:cs="宋体"/>
          <w:color w:val="auto"/>
          <w:kern w:val="0"/>
          <w:sz w:val="24"/>
          <w:highlight w:val="none"/>
          <w:lang w:bidi="ar"/>
        </w:rPr>
      </w:pPr>
    </w:p>
    <w:p w14:paraId="0CF2403C">
      <w:pPr>
        <w:widowControl/>
        <w:spacing w:line="360" w:lineRule="auto"/>
        <w:ind w:firstLine="4080" w:firstLineChars="1700"/>
        <w:jc w:val="left"/>
        <w:rPr>
          <w:rFonts w:hint="eastAsia" w:ascii="宋体" w:hAnsi="宋体" w:eastAsia="宋体" w:cs="宋体"/>
          <w:color w:val="auto"/>
          <w:sz w:val="24"/>
          <w:highlight w:val="none"/>
          <w:lang w:eastAsia="zh-CN"/>
        </w:rPr>
      </w:pPr>
      <w:r>
        <w:rPr>
          <w:rFonts w:hint="eastAsia" w:ascii="宋体" w:hAnsi="宋体" w:eastAsia="宋体" w:cs="宋体"/>
          <w:color w:val="auto"/>
          <w:kern w:val="0"/>
          <w:sz w:val="24"/>
          <w:highlight w:val="none"/>
          <w:lang w:bidi="ar"/>
        </w:rPr>
        <w:t>供应商（电子签章）：</w:t>
      </w:r>
    </w:p>
    <w:p w14:paraId="54D4AD50">
      <w:pPr>
        <w:spacing w:line="360" w:lineRule="auto"/>
        <w:ind w:firstLine="480" w:firstLineChars="200"/>
        <w:contextualSpacing/>
        <w:jc w:val="center"/>
        <w:rPr>
          <w:rFonts w:hint="eastAsia" w:ascii="宋体" w:hAnsi="宋体" w:eastAsia="宋体" w:cs="宋体"/>
          <w:color w:val="auto"/>
          <w:kern w:val="0"/>
          <w:sz w:val="24"/>
          <w:highlight w:val="none"/>
          <w:lang w:bidi="ar"/>
        </w:rPr>
      </w:pP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64B89C39">
      <w:pPr>
        <w:widowControl w:val="0"/>
        <w:wordWrap w:val="0"/>
        <w:spacing w:before="0" w:beforeAutospacing="0" w:after="0" w:afterAutospacing="0" w:line="560" w:lineRule="exact"/>
        <w:ind w:left="0" w:right="0"/>
        <w:jc w:val="both"/>
        <w:rPr>
          <w:rFonts w:hint="eastAsia" w:ascii="仿宋_GB2312" w:hAnsi="仿宋_GB2312" w:eastAsia="仿宋_GB2312" w:cs="仿宋_GB2312"/>
          <w:color w:val="auto"/>
          <w:kern w:val="0"/>
          <w:sz w:val="22"/>
          <w:szCs w:val="22"/>
          <w:highlight w:val="none"/>
          <w:lang w:val="en-US" w:eastAsia="zh-CN" w:bidi="ar"/>
        </w:rPr>
      </w:pPr>
    </w:p>
    <w:p w14:paraId="5664F9D9">
      <w:pPr>
        <w:widowControl w:val="0"/>
        <w:wordWrap w:val="0"/>
        <w:spacing w:before="0" w:beforeAutospacing="0" w:after="0" w:afterAutospacing="0" w:line="400" w:lineRule="exact"/>
        <w:ind w:left="0" w:right="0"/>
        <w:jc w:val="both"/>
        <w:rPr>
          <w:rFonts w:hint="eastAsia" w:ascii="Calibri" w:hAnsi="Calibri" w:eastAsia="宋体" w:cs="宋体"/>
          <w:color w:val="auto"/>
          <w:spacing w:val="6"/>
          <w:kern w:val="0"/>
          <w:sz w:val="22"/>
          <w:szCs w:val="22"/>
          <w:highlight w:val="none"/>
          <w:lang w:val="en-US" w:eastAsia="zh-CN" w:bidi="ar"/>
        </w:rPr>
      </w:pPr>
      <w:r>
        <w:rPr>
          <w:rFonts w:hint="eastAsia" w:ascii="Calibri" w:hAnsi="Calibri" w:eastAsia="宋体" w:cs="宋体"/>
          <w:color w:val="auto"/>
          <w:kern w:val="0"/>
          <w:sz w:val="22"/>
          <w:szCs w:val="22"/>
          <w:highlight w:val="none"/>
          <w:lang w:val="en-US" w:eastAsia="zh-CN" w:bidi="ar"/>
        </w:rPr>
        <w:t>注：1.参与政府采购活动的供应商可按第1点的内容：“我方</w:t>
      </w:r>
      <w:r>
        <w:rPr>
          <w:rFonts w:hint="eastAsia" w:ascii="Calibri" w:hAnsi="Calibri" w:eastAsia="宋体" w:cs="宋体"/>
          <w:color w:val="auto"/>
          <w:spacing w:val="6"/>
          <w:kern w:val="0"/>
          <w:sz w:val="22"/>
          <w:szCs w:val="22"/>
          <w:highlight w:val="none"/>
          <w:lang w:val="en-US" w:eastAsia="zh-CN" w:bidi="ar"/>
        </w:rPr>
        <w:t>具有独立承担民事责任的能力或我方属于银行、保险、石油石化、电力、电信等有行业特殊情况的法人的分支机构在参加本次政府采购活动前已取得总公司的授权。”进行承诺，也可以根据自身的真实情况选择以下2种方式进行承诺：一是“</w:t>
      </w:r>
      <w:r>
        <w:rPr>
          <w:rFonts w:hint="eastAsia" w:ascii="Calibri" w:hAnsi="Calibri" w:eastAsia="宋体" w:cs="宋体"/>
          <w:color w:val="auto"/>
          <w:kern w:val="0"/>
          <w:sz w:val="22"/>
          <w:szCs w:val="22"/>
          <w:highlight w:val="none"/>
          <w:lang w:val="en-US" w:eastAsia="zh-CN" w:bidi="ar"/>
        </w:rPr>
        <w:t>我方</w:t>
      </w:r>
      <w:r>
        <w:rPr>
          <w:rFonts w:hint="eastAsia" w:ascii="Calibri" w:hAnsi="Calibri" w:eastAsia="宋体" w:cs="宋体"/>
          <w:color w:val="auto"/>
          <w:spacing w:val="6"/>
          <w:kern w:val="0"/>
          <w:sz w:val="22"/>
          <w:szCs w:val="22"/>
          <w:highlight w:val="none"/>
          <w:lang w:val="en-US" w:eastAsia="zh-CN" w:bidi="ar"/>
        </w:rPr>
        <w:t>具有独立承担民事责任的能力”进行承诺；二是“我方属于银行、保险、石油石化、电力、电信等有行业特殊情况的法人的分支机构在参加本次政府采购活动前已取得总公司的授权”进行承诺。参加政府采购活动的供应商只要第1点承诺的内容包含有：具有独立承担民事责任的能力、在参加本次政府采购活动前已取得总公司的授权等内容的即为有效的承诺。2.第1点所指的行业特殊情况使用了“等”字表示列举未尽，即行业特殊情况包含但不限于银行、保险、石油石化、电力、电信。</w:t>
      </w:r>
    </w:p>
    <w:p w14:paraId="3F517D2E">
      <w:pPr>
        <w:spacing w:line="320" w:lineRule="exact"/>
        <w:jc w:val="left"/>
        <w:rPr>
          <w:rFonts w:hint="eastAsia" w:ascii="宋体" w:hAnsi="宋体" w:eastAsia="宋体" w:cs="Times New Roman"/>
          <w:color w:val="auto"/>
          <w:szCs w:val="21"/>
          <w:highlight w:val="none"/>
        </w:rPr>
      </w:pPr>
    </w:p>
    <w:p w14:paraId="3678CBF1">
      <w:pPr>
        <w:wordWrap w:val="0"/>
        <w:spacing w:before="156" w:beforeLines="50" w:after="50" w:line="320" w:lineRule="exact"/>
        <w:ind w:right="482" w:firstLine="210" w:firstLineChars="100"/>
        <w:contextualSpacing/>
        <w:jc w:val="center"/>
        <w:rPr>
          <w:rFonts w:hint="eastAsia" w:ascii="宋体" w:hAnsi="宋体" w:eastAsia="宋体" w:cs="Times New Roman"/>
          <w:color w:val="auto"/>
          <w:szCs w:val="21"/>
          <w:highlight w:val="none"/>
        </w:rPr>
      </w:pPr>
    </w:p>
    <w:p w14:paraId="3B9867E8">
      <w:pPr>
        <w:wordWrap w:val="0"/>
        <w:spacing w:before="156" w:beforeLines="50" w:after="50" w:line="320" w:lineRule="exact"/>
        <w:ind w:right="482" w:firstLine="210" w:firstLineChars="100"/>
        <w:contextualSpacing/>
        <w:jc w:val="center"/>
        <w:rPr>
          <w:rFonts w:hint="eastAsia" w:ascii="宋体" w:hAnsi="宋体" w:eastAsia="宋体" w:cs="Times New Roman"/>
          <w:color w:val="auto"/>
          <w:szCs w:val="21"/>
          <w:highlight w:val="none"/>
        </w:rPr>
      </w:pPr>
    </w:p>
    <w:p w14:paraId="17781E89">
      <w:pPr>
        <w:wordWrap w:val="0"/>
        <w:spacing w:before="156" w:beforeLines="50" w:after="50" w:line="320" w:lineRule="exact"/>
        <w:ind w:right="482" w:firstLine="210" w:firstLineChars="100"/>
        <w:contextualSpacing/>
        <w:jc w:val="center"/>
        <w:rPr>
          <w:rFonts w:hint="eastAsia" w:ascii="宋体" w:hAnsi="宋体" w:eastAsia="宋体" w:cs="Times New Roman"/>
          <w:color w:val="auto"/>
          <w:szCs w:val="21"/>
          <w:highlight w:val="none"/>
        </w:rPr>
      </w:pPr>
    </w:p>
    <w:p w14:paraId="2AE55420">
      <w:pPr>
        <w:wordWrap w:val="0"/>
        <w:spacing w:before="156" w:beforeLines="50" w:after="50" w:line="320" w:lineRule="exact"/>
        <w:ind w:right="482" w:firstLine="210" w:firstLineChars="100"/>
        <w:contextualSpacing/>
        <w:jc w:val="center"/>
        <w:rPr>
          <w:rFonts w:hint="eastAsia" w:ascii="宋体" w:hAnsi="宋体" w:eastAsia="宋体" w:cs="Times New Roman"/>
          <w:color w:val="auto"/>
          <w:szCs w:val="21"/>
          <w:highlight w:val="none"/>
        </w:rPr>
      </w:pPr>
    </w:p>
    <w:p w14:paraId="27C19C50">
      <w:pPr>
        <w:spacing w:line="320" w:lineRule="exact"/>
        <w:jc w:val="center"/>
        <w:rPr>
          <w:rFonts w:hint="eastAsia" w:ascii="宋体" w:hAnsi="宋体" w:eastAsia="宋体" w:cs="Times New Roman"/>
          <w:b/>
          <w:color w:val="auto"/>
          <w:sz w:val="32"/>
          <w:szCs w:val="32"/>
          <w:highlight w:val="none"/>
        </w:rPr>
      </w:pPr>
    </w:p>
    <w:p w14:paraId="7296C308">
      <w:pPr>
        <w:spacing w:line="320" w:lineRule="exact"/>
        <w:jc w:val="center"/>
        <w:rPr>
          <w:rFonts w:hint="eastAsia" w:ascii="宋体" w:hAnsi="宋体" w:eastAsia="宋体" w:cs="Times New Roman"/>
          <w:b/>
          <w:color w:val="auto"/>
          <w:sz w:val="32"/>
          <w:szCs w:val="32"/>
          <w:highlight w:val="none"/>
        </w:rPr>
      </w:pPr>
    </w:p>
    <w:p w14:paraId="38D8F7F7">
      <w:pPr>
        <w:spacing w:line="320" w:lineRule="exact"/>
        <w:jc w:val="both"/>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供应商直接控股、管理关系信息表</w:t>
      </w:r>
    </w:p>
    <w:p w14:paraId="1E18C9D5">
      <w:pPr>
        <w:snapToGrid w:val="0"/>
        <w:spacing w:before="120" w:beforeLines="50" w:after="50" w:line="360" w:lineRule="auto"/>
        <w:jc w:val="center"/>
        <w:rPr>
          <w:rFonts w:ascii="宋体" w:hAnsi="宋体" w:eastAsia="宋体" w:cs="Times New Roman"/>
          <w:b/>
          <w:color w:val="auto"/>
          <w:sz w:val="24"/>
          <w:highlight w:val="none"/>
        </w:rPr>
      </w:pPr>
    </w:p>
    <w:p w14:paraId="28637CBA">
      <w:pPr>
        <w:spacing w:line="360" w:lineRule="auto"/>
        <w:contextualSpacing/>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供应商直接控股股东信息表</w:t>
      </w:r>
    </w:p>
    <w:p w14:paraId="1EB1F08A">
      <w:pPr>
        <w:spacing w:line="360" w:lineRule="auto"/>
        <w:contextualSpacing/>
        <w:jc w:val="center"/>
        <w:rPr>
          <w:rFonts w:ascii="宋体" w:hAnsi="宋体" w:eastAsia="宋体" w:cs="Times New Roman"/>
          <w:b/>
          <w:color w:val="auto"/>
          <w:sz w:val="24"/>
          <w:highlight w:val="none"/>
        </w:rPr>
      </w:pPr>
    </w:p>
    <w:tbl>
      <w:tblPr>
        <w:tblStyle w:val="24"/>
        <w:tblW w:w="9447" w:type="dxa"/>
        <w:jc w:val="center"/>
        <w:shd w:val="clear" w:color="auto" w:fill="FBFBFB"/>
        <w:tblLayout w:type="fixed"/>
        <w:tblCellMar>
          <w:top w:w="0" w:type="dxa"/>
          <w:left w:w="0" w:type="dxa"/>
          <w:bottom w:w="0" w:type="dxa"/>
          <w:right w:w="0" w:type="dxa"/>
        </w:tblCellMar>
      </w:tblPr>
      <w:tblGrid>
        <w:gridCol w:w="854"/>
        <w:gridCol w:w="2281"/>
        <w:gridCol w:w="1323"/>
        <w:gridCol w:w="4119"/>
        <w:gridCol w:w="870"/>
      </w:tblGrid>
      <w:tr w14:paraId="73A9BD57">
        <w:tblPrEx>
          <w:tblCellMar>
            <w:top w:w="0" w:type="dxa"/>
            <w:left w:w="0" w:type="dxa"/>
            <w:bottom w:w="0" w:type="dxa"/>
            <w:right w:w="0" w:type="dxa"/>
          </w:tblCellMar>
        </w:tblPrEx>
        <w:trPr>
          <w:tblHeade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364DC74">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228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DA47362">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直接控股股东名称</w:t>
            </w:r>
          </w:p>
        </w:tc>
        <w:tc>
          <w:tcPr>
            <w:tcW w:w="1323"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82BC092">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出资比例</w:t>
            </w:r>
          </w:p>
        </w:tc>
        <w:tc>
          <w:tcPr>
            <w:tcW w:w="411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3A88D28">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身份证号码或者统一社会信用代码</w:t>
            </w: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5A8A3C5">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备注</w:t>
            </w:r>
          </w:p>
        </w:tc>
      </w:tr>
      <w:tr w14:paraId="5B583BA7">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8E1322A">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228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70E680D">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610B08C">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FECDC94">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3100633">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12B63475">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6929639">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228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AD9CD4A">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A19842D">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06C6B15">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5524464">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6170469E">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381A142">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228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DC3221E">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7D54AD5">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A233248">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7EFB4FB">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0FA85642">
        <w:tblPrEx>
          <w:tblCellMar>
            <w:top w:w="0" w:type="dxa"/>
            <w:left w:w="0" w:type="dxa"/>
            <w:bottom w:w="0" w:type="dxa"/>
            <w:right w:w="0" w:type="dxa"/>
          </w:tblCellMar>
        </w:tblPrEx>
        <w:trPr>
          <w:jc w:val="center"/>
        </w:trPr>
        <w:tc>
          <w:tcPr>
            <w:tcW w:w="854"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59A97E9">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228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5F36E30">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323"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7F444BA">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411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E9765DD">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870"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E614299">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bl>
    <w:p w14:paraId="2368B6E7">
      <w:pPr>
        <w:spacing w:line="360" w:lineRule="auto"/>
        <w:contextualSpacing/>
        <w:jc w:val="left"/>
        <w:rPr>
          <w:rFonts w:ascii="宋体" w:hAnsi="宋体" w:eastAsia="宋体" w:cs="宋体"/>
          <w:color w:val="auto"/>
          <w:sz w:val="24"/>
          <w:highlight w:val="none"/>
        </w:rPr>
      </w:pPr>
      <w:r>
        <w:rPr>
          <w:rFonts w:hint="eastAsia" w:ascii="宋体" w:hAnsi="宋体" w:eastAsia="宋体" w:cs="宋体"/>
          <w:color w:val="auto"/>
          <w:sz w:val="24"/>
          <w:highlight w:val="none"/>
        </w:rPr>
        <w:t>注：</w:t>
      </w:r>
    </w:p>
    <w:p w14:paraId="59B5E341">
      <w:pPr>
        <w:spacing w:line="360" w:lineRule="auto"/>
        <w:ind w:firstLine="480" w:firstLineChars="200"/>
        <w:contextualSpacing/>
        <w:jc w:val="left"/>
        <w:rPr>
          <w:rFonts w:ascii="宋体" w:hAnsi="宋体" w:eastAsia="宋体" w:cs="宋体"/>
          <w:color w:val="auto"/>
          <w:sz w:val="24"/>
          <w:highlight w:val="none"/>
        </w:rPr>
      </w:pPr>
      <w:r>
        <w:rPr>
          <w:rFonts w:hint="eastAsia" w:ascii="宋体" w:hAnsi="宋体" w:eastAsia="宋体" w:cs="宋体"/>
          <w:color w:val="auto"/>
          <w:sz w:val="24"/>
          <w:highlight w:val="none"/>
        </w:rPr>
        <w:t>1.直接控股股东：是指其出资额占有限责任公司资本总额百分之五十以上或者其持有的股份占股份有限公司股份总额百分之五十以上的股东；出资额或者持有股份的比例虽然不足百分之五十，但依其出资额或者持有的股份所享有的表决权已足以对股东会、股东大会的决议产生重大影响的股东。</w:t>
      </w:r>
    </w:p>
    <w:p w14:paraId="4983E90A">
      <w:pPr>
        <w:spacing w:line="360" w:lineRule="auto"/>
        <w:ind w:firstLine="480" w:firstLineChars="200"/>
        <w:contextualSpacing/>
        <w:jc w:val="left"/>
        <w:rPr>
          <w:rFonts w:ascii="宋体" w:hAnsi="宋体" w:eastAsia="宋体" w:cs="宋体"/>
          <w:color w:val="auto"/>
          <w:sz w:val="24"/>
          <w:highlight w:val="none"/>
        </w:rPr>
      </w:pPr>
      <w:r>
        <w:rPr>
          <w:rFonts w:hint="eastAsia" w:ascii="宋体" w:hAnsi="宋体" w:eastAsia="宋体" w:cs="宋体"/>
          <w:color w:val="auto"/>
          <w:sz w:val="24"/>
          <w:highlight w:val="none"/>
        </w:rPr>
        <w:t>2.本表所指的控股关系仅限于直接控股关系，不包括间接的控股关系。公司实际控制人与公司之间的关系不属于本表所指的直接控股关系。</w:t>
      </w:r>
    </w:p>
    <w:p w14:paraId="7B05B674">
      <w:pPr>
        <w:spacing w:line="360" w:lineRule="auto"/>
        <w:ind w:firstLine="480" w:firstLineChars="200"/>
        <w:contextualSpacing/>
        <w:jc w:val="left"/>
        <w:rPr>
          <w:rFonts w:ascii="宋体" w:hAnsi="宋体" w:eastAsia="宋体" w:cs="宋体"/>
          <w:color w:val="auto"/>
          <w:sz w:val="24"/>
          <w:highlight w:val="none"/>
        </w:rPr>
      </w:pPr>
      <w:r>
        <w:rPr>
          <w:rFonts w:hint="eastAsia" w:ascii="宋体" w:hAnsi="宋体" w:eastAsia="宋体" w:cs="宋体"/>
          <w:color w:val="auto"/>
          <w:sz w:val="24"/>
          <w:highlight w:val="none"/>
        </w:rPr>
        <w:t>3.供应商不存在直接控股股东的，</w:t>
      </w:r>
      <w:r>
        <w:rPr>
          <w:rFonts w:hint="eastAsia" w:ascii="宋体" w:hAnsi="宋体" w:eastAsia="宋体" w:cs="Times New Roman"/>
          <w:color w:val="auto"/>
          <w:sz w:val="24"/>
          <w:highlight w:val="none"/>
        </w:rPr>
        <w:t>则在“直接控股股东名称”填“无”</w:t>
      </w:r>
      <w:r>
        <w:rPr>
          <w:rFonts w:hint="eastAsia" w:ascii="宋体" w:hAnsi="宋体" w:eastAsia="宋体" w:cs="宋体"/>
          <w:color w:val="auto"/>
          <w:sz w:val="24"/>
          <w:highlight w:val="none"/>
        </w:rPr>
        <w:t>。</w:t>
      </w:r>
    </w:p>
    <w:p w14:paraId="2FC908D6">
      <w:pPr>
        <w:spacing w:line="360" w:lineRule="auto"/>
        <w:ind w:firstLine="420" w:firstLineChars="200"/>
        <w:contextualSpacing/>
        <w:jc w:val="left"/>
        <w:rPr>
          <w:rFonts w:ascii="宋体" w:hAnsi="宋体" w:eastAsia="宋体" w:cs="宋体"/>
          <w:color w:val="auto"/>
          <w:szCs w:val="21"/>
          <w:highlight w:val="none"/>
        </w:rPr>
      </w:pPr>
    </w:p>
    <w:p w14:paraId="0C484565">
      <w:pPr>
        <w:spacing w:line="360" w:lineRule="auto"/>
        <w:ind w:firstLine="560" w:firstLineChars="200"/>
        <w:contextualSpacing/>
        <w:jc w:val="left"/>
        <w:rPr>
          <w:rFonts w:ascii="宋体" w:hAnsi="宋体" w:eastAsia="宋体" w:cs="宋体"/>
          <w:color w:val="auto"/>
          <w:sz w:val="28"/>
          <w:szCs w:val="28"/>
          <w:highlight w:val="none"/>
        </w:rPr>
      </w:pPr>
    </w:p>
    <w:p w14:paraId="3D03D5E0">
      <w:pPr>
        <w:spacing w:line="360" w:lineRule="auto"/>
        <w:ind w:right="480"/>
        <w:contextualSpacing/>
        <w:jc w:val="center"/>
        <w:rPr>
          <w:rFonts w:ascii="宋体" w:hAnsi="宋体" w:eastAsia="宋体" w:cs="宋体"/>
          <w:color w:val="auto"/>
          <w:sz w:val="24"/>
          <w:highlight w:val="none"/>
          <w:u w:val="single"/>
        </w:rPr>
      </w:pP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法定代表人或者委托代理人</w:t>
      </w:r>
      <w:r>
        <w:rPr>
          <w:rFonts w:hint="eastAsia" w:ascii="宋体" w:hAnsi="宋体" w:eastAsia="宋体" w:cs="Times New Roman"/>
          <w:color w:val="auto"/>
          <w:sz w:val="24"/>
          <w:highlight w:val="none"/>
        </w:rPr>
        <w:t>（签字或者电子签名）</w:t>
      </w:r>
      <w:r>
        <w:rPr>
          <w:rFonts w:hint="eastAsia" w:ascii="宋体" w:hAnsi="宋体" w:eastAsia="宋体" w:cs="宋体"/>
          <w:color w:val="auto"/>
          <w:sz w:val="24"/>
          <w:highlight w:val="none"/>
        </w:rPr>
        <w:t>：</w:t>
      </w:r>
    </w:p>
    <w:p w14:paraId="130976B2">
      <w:pPr>
        <w:spacing w:line="360" w:lineRule="auto"/>
        <w:ind w:right="480" w:firstLine="3480" w:firstLineChars="1450"/>
        <w:contextualSpacing/>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供应商</w:t>
      </w:r>
      <w:r>
        <w:rPr>
          <w:rFonts w:hint="eastAsia" w:ascii="宋体" w:hAnsi="宋体" w:eastAsia="宋体" w:cs="Times New Roman"/>
          <w:color w:val="auto"/>
          <w:sz w:val="24"/>
          <w:highlight w:val="none"/>
        </w:rPr>
        <w:t>（电子签章）</w:t>
      </w:r>
      <w:r>
        <w:rPr>
          <w:rFonts w:hint="eastAsia" w:ascii="宋体" w:hAnsi="宋体" w:eastAsia="宋体" w:cs="宋体"/>
          <w:color w:val="auto"/>
          <w:sz w:val="24"/>
          <w:highlight w:val="none"/>
        </w:rPr>
        <w:t>：</w:t>
      </w:r>
    </w:p>
    <w:p w14:paraId="09B9A6EC">
      <w:pPr>
        <w:spacing w:line="360" w:lineRule="auto"/>
        <w:ind w:firstLine="480" w:firstLineChars="200"/>
        <w:contextualSpacing/>
        <w:jc w:val="center"/>
        <w:rPr>
          <w:rFonts w:ascii="宋体" w:hAnsi="宋体" w:eastAsia="宋体" w:cs="宋体"/>
          <w:color w:val="auto"/>
          <w:sz w:val="28"/>
          <w:szCs w:val="28"/>
          <w:highlight w:val="none"/>
        </w:rPr>
      </w:pPr>
      <w:r>
        <w:rPr>
          <w:rFonts w:hint="eastAsia" w:ascii="宋体" w:hAnsi="宋体" w:eastAsia="宋体" w:cs="宋体"/>
          <w:color w:val="auto"/>
          <w:sz w:val="24"/>
          <w:highlight w:val="none"/>
        </w:rPr>
        <w:t>年</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日</w:t>
      </w:r>
    </w:p>
    <w:p w14:paraId="79D4AAAC">
      <w:pPr>
        <w:snapToGrid w:val="0"/>
        <w:jc w:val="center"/>
        <w:rPr>
          <w:rFonts w:ascii="宋体" w:hAnsi="宋体" w:eastAsia="宋体" w:cs="Times New Roman"/>
          <w:b/>
          <w:color w:val="auto"/>
          <w:sz w:val="28"/>
          <w:szCs w:val="28"/>
          <w:highlight w:val="none"/>
        </w:rPr>
      </w:pPr>
      <w:r>
        <w:rPr>
          <w:rFonts w:ascii="宋体" w:hAnsi="宋体" w:eastAsia="宋体" w:cs="Times New Roman"/>
          <w:b/>
          <w:color w:val="auto"/>
          <w:sz w:val="28"/>
          <w:szCs w:val="28"/>
          <w:highlight w:val="none"/>
        </w:rPr>
        <w:br w:type="page"/>
      </w:r>
    </w:p>
    <w:p w14:paraId="65238B9A">
      <w:pPr>
        <w:spacing w:line="320" w:lineRule="exact"/>
        <w:jc w:val="center"/>
        <w:rPr>
          <w:rFonts w:ascii="宋体" w:hAnsi="宋体" w:eastAsia="宋体" w:cs="Times New Roman"/>
          <w:b/>
          <w:color w:val="auto"/>
          <w:sz w:val="32"/>
          <w:szCs w:val="32"/>
          <w:highlight w:val="none"/>
        </w:rPr>
      </w:pPr>
      <w:r>
        <w:rPr>
          <w:rFonts w:hint="eastAsia" w:ascii="宋体" w:hAnsi="宋体" w:eastAsia="宋体" w:cs="Times New Roman"/>
          <w:b/>
          <w:color w:val="auto"/>
          <w:sz w:val="32"/>
          <w:szCs w:val="32"/>
          <w:highlight w:val="none"/>
        </w:rPr>
        <w:t>供应商直接管理关系信息表</w:t>
      </w:r>
    </w:p>
    <w:p w14:paraId="0EDCABFD">
      <w:pPr>
        <w:snapToGrid w:val="0"/>
        <w:spacing w:line="360" w:lineRule="auto"/>
        <w:jc w:val="center"/>
        <w:rPr>
          <w:rFonts w:ascii="宋体" w:hAnsi="宋体" w:eastAsia="宋体" w:cs="Times New Roman"/>
          <w:b/>
          <w:color w:val="auto"/>
          <w:sz w:val="24"/>
          <w:highlight w:val="none"/>
        </w:rPr>
      </w:pPr>
    </w:p>
    <w:tbl>
      <w:tblPr>
        <w:tblStyle w:val="24"/>
        <w:tblW w:w="9130" w:type="dxa"/>
        <w:jc w:val="center"/>
        <w:shd w:val="clear" w:color="auto" w:fill="FBFBFB"/>
        <w:tblLayout w:type="fixed"/>
        <w:tblCellMar>
          <w:top w:w="0" w:type="dxa"/>
          <w:left w:w="0" w:type="dxa"/>
          <w:bottom w:w="0" w:type="dxa"/>
          <w:right w:w="0" w:type="dxa"/>
        </w:tblCellMar>
      </w:tblPr>
      <w:tblGrid>
        <w:gridCol w:w="825"/>
        <w:gridCol w:w="3201"/>
        <w:gridCol w:w="3555"/>
        <w:gridCol w:w="1549"/>
      </w:tblGrid>
      <w:tr w14:paraId="108714AB">
        <w:tblPrEx>
          <w:shd w:val="clear" w:color="auto" w:fill="FBFBFB"/>
          <w:tblCellMar>
            <w:top w:w="0" w:type="dxa"/>
            <w:left w:w="0" w:type="dxa"/>
            <w:bottom w:w="0" w:type="dxa"/>
            <w:right w:w="0" w:type="dxa"/>
          </w:tblCellMar>
        </w:tblPrEx>
        <w:trPr>
          <w:tblHeade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1107C28">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序号</w:t>
            </w:r>
          </w:p>
        </w:tc>
        <w:tc>
          <w:tcPr>
            <w:tcW w:w="320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D145977">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直接管理关系单位名称</w:t>
            </w: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1C9085B">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统一社会信用代码</w:t>
            </w:r>
          </w:p>
        </w:tc>
        <w:tc>
          <w:tcPr>
            <w:tcW w:w="154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6946FE3">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b/>
                <w:bCs/>
                <w:color w:val="auto"/>
                <w:kern w:val="0"/>
                <w:sz w:val="24"/>
                <w:highlight w:val="none"/>
              </w:rPr>
            </w:pPr>
            <w:r>
              <w:rPr>
                <w:rFonts w:hint="eastAsia" w:ascii="宋体" w:hAnsi="宋体" w:eastAsia="宋体" w:cs="宋体"/>
                <w:b/>
                <w:bCs/>
                <w:color w:val="auto"/>
                <w:kern w:val="0"/>
                <w:sz w:val="24"/>
                <w:highlight w:val="none"/>
              </w:rPr>
              <w:t>相互关系</w:t>
            </w:r>
          </w:p>
        </w:tc>
      </w:tr>
      <w:tr w14:paraId="5D061AF4">
        <w:tblPrEx>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B94EB4D">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1</w:t>
            </w:r>
          </w:p>
        </w:tc>
        <w:tc>
          <w:tcPr>
            <w:tcW w:w="320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5BF7ED0">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25B81C6B">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91ED768">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2F142D2D">
        <w:tblPrEx>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29367FC">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2</w:t>
            </w:r>
          </w:p>
        </w:tc>
        <w:tc>
          <w:tcPr>
            <w:tcW w:w="320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1F1D873">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08D76E8C">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9CB9FB3">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2E55E808">
        <w:tblPrEx>
          <w:shd w:val="clear" w:color="auto" w:fill="FBFBFB"/>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1CAAD746">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3</w:t>
            </w:r>
          </w:p>
        </w:tc>
        <w:tc>
          <w:tcPr>
            <w:tcW w:w="320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18562EC">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3C468DF5">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4C1AF354">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r w14:paraId="568852F8">
        <w:tblPrEx>
          <w:tblCellMar>
            <w:top w:w="0" w:type="dxa"/>
            <w:left w:w="0" w:type="dxa"/>
            <w:bottom w:w="0" w:type="dxa"/>
            <w:right w:w="0" w:type="dxa"/>
          </w:tblCellMar>
        </w:tblPrEx>
        <w:trPr>
          <w:jc w:val="center"/>
        </w:trPr>
        <w:tc>
          <w:tcPr>
            <w:tcW w:w="82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75E4E2B">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tc>
        <w:tc>
          <w:tcPr>
            <w:tcW w:w="3201"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7B95FB03">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3555"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5B0F5A05">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c>
          <w:tcPr>
            <w:tcW w:w="1549" w:type="dxa"/>
            <w:tcBorders>
              <w:top w:val="single" w:color="auto" w:sz="4" w:space="0"/>
              <w:left w:val="single" w:color="auto" w:sz="4" w:space="0"/>
              <w:bottom w:val="single" w:color="auto" w:sz="4" w:space="0"/>
              <w:right w:val="single" w:color="auto" w:sz="4" w:space="0"/>
            </w:tcBorders>
            <w:shd w:val="clear" w:color="auto" w:fill="FBFBFB"/>
            <w:noWrap w:val="0"/>
            <w:tcMar>
              <w:top w:w="120" w:type="dxa"/>
              <w:left w:w="120" w:type="dxa"/>
              <w:bottom w:w="120" w:type="dxa"/>
              <w:right w:w="120" w:type="dxa"/>
            </w:tcMar>
            <w:vAlign w:val="center"/>
          </w:tcPr>
          <w:p w14:paraId="62345EC6">
            <w:pPr>
              <w:keepNext w:val="0"/>
              <w:keepLines w:val="0"/>
              <w:widowControl/>
              <w:suppressLineNumbers w:val="0"/>
              <w:spacing w:before="0" w:beforeAutospacing="0" w:after="0" w:afterAutospacing="0" w:line="360" w:lineRule="auto"/>
              <w:ind w:left="0" w:right="0"/>
              <w:contextualSpacing/>
              <w:jc w:val="center"/>
              <w:rPr>
                <w:rFonts w:hint="default" w:ascii="宋体" w:hAnsi="宋体" w:eastAsia="宋体" w:cs="宋体"/>
                <w:color w:val="auto"/>
                <w:kern w:val="0"/>
                <w:sz w:val="24"/>
                <w:highlight w:val="none"/>
              </w:rPr>
            </w:pPr>
          </w:p>
        </w:tc>
      </w:tr>
    </w:tbl>
    <w:p w14:paraId="45E8156A">
      <w:pPr>
        <w:spacing w:line="360" w:lineRule="auto"/>
        <w:contextualSpacing/>
        <w:jc w:val="left"/>
        <w:rPr>
          <w:rFonts w:ascii="宋体" w:hAnsi="宋体" w:eastAsia="宋体" w:cs="Times New Roman"/>
          <w:color w:val="auto"/>
          <w:sz w:val="24"/>
          <w:highlight w:val="none"/>
        </w:rPr>
      </w:pPr>
      <w:r>
        <w:rPr>
          <w:rFonts w:hint="eastAsia" w:ascii="宋体" w:hAnsi="宋体" w:eastAsia="宋体" w:cs="Times New Roman"/>
          <w:color w:val="auto"/>
          <w:sz w:val="24"/>
          <w:highlight w:val="none"/>
        </w:rPr>
        <w:t>注：</w:t>
      </w:r>
    </w:p>
    <w:p w14:paraId="779D2F9C">
      <w:pPr>
        <w:spacing w:line="360" w:lineRule="auto"/>
        <w:ind w:firstLine="480" w:firstLineChars="200"/>
        <w:contextualSpacing/>
        <w:jc w:val="left"/>
        <w:rPr>
          <w:rFonts w:ascii="宋体" w:hAnsi="宋体" w:eastAsia="宋体" w:cs="Times New Roman"/>
          <w:color w:val="auto"/>
          <w:sz w:val="24"/>
          <w:highlight w:val="none"/>
        </w:rPr>
      </w:pPr>
      <w:r>
        <w:rPr>
          <w:rFonts w:hint="eastAsia" w:ascii="宋体" w:hAnsi="宋体" w:eastAsia="宋体" w:cs="Times New Roman"/>
          <w:color w:val="auto"/>
          <w:sz w:val="24"/>
          <w:highlight w:val="none"/>
        </w:rPr>
        <w:t>1.管理关系：是指不具有出资持股关系的其他单位之间存在的管理与被管理关系，如一些上下级关系的事业单位和团体组织。</w:t>
      </w:r>
    </w:p>
    <w:p w14:paraId="52465237">
      <w:pPr>
        <w:spacing w:line="360" w:lineRule="auto"/>
        <w:ind w:firstLine="480" w:firstLineChars="200"/>
        <w:contextualSpacing/>
        <w:jc w:val="left"/>
        <w:rPr>
          <w:rFonts w:ascii="宋体" w:hAnsi="宋体" w:eastAsia="宋体" w:cs="Times New Roman"/>
          <w:color w:val="auto"/>
          <w:sz w:val="24"/>
          <w:highlight w:val="none"/>
        </w:rPr>
      </w:pPr>
      <w:r>
        <w:rPr>
          <w:rFonts w:hint="eastAsia" w:ascii="宋体" w:hAnsi="宋体" w:eastAsia="宋体" w:cs="Times New Roman"/>
          <w:color w:val="auto"/>
          <w:sz w:val="24"/>
          <w:highlight w:val="none"/>
        </w:rPr>
        <w:t>2.</w:t>
      </w:r>
      <w:r>
        <w:rPr>
          <w:rFonts w:hint="eastAsia" w:ascii="宋体" w:hAnsi="宋体" w:eastAsia="宋体" w:cs="Times New Roman"/>
          <w:color w:val="auto"/>
          <w:spacing w:val="-6"/>
          <w:sz w:val="24"/>
          <w:highlight w:val="none"/>
        </w:rPr>
        <w:t>本表所指的管理关系仅限于直接管理关系，不包括间接的管理关系。</w:t>
      </w:r>
    </w:p>
    <w:p w14:paraId="3FA1379A">
      <w:pPr>
        <w:spacing w:line="360" w:lineRule="auto"/>
        <w:ind w:firstLine="480" w:firstLineChars="200"/>
        <w:contextualSpacing/>
        <w:jc w:val="left"/>
        <w:rPr>
          <w:rFonts w:ascii="宋体" w:hAnsi="宋体" w:eastAsia="宋体" w:cs="Times New Roman"/>
          <w:color w:val="auto"/>
          <w:sz w:val="24"/>
          <w:highlight w:val="none"/>
        </w:rPr>
      </w:pPr>
      <w:r>
        <w:rPr>
          <w:rFonts w:hint="eastAsia" w:ascii="宋体" w:hAnsi="宋体" w:eastAsia="宋体" w:cs="Times New Roman"/>
          <w:color w:val="auto"/>
          <w:sz w:val="24"/>
          <w:highlight w:val="none"/>
        </w:rPr>
        <w:t>3.供应商不存在直接管理关系的，则在“直接管理关系单位名称”填“无”。</w:t>
      </w:r>
    </w:p>
    <w:p w14:paraId="4AC7736D">
      <w:pPr>
        <w:spacing w:line="360" w:lineRule="auto"/>
        <w:contextualSpacing/>
        <w:jc w:val="left"/>
        <w:rPr>
          <w:rFonts w:ascii="宋体" w:hAnsi="宋体" w:eastAsia="宋体" w:cs="Times New Roman"/>
          <w:color w:val="auto"/>
          <w:sz w:val="28"/>
          <w:szCs w:val="28"/>
          <w:highlight w:val="none"/>
        </w:rPr>
      </w:pPr>
    </w:p>
    <w:p w14:paraId="737499C0">
      <w:pPr>
        <w:spacing w:line="360" w:lineRule="auto"/>
        <w:contextualSpacing/>
        <w:jc w:val="left"/>
        <w:rPr>
          <w:rFonts w:ascii="宋体" w:hAnsi="宋体" w:eastAsia="宋体" w:cs="Times New Roman"/>
          <w:color w:val="auto"/>
          <w:sz w:val="28"/>
          <w:szCs w:val="28"/>
          <w:highlight w:val="none"/>
        </w:rPr>
      </w:pPr>
    </w:p>
    <w:p w14:paraId="7E4B58F7">
      <w:pPr>
        <w:spacing w:line="360" w:lineRule="auto"/>
        <w:contextualSpacing/>
        <w:jc w:val="left"/>
        <w:rPr>
          <w:rFonts w:ascii="Times New Roman" w:hAnsi="Times New Roman" w:eastAsia="宋体" w:cs="Times New Roman"/>
          <w:color w:val="auto"/>
          <w:sz w:val="28"/>
          <w:szCs w:val="28"/>
          <w:highlight w:val="none"/>
        </w:rPr>
      </w:pPr>
    </w:p>
    <w:p w14:paraId="1A69AC1B">
      <w:pPr>
        <w:spacing w:line="360" w:lineRule="auto"/>
        <w:contextualSpacing/>
        <w:jc w:val="left"/>
        <w:rPr>
          <w:rFonts w:ascii="Times New Roman" w:hAnsi="Times New Roman" w:eastAsia="宋体" w:cs="Times New Roman"/>
          <w:color w:val="auto"/>
          <w:sz w:val="28"/>
          <w:szCs w:val="28"/>
          <w:highlight w:val="none"/>
        </w:rPr>
      </w:pPr>
    </w:p>
    <w:p w14:paraId="19D87140">
      <w:pPr>
        <w:spacing w:line="360" w:lineRule="auto"/>
        <w:ind w:right="480"/>
        <w:contextualSpacing/>
        <w:jc w:val="center"/>
        <w:rPr>
          <w:rFonts w:ascii="宋体" w:hAnsi="宋体" w:eastAsia="宋体" w:cs="Times New Roman"/>
          <w:color w:val="auto"/>
          <w:sz w:val="24"/>
          <w:highlight w:val="none"/>
          <w:u w:val="single"/>
        </w:rPr>
      </w:pP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法定代表人或者委托代理人（签字或者电子签名）：</w:t>
      </w:r>
    </w:p>
    <w:p w14:paraId="4CCBC4A5">
      <w:pPr>
        <w:spacing w:line="360" w:lineRule="auto"/>
        <w:ind w:right="480" w:firstLine="3360" w:firstLineChars="1400"/>
        <w:contextualSpacing/>
        <w:rPr>
          <w:rFonts w:ascii="宋体" w:hAnsi="宋体" w:eastAsia="宋体" w:cs="Times New Roman"/>
          <w:color w:val="auto"/>
          <w:sz w:val="24"/>
          <w:highlight w:val="none"/>
        </w:rPr>
      </w:pPr>
      <w:r>
        <w:rPr>
          <w:rFonts w:hint="eastAsia" w:ascii="宋体" w:hAnsi="宋体" w:eastAsia="宋体" w:cs="Times New Roman"/>
          <w:color w:val="auto"/>
          <w:sz w:val="24"/>
          <w:highlight w:val="none"/>
        </w:rPr>
        <w:t>供应商（电子签章）：</w:t>
      </w:r>
    </w:p>
    <w:p w14:paraId="04BD72E7">
      <w:pPr>
        <w:spacing w:line="360" w:lineRule="auto"/>
        <w:ind w:firstLine="3600" w:firstLineChars="1500"/>
        <w:contextualSpacing/>
        <w:jc w:val="left"/>
        <w:rPr>
          <w:rFonts w:ascii="宋体" w:hAnsi="宋体" w:eastAsia="宋体" w:cs="Times New Roman"/>
          <w:color w:val="auto"/>
          <w:sz w:val="28"/>
          <w:szCs w:val="28"/>
          <w:highlight w:val="none"/>
        </w:rPr>
      </w:pPr>
      <w:r>
        <w:rPr>
          <w:rFonts w:hint="eastAsia" w:ascii="宋体" w:hAnsi="宋体" w:eastAsia="宋体" w:cs="Times New Roman"/>
          <w:color w:val="auto"/>
          <w:sz w:val="24"/>
          <w:highlight w:val="none"/>
        </w:rPr>
        <w:t>年</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月</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日</w:t>
      </w:r>
    </w:p>
    <w:p w14:paraId="407E0A5D">
      <w:pPr>
        <w:snapToGrid w:val="0"/>
        <w:spacing w:before="156" w:beforeLines="50" w:after="50" w:line="360" w:lineRule="auto"/>
        <w:ind w:right="480" w:firstLine="280" w:firstLineChars="100"/>
        <w:jc w:val="center"/>
        <w:rPr>
          <w:rFonts w:ascii="宋体" w:hAnsi="宋体" w:eastAsia="宋体" w:cs="Times New Roman"/>
          <w:color w:val="auto"/>
          <w:sz w:val="28"/>
          <w:szCs w:val="28"/>
          <w:highlight w:val="none"/>
        </w:rPr>
      </w:pPr>
    </w:p>
    <w:p w14:paraId="6EEE7050">
      <w:pPr>
        <w:spacing w:line="320" w:lineRule="exact"/>
        <w:jc w:val="center"/>
        <w:rPr>
          <w:rFonts w:hint="eastAsia" w:ascii="宋体" w:hAnsi="宋体" w:eastAsia="宋体" w:cs="Times New Roman"/>
          <w:b/>
          <w:color w:val="auto"/>
          <w:sz w:val="32"/>
          <w:szCs w:val="32"/>
          <w:highlight w:val="none"/>
        </w:rPr>
      </w:pPr>
      <w:r>
        <w:rPr>
          <w:rFonts w:ascii="宋体" w:hAnsi="宋体" w:eastAsia="宋体" w:cs="Times New Roman"/>
          <w:color w:val="auto"/>
          <w:sz w:val="28"/>
          <w:szCs w:val="28"/>
          <w:highlight w:val="none"/>
        </w:rPr>
        <w:br w:type="page"/>
      </w:r>
      <w:r>
        <w:rPr>
          <w:rFonts w:hint="eastAsia" w:ascii="宋体" w:hAnsi="宋体" w:eastAsia="宋体" w:cs="Times New Roman"/>
          <w:b/>
          <w:color w:val="auto"/>
          <w:sz w:val="32"/>
          <w:szCs w:val="32"/>
          <w:highlight w:val="none"/>
        </w:rPr>
        <w:t>竞标声明</w:t>
      </w:r>
    </w:p>
    <w:p w14:paraId="731FBA31">
      <w:pPr>
        <w:spacing w:line="320" w:lineRule="exact"/>
        <w:jc w:val="center"/>
        <w:rPr>
          <w:rFonts w:hint="eastAsia" w:ascii="宋体" w:hAnsi="宋体" w:eastAsia="宋体" w:cs="Times New Roman"/>
          <w:color w:val="auto"/>
          <w:sz w:val="24"/>
          <w:szCs w:val="20"/>
          <w:highlight w:val="none"/>
        </w:rPr>
      </w:pPr>
    </w:p>
    <w:p w14:paraId="2DFF0159">
      <w:pPr>
        <w:spacing w:before="156" w:beforeLines="50" w:after="50" w:line="360" w:lineRule="auto"/>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致：</w:t>
      </w:r>
      <w:r>
        <w:rPr>
          <w:rFonts w:hint="eastAsia" w:ascii="宋体" w:hAnsi="宋体" w:eastAsia="宋体" w:cs="宋体"/>
          <w:color w:val="auto"/>
          <w:sz w:val="24"/>
          <w:highlight w:val="none"/>
          <w:u w:val="single"/>
        </w:rPr>
        <w:t>广西国力招标有限公司</w:t>
      </w:r>
      <w:r>
        <w:rPr>
          <w:rFonts w:hint="eastAsia" w:ascii="宋体" w:hAnsi="宋体" w:eastAsia="宋体" w:cs="宋体"/>
          <w:color w:val="auto"/>
          <w:sz w:val="24"/>
          <w:highlight w:val="none"/>
        </w:rPr>
        <w:t>：</w:t>
      </w:r>
    </w:p>
    <w:p w14:paraId="5AC05B0D">
      <w:pPr>
        <w:spacing w:before="156" w:beforeLines="50" w:after="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（供应商名称）</w:t>
      </w:r>
      <w:r>
        <w:rPr>
          <w:rFonts w:hint="eastAsia" w:ascii="宋体" w:hAnsi="宋体" w:eastAsia="宋体" w:cs="宋体"/>
          <w:color w:val="auto"/>
          <w:sz w:val="24"/>
          <w:highlight w:val="none"/>
        </w:rPr>
        <w:t>系中华人民共和国合法供应商，经营地址</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2A9F4FEA">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我方愿意参加贵方组织的</w:t>
      </w:r>
      <w:r>
        <w:rPr>
          <w:rFonts w:hint="eastAsia" w:ascii="宋体" w:hAnsi="宋体" w:eastAsia="宋体" w:cs="宋体"/>
          <w:color w:val="auto"/>
          <w:sz w:val="24"/>
          <w:highlight w:val="none"/>
          <w:u w:val="single"/>
        </w:rPr>
        <w:t>（项目名称）</w:t>
      </w:r>
      <w:r>
        <w:rPr>
          <w:rFonts w:hint="eastAsia" w:ascii="宋体" w:hAnsi="宋体" w:eastAsia="宋体" w:cs="宋体"/>
          <w:color w:val="auto"/>
          <w:sz w:val="24"/>
          <w:highlight w:val="none"/>
        </w:rPr>
        <w:t>项目的竞标，为便于贵方公正、择优地确定成交供应商及其竞标产品和服务，我方就本次竞标有关事项郑重声明如下：</w:t>
      </w:r>
    </w:p>
    <w:p w14:paraId="7D0FAD32">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1.我方向贵方提交的所有响应文件、资料都是准确的和真实的。</w:t>
      </w:r>
    </w:p>
    <w:p w14:paraId="485FE71C">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我方不是采购人的附属机构；不是为本次采购项目提供整体设计、规范编制或者项目管理、监理、检测等服务的供应商；在获知本项目采购信息后，与采购人聘请的为此项目提供咨询服务的公司及其附属机构没有任何联系。</w:t>
      </w:r>
    </w:p>
    <w:p w14:paraId="066CEC5C">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3.在此，我方宣布同意如下：</w:t>
      </w:r>
    </w:p>
    <w:p w14:paraId="7A07D91B">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（1）将按磋商文件的约定履行合同责任和义务；</w:t>
      </w:r>
    </w:p>
    <w:p w14:paraId="26225F00">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（2）已详细审查全部磋商文件，包括澄清或者更正公告（如有）；</w:t>
      </w:r>
    </w:p>
    <w:p w14:paraId="40D7A07B">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（3）同意提供按照贵方可能要求的与磋商有关的一切数据或者资料；</w:t>
      </w:r>
    </w:p>
    <w:p w14:paraId="7A853EE6">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（4）响应磋商文件规定的竞标有效期。</w:t>
      </w:r>
    </w:p>
    <w:p w14:paraId="315F19DF">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4.我方承诺符合《中华人民共和国政府采购法》第二十二条规定：</w:t>
      </w:r>
    </w:p>
    <w:p w14:paraId="7BD0C9E3">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（1）具有独立承担民事责任的能力；</w:t>
      </w:r>
    </w:p>
    <w:p w14:paraId="139AFADC">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（2）具有良好的商业信誉和健全的财务会计制度；</w:t>
      </w:r>
    </w:p>
    <w:p w14:paraId="017DDEDC">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（3）具有履行合同所必需的设备和专业技术能力；</w:t>
      </w:r>
    </w:p>
    <w:p w14:paraId="7DC7D62B">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（4）有依法缴纳税收和社会保障资金的良好记录；</w:t>
      </w:r>
    </w:p>
    <w:p w14:paraId="7DF85503">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（5）参加政府采购活动前三年内，在经营活动中没有重大违法记录；</w:t>
      </w:r>
    </w:p>
    <w:p w14:paraId="58A12F9A">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（6）法律、行政法规规定的其他条件。</w:t>
      </w:r>
    </w:p>
    <w:p w14:paraId="007423FE">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5.我方在此声明，我方在参加本项目的政府采购活动前三年内，在经营活动中没有重大违法记录（重大违法记录是指供应商因违法经营受到刑事处罚或者责令停产停业、吊销许可证或者执照、较大数额罚款等行政处罚），未被列入失信被执行人、重大税收违法案件当事人名单、政府采购严重违法失信行为记录名单，完全符合《中华人民共和国政府采购法》第二十二条规定的供应商资格条件，我方对此声明负全部法律责任。</w:t>
      </w:r>
    </w:p>
    <w:p w14:paraId="14407E67">
      <w:pPr>
        <w:spacing w:before="156" w:beforeLines="50"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6.根据《中华人民共和国政府采购法实施条例》第五十条要求对政府采购合同进行公告，但政府采购合同中涉及国家秘密、商业秘密的内容除外。我方就对本次响应文件进行注明如下：（两项内容中必须选择一项）</w:t>
      </w:r>
    </w:p>
    <w:p w14:paraId="1E85611E">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内容中</w:t>
      </w:r>
      <w:r>
        <w:rPr>
          <w:rFonts w:hint="eastAsia" w:ascii="宋体" w:hAnsi="宋体" w:eastAsia="宋体" w:cs="宋体"/>
          <w:color w:val="auto"/>
          <w:sz w:val="24"/>
          <w:highlight w:val="none"/>
        </w:rPr>
        <w:t>未</w:t>
      </w:r>
      <w:r>
        <w:rPr>
          <w:rFonts w:hint="eastAsia" w:ascii="宋体" w:hAnsi="宋体" w:eastAsia="宋体" w:cs="宋体"/>
          <w:color w:val="auto"/>
          <w:kern w:val="0"/>
          <w:sz w:val="24"/>
          <w:highlight w:val="none"/>
        </w:rPr>
        <w:t>涉及商业秘密；</w:t>
      </w:r>
    </w:p>
    <w:p w14:paraId="41157495">
      <w:pPr>
        <w:spacing w:line="360" w:lineRule="auto"/>
        <w:ind w:firstLine="480" w:firstLineChars="200"/>
        <w:contextualSpacing/>
        <w:rPr>
          <w:rFonts w:hint="eastAsia" w:ascii="宋体" w:hAnsi="宋体" w:eastAsia="宋体" w:cs="宋体"/>
          <w:color w:val="auto"/>
          <w:sz w:val="24"/>
          <w:highlight w:val="none"/>
        </w:rPr>
      </w:pPr>
      <w:r>
        <w:rPr>
          <w:rFonts w:hint="eastAsia" w:ascii="宋体" w:hAnsi="宋体" w:eastAsia="宋体" w:cs="宋体"/>
          <w:color w:val="auto"/>
          <w:sz w:val="24"/>
          <w:highlight w:val="none"/>
        </w:rPr>
        <w:t>□我方本次响应文件</w:t>
      </w:r>
      <w:r>
        <w:rPr>
          <w:rFonts w:hint="eastAsia" w:ascii="宋体" w:hAnsi="宋体" w:eastAsia="宋体" w:cs="宋体"/>
          <w:color w:val="auto"/>
          <w:kern w:val="0"/>
          <w:sz w:val="24"/>
          <w:highlight w:val="none"/>
        </w:rPr>
        <w:t>涉及商业秘密的内容有：</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rPr>
        <w:t>；</w:t>
      </w:r>
    </w:p>
    <w:p w14:paraId="605AE6C4">
      <w:pPr>
        <w:widowControl w:val="0"/>
        <w:spacing w:line="360" w:lineRule="auto"/>
        <w:ind w:firstLine="480" w:firstLineChars="200"/>
        <w:contextualSpacing/>
        <w:jc w:val="both"/>
        <w:rPr>
          <w:rFonts w:hint="default" w:ascii="宋体" w:hAnsi="宋体" w:eastAsia="宋体" w:cs="宋体"/>
          <w:color w:val="auto"/>
          <w:kern w:val="0"/>
          <w:sz w:val="24"/>
          <w:szCs w:val="24"/>
          <w:highlight w:val="none"/>
          <w:u w:val="single"/>
          <w:lang w:val="en-US" w:eastAsia="zh-CN" w:bidi="ar-SA"/>
        </w:rPr>
      </w:pPr>
      <w:r>
        <w:rPr>
          <w:rFonts w:hint="eastAsia" w:ascii="宋体" w:hAnsi="宋体" w:eastAsia="宋体" w:cs="宋体"/>
          <w:color w:val="auto"/>
          <w:kern w:val="0"/>
          <w:sz w:val="24"/>
          <w:szCs w:val="24"/>
          <w:highlight w:val="none"/>
          <w:lang w:val="en-US" w:eastAsia="zh-CN" w:bidi="ar-SA"/>
        </w:rPr>
        <w:t>7.与本磋商有关的一切正式往来信函请寄：</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 xml:space="preserve"> 邮政编号：</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 xml:space="preserve">  </w:t>
      </w:r>
    </w:p>
    <w:p w14:paraId="4B56A430">
      <w:pPr>
        <w:widowControl w:val="0"/>
        <w:spacing w:line="360" w:lineRule="auto"/>
        <w:ind w:firstLine="480" w:firstLineChars="200"/>
        <w:contextualSpacing/>
        <w:jc w:val="both"/>
        <w:rPr>
          <w:rFonts w:hint="eastAsia" w:ascii="宋体" w:hAnsi="宋体" w:eastAsia="宋体" w:cs="宋体"/>
          <w:color w:val="auto"/>
          <w:kern w:val="0"/>
          <w:sz w:val="24"/>
          <w:szCs w:val="24"/>
          <w:highlight w:val="none"/>
          <w:u w:val="single"/>
          <w:lang w:val="en-US" w:eastAsia="zh-CN" w:bidi="ar-SA"/>
        </w:rPr>
      </w:pPr>
      <w:r>
        <w:rPr>
          <w:rFonts w:hint="eastAsia" w:ascii="宋体" w:hAnsi="宋体" w:eastAsia="宋体" w:cs="宋体"/>
          <w:color w:val="auto"/>
          <w:kern w:val="0"/>
          <w:sz w:val="24"/>
          <w:szCs w:val="24"/>
          <w:highlight w:val="none"/>
          <w:lang w:val="en-US" w:eastAsia="zh-CN" w:bidi="ar-SA"/>
        </w:rPr>
        <w:t>电话/传真：</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4"/>
          <w:highlight w:val="none"/>
          <w:lang w:val="en-US" w:eastAsia="zh-CN" w:bidi="ar-SA"/>
        </w:rPr>
        <w:t xml:space="preserve">    电子函件：</w:t>
      </w:r>
      <w:r>
        <w:rPr>
          <w:rFonts w:hint="eastAsia" w:ascii="宋体" w:hAnsi="宋体" w:eastAsia="宋体" w:cs="宋体"/>
          <w:color w:val="auto"/>
          <w:kern w:val="0"/>
          <w:sz w:val="24"/>
          <w:szCs w:val="24"/>
          <w:highlight w:val="none"/>
          <w:u w:val="single"/>
          <w:lang w:val="en-US" w:eastAsia="zh-CN" w:bidi="ar-SA"/>
        </w:rPr>
        <w:t xml:space="preserve">         </w:t>
      </w:r>
    </w:p>
    <w:p w14:paraId="6A40DD39">
      <w:pPr>
        <w:widowControl w:val="0"/>
        <w:spacing w:line="360" w:lineRule="auto"/>
        <w:ind w:firstLine="480" w:firstLineChars="200"/>
        <w:contextualSpacing/>
        <w:jc w:val="both"/>
        <w:rPr>
          <w:rFonts w:hint="eastAsia" w:ascii="宋体" w:hAnsi="宋体" w:eastAsia="宋体" w:cs="宋体"/>
          <w:color w:val="auto"/>
          <w:kern w:val="0"/>
          <w:sz w:val="24"/>
          <w:szCs w:val="21"/>
          <w:highlight w:val="none"/>
          <w:lang w:val="en-US" w:eastAsia="zh-CN" w:bidi="ar-SA"/>
        </w:rPr>
      </w:pPr>
      <w:r>
        <w:rPr>
          <w:rFonts w:hint="eastAsia" w:ascii="宋体" w:hAnsi="宋体" w:eastAsia="宋体" w:cs="宋体"/>
          <w:color w:val="auto"/>
          <w:kern w:val="0"/>
          <w:sz w:val="24"/>
          <w:szCs w:val="21"/>
          <w:highlight w:val="none"/>
          <w:lang w:val="en-US" w:eastAsia="zh-CN" w:bidi="ar-SA"/>
        </w:rPr>
        <w:t>开户银行：</w:t>
      </w:r>
      <w:r>
        <w:rPr>
          <w:rFonts w:hint="eastAsia" w:ascii="宋体" w:hAnsi="宋体" w:eastAsia="宋体" w:cs="宋体"/>
          <w:color w:val="auto"/>
          <w:kern w:val="0"/>
          <w:sz w:val="24"/>
          <w:szCs w:val="24"/>
          <w:highlight w:val="none"/>
          <w:u w:val="single"/>
          <w:lang w:val="en-US" w:eastAsia="zh-CN" w:bidi="ar-SA"/>
        </w:rPr>
        <w:t xml:space="preserve">          </w:t>
      </w:r>
      <w:r>
        <w:rPr>
          <w:rFonts w:hint="eastAsia" w:ascii="宋体" w:hAnsi="宋体" w:eastAsia="宋体" w:cs="宋体"/>
          <w:color w:val="auto"/>
          <w:kern w:val="0"/>
          <w:sz w:val="24"/>
          <w:szCs w:val="21"/>
          <w:highlight w:val="none"/>
          <w:lang w:val="en-US" w:eastAsia="zh-CN" w:bidi="ar-SA"/>
        </w:rPr>
        <w:t xml:space="preserve">    帐号：</w:t>
      </w:r>
      <w:r>
        <w:rPr>
          <w:rFonts w:hint="eastAsia" w:ascii="宋体" w:hAnsi="宋体" w:eastAsia="宋体" w:cs="宋体"/>
          <w:color w:val="auto"/>
          <w:kern w:val="0"/>
          <w:sz w:val="24"/>
          <w:szCs w:val="24"/>
          <w:highlight w:val="none"/>
          <w:u w:val="single"/>
          <w:lang w:val="en-US" w:eastAsia="zh-CN" w:bidi="ar-SA"/>
        </w:rPr>
        <w:t xml:space="preserve">              </w:t>
      </w:r>
    </w:p>
    <w:p w14:paraId="38770411">
      <w:pPr>
        <w:widowControl w:val="0"/>
        <w:tabs>
          <w:tab w:val="left" w:pos="939"/>
        </w:tabs>
        <w:spacing w:line="360" w:lineRule="auto"/>
        <w:ind w:left="0" w:leftChars="0" w:firstLine="480" w:firstLineChars="20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8.以上事项如有虚假或者隐瞒，我方愿意承担一切后果，并不再寻求任何旨在减轻或者免除法律责任的辩解。</w:t>
      </w:r>
    </w:p>
    <w:p w14:paraId="5D7B962A">
      <w:pPr>
        <w:widowControl w:val="0"/>
        <w:tabs>
          <w:tab w:val="left" w:pos="939"/>
        </w:tabs>
        <w:spacing w:line="360" w:lineRule="auto"/>
        <w:ind w:left="141" w:leftChars="67" w:firstLine="360" w:firstLineChars="15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特此承诺。</w:t>
      </w:r>
    </w:p>
    <w:p w14:paraId="13651FEB">
      <w:pPr>
        <w:widowControl w:val="0"/>
        <w:tabs>
          <w:tab w:val="left" w:pos="939"/>
        </w:tabs>
        <w:spacing w:line="360" w:lineRule="auto"/>
        <w:ind w:left="0" w:leftChars="0" w:firstLine="480" w:firstLineChars="200"/>
        <w:contextualSpacing/>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注：如为联合体竞标，盖章处须加盖联合体各方公章并由联合体各方法定代表人签署，否则其响应文件按无效响应处理。</w:t>
      </w:r>
    </w:p>
    <w:p w14:paraId="31769C56">
      <w:pPr>
        <w:snapToGrid w:val="0"/>
        <w:spacing w:before="156" w:beforeLines="50" w:line="360" w:lineRule="auto"/>
        <w:ind w:right="480" w:firstLine="4320" w:firstLineChars="1800"/>
        <w:rPr>
          <w:rFonts w:hint="eastAsia" w:ascii="Times New Roman" w:hAnsi="Times New Roman" w:eastAsia="宋体" w:cs="Times New Roman"/>
          <w:color w:val="auto"/>
          <w:sz w:val="24"/>
          <w:highlight w:val="none"/>
        </w:rPr>
      </w:pPr>
    </w:p>
    <w:p w14:paraId="7E80DCD2">
      <w:pPr>
        <w:snapToGrid w:val="0"/>
        <w:spacing w:before="156" w:beforeLines="50" w:line="360" w:lineRule="auto"/>
        <w:ind w:right="480" w:firstLine="4320" w:firstLineChars="1800"/>
        <w:rPr>
          <w:rFonts w:hint="eastAsia" w:ascii="Times New Roman" w:hAnsi="Times New Roman" w:eastAsia="宋体" w:cs="Times New Roman"/>
          <w:color w:val="auto"/>
          <w:sz w:val="24"/>
          <w:highlight w:val="none"/>
        </w:rPr>
      </w:pPr>
    </w:p>
    <w:p w14:paraId="2EA47FB9">
      <w:pPr>
        <w:spacing w:line="360" w:lineRule="auto"/>
        <w:ind w:right="480"/>
        <w:contextualSpacing/>
        <w:jc w:val="center"/>
        <w:rPr>
          <w:rFonts w:ascii="宋体" w:hAnsi="宋体" w:eastAsia="宋体" w:cs="Times New Roman"/>
          <w:color w:val="auto"/>
          <w:sz w:val="24"/>
          <w:highlight w:val="none"/>
          <w:u w:val="single"/>
        </w:rPr>
      </w:pP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法定代表人（签字或者盖章或者电子签名）：</w:t>
      </w:r>
    </w:p>
    <w:p w14:paraId="16F7E503">
      <w:pPr>
        <w:spacing w:line="360" w:lineRule="auto"/>
        <w:ind w:right="480" w:firstLine="5280" w:firstLineChars="2200"/>
        <w:contextualSpacing/>
        <w:rPr>
          <w:rFonts w:ascii="宋体" w:hAnsi="宋体" w:eastAsia="宋体" w:cs="Times New Roman"/>
          <w:color w:val="auto"/>
          <w:sz w:val="24"/>
          <w:highlight w:val="none"/>
        </w:rPr>
      </w:pPr>
      <w:r>
        <w:rPr>
          <w:rFonts w:hint="eastAsia" w:ascii="宋体" w:hAnsi="宋体" w:eastAsia="宋体" w:cs="Times New Roman"/>
          <w:color w:val="auto"/>
          <w:sz w:val="24"/>
          <w:highlight w:val="none"/>
        </w:rPr>
        <w:t>供应商（电子签章）：</w:t>
      </w:r>
    </w:p>
    <w:p w14:paraId="59D8AD5F">
      <w:pPr>
        <w:spacing w:line="360" w:lineRule="auto"/>
        <w:ind w:firstLine="4080" w:firstLineChars="1700"/>
        <w:contextualSpacing/>
        <w:jc w:val="left"/>
        <w:rPr>
          <w:rFonts w:ascii="宋体" w:hAnsi="宋体" w:eastAsia="宋体" w:cs="Times New Roman"/>
          <w:color w:val="auto"/>
          <w:sz w:val="28"/>
          <w:szCs w:val="28"/>
          <w:highlight w:val="none"/>
        </w:rPr>
      </w:pPr>
      <w:r>
        <w:rPr>
          <w:rFonts w:hint="eastAsia" w:ascii="宋体" w:hAnsi="宋体" w:eastAsia="宋体" w:cs="Times New Roman"/>
          <w:color w:val="auto"/>
          <w:sz w:val="24"/>
          <w:highlight w:val="none"/>
        </w:rPr>
        <w:t>年</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月</w:t>
      </w:r>
      <w:r>
        <w:rPr>
          <w:rFonts w:hint="eastAsia" w:ascii="宋体" w:hAnsi="宋体" w:eastAsia="宋体" w:cs="Times New Roman"/>
          <w:color w:val="auto"/>
          <w:sz w:val="24"/>
          <w:highlight w:val="none"/>
          <w:lang w:val="en-US" w:eastAsia="zh-CN"/>
        </w:rPr>
        <w:t xml:space="preserve">     </w:t>
      </w:r>
      <w:r>
        <w:rPr>
          <w:rFonts w:hint="eastAsia" w:ascii="宋体" w:hAnsi="宋体" w:eastAsia="宋体" w:cs="Times New Roman"/>
          <w:color w:val="auto"/>
          <w:sz w:val="24"/>
          <w:highlight w:val="none"/>
        </w:rPr>
        <w:t>日</w:t>
      </w:r>
    </w:p>
    <w:p w14:paraId="7B9834B6">
      <w:pPr>
        <w:rPr>
          <w:rFonts w:hint="eastAsia" w:ascii="宋体" w:hAnsi="宋体"/>
          <w:color w:val="auto"/>
          <w:kern w:val="44"/>
          <w:sz w:val="24"/>
          <w:szCs w:val="44"/>
          <w:highlight w:val="none"/>
        </w:rPr>
      </w:pPr>
      <w:r>
        <w:rPr>
          <w:rFonts w:hint="eastAsia" w:ascii="宋体" w:hAnsi="宋体"/>
          <w:color w:val="auto"/>
          <w:kern w:val="44"/>
          <w:sz w:val="24"/>
          <w:szCs w:val="44"/>
          <w:highlight w:val="none"/>
        </w:rPr>
        <w:br w:type="page"/>
      </w:r>
    </w:p>
    <w:p w14:paraId="6A0F1E98">
      <w:pPr>
        <w:pStyle w:val="3"/>
        <w:jc w:val="center"/>
        <w:rPr>
          <w:rFonts w:hint="eastAsia" w:ascii="宋体" w:hAnsi="宋体"/>
          <w:color w:val="auto"/>
          <w:kern w:val="44"/>
          <w:sz w:val="24"/>
          <w:szCs w:val="44"/>
          <w:highlight w:val="none"/>
        </w:rPr>
      </w:pPr>
      <w:r>
        <w:rPr>
          <w:rFonts w:hint="eastAsia" w:ascii="宋体" w:hAnsi="宋体"/>
          <w:color w:val="auto"/>
          <w:kern w:val="44"/>
          <w:sz w:val="24"/>
          <w:szCs w:val="44"/>
          <w:highlight w:val="none"/>
        </w:rPr>
        <w:t>第三节 商务技术文件格式</w:t>
      </w:r>
      <w:bookmarkEnd w:id="65"/>
      <w:bookmarkEnd w:id="66"/>
    </w:p>
    <w:p w14:paraId="486FCC89">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23FC5B58">
      <w:pPr>
        <w:shd w:val="clear" w:color="auto" w:fill="auto"/>
        <w:snapToGrid w:val="0"/>
        <w:spacing w:before="120" w:beforeLines="50" w:after="50"/>
        <w:rPr>
          <w:rFonts w:ascii="宋体" w:hAnsi="宋体"/>
          <w:color w:val="auto"/>
          <w:sz w:val="24"/>
          <w:highlight w:val="none"/>
        </w:rPr>
      </w:pPr>
    </w:p>
    <w:p w14:paraId="7051914D">
      <w:pPr>
        <w:shd w:val="clear" w:color="auto" w:fill="auto"/>
        <w:snapToGrid w:val="0"/>
        <w:spacing w:before="120" w:beforeLines="50" w:after="50"/>
        <w:rPr>
          <w:rFonts w:ascii="宋体" w:hAnsi="宋体"/>
          <w:color w:val="auto"/>
          <w:sz w:val="24"/>
          <w:highlight w:val="none"/>
        </w:rPr>
      </w:pPr>
    </w:p>
    <w:p w14:paraId="2D4C9A13">
      <w:pPr>
        <w:shd w:val="clear" w:color="auto" w:fill="auto"/>
        <w:snapToGrid w:val="0"/>
        <w:spacing w:before="120" w:beforeLines="50" w:after="50"/>
        <w:rPr>
          <w:rFonts w:ascii="宋体" w:hAnsi="宋体"/>
          <w:color w:val="auto"/>
          <w:sz w:val="24"/>
          <w:highlight w:val="none"/>
        </w:rPr>
      </w:pPr>
    </w:p>
    <w:p w14:paraId="4A2AED9E">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商  务  技  术  文  件（封面）</w:t>
      </w:r>
    </w:p>
    <w:p w14:paraId="64F5D0FC">
      <w:pPr>
        <w:shd w:val="clear" w:color="auto" w:fill="auto"/>
        <w:snapToGrid w:val="0"/>
        <w:spacing w:before="120" w:beforeLines="50" w:after="50"/>
        <w:rPr>
          <w:rFonts w:ascii="宋体" w:hAnsi="宋体"/>
          <w:bCs/>
          <w:color w:val="auto"/>
          <w:sz w:val="24"/>
          <w:highlight w:val="none"/>
        </w:rPr>
      </w:pPr>
    </w:p>
    <w:p w14:paraId="5F1418B9">
      <w:pPr>
        <w:shd w:val="clear" w:color="auto" w:fill="auto"/>
        <w:snapToGrid w:val="0"/>
        <w:spacing w:before="120" w:beforeLines="50" w:after="50"/>
        <w:rPr>
          <w:rFonts w:ascii="宋体" w:hAnsi="宋体"/>
          <w:bCs/>
          <w:color w:val="auto"/>
          <w:sz w:val="24"/>
          <w:highlight w:val="none"/>
        </w:rPr>
      </w:pPr>
    </w:p>
    <w:p w14:paraId="516D6F12">
      <w:pPr>
        <w:shd w:val="clear" w:color="auto" w:fill="auto"/>
        <w:snapToGrid w:val="0"/>
        <w:spacing w:before="120" w:beforeLines="50" w:after="50"/>
        <w:rPr>
          <w:rFonts w:ascii="宋体" w:hAnsi="宋体"/>
          <w:bCs/>
          <w:color w:val="auto"/>
          <w:sz w:val="24"/>
          <w:highlight w:val="none"/>
        </w:rPr>
      </w:pPr>
    </w:p>
    <w:p w14:paraId="41B17F6A">
      <w:pPr>
        <w:shd w:val="clear" w:color="auto" w:fill="auto"/>
        <w:snapToGrid w:val="0"/>
        <w:spacing w:before="120" w:beforeLines="50" w:after="50"/>
        <w:rPr>
          <w:rFonts w:ascii="宋体" w:hAnsi="宋体"/>
          <w:bCs/>
          <w:color w:val="auto"/>
          <w:sz w:val="24"/>
          <w:highlight w:val="none"/>
        </w:rPr>
      </w:pPr>
    </w:p>
    <w:p w14:paraId="1F94D7E0">
      <w:pPr>
        <w:shd w:val="clear" w:color="auto" w:fill="auto"/>
        <w:snapToGrid w:val="0"/>
        <w:spacing w:before="120" w:beforeLines="50" w:after="50"/>
        <w:rPr>
          <w:rFonts w:ascii="宋体" w:hAnsi="宋体"/>
          <w:bCs/>
          <w:color w:val="auto"/>
          <w:sz w:val="24"/>
          <w:highlight w:val="none"/>
        </w:rPr>
      </w:pPr>
    </w:p>
    <w:p w14:paraId="50A8E44D">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14:paraId="5844C57D">
      <w:pPr>
        <w:shd w:val="clear" w:color="auto" w:fill="auto"/>
        <w:snapToGrid w:val="0"/>
        <w:spacing w:before="120" w:beforeLines="50" w:after="50"/>
        <w:ind w:firstLine="540" w:firstLineChars="225"/>
        <w:rPr>
          <w:rFonts w:ascii="宋体" w:hAnsi="宋体" w:cs="仿宋_GB2312"/>
          <w:bCs/>
          <w:color w:val="auto"/>
          <w:sz w:val="24"/>
          <w:highlight w:val="none"/>
        </w:rPr>
      </w:pPr>
    </w:p>
    <w:p w14:paraId="31160192">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项目编号：</w:t>
      </w:r>
    </w:p>
    <w:p w14:paraId="2D6ACC55">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14:paraId="4695F4D4">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23D85ADE">
      <w:pPr>
        <w:shd w:val="clear" w:color="auto" w:fill="auto"/>
        <w:snapToGrid w:val="0"/>
        <w:spacing w:before="120" w:beforeLines="50" w:after="50"/>
        <w:ind w:firstLine="540" w:firstLineChars="225"/>
        <w:rPr>
          <w:rFonts w:ascii="宋体" w:hAnsi="宋体" w:cs="仿宋_GB2312"/>
          <w:bCs/>
          <w:color w:val="auto"/>
          <w:sz w:val="24"/>
          <w:highlight w:val="none"/>
        </w:rPr>
      </w:pPr>
    </w:p>
    <w:p w14:paraId="5DE5BC14">
      <w:pPr>
        <w:shd w:val="clear" w:color="auto" w:fill="auto"/>
        <w:snapToGrid w:val="0"/>
        <w:spacing w:before="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供应商名称：</w:t>
      </w:r>
    </w:p>
    <w:p w14:paraId="7FE01AB4">
      <w:pPr>
        <w:shd w:val="clear" w:color="auto" w:fill="auto"/>
        <w:snapToGrid w:val="0"/>
        <w:spacing w:before="50" w:after="50"/>
        <w:ind w:firstLine="540" w:firstLineChars="225"/>
        <w:rPr>
          <w:rFonts w:ascii="宋体" w:hAnsi="宋体" w:cs="仿宋_GB2312"/>
          <w:bCs/>
          <w:color w:val="auto"/>
          <w:sz w:val="24"/>
          <w:highlight w:val="none"/>
        </w:rPr>
      </w:pPr>
    </w:p>
    <w:p w14:paraId="13CA5B0C">
      <w:pPr>
        <w:shd w:val="clear" w:color="auto" w:fill="auto"/>
        <w:snapToGrid w:val="0"/>
        <w:spacing w:before="50" w:after="50"/>
        <w:ind w:firstLine="540" w:firstLineChars="225"/>
        <w:rPr>
          <w:rFonts w:ascii="宋体" w:hAnsi="宋体" w:cs="仿宋_GB2312"/>
          <w:bCs/>
          <w:color w:val="auto"/>
          <w:sz w:val="24"/>
          <w:highlight w:val="none"/>
        </w:rPr>
      </w:pPr>
    </w:p>
    <w:p w14:paraId="676387D1">
      <w:pPr>
        <w:shd w:val="clear" w:color="auto" w:fill="auto"/>
        <w:snapToGrid w:val="0"/>
        <w:spacing w:before="50" w:after="50"/>
        <w:ind w:firstLine="960" w:firstLineChars="400"/>
        <w:rPr>
          <w:rFonts w:ascii="宋体" w:hAnsi="宋体" w:cs="仿宋_GB2312"/>
          <w:bCs/>
          <w:color w:val="auto"/>
          <w:sz w:val="24"/>
          <w:highlight w:val="none"/>
        </w:rPr>
      </w:pPr>
    </w:p>
    <w:p w14:paraId="4F5ABCF1">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14:paraId="7D0125B1">
      <w:pPr>
        <w:shd w:val="clear" w:color="auto" w:fill="auto"/>
        <w:snapToGrid w:val="0"/>
        <w:spacing w:before="120" w:beforeLines="50" w:after="50" w:line="360" w:lineRule="auto"/>
        <w:ind w:left="142" w:firstLine="482" w:firstLineChars="200"/>
        <w:jc w:val="left"/>
        <w:rPr>
          <w:rFonts w:ascii="宋体" w:hAnsi="宋体"/>
          <w:b/>
          <w:bCs/>
          <w:color w:val="auto"/>
          <w:sz w:val="24"/>
          <w:highlight w:val="none"/>
        </w:rPr>
        <w:sectPr>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p>
    <w:p w14:paraId="27C3E66E">
      <w:pPr>
        <w:snapToGrid w:val="0"/>
        <w:spacing w:before="156" w:beforeLines="50" w:after="50" w:line="360" w:lineRule="auto"/>
        <w:ind w:left="142"/>
        <w:jc w:val="left"/>
        <w:rPr>
          <w:rFonts w:hint="eastAsia" w:ascii="宋体" w:hAnsi="宋体" w:eastAsia="宋体" w:cs="Times New Roman"/>
          <w:b/>
          <w:bCs/>
          <w:color w:val="auto"/>
          <w:sz w:val="24"/>
          <w:highlight w:val="none"/>
        </w:rPr>
      </w:pPr>
      <w:r>
        <w:rPr>
          <w:rFonts w:hint="eastAsia" w:ascii="宋体" w:hAnsi="宋体" w:eastAsia="宋体" w:cs="Times New Roman"/>
          <w:b/>
          <w:bCs/>
          <w:color w:val="auto"/>
          <w:sz w:val="32"/>
          <w:szCs w:val="32"/>
          <w:highlight w:val="none"/>
        </w:rPr>
        <w:t>2.商务技术文件目录</w:t>
      </w:r>
    </w:p>
    <w:p w14:paraId="2FDC97C8">
      <w:pPr>
        <w:spacing w:line="400" w:lineRule="exact"/>
        <w:rPr>
          <w:rFonts w:hint="eastAsia" w:ascii="仿宋_GB2312" w:hAnsi="仿宋_GB2312" w:eastAsia="仿宋_GB2312" w:cs="仿宋_GB2312"/>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13C3E2FD">
      <w:pPr>
        <w:shd w:val="clear" w:color="auto" w:fill="auto"/>
        <w:spacing w:line="440" w:lineRule="exact"/>
        <w:rPr>
          <w:rFonts w:hint="eastAsia" w:ascii="方正小标宋简体" w:hAnsi="方正小标宋简体" w:eastAsia="方正小标宋简体" w:cs="方正小标宋简体"/>
          <w:color w:val="auto"/>
          <w:sz w:val="44"/>
          <w:szCs w:val="44"/>
          <w:highlight w:val="none"/>
        </w:rPr>
      </w:pP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仿宋_GB2312"/>
          <w:b/>
          <w:color w:val="auto"/>
          <w:szCs w:val="21"/>
          <w:highlight w:val="none"/>
        </w:rPr>
        <w:t>一、无串标行为承诺函</w:t>
      </w:r>
    </w:p>
    <w:p w14:paraId="11D394A1">
      <w:pPr>
        <w:spacing w:line="520" w:lineRule="exact"/>
        <w:jc w:val="center"/>
        <w:rPr>
          <w:rFonts w:hint="eastAsia" w:ascii="方正小标宋简体" w:hAnsi="方正小标宋简体" w:eastAsia="方正小标宋简体" w:cs="方正小标宋简体"/>
          <w:color w:val="auto"/>
          <w:sz w:val="44"/>
          <w:szCs w:val="44"/>
          <w:highlight w:val="none"/>
        </w:rPr>
      </w:pPr>
    </w:p>
    <w:p w14:paraId="36CD7A17">
      <w:pPr>
        <w:shd w:val="clear" w:color="auto" w:fill="auto"/>
        <w:spacing w:line="440" w:lineRule="exact"/>
        <w:jc w:val="center"/>
        <w:rPr>
          <w:rFonts w:ascii="宋体" w:hAnsi="宋体" w:cs="仿宋_GB2312"/>
          <w:color w:val="auto"/>
          <w:szCs w:val="21"/>
          <w:highlight w:val="none"/>
        </w:rPr>
      </w:pPr>
      <w:r>
        <w:rPr>
          <w:rFonts w:hint="eastAsia" w:ascii="宋体" w:hAnsi="宋体" w:cs="方正小标宋简体"/>
          <w:color w:val="auto"/>
          <w:szCs w:val="21"/>
          <w:highlight w:val="none"/>
        </w:rPr>
        <w:t>无串通竞标行为的承诺函</w:t>
      </w:r>
    </w:p>
    <w:p w14:paraId="2DF72EB0">
      <w:pPr>
        <w:shd w:val="clear" w:color="auto" w:fill="auto"/>
        <w:spacing w:line="440" w:lineRule="exact"/>
        <w:ind w:firstLine="420" w:firstLineChars="200"/>
        <w:rPr>
          <w:rFonts w:ascii="宋体" w:hAnsi="宋体" w:cs="仿宋_GB2312"/>
          <w:color w:val="auto"/>
          <w:szCs w:val="21"/>
          <w:highlight w:val="none"/>
        </w:rPr>
      </w:pPr>
    </w:p>
    <w:p w14:paraId="7EF5973A">
      <w:pPr>
        <w:shd w:val="clear" w:color="auto" w:fill="auto"/>
        <w:spacing w:line="440" w:lineRule="exact"/>
        <w:ind w:firstLine="422" w:firstLineChars="200"/>
        <w:contextualSpacing/>
        <w:rPr>
          <w:rFonts w:ascii="宋体" w:hAnsi="宋体" w:cs="仿宋_GB2312"/>
          <w:b/>
          <w:bCs/>
          <w:color w:val="auto"/>
          <w:szCs w:val="21"/>
          <w:highlight w:val="none"/>
        </w:rPr>
      </w:pPr>
      <w:r>
        <w:rPr>
          <w:rFonts w:hint="eastAsia" w:ascii="宋体" w:hAnsi="宋体" w:cs="仿宋_GB2312"/>
          <w:b/>
          <w:bCs/>
          <w:color w:val="auto"/>
          <w:szCs w:val="21"/>
          <w:highlight w:val="none"/>
        </w:rPr>
        <w:t>一、我方承诺无下列相互串通竞标的情形：</w:t>
      </w:r>
    </w:p>
    <w:p w14:paraId="60482B28">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 xml:space="preserve">1.不同供应商的响应文件由同一单位或者个人编制；或者不同供应商报名的IP地址一致的；或者编制响应文件硬件设备CPU编号、硬盘编号、网卡地址一致的情况； </w:t>
      </w:r>
    </w:p>
    <w:p w14:paraId="509EAF4D">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2.不同供应商委托同一单位或者个人办理竞标事宜；</w:t>
      </w:r>
    </w:p>
    <w:p w14:paraId="239D883A">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3.不同供应商的响应文件载明的项目管理员为同一个人；</w:t>
      </w:r>
    </w:p>
    <w:p w14:paraId="370729B4">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4.不</w:t>
      </w:r>
      <w:r>
        <w:rPr>
          <w:rFonts w:hint="eastAsia" w:ascii="宋体" w:hAnsi="宋体" w:cs="仿宋_GB2312"/>
          <w:color w:val="auto"/>
          <w:spacing w:val="-6"/>
          <w:szCs w:val="21"/>
          <w:highlight w:val="none"/>
        </w:rPr>
        <w:t>同供应商的响应文件异常一致或者响应报价呈规律性差异；</w:t>
      </w:r>
    </w:p>
    <w:p w14:paraId="0C6F8653">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5.不同供应商的响应文件相互混装；</w:t>
      </w:r>
    </w:p>
    <w:p w14:paraId="0FC994A8">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6.不同供应商的磋商保证金从同一单位或者个人账户转出。</w:t>
      </w:r>
    </w:p>
    <w:p w14:paraId="467B6A24">
      <w:pPr>
        <w:shd w:val="clear" w:color="auto" w:fill="auto"/>
        <w:spacing w:line="440" w:lineRule="exact"/>
        <w:ind w:firstLine="422" w:firstLineChars="200"/>
        <w:contextualSpacing/>
        <w:rPr>
          <w:rFonts w:ascii="宋体" w:hAnsi="宋体" w:cs="仿宋_GB2312"/>
          <w:b/>
          <w:bCs/>
          <w:color w:val="auto"/>
          <w:szCs w:val="21"/>
          <w:highlight w:val="none"/>
        </w:rPr>
      </w:pPr>
      <w:r>
        <w:rPr>
          <w:rFonts w:hint="eastAsia" w:ascii="宋体" w:hAnsi="宋体" w:cs="仿宋_GB2312"/>
          <w:b/>
          <w:bCs/>
          <w:color w:val="auto"/>
          <w:szCs w:val="21"/>
          <w:highlight w:val="none"/>
        </w:rPr>
        <w:t>二、我方承诺无下列恶意串通的情形：</w:t>
      </w:r>
    </w:p>
    <w:p w14:paraId="060A5B7E">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1.供应商直接或者间接从采购人或者采购代理机构处获得其他供应商的相关信息并修改其响应文件；</w:t>
      </w:r>
    </w:p>
    <w:p w14:paraId="7B34131A">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2.供应商按照采购人或者采购代理机构的授意撤换、修改响应文件；</w:t>
      </w:r>
    </w:p>
    <w:p w14:paraId="0E0D42B7">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3.供</w:t>
      </w:r>
      <w:r>
        <w:rPr>
          <w:rFonts w:hint="eastAsia" w:ascii="宋体" w:hAnsi="宋体" w:cs="仿宋_GB2312"/>
          <w:color w:val="auto"/>
          <w:spacing w:val="-6"/>
          <w:szCs w:val="21"/>
          <w:highlight w:val="none"/>
        </w:rPr>
        <w:t>应商之间协商报价、技术方案等响应文件的实质性内容；</w:t>
      </w:r>
    </w:p>
    <w:p w14:paraId="56877317">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4.属于同一集团、协会、商会等组织成员的供应商按照该组织要求协同参加政府采购活动；</w:t>
      </w:r>
    </w:p>
    <w:p w14:paraId="477D4A72">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5.供应商之间事先约定一致抬高或者压低响应报价，或者在竞争性磋商项目中事先约定轮流以高价位或者低价位成交，或者事先约定由某一特定供应商成交，然后再参加竞标；</w:t>
      </w:r>
    </w:p>
    <w:p w14:paraId="55F207E2">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6.供应商之间商定部分供应商放弃参加政府采购活动或者放弃成交；</w:t>
      </w:r>
    </w:p>
    <w:p w14:paraId="1B22D5C9">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7.供应商与采购人或者采购代理机构之间、供应商相互之间，为</w:t>
      </w:r>
      <w:r>
        <w:rPr>
          <w:rFonts w:hint="eastAsia" w:ascii="宋体" w:hAnsi="宋体" w:cs="仿宋_GB2312"/>
          <w:color w:val="auto"/>
          <w:spacing w:val="-6"/>
          <w:szCs w:val="21"/>
          <w:highlight w:val="none"/>
        </w:rPr>
        <w:t>谋求特定供应商成交或者排斥其他供应商的其他串通行为。</w:t>
      </w:r>
    </w:p>
    <w:p w14:paraId="20D481D5">
      <w:pPr>
        <w:shd w:val="clear" w:color="auto" w:fill="auto"/>
        <w:autoSpaceDE w:val="0"/>
        <w:autoSpaceDN w:val="0"/>
        <w:spacing w:line="440" w:lineRule="exact"/>
        <w:ind w:firstLine="316" w:firstLineChars="150"/>
        <w:rPr>
          <w:rFonts w:ascii="宋体" w:hAnsi="宋体" w:cs="仿宋_GB2312"/>
          <w:b/>
          <w:bCs/>
          <w:color w:val="auto"/>
          <w:szCs w:val="21"/>
          <w:highlight w:val="none"/>
        </w:rPr>
      </w:pPr>
      <w:r>
        <w:rPr>
          <w:rFonts w:hint="eastAsia" w:ascii="宋体" w:hAnsi="宋体" w:cs="仿宋_GB2312"/>
          <w:b/>
          <w:bCs/>
          <w:color w:val="auto"/>
          <w:szCs w:val="21"/>
          <w:highlight w:val="none"/>
        </w:rPr>
        <w:t>以上情形一经核查属实，接受政府采购监管部门对我方认定存在围标串标行为，我方愿意承担一切后果，并不再寻求任何旨在减轻或者免除法律责任的辩解。</w:t>
      </w:r>
    </w:p>
    <w:p w14:paraId="442EE386">
      <w:pPr>
        <w:shd w:val="clear" w:color="auto" w:fill="auto"/>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13A87B56">
      <w:pPr>
        <w:shd w:val="clear" w:color="auto" w:fill="auto"/>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78FC7935">
      <w:pPr>
        <w:shd w:val="clear" w:color="auto" w:fill="auto"/>
        <w:autoSpaceDE w:val="0"/>
        <w:autoSpaceDN w:val="0"/>
        <w:spacing w:line="440" w:lineRule="exact"/>
        <w:ind w:left="4305" w:leftChars="1950" w:hanging="210" w:hangingChars="100"/>
        <w:rPr>
          <w:rFonts w:hint="eastAsia" w:ascii="宋体" w:hAnsi="宋体" w:cs="仿宋_GB2312"/>
          <w:color w:val="auto"/>
          <w:kern w:val="0"/>
          <w:szCs w:val="21"/>
          <w:highlight w:val="none"/>
        </w:rPr>
      </w:pPr>
    </w:p>
    <w:p w14:paraId="4CFB2923">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722B4E12">
      <w:pPr>
        <w:shd w:val="clear" w:color="auto" w:fill="auto"/>
        <w:spacing w:line="440" w:lineRule="exact"/>
        <w:ind w:left="239" w:leftChars="114" w:firstLine="5355" w:firstLineChars="2550"/>
        <w:jc w:val="left"/>
        <w:rPr>
          <w:rFonts w:ascii="宋体" w:hAnsi="宋体" w:cs="方正小标宋简体"/>
          <w:bCs/>
          <w:color w:val="auto"/>
          <w:szCs w:val="21"/>
          <w:highlight w:val="none"/>
        </w:rPr>
      </w:pPr>
      <w:r>
        <w:rPr>
          <w:rFonts w:hint="eastAsia" w:ascii="宋体" w:hAnsi="宋体" w:cs="仿宋_GB2312"/>
          <w:color w:val="auto"/>
          <w:kern w:val="0"/>
          <w:szCs w:val="21"/>
          <w:highlight w:val="none"/>
          <w:lang w:val="zh-CN"/>
        </w:rPr>
        <w:t xml:space="preserve">日期：  年  月   日   </w:t>
      </w:r>
      <w:r>
        <w:rPr>
          <w:rFonts w:ascii="宋体" w:hAnsi="宋体"/>
          <w:b/>
          <w:bCs/>
          <w:color w:val="auto"/>
          <w:szCs w:val="21"/>
          <w:highlight w:val="none"/>
        </w:rPr>
        <w:br w:type="page"/>
      </w:r>
      <w:r>
        <w:rPr>
          <w:rFonts w:hint="eastAsia" w:ascii="宋体" w:hAnsi="宋体" w:cs="仿宋_GB2312"/>
          <w:b/>
          <w:color w:val="auto"/>
          <w:szCs w:val="21"/>
          <w:highlight w:val="none"/>
        </w:rPr>
        <w:t>二、法定代表人身份证明及法定代表人有效身份证正反面复印件</w:t>
      </w:r>
    </w:p>
    <w:p w14:paraId="5CCC0B38">
      <w:pPr>
        <w:shd w:val="clear" w:color="auto" w:fill="auto"/>
        <w:spacing w:line="440" w:lineRule="exact"/>
        <w:jc w:val="center"/>
        <w:rPr>
          <w:rFonts w:ascii="宋体" w:hAnsi="宋体" w:cs="仿宋_GB2312"/>
          <w:color w:val="auto"/>
          <w:szCs w:val="21"/>
          <w:highlight w:val="none"/>
        </w:rPr>
      </w:pPr>
      <w:r>
        <w:rPr>
          <w:rFonts w:hint="eastAsia" w:ascii="宋体" w:hAnsi="宋体" w:cs="方正小标宋简体"/>
          <w:bCs/>
          <w:color w:val="auto"/>
          <w:szCs w:val="21"/>
          <w:highlight w:val="none"/>
        </w:rPr>
        <w:t>法定代表人证明书</w:t>
      </w:r>
    </w:p>
    <w:p w14:paraId="65B098C1">
      <w:pPr>
        <w:shd w:val="clear" w:color="auto" w:fill="auto"/>
        <w:spacing w:line="440" w:lineRule="exact"/>
        <w:ind w:left="540"/>
        <w:contextualSpacing/>
        <w:rPr>
          <w:rFonts w:ascii="宋体" w:hAnsi="宋体" w:cs="仿宋_GB2312"/>
          <w:color w:val="auto"/>
          <w:szCs w:val="21"/>
          <w:highlight w:val="none"/>
        </w:rPr>
      </w:pPr>
    </w:p>
    <w:p w14:paraId="577536C8">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供应商名称：</w:t>
      </w:r>
      <w:r>
        <w:rPr>
          <w:rFonts w:hint="eastAsia" w:ascii="宋体" w:hAnsi="宋体" w:cs="仿宋_GB2312"/>
          <w:color w:val="auto"/>
          <w:szCs w:val="21"/>
          <w:highlight w:val="none"/>
          <w:u w:val="single"/>
        </w:rPr>
        <w:t xml:space="preserve">                                                        </w:t>
      </w:r>
    </w:p>
    <w:p w14:paraId="565B0732">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地    址：</w:t>
      </w:r>
      <w:r>
        <w:rPr>
          <w:rFonts w:hint="eastAsia" w:ascii="宋体" w:hAnsi="宋体" w:cs="仿宋_GB2312"/>
          <w:color w:val="auto"/>
          <w:szCs w:val="21"/>
          <w:highlight w:val="none"/>
          <w:u w:val="single"/>
        </w:rPr>
        <w:t xml:space="preserve">                                                        </w:t>
      </w:r>
    </w:p>
    <w:p w14:paraId="7CFCFFD3">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姓    名：</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性     别：</w:t>
      </w:r>
      <w:r>
        <w:rPr>
          <w:rFonts w:hint="eastAsia" w:ascii="宋体" w:hAnsi="宋体" w:cs="仿宋_GB2312"/>
          <w:color w:val="auto"/>
          <w:szCs w:val="21"/>
          <w:highlight w:val="none"/>
          <w:u w:val="single"/>
        </w:rPr>
        <w:t xml:space="preserve">                </w:t>
      </w:r>
    </w:p>
    <w:p w14:paraId="5BAADCF5">
      <w:pPr>
        <w:shd w:val="clear" w:color="auto" w:fill="auto"/>
        <w:spacing w:line="440" w:lineRule="exact"/>
        <w:ind w:left="540"/>
        <w:contextualSpacing/>
        <w:rPr>
          <w:rFonts w:ascii="宋体" w:hAnsi="宋体" w:cs="仿宋_GB2312"/>
          <w:color w:val="auto"/>
          <w:szCs w:val="21"/>
          <w:highlight w:val="none"/>
          <w:u w:val="single"/>
        </w:rPr>
      </w:pPr>
      <w:r>
        <w:rPr>
          <w:rFonts w:hint="eastAsia" w:ascii="宋体" w:hAnsi="宋体" w:cs="仿宋_GB2312"/>
          <w:color w:val="auto"/>
          <w:szCs w:val="21"/>
          <w:highlight w:val="none"/>
        </w:rPr>
        <w:t>年    龄：</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职     务：</w:t>
      </w:r>
      <w:r>
        <w:rPr>
          <w:rFonts w:hint="eastAsia" w:ascii="宋体" w:hAnsi="宋体" w:cs="仿宋_GB2312"/>
          <w:color w:val="auto"/>
          <w:szCs w:val="21"/>
          <w:highlight w:val="none"/>
          <w:u w:val="single"/>
        </w:rPr>
        <w:t xml:space="preserve">                </w:t>
      </w:r>
    </w:p>
    <w:p w14:paraId="35348B25">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身份证号码：</w:t>
      </w:r>
      <w:r>
        <w:rPr>
          <w:rFonts w:hint="eastAsia" w:ascii="宋体" w:hAnsi="宋体" w:cs="仿宋_GB2312"/>
          <w:color w:val="auto"/>
          <w:szCs w:val="21"/>
          <w:highlight w:val="none"/>
          <w:u w:val="single"/>
        </w:rPr>
        <w:t xml:space="preserve">                                        </w:t>
      </w:r>
    </w:p>
    <w:p w14:paraId="50738930">
      <w:pPr>
        <w:shd w:val="clear" w:color="auto" w:fill="auto"/>
        <w:spacing w:line="440" w:lineRule="exact"/>
        <w:ind w:firstLine="420" w:firstLineChars="200"/>
        <w:contextualSpacing/>
        <w:rPr>
          <w:rFonts w:ascii="宋体" w:hAnsi="宋体" w:cs="仿宋_GB2312"/>
          <w:color w:val="auto"/>
          <w:szCs w:val="21"/>
          <w:highlight w:val="none"/>
        </w:rPr>
      </w:pP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（供应商名称）</w:t>
      </w:r>
      <w:r>
        <w:rPr>
          <w:rFonts w:hint="eastAsia" w:ascii="宋体" w:hAnsi="宋体" w:cs="仿宋_GB2312"/>
          <w:color w:val="auto"/>
          <w:szCs w:val="21"/>
          <w:highlight w:val="none"/>
        </w:rPr>
        <w:t>的法定代表人。</w:t>
      </w:r>
    </w:p>
    <w:p w14:paraId="5583EBB3">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特此证明。</w:t>
      </w:r>
    </w:p>
    <w:p w14:paraId="1FF1E8EF">
      <w:pPr>
        <w:shd w:val="clear" w:color="auto" w:fill="auto"/>
        <w:spacing w:line="440" w:lineRule="exact"/>
        <w:ind w:left="540"/>
        <w:contextualSpacing/>
        <w:rPr>
          <w:rFonts w:ascii="宋体" w:hAnsi="宋体" w:cs="仿宋_GB2312"/>
          <w:color w:val="auto"/>
          <w:szCs w:val="21"/>
          <w:highlight w:val="none"/>
        </w:rPr>
      </w:pPr>
    </w:p>
    <w:p w14:paraId="68CAAF0D">
      <w:pPr>
        <w:shd w:val="clear" w:color="auto" w:fill="auto"/>
        <w:spacing w:line="440" w:lineRule="exact"/>
        <w:ind w:left="540"/>
        <w:contextualSpacing/>
        <w:rPr>
          <w:rFonts w:ascii="宋体" w:hAnsi="宋体" w:cs="仿宋_GB2312"/>
          <w:color w:val="auto"/>
          <w:szCs w:val="21"/>
          <w:highlight w:val="none"/>
        </w:rPr>
      </w:pPr>
    </w:p>
    <w:p w14:paraId="0F348FEB">
      <w:pPr>
        <w:shd w:val="clear" w:color="auto" w:fill="auto"/>
        <w:spacing w:line="440" w:lineRule="exact"/>
        <w:ind w:left="540"/>
        <w:contextualSpacing/>
        <w:rPr>
          <w:rFonts w:ascii="宋体" w:hAnsi="宋体" w:cs="仿宋_GB2312"/>
          <w:color w:val="auto"/>
          <w:szCs w:val="21"/>
          <w:highlight w:val="none"/>
        </w:rPr>
      </w:pPr>
    </w:p>
    <w:p w14:paraId="3731102A">
      <w:pPr>
        <w:shd w:val="clear" w:color="auto" w:fill="auto"/>
        <w:spacing w:line="440" w:lineRule="exact"/>
        <w:ind w:left="540"/>
        <w:contextualSpacing/>
        <w:rPr>
          <w:rFonts w:ascii="宋体" w:hAnsi="宋体" w:cs="仿宋_GB2312"/>
          <w:color w:val="auto"/>
          <w:szCs w:val="21"/>
          <w:highlight w:val="none"/>
        </w:rPr>
      </w:pPr>
      <w:r>
        <w:rPr>
          <w:rFonts w:hint="eastAsia" w:ascii="宋体" w:hAnsi="宋体" w:cs="仿宋_GB2312"/>
          <w:color w:val="auto"/>
          <w:szCs w:val="21"/>
          <w:highlight w:val="none"/>
        </w:rPr>
        <w:t>附件：法定代表人有效身份证正反面复印件</w:t>
      </w:r>
    </w:p>
    <w:p w14:paraId="10529B17">
      <w:pPr>
        <w:shd w:val="clear" w:color="auto" w:fill="auto"/>
        <w:spacing w:line="440" w:lineRule="exact"/>
        <w:ind w:left="540"/>
        <w:contextualSpacing/>
        <w:rPr>
          <w:rFonts w:ascii="宋体" w:hAnsi="宋体" w:cs="仿宋_GB2312"/>
          <w:color w:val="auto"/>
          <w:szCs w:val="21"/>
          <w:highlight w:val="none"/>
        </w:rPr>
      </w:pPr>
    </w:p>
    <w:p w14:paraId="1006E459">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12D197FD">
      <w:pPr>
        <w:shd w:val="clear" w:color="auto" w:fill="auto"/>
        <w:spacing w:line="440" w:lineRule="exact"/>
        <w:contextualSpacing/>
        <w:jc w:val="center"/>
        <w:rPr>
          <w:rFonts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14:paraId="57661962">
      <w:pPr>
        <w:shd w:val="clear" w:color="auto" w:fill="auto"/>
        <w:spacing w:line="440" w:lineRule="exact"/>
        <w:contextualSpacing/>
        <w:jc w:val="left"/>
        <w:rPr>
          <w:rFonts w:ascii="宋体" w:hAnsi="宋体" w:cs="仿宋_GB2312"/>
          <w:color w:val="auto"/>
          <w:szCs w:val="21"/>
          <w:highlight w:val="none"/>
        </w:rPr>
      </w:pPr>
    </w:p>
    <w:p w14:paraId="1FFF3DE2">
      <w:pPr>
        <w:shd w:val="clear" w:color="auto" w:fill="auto"/>
        <w:spacing w:line="440" w:lineRule="exact"/>
        <w:contextualSpacing/>
        <w:jc w:val="left"/>
        <w:rPr>
          <w:rFonts w:ascii="宋体" w:hAnsi="宋体" w:cs="仿宋_GB2312"/>
          <w:color w:val="auto"/>
          <w:szCs w:val="21"/>
          <w:highlight w:val="none"/>
        </w:rPr>
      </w:pPr>
      <w:r>
        <w:rPr>
          <w:rFonts w:hint="eastAsia" w:ascii="宋体" w:hAnsi="宋体" w:cs="仿宋_GB2312"/>
          <w:color w:val="auto"/>
          <w:szCs w:val="21"/>
          <w:highlight w:val="none"/>
        </w:rPr>
        <w:t>注：1</w:t>
      </w:r>
      <w:r>
        <w:rPr>
          <w:rFonts w:ascii="宋体" w:hAnsi="宋体" w:cs="仿宋_GB2312"/>
          <w:color w:val="auto"/>
          <w:szCs w:val="21"/>
          <w:highlight w:val="none"/>
        </w:rPr>
        <w:t>.</w:t>
      </w:r>
      <w:r>
        <w:rPr>
          <w:rFonts w:hint="eastAsia" w:ascii="宋体" w:hAnsi="宋体" w:cs="仿宋_GB2312"/>
          <w:color w:val="auto"/>
          <w:szCs w:val="21"/>
          <w:highlight w:val="none"/>
        </w:rPr>
        <w:t>自然人竞标的无需提供，联合体竞标的只需牵头人出具。</w:t>
      </w:r>
    </w:p>
    <w:p w14:paraId="4AD426EB">
      <w:pPr>
        <w:shd w:val="clear" w:color="auto" w:fill="auto"/>
        <w:spacing w:line="440" w:lineRule="exact"/>
        <w:ind w:firstLine="420" w:firstLineChars="200"/>
        <w:contextualSpacing/>
        <w:jc w:val="left"/>
        <w:rPr>
          <w:rFonts w:ascii="宋体" w:hAnsi="宋体" w:cs="仿宋_GB2312"/>
          <w:color w:val="auto"/>
          <w:szCs w:val="21"/>
          <w:highlight w:val="none"/>
        </w:rPr>
        <w:sectPr>
          <w:pgSz w:w="11906" w:h="16838"/>
          <w:pgMar w:top="1440" w:right="1080" w:bottom="1440" w:left="1080" w:header="720" w:footer="720" w:gutter="0"/>
          <w:pgBorders>
            <w:top w:val="none" w:sz="0" w:space="0"/>
            <w:left w:val="none" w:sz="0" w:space="0"/>
            <w:bottom w:val="none" w:sz="0" w:space="0"/>
            <w:right w:val="none" w:sz="0" w:space="0"/>
          </w:pgBorders>
          <w:pgNumType w:fmt="decimal"/>
          <w:cols w:space="720" w:num="1"/>
        </w:sectPr>
      </w:pPr>
      <w:r>
        <w:rPr>
          <w:rFonts w:hint="eastAsia" w:ascii="宋体" w:hAnsi="宋体" w:cs="仿宋_GB2312"/>
          <w:color w:val="auto"/>
          <w:szCs w:val="21"/>
          <w:highlight w:val="none"/>
        </w:rPr>
        <w:t>2</w:t>
      </w:r>
      <w:r>
        <w:rPr>
          <w:rFonts w:ascii="宋体" w:hAnsi="宋体" w:cs="仿宋_GB2312"/>
          <w:color w:val="auto"/>
          <w:szCs w:val="21"/>
          <w:highlight w:val="none"/>
        </w:rPr>
        <w:t>.</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tbl>
      <w:tblPr>
        <w:tblStyle w:val="24"/>
        <w:tblpPr w:leftFromText="180" w:rightFromText="180" w:vertAnchor="text" w:horzAnchor="margin" w:tblpY="116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0"/>
      </w:tblGrid>
      <w:tr w14:paraId="08F05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05" w:hRule="atLeast"/>
        </w:trPr>
        <w:tc>
          <w:tcPr>
            <w:tcW w:w="8460" w:type="dxa"/>
            <w:tcBorders>
              <w:top w:val="single" w:color="auto" w:sz="4" w:space="0"/>
              <w:left w:val="single" w:color="auto" w:sz="4" w:space="0"/>
              <w:bottom w:val="single" w:color="auto" w:sz="4" w:space="0"/>
              <w:right w:val="single" w:color="auto" w:sz="4" w:space="0"/>
            </w:tcBorders>
            <w:noWrap/>
          </w:tcPr>
          <w:p w14:paraId="52DDEB67">
            <w:pPr>
              <w:keepNext w:val="0"/>
              <w:keepLines w:val="0"/>
              <w:suppressLineNumbers w:val="0"/>
              <w:spacing w:before="0" w:beforeAutospacing="0" w:after="0" w:afterAutospacing="0" w:line="360" w:lineRule="auto"/>
              <w:ind w:left="0" w:right="0"/>
              <w:rPr>
                <w:rFonts w:hint="default" w:ascii="宋体"/>
                <w:b/>
                <w:color w:val="auto"/>
                <w:sz w:val="24"/>
                <w:highlight w:val="none"/>
              </w:rPr>
            </w:pPr>
          </w:p>
          <w:p w14:paraId="50E4890F">
            <w:pPr>
              <w:keepNext w:val="0"/>
              <w:keepLines w:val="0"/>
              <w:suppressLineNumbers w:val="0"/>
              <w:spacing w:before="0" w:beforeAutospacing="0" w:after="0" w:afterAutospacing="0" w:line="360" w:lineRule="auto"/>
              <w:ind w:left="0" w:right="0"/>
              <w:rPr>
                <w:rFonts w:hint="default" w:ascii="宋体"/>
                <w:b/>
                <w:color w:val="auto"/>
                <w:sz w:val="24"/>
                <w:highlight w:val="none"/>
              </w:rPr>
            </w:pPr>
            <w:r>
              <w:rPr>
                <w:rFonts w:hint="eastAsia" w:ascii="宋体"/>
                <w:b/>
                <w:color w:val="auto"/>
                <w:sz w:val="24"/>
                <w:highlight w:val="none"/>
              </w:rPr>
              <w:t>法定代表身份证复印件</w:t>
            </w:r>
            <w:r>
              <w:rPr>
                <w:rFonts w:hint="eastAsia" w:ascii="宋体"/>
                <w:b/>
                <w:color w:val="auto"/>
                <w:sz w:val="24"/>
                <w:highlight w:val="none"/>
                <w:lang w:eastAsia="zh-CN"/>
              </w:rPr>
              <w:t>粘贴</w:t>
            </w:r>
            <w:r>
              <w:rPr>
                <w:rFonts w:hint="eastAsia" w:ascii="宋体"/>
                <w:b/>
                <w:color w:val="auto"/>
                <w:sz w:val="24"/>
                <w:highlight w:val="none"/>
              </w:rPr>
              <w:t>处（正、反面）</w:t>
            </w:r>
          </w:p>
        </w:tc>
      </w:tr>
    </w:tbl>
    <w:p w14:paraId="5BB4AF94">
      <w:pPr>
        <w:shd w:val="clear" w:color="auto" w:fill="auto"/>
        <w:spacing w:line="440" w:lineRule="exact"/>
        <w:jc w:val="left"/>
        <w:rPr>
          <w:rFonts w:ascii="宋体" w:hAnsi="宋体" w:cs="方正小标宋简体"/>
          <w:bCs/>
          <w:color w:val="auto"/>
          <w:szCs w:val="21"/>
          <w:highlight w:val="none"/>
        </w:rPr>
      </w:pPr>
      <w:r>
        <w:rPr>
          <w:rFonts w:hint="eastAsia" w:hAnsi="宋体"/>
          <w:b/>
          <w:color w:val="auto"/>
          <w:sz w:val="24"/>
          <w:highlight w:val="none"/>
        </w:rPr>
        <w:t>附件：</w:t>
      </w:r>
      <w:r>
        <w:rPr>
          <w:rFonts w:hint="eastAsia" w:ascii="方正小标宋简体" w:hAnsi="方正小标宋简体" w:eastAsia="方正小标宋简体" w:cs="方正小标宋简体"/>
          <w:color w:val="auto"/>
          <w:sz w:val="44"/>
          <w:szCs w:val="44"/>
          <w:highlight w:val="none"/>
        </w:rPr>
        <w:br w:type="page"/>
      </w:r>
      <w:r>
        <w:rPr>
          <w:rFonts w:hint="eastAsia" w:ascii="宋体" w:hAnsi="宋体" w:cs="仿宋_GB2312"/>
          <w:b/>
          <w:color w:val="auto"/>
          <w:szCs w:val="21"/>
          <w:highlight w:val="none"/>
        </w:rPr>
        <w:t>三、法定代表人授权委托书</w:t>
      </w:r>
    </w:p>
    <w:p w14:paraId="65FB7A73">
      <w:pPr>
        <w:widowControl/>
        <w:shd w:val="clear" w:color="auto" w:fill="auto"/>
        <w:jc w:val="left"/>
        <w:rPr>
          <w:rFonts w:ascii="宋体" w:hAnsi="宋体" w:cs="方正小标宋简体"/>
          <w:color w:val="auto"/>
          <w:szCs w:val="21"/>
          <w:highlight w:val="none"/>
        </w:rPr>
      </w:pPr>
    </w:p>
    <w:p w14:paraId="5914DA60">
      <w:pPr>
        <w:shd w:val="clear" w:color="auto" w:fill="auto"/>
        <w:spacing w:line="440" w:lineRule="exact"/>
        <w:jc w:val="center"/>
        <w:rPr>
          <w:rFonts w:ascii="宋体" w:hAnsi="宋体" w:cs="方正小标宋简体"/>
          <w:color w:val="auto"/>
          <w:szCs w:val="21"/>
          <w:highlight w:val="none"/>
        </w:rPr>
      </w:pPr>
    </w:p>
    <w:p w14:paraId="63967258">
      <w:pPr>
        <w:widowControl/>
        <w:shd w:val="clear" w:color="auto" w:fill="auto"/>
        <w:jc w:val="center"/>
        <w:rPr>
          <w:rFonts w:ascii="宋体" w:hAnsi="宋体" w:cs="方正小标宋简体"/>
          <w:color w:val="auto"/>
          <w:szCs w:val="21"/>
          <w:highlight w:val="none"/>
        </w:rPr>
      </w:pPr>
      <w:r>
        <w:rPr>
          <w:rFonts w:hint="eastAsia" w:ascii="宋体" w:hAnsi="宋体" w:cs="方正小标宋简体"/>
          <w:color w:val="auto"/>
          <w:szCs w:val="21"/>
          <w:highlight w:val="none"/>
        </w:rPr>
        <w:t>授权委托书（非联合体竞标格式）</w:t>
      </w:r>
    </w:p>
    <w:p w14:paraId="31EE4336">
      <w:pPr>
        <w:shd w:val="clear" w:color="auto" w:fill="auto"/>
        <w:spacing w:line="440" w:lineRule="exact"/>
        <w:jc w:val="center"/>
        <w:rPr>
          <w:rFonts w:ascii="宋体" w:hAnsi="宋体" w:cs="方正小标宋简体"/>
          <w:color w:val="auto"/>
          <w:szCs w:val="21"/>
          <w:highlight w:val="none"/>
        </w:rPr>
      </w:pPr>
      <w:r>
        <w:rPr>
          <w:rFonts w:hint="eastAsia" w:ascii="宋体" w:hAnsi="宋体" w:cs="方正小标宋简体"/>
          <w:color w:val="auto"/>
          <w:szCs w:val="21"/>
          <w:highlight w:val="none"/>
        </w:rPr>
        <w:t>（如有委托时）</w:t>
      </w:r>
    </w:p>
    <w:p w14:paraId="070E0EC2">
      <w:pPr>
        <w:shd w:val="clear" w:color="auto" w:fill="auto"/>
        <w:spacing w:line="440" w:lineRule="exact"/>
        <w:rPr>
          <w:rFonts w:ascii="宋体" w:hAnsi="宋体" w:cs="仿宋_GB2312"/>
          <w:color w:val="auto"/>
          <w:szCs w:val="21"/>
          <w:highlight w:val="none"/>
        </w:rPr>
      </w:pPr>
    </w:p>
    <w:p w14:paraId="72E603B0">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致：</w:t>
      </w:r>
      <w:r>
        <w:rPr>
          <w:rFonts w:hint="eastAsia" w:ascii="宋体" w:hAnsi="宋体" w:cs="仿宋_GB2312"/>
          <w:color w:val="auto"/>
          <w:szCs w:val="21"/>
          <w:highlight w:val="none"/>
          <w:u w:val="single"/>
        </w:rPr>
        <w:t>（采购人名称）</w:t>
      </w:r>
      <w:r>
        <w:rPr>
          <w:rFonts w:hint="eastAsia" w:ascii="宋体" w:hAnsi="宋体" w:cs="仿宋_GB2312"/>
          <w:color w:val="auto"/>
          <w:szCs w:val="21"/>
          <w:highlight w:val="none"/>
        </w:rPr>
        <w:t>：</w:t>
      </w:r>
    </w:p>
    <w:p w14:paraId="0F6C65EE">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我</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系</w:t>
      </w:r>
      <w:r>
        <w:rPr>
          <w:rFonts w:hint="eastAsia" w:ascii="宋体" w:hAnsi="宋体" w:cs="仿宋_GB2312"/>
          <w:color w:val="auto"/>
          <w:szCs w:val="21"/>
          <w:highlight w:val="none"/>
          <w:u w:val="single"/>
        </w:rPr>
        <w:t xml:space="preserve">  （供应商名称）  </w:t>
      </w:r>
      <w:r>
        <w:rPr>
          <w:rFonts w:hint="eastAsia" w:ascii="宋体" w:hAnsi="宋体" w:cs="仿宋_GB2312"/>
          <w:color w:val="auto"/>
          <w:szCs w:val="21"/>
          <w:highlight w:val="none"/>
        </w:rPr>
        <w:t>的（</w:t>
      </w:r>
      <w:r>
        <w:rPr>
          <w:rFonts w:hint="eastAsia" w:ascii="宋体" w:hAnsi="宋体" w:cs="仿宋_GB2312"/>
          <w:color w:val="auto"/>
          <w:szCs w:val="21"/>
          <w:highlight w:val="none"/>
          <w:u w:val="single"/>
        </w:rPr>
        <w:t>□法定代表人/□负责人/□自然人本人</w:t>
      </w:r>
      <w:r>
        <w:rPr>
          <w:rFonts w:hint="eastAsia" w:ascii="宋体" w:hAnsi="宋体" w:cs="仿宋_GB2312"/>
          <w:color w:val="auto"/>
          <w:szCs w:val="21"/>
          <w:highlight w:val="none"/>
        </w:rPr>
        <w:t>），现授权</w:t>
      </w:r>
      <w:r>
        <w:rPr>
          <w:rFonts w:hint="eastAsia" w:ascii="宋体" w:hAnsi="宋体" w:cs="仿宋_GB2312"/>
          <w:color w:val="auto"/>
          <w:szCs w:val="21"/>
          <w:highlight w:val="none"/>
          <w:u w:val="single"/>
        </w:rPr>
        <w:t xml:space="preserve"> （姓名） </w:t>
      </w:r>
      <w:r>
        <w:rPr>
          <w:rFonts w:hint="eastAsia" w:ascii="宋体" w:hAnsi="宋体" w:cs="仿宋_GB2312"/>
          <w:color w:val="auto"/>
          <w:szCs w:val="21"/>
          <w:highlight w:val="none"/>
        </w:rPr>
        <w:t>以我方的名义参加</w:t>
      </w:r>
      <w:r>
        <w:rPr>
          <w:rFonts w:hint="eastAsia" w:ascii="宋体" w:hAnsi="宋体" w:cs="仿宋_GB2312"/>
          <w:color w:val="auto"/>
          <w:szCs w:val="21"/>
          <w:highlight w:val="none"/>
          <w:u w:val="single"/>
        </w:rPr>
        <w:t xml:space="preserve">              </w:t>
      </w:r>
      <w:r>
        <w:rPr>
          <w:rFonts w:hint="eastAsia" w:ascii="宋体" w:hAnsi="宋体" w:cs="仿宋_GB2312"/>
          <w:color w:val="auto"/>
          <w:szCs w:val="21"/>
          <w:highlight w:val="none"/>
        </w:rPr>
        <w:t>项目的竞标活动，并代表我方全权办理针对上述项目的所有采购程序和环节的具体事务和签署相关文件。</w:t>
      </w:r>
    </w:p>
    <w:p w14:paraId="22B86BFD">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我方对委托代理人的签字事项负全部责任。</w:t>
      </w:r>
    </w:p>
    <w:p w14:paraId="7D089542">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本授权书自签署之日起生效，在撤销授权的书面通知以前，本授权书一直有效。委托代理人在授权书有效期内签署的所有文件不因授权的撤销而失效。</w:t>
      </w:r>
    </w:p>
    <w:p w14:paraId="50648AAB">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委托代理人无转委托权，特此委托。</w:t>
      </w:r>
    </w:p>
    <w:p w14:paraId="2E6481DF">
      <w:pPr>
        <w:shd w:val="clear" w:color="auto" w:fill="auto"/>
        <w:spacing w:line="440" w:lineRule="exact"/>
        <w:ind w:firstLine="420" w:firstLineChars="200"/>
        <w:rPr>
          <w:rFonts w:ascii="宋体" w:hAnsi="宋体" w:cs="仿宋_GB2312"/>
          <w:color w:val="auto"/>
          <w:szCs w:val="21"/>
          <w:highlight w:val="none"/>
        </w:rPr>
      </w:pPr>
      <w:r>
        <w:rPr>
          <w:rFonts w:hint="eastAsia" w:ascii="宋体" w:hAnsi="宋体" w:cs="仿宋_GB2312"/>
          <w:color w:val="auto"/>
          <w:szCs w:val="21"/>
          <w:highlight w:val="none"/>
        </w:rPr>
        <w:t>附：法定代表人身份证明书及委托代理人有效身份证正反面复印件</w:t>
      </w:r>
    </w:p>
    <w:p w14:paraId="0CEB40D4">
      <w:pPr>
        <w:shd w:val="clear" w:color="auto" w:fill="auto"/>
        <w:spacing w:line="440" w:lineRule="exact"/>
        <w:rPr>
          <w:rFonts w:ascii="宋体" w:hAnsi="宋体" w:cs="仿宋_GB2312"/>
          <w:color w:val="auto"/>
          <w:szCs w:val="21"/>
          <w:highlight w:val="none"/>
        </w:rPr>
      </w:pPr>
    </w:p>
    <w:p w14:paraId="000BE25C">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委托代理人（签字）：         法定代表人（签字或盖章）：                    </w:t>
      </w:r>
    </w:p>
    <w:p w14:paraId="4606BC86">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委托代理人身份证号码：                              </w:t>
      </w:r>
    </w:p>
    <w:p w14:paraId="3F340D5C">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p>
    <w:p w14:paraId="6A699F30">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 xml:space="preserve">                         </w:t>
      </w:r>
      <w:r>
        <w:rPr>
          <w:rFonts w:hint="eastAsia" w:ascii="宋体" w:hAnsi="宋体" w:cs="仿宋_GB2312"/>
          <w:color w:val="auto"/>
          <w:kern w:val="0"/>
          <w:szCs w:val="21"/>
          <w:highlight w:val="none"/>
        </w:rPr>
        <w:t>供应商名称（电子签章）：</w:t>
      </w:r>
    </w:p>
    <w:p w14:paraId="2EE0ED89">
      <w:pPr>
        <w:shd w:val="clear" w:color="auto" w:fill="auto"/>
        <w:spacing w:line="440" w:lineRule="exact"/>
        <w:contextualSpacing/>
        <w:jc w:val="center"/>
        <w:rPr>
          <w:rFonts w:ascii="宋体" w:hAnsi="宋体" w:cs="仿宋_GB2312"/>
          <w:b/>
          <w:color w:val="auto"/>
          <w:szCs w:val="21"/>
          <w:highlight w:val="none"/>
        </w:rPr>
      </w:pPr>
      <w:r>
        <w:rPr>
          <w:rFonts w:hint="eastAsia" w:ascii="宋体" w:hAnsi="宋体" w:cs="仿宋_GB2312"/>
          <w:color w:val="auto"/>
          <w:kern w:val="0"/>
          <w:szCs w:val="21"/>
          <w:highlight w:val="none"/>
          <w:lang w:val="zh-CN"/>
        </w:rPr>
        <w:t xml:space="preserve">                                                   日期：  年  月   日</w:t>
      </w:r>
    </w:p>
    <w:p w14:paraId="00342816">
      <w:pPr>
        <w:shd w:val="clear" w:color="auto" w:fill="auto"/>
        <w:spacing w:line="440" w:lineRule="exact"/>
        <w:rPr>
          <w:rFonts w:ascii="宋体" w:hAnsi="宋体" w:cs="仿宋_GB2312"/>
          <w:color w:val="auto"/>
          <w:szCs w:val="21"/>
          <w:highlight w:val="none"/>
        </w:rPr>
      </w:pPr>
    </w:p>
    <w:p w14:paraId="2FD786F7">
      <w:pPr>
        <w:shd w:val="clear" w:color="auto" w:fill="auto"/>
        <w:spacing w:line="440" w:lineRule="exact"/>
        <w:rPr>
          <w:rFonts w:ascii="宋体" w:hAnsi="宋体" w:cs="仿宋_GB2312"/>
          <w:color w:val="auto"/>
          <w:szCs w:val="21"/>
          <w:highlight w:val="none"/>
        </w:rPr>
      </w:pPr>
      <w:r>
        <w:rPr>
          <w:rFonts w:hint="eastAsia" w:ascii="宋体" w:hAnsi="宋体" w:cs="仿宋_GB2312"/>
          <w:color w:val="auto"/>
          <w:szCs w:val="21"/>
          <w:highlight w:val="none"/>
        </w:rPr>
        <w:t>注：1. 法定代表人必须在授权委托书上亲笔签字或盖章，委托代理人必须在授权委托书上亲笔签字，</w:t>
      </w:r>
      <w:r>
        <w:rPr>
          <w:rFonts w:hint="eastAsia" w:ascii="宋体" w:hAnsi="宋体" w:cs="仿宋_GB2312"/>
          <w:b/>
          <w:color w:val="auto"/>
          <w:szCs w:val="21"/>
          <w:highlight w:val="none"/>
        </w:rPr>
        <w:t>否则其响应文件按无效响应处理。</w:t>
      </w:r>
    </w:p>
    <w:p w14:paraId="4E8424AE">
      <w:pPr>
        <w:shd w:val="clear" w:color="auto" w:fill="auto"/>
        <w:spacing w:line="440" w:lineRule="exact"/>
        <w:ind w:firstLine="420" w:firstLineChars="200"/>
        <w:jc w:val="left"/>
        <w:rPr>
          <w:rFonts w:ascii="宋体" w:hAnsi="宋体" w:cs="仿宋_GB2312"/>
          <w:color w:val="auto"/>
          <w:szCs w:val="21"/>
          <w:highlight w:val="none"/>
        </w:rPr>
      </w:pPr>
      <w:r>
        <w:rPr>
          <w:rFonts w:ascii="宋体" w:hAnsi="宋体" w:cs="仿宋_GB2312"/>
          <w:color w:val="auto"/>
          <w:szCs w:val="21"/>
          <w:highlight w:val="none"/>
        </w:rPr>
        <w:t>2.</w:t>
      </w:r>
      <w:r>
        <w:rPr>
          <w:rFonts w:hint="eastAsia" w:ascii="宋体" w:hAnsi="宋体" w:cs="仿宋_GB2312"/>
          <w:color w:val="auto"/>
          <w:szCs w:val="21"/>
          <w:highlight w:val="none"/>
        </w:rPr>
        <w:t>供应商为其他组织或者自然人时，本磋商文件规定的法定代表人指负责人或者自然人。本磋商文件所称负责人是指参加竞标的其他组织营业执照上的负责人，本磋商文件所称自然人指参与竞标的自然人本人。</w:t>
      </w:r>
    </w:p>
    <w:p w14:paraId="69BC2EC0">
      <w:pPr>
        <w:shd w:val="clear" w:color="auto" w:fill="auto"/>
        <w:spacing w:line="440" w:lineRule="exact"/>
        <w:ind w:firstLine="420" w:firstLineChars="200"/>
        <w:jc w:val="left"/>
        <w:rPr>
          <w:rFonts w:ascii="宋体" w:hAnsi="宋体" w:cs="仿宋_GB2312"/>
          <w:color w:val="auto"/>
          <w:szCs w:val="21"/>
          <w:highlight w:val="none"/>
        </w:rPr>
      </w:pPr>
      <w:r>
        <w:rPr>
          <w:rFonts w:hint="eastAsia" w:ascii="宋体" w:hAnsi="宋体" w:cs="仿宋_GB2312"/>
          <w:color w:val="auto"/>
          <w:szCs w:val="21"/>
          <w:highlight w:val="none"/>
        </w:rPr>
        <w:t>3</w:t>
      </w:r>
      <w:r>
        <w:rPr>
          <w:rFonts w:ascii="宋体" w:hAnsi="宋体" w:cs="仿宋_GB2312"/>
          <w:color w:val="auto"/>
          <w:szCs w:val="21"/>
          <w:highlight w:val="none"/>
        </w:rPr>
        <w:t>.</w:t>
      </w:r>
      <w:r>
        <w:rPr>
          <w:rFonts w:hint="eastAsia" w:ascii="宋体" w:hAnsi="宋体" w:cs="仿宋_GB2312"/>
          <w:color w:val="auto"/>
          <w:szCs w:val="21"/>
          <w:highlight w:val="none"/>
        </w:rPr>
        <w:t xml:space="preserve"> 法人、其他组织竞标时“我方”是指“我单位”，自然人竞标时“我方”是指“本人”。</w:t>
      </w:r>
    </w:p>
    <w:p w14:paraId="019CA5B2">
      <w:pPr>
        <w:spacing w:line="380" w:lineRule="exact"/>
        <w:ind w:firstLine="420" w:firstLineChars="200"/>
        <w:jc w:val="left"/>
        <w:rPr>
          <w:rFonts w:hint="eastAsia" w:ascii="宋体" w:hAnsi="宋体" w:cs="宋体"/>
          <w:color w:val="auto"/>
          <w:szCs w:val="21"/>
          <w:highlight w:val="none"/>
        </w:rPr>
      </w:pPr>
    </w:p>
    <w:p w14:paraId="6E3F4BC0">
      <w:pPr>
        <w:shd w:val="clear" w:color="auto" w:fill="auto"/>
        <w:spacing w:line="440" w:lineRule="exact"/>
        <w:ind w:firstLine="420" w:firstLineChars="200"/>
        <w:jc w:val="left"/>
        <w:rPr>
          <w:rFonts w:ascii="宋体" w:hAnsi="宋体" w:cs="仿宋_GB2312"/>
          <w:b/>
          <w:color w:val="auto"/>
          <w:szCs w:val="21"/>
          <w:highlight w:val="none"/>
        </w:rPr>
      </w:pPr>
      <w:r>
        <w:rPr>
          <w:rFonts w:hint="eastAsia" w:ascii="仿宋_GB2312" w:hAnsi="仿宋_GB2312" w:eastAsia="仿宋_GB2312" w:cs="仿宋_GB2312"/>
          <w:color w:val="auto"/>
          <w:szCs w:val="21"/>
          <w:highlight w:val="none"/>
        </w:rPr>
        <w:br w:type="page"/>
      </w:r>
      <w:r>
        <w:rPr>
          <w:rFonts w:hint="eastAsia" w:ascii="宋体" w:hAnsi="宋体" w:cs="仿宋_GB2312"/>
          <w:b/>
          <w:color w:val="auto"/>
          <w:szCs w:val="21"/>
          <w:highlight w:val="none"/>
        </w:rPr>
        <w:t>四、商务条款偏离表</w:t>
      </w:r>
    </w:p>
    <w:p w14:paraId="010E4920">
      <w:pPr>
        <w:shd w:val="clear" w:color="auto" w:fill="auto"/>
        <w:spacing w:line="440" w:lineRule="exact"/>
        <w:jc w:val="center"/>
        <w:rPr>
          <w:rFonts w:ascii="宋体" w:hAnsi="宋体" w:cs="方正小标宋简体"/>
          <w:bCs/>
          <w:color w:val="auto"/>
          <w:szCs w:val="21"/>
          <w:highlight w:val="none"/>
        </w:rPr>
      </w:pPr>
      <w:r>
        <w:rPr>
          <w:rFonts w:hint="eastAsia" w:ascii="宋体" w:hAnsi="宋体" w:cs="方正小标宋简体"/>
          <w:bCs/>
          <w:color w:val="auto"/>
          <w:szCs w:val="21"/>
          <w:highlight w:val="none"/>
        </w:rPr>
        <w:t>商务条款偏离表</w:t>
      </w:r>
    </w:p>
    <w:p w14:paraId="1FEF7702">
      <w:pPr>
        <w:spacing w:line="500" w:lineRule="exact"/>
        <w:jc w:val="center"/>
        <w:rPr>
          <w:rFonts w:hint="eastAsia" w:ascii="方正小标宋简体" w:hAnsi="方正小标宋简体" w:eastAsia="方正小标宋简体" w:cs="方正小标宋简体"/>
          <w:bCs/>
          <w:color w:val="auto"/>
          <w:sz w:val="44"/>
          <w:szCs w:val="44"/>
          <w:highlight w:val="none"/>
        </w:rPr>
      </w:pPr>
    </w:p>
    <w:p w14:paraId="05CAD378">
      <w:pPr>
        <w:spacing w:line="360" w:lineRule="auto"/>
        <w:rPr>
          <w:rFonts w:hint="eastAsia" w:ascii="宋体" w:hAnsi="宋体" w:eastAsia="宋体" w:cs="仿宋_GB2312"/>
          <w:color w:val="auto"/>
          <w:sz w:val="21"/>
          <w:szCs w:val="21"/>
          <w:highlight w:val="none"/>
          <w:u w:val="single"/>
          <w:lang w:eastAsia="zh-CN"/>
        </w:rPr>
      </w:pPr>
      <w:r>
        <w:rPr>
          <w:rFonts w:hint="eastAsia" w:ascii="宋体" w:hAnsi="宋体" w:cs="仿宋_GB2312"/>
          <w:color w:val="auto"/>
          <w:sz w:val="21"/>
          <w:szCs w:val="21"/>
          <w:highlight w:val="none"/>
        </w:rPr>
        <w:t>采购项目编号：</w:t>
      </w:r>
      <w:r>
        <w:rPr>
          <w:rFonts w:hint="eastAsia" w:ascii="宋体" w:hAnsi="宋体" w:cs="仿宋_GB2312"/>
          <w:color w:val="auto"/>
          <w:sz w:val="21"/>
          <w:szCs w:val="21"/>
          <w:highlight w:val="none"/>
          <w:u w:val="single"/>
          <w:lang w:eastAsia="zh-CN"/>
        </w:rPr>
        <w:t>CZZC2025-C3-210076-GLZB</w:t>
      </w:r>
    </w:p>
    <w:p w14:paraId="7792FD42">
      <w:pPr>
        <w:spacing w:line="360" w:lineRule="auto"/>
        <w:rPr>
          <w:rFonts w:hint="eastAsia" w:ascii="宋体" w:hAnsi="宋体" w:eastAsia="宋体" w:cs="仿宋_GB2312"/>
          <w:color w:val="auto"/>
          <w:sz w:val="21"/>
          <w:szCs w:val="21"/>
          <w:highlight w:val="none"/>
          <w:lang w:eastAsia="zh-CN"/>
        </w:rPr>
      </w:pPr>
      <w:r>
        <w:rPr>
          <w:rFonts w:hint="eastAsia" w:ascii="宋体" w:hAnsi="宋体" w:cs="仿宋_GB2312"/>
          <w:color w:val="auto"/>
          <w:sz w:val="21"/>
          <w:szCs w:val="21"/>
          <w:highlight w:val="none"/>
        </w:rPr>
        <w:t>采购项目名称：</w:t>
      </w:r>
      <w:r>
        <w:rPr>
          <w:rFonts w:hint="eastAsia" w:ascii="宋体" w:hAnsi="宋体" w:cs="仿宋_GB2312"/>
          <w:color w:val="auto"/>
          <w:sz w:val="21"/>
          <w:szCs w:val="21"/>
          <w:highlight w:val="none"/>
          <w:u w:val="single"/>
          <w:lang w:eastAsia="zh-CN"/>
        </w:rPr>
        <w:t>扶绥县就业公共服务能力提升项目—线上人力资源数据运营服务</w:t>
      </w:r>
    </w:p>
    <w:p w14:paraId="7E76A419">
      <w:pPr>
        <w:spacing w:line="360" w:lineRule="auto"/>
        <w:rPr>
          <w:rFonts w:hint="default" w:ascii="宋体" w:hAnsi="宋体" w:eastAsia="宋体" w:cs="仿宋_GB2312"/>
          <w:color w:val="auto"/>
          <w:sz w:val="21"/>
          <w:szCs w:val="21"/>
          <w:highlight w:val="none"/>
          <w:u w:val="single"/>
          <w:lang w:val="en-US" w:eastAsia="zh-CN"/>
        </w:rPr>
      </w:pPr>
      <w:r>
        <w:rPr>
          <w:rFonts w:hint="eastAsia" w:ascii="宋体" w:hAnsi="宋体" w:cs="仿宋_GB2312"/>
          <w:color w:val="auto"/>
          <w:sz w:val="21"/>
          <w:szCs w:val="21"/>
          <w:highlight w:val="none"/>
        </w:rPr>
        <w:t>分标号</w:t>
      </w:r>
      <w:r>
        <w:rPr>
          <w:rFonts w:hint="eastAsia" w:ascii="宋体" w:hAnsi="宋体"/>
          <w:color w:val="auto"/>
          <w:sz w:val="21"/>
          <w:szCs w:val="21"/>
          <w:highlight w:val="none"/>
        </w:rPr>
        <w:t>（此处有分标时填写具体分标号，无分标时填写“无”）</w:t>
      </w:r>
      <w:r>
        <w:rPr>
          <w:rFonts w:hint="eastAsia" w:ascii="宋体" w:hAnsi="宋体" w:cs="仿宋_GB2312"/>
          <w:color w:val="auto"/>
          <w:sz w:val="21"/>
          <w:szCs w:val="21"/>
          <w:highlight w:val="none"/>
        </w:rPr>
        <w:t>：</w:t>
      </w:r>
      <w:r>
        <w:rPr>
          <w:rFonts w:hint="eastAsia" w:ascii="宋体" w:hAnsi="宋体" w:cs="仿宋_GB2312"/>
          <w:color w:val="auto"/>
          <w:sz w:val="21"/>
          <w:szCs w:val="21"/>
          <w:highlight w:val="none"/>
          <w:u w:val="single"/>
          <w:lang w:val="en-US" w:eastAsia="zh-CN"/>
        </w:rPr>
        <w:t xml:space="preserve">       </w:t>
      </w:r>
    </w:p>
    <w:tbl>
      <w:tblPr>
        <w:tblStyle w:val="24"/>
        <w:tblpPr w:leftFromText="180" w:rightFromText="180" w:vertAnchor="text" w:horzAnchor="margin" w:tblpXSpec="center" w:tblpY="94"/>
        <w:tblW w:w="907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1"/>
        <w:gridCol w:w="3926"/>
        <w:gridCol w:w="3095"/>
        <w:gridCol w:w="1366"/>
      </w:tblGrid>
      <w:tr w14:paraId="48D7F4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trPr>
        <w:tc>
          <w:tcPr>
            <w:tcW w:w="691" w:type="dxa"/>
            <w:tcBorders>
              <w:top w:val="single" w:color="auto" w:sz="4" w:space="0"/>
              <w:left w:val="single" w:color="auto" w:sz="4" w:space="0"/>
              <w:bottom w:val="single" w:color="auto" w:sz="4" w:space="0"/>
              <w:right w:val="single" w:color="auto" w:sz="4" w:space="0"/>
            </w:tcBorders>
            <w:noWrap w:val="0"/>
            <w:vAlign w:val="center"/>
          </w:tcPr>
          <w:p w14:paraId="3D01D1E3">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项号</w:t>
            </w:r>
          </w:p>
        </w:tc>
        <w:tc>
          <w:tcPr>
            <w:tcW w:w="3926" w:type="dxa"/>
            <w:tcBorders>
              <w:top w:val="single" w:color="auto" w:sz="4" w:space="0"/>
              <w:left w:val="single" w:color="auto" w:sz="4" w:space="0"/>
              <w:bottom w:val="single" w:color="auto" w:sz="4" w:space="0"/>
              <w:right w:val="single" w:color="auto" w:sz="4" w:space="0"/>
            </w:tcBorders>
            <w:noWrap w:val="0"/>
            <w:vAlign w:val="center"/>
          </w:tcPr>
          <w:p w14:paraId="3BFB238A">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竞争性磋商采购文件的商务需求</w:t>
            </w:r>
          </w:p>
        </w:tc>
        <w:tc>
          <w:tcPr>
            <w:tcW w:w="3095" w:type="dxa"/>
            <w:tcBorders>
              <w:top w:val="single" w:color="auto" w:sz="4" w:space="0"/>
              <w:left w:val="single" w:color="auto" w:sz="4" w:space="0"/>
              <w:bottom w:val="single" w:color="auto" w:sz="4" w:space="0"/>
              <w:right w:val="single" w:color="auto" w:sz="4" w:space="0"/>
            </w:tcBorders>
            <w:noWrap w:val="0"/>
            <w:vAlign w:val="center"/>
          </w:tcPr>
          <w:p w14:paraId="597843FD">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响应文件承诺的商务条款</w:t>
            </w:r>
          </w:p>
        </w:tc>
        <w:tc>
          <w:tcPr>
            <w:tcW w:w="1366" w:type="dxa"/>
            <w:tcBorders>
              <w:top w:val="single" w:color="auto" w:sz="4" w:space="0"/>
              <w:left w:val="single" w:color="auto" w:sz="4" w:space="0"/>
              <w:bottom w:val="single" w:color="auto" w:sz="4" w:space="0"/>
              <w:right w:val="single" w:color="auto" w:sz="4" w:space="0"/>
            </w:tcBorders>
            <w:noWrap w:val="0"/>
            <w:vAlign w:val="center"/>
          </w:tcPr>
          <w:p w14:paraId="266B1B58">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 w:val="21"/>
                <w:szCs w:val="21"/>
                <w:highlight w:val="none"/>
              </w:rPr>
            </w:pPr>
            <w:r>
              <w:rPr>
                <w:rFonts w:hint="eastAsia" w:ascii="宋体" w:hAnsi="宋体"/>
                <w:color w:val="auto"/>
                <w:sz w:val="21"/>
                <w:szCs w:val="21"/>
                <w:highlight w:val="none"/>
              </w:rPr>
              <w:t>偏离说明</w:t>
            </w:r>
          </w:p>
        </w:tc>
      </w:tr>
      <w:tr w14:paraId="5F7F5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1E5C1FF2">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一</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544659D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000B7A11">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3EE1E26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139FB7FC">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3095" w:type="dxa"/>
            <w:tcBorders>
              <w:top w:val="single" w:color="auto" w:sz="4" w:space="0"/>
              <w:left w:val="single" w:color="auto" w:sz="4" w:space="0"/>
              <w:bottom w:val="single" w:color="auto" w:sz="4" w:space="0"/>
              <w:right w:val="single" w:color="auto" w:sz="4" w:space="0"/>
            </w:tcBorders>
            <w:noWrap w:val="0"/>
            <w:vAlign w:val="top"/>
          </w:tcPr>
          <w:p w14:paraId="4125DBC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7E4EBCB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2295E7C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710552C2">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1366" w:type="dxa"/>
            <w:tcBorders>
              <w:top w:val="single" w:color="auto" w:sz="4" w:space="0"/>
              <w:left w:val="single" w:color="auto" w:sz="4" w:space="0"/>
              <w:bottom w:val="single" w:color="auto" w:sz="4" w:space="0"/>
              <w:right w:val="single" w:color="auto" w:sz="4" w:space="0"/>
            </w:tcBorders>
            <w:noWrap w:val="0"/>
            <w:vAlign w:val="top"/>
          </w:tcPr>
          <w:p w14:paraId="1F78022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p>
        </w:tc>
      </w:tr>
      <w:tr w14:paraId="3D0A3E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0"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7E6E6F8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二</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1870AB70">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4740ECB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094ED4C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0050485D">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3095" w:type="dxa"/>
            <w:tcBorders>
              <w:top w:val="single" w:color="auto" w:sz="4" w:space="0"/>
              <w:left w:val="single" w:color="auto" w:sz="4" w:space="0"/>
              <w:bottom w:val="single" w:color="auto" w:sz="4" w:space="0"/>
              <w:right w:val="single" w:color="auto" w:sz="4" w:space="0"/>
            </w:tcBorders>
            <w:noWrap w:val="0"/>
            <w:vAlign w:val="top"/>
          </w:tcPr>
          <w:p w14:paraId="11E005A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3C673DFA">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0E636BEF">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02462F5A">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1366" w:type="dxa"/>
            <w:tcBorders>
              <w:top w:val="single" w:color="auto" w:sz="4" w:space="0"/>
              <w:left w:val="single" w:color="auto" w:sz="4" w:space="0"/>
              <w:bottom w:val="single" w:color="auto" w:sz="4" w:space="0"/>
              <w:right w:val="single" w:color="auto" w:sz="4" w:space="0"/>
            </w:tcBorders>
            <w:noWrap w:val="0"/>
            <w:vAlign w:val="top"/>
          </w:tcPr>
          <w:p w14:paraId="2554B0EC">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p>
        </w:tc>
      </w:tr>
      <w:tr w14:paraId="234F8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9" w:hRule="atLeast"/>
        </w:trPr>
        <w:tc>
          <w:tcPr>
            <w:tcW w:w="691" w:type="dxa"/>
            <w:tcBorders>
              <w:top w:val="single" w:color="auto" w:sz="4" w:space="0"/>
              <w:left w:val="single" w:color="auto" w:sz="4" w:space="0"/>
              <w:bottom w:val="single" w:color="auto" w:sz="4" w:space="0"/>
              <w:right w:val="single" w:color="auto" w:sz="4" w:space="0"/>
            </w:tcBorders>
            <w:noWrap w:val="0"/>
            <w:vAlign w:val="top"/>
          </w:tcPr>
          <w:p w14:paraId="334FBBCD">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3926" w:type="dxa"/>
            <w:tcBorders>
              <w:top w:val="single" w:color="auto" w:sz="4" w:space="0"/>
              <w:left w:val="single" w:color="auto" w:sz="4" w:space="0"/>
              <w:bottom w:val="single" w:color="auto" w:sz="4" w:space="0"/>
              <w:right w:val="single" w:color="auto" w:sz="4" w:space="0"/>
            </w:tcBorders>
            <w:noWrap w:val="0"/>
            <w:vAlign w:val="top"/>
          </w:tcPr>
          <w:p w14:paraId="3B0A32E5">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367EA9E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0924BE9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24FFFC6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3095" w:type="dxa"/>
            <w:tcBorders>
              <w:top w:val="single" w:color="auto" w:sz="4" w:space="0"/>
              <w:left w:val="single" w:color="auto" w:sz="4" w:space="0"/>
              <w:bottom w:val="single" w:color="auto" w:sz="4" w:space="0"/>
              <w:right w:val="single" w:color="auto" w:sz="4" w:space="0"/>
            </w:tcBorders>
            <w:noWrap w:val="0"/>
            <w:vAlign w:val="top"/>
          </w:tcPr>
          <w:p w14:paraId="0DD87B22">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1  ……</w:t>
            </w:r>
          </w:p>
          <w:p w14:paraId="61A9699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2  ……</w:t>
            </w:r>
          </w:p>
          <w:p w14:paraId="637FD82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3  ……</w:t>
            </w:r>
          </w:p>
          <w:p w14:paraId="2F985819">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r>
              <w:rPr>
                <w:rFonts w:hint="eastAsia" w:ascii="宋体" w:hAnsi="宋体"/>
                <w:color w:val="auto"/>
                <w:sz w:val="21"/>
                <w:szCs w:val="21"/>
                <w:highlight w:val="none"/>
              </w:rPr>
              <w:t>……</w:t>
            </w:r>
          </w:p>
        </w:tc>
        <w:tc>
          <w:tcPr>
            <w:tcW w:w="1366" w:type="dxa"/>
            <w:tcBorders>
              <w:top w:val="single" w:color="auto" w:sz="4" w:space="0"/>
              <w:left w:val="single" w:color="auto" w:sz="4" w:space="0"/>
              <w:bottom w:val="single" w:color="auto" w:sz="4" w:space="0"/>
              <w:right w:val="single" w:color="auto" w:sz="4" w:space="0"/>
            </w:tcBorders>
            <w:noWrap w:val="0"/>
            <w:vAlign w:val="top"/>
          </w:tcPr>
          <w:p w14:paraId="3792AE6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 w:val="21"/>
                <w:szCs w:val="21"/>
                <w:highlight w:val="none"/>
              </w:rPr>
            </w:pPr>
          </w:p>
        </w:tc>
      </w:tr>
    </w:tbl>
    <w:p w14:paraId="3020B5BE">
      <w:pPr>
        <w:pStyle w:val="11"/>
        <w:keepNext w:val="0"/>
        <w:keepLines w:val="0"/>
        <w:pageBreakBefore w:val="0"/>
        <w:widowControl w:val="0"/>
        <w:kinsoku/>
        <w:wordWrap/>
        <w:overflowPunct/>
        <w:topLinePunct w:val="0"/>
        <w:autoSpaceDE/>
        <w:autoSpaceDN/>
        <w:bidi w:val="0"/>
        <w:adjustRightInd/>
        <w:snapToGrid/>
        <w:spacing w:line="380" w:lineRule="exact"/>
        <w:ind w:firstLine="0" w:firstLineChars="0"/>
        <w:textAlignment w:val="auto"/>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注：</w:t>
      </w:r>
    </w:p>
    <w:p w14:paraId="0FD2E7C2">
      <w:pPr>
        <w:pStyle w:val="11"/>
        <w:keepNext w:val="0"/>
        <w:keepLines w:val="0"/>
        <w:pageBreakBefore w:val="0"/>
        <w:widowControl w:val="0"/>
        <w:kinsoku/>
        <w:wordWrap/>
        <w:overflowPunct/>
        <w:topLinePunct w:val="0"/>
        <w:autoSpaceDE/>
        <w:autoSpaceDN/>
        <w:bidi w:val="0"/>
        <w:adjustRightInd/>
        <w:snapToGrid/>
        <w:spacing w:line="380" w:lineRule="exact"/>
        <w:ind w:firstLine="0" w:firstLineChars="0"/>
        <w:textAlignment w:val="auto"/>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1.说明：应对照磋商文件“第二章 采购需求”中的商务条款逐条作出明确响应，并作出偏离说明。</w:t>
      </w:r>
    </w:p>
    <w:p w14:paraId="42878946">
      <w:pPr>
        <w:pStyle w:val="11"/>
        <w:keepNext w:val="0"/>
        <w:keepLines w:val="0"/>
        <w:pageBreakBefore w:val="0"/>
        <w:widowControl w:val="0"/>
        <w:kinsoku/>
        <w:wordWrap/>
        <w:overflowPunct/>
        <w:topLinePunct w:val="0"/>
        <w:autoSpaceDE/>
        <w:autoSpaceDN/>
        <w:bidi w:val="0"/>
        <w:adjustRightInd/>
        <w:snapToGrid/>
        <w:spacing w:line="380" w:lineRule="exact"/>
        <w:ind w:firstLine="0" w:firstLineChars="0"/>
        <w:textAlignment w:val="auto"/>
        <w:rPr>
          <w:rFonts w:hint="eastAsia" w:ascii="宋体" w:hAnsi="宋体" w:eastAsia="宋体" w:cs="仿宋_GB2312"/>
          <w:color w:val="auto"/>
          <w:sz w:val="21"/>
          <w:szCs w:val="21"/>
          <w:highlight w:val="none"/>
        </w:rPr>
      </w:pPr>
      <w:r>
        <w:rPr>
          <w:rFonts w:hint="eastAsia" w:ascii="宋体" w:hAnsi="宋体" w:eastAsia="宋体" w:cs="仿宋_GB2312"/>
          <w:color w:val="auto"/>
          <w:sz w:val="21"/>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22BEDB44">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cs="仿宋_GB2312"/>
          <w:color w:val="auto"/>
          <w:kern w:val="0"/>
          <w:sz w:val="21"/>
          <w:szCs w:val="21"/>
          <w:highlight w:val="none"/>
        </w:rPr>
      </w:pPr>
      <w:r>
        <w:rPr>
          <w:rFonts w:hint="eastAsia" w:ascii="宋体" w:hAnsi="宋体" w:cs="仿宋_GB2312"/>
          <w:color w:val="auto"/>
          <w:kern w:val="0"/>
          <w:sz w:val="21"/>
          <w:szCs w:val="21"/>
          <w:highlight w:val="none"/>
        </w:rPr>
        <w:t>3.表格内容均需按要求填写，不得留空，否则按竞标无效处理。</w:t>
      </w:r>
    </w:p>
    <w:p w14:paraId="4B8C1EBF">
      <w:pPr>
        <w:pStyle w:val="15"/>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hAnsi="宋体" w:cs="仿宋_GB2312"/>
          <w:color w:val="auto"/>
          <w:sz w:val="21"/>
          <w:szCs w:val="21"/>
          <w:highlight w:val="none"/>
        </w:rPr>
      </w:pPr>
      <w:r>
        <w:rPr>
          <w:rFonts w:hint="eastAsia" w:hAnsi="宋体" w:cs="仿宋_GB2312"/>
          <w:color w:val="auto"/>
          <w:sz w:val="21"/>
          <w:szCs w:val="21"/>
          <w:highlight w:val="none"/>
        </w:rPr>
        <w:t>4.如果采购需求为小于、小于等于、大于或大于等于某个数值标准时，响应文件承诺不得直接复制采购需求，响应文件承诺内容应当写明竞标货物具体参数或商务响应承诺的具体数值，否则按竞标无效处理。如该采购需求属于不能明确具体数值的，采购人应在此采购需求的数值后标注◆号，对标注◆号的采购需求不适用上述“竞标无效”条款。</w:t>
      </w:r>
    </w:p>
    <w:p w14:paraId="5B7A5DE3">
      <w:pPr>
        <w:spacing w:line="360" w:lineRule="auto"/>
        <w:ind w:firstLine="5760" w:firstLineChars="2400"/>
        <w:rPr>
          <w:rFonts w:hint="eastAsia" w:ascii="仿宋_GB2312" w:hAnsi="仿宋" w:eastAsia="仿宋_GB2312" w:cs="仿宋_GB2312"/>
          <w:color w:val="auto"/>
          <w:kern w:val="0"/>
          <w:sz w:val="24"/>
          <w:highlight w:val="none"/>
        </w:rPr>
      </w:pPr>
    </w:p>
    <w:p w14:paraId="4D54968B">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1A100678">
      <w:pPr>
        <w:autoSpaceDE w:val="0"/>
        <w:autoSpaceDN w:val="0"/>
        <w:spacing w:line="360" w:lineRule="auto"/>
        <w:ind w:firstLine="6480" w:firstLineChars="2700"/>
        <w:rPr>
          <w:rFonts w:hint="eastAsia" w:ascii="仿宋_GB2312" w:hAnsi="仿宋" w:eastAsia="仿宋_GB2312" w:cs="仿宋_GB2312"/>
          <w:b/>
          <w:bCs/>
          <w:color w:val="auto"/>
          <w:sz w:val="24"/>
          <w:highlight w:val="none"/>
        </w:rPr>
      </w:pPr>
      <w:r>
        <w:rPr>
          <w:rFonts w:hint="eastAsia" w:ascii="仿宋_GB2312" w:hAnsi="仿宋" w:eastAsia="仿宋_GB2312" w:cs="仿宋_GB2312"/>
          <w:color w:val="auto"/>
          <w:kern w:val="0"/>
          <w:sz w:val="24"/>
          <w:highlight w:val="none"/>
          <w:lang w:val="zh-CN"/>
        </w:rPr>
        <w:t>日期：  年  月   日</w:t>
      </w:r>
    </w:p>
    <w:p w14:paraId="354AF7D6">
      <w:pP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0C466596">
      <w:pPr>
        <w:shd w:val="clear" w:color="auto" w:fill="auto"/>
        <w:snapToGrid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五、竞标人情况介绍</w:t>
      </w:r>
    </w:p>
    <w:p w14:paraId="36CEA46C">
      <w:pPr>
        <w:shd w:val="clear" w:color="auto" w:fill="auto"/>
        <w:snapToGrid w:val="0"/>
        <w:spacing w:line="440" w:lineRule="exact"/>
        <w:ind w:firstLine="422" w:firstLineChars="200"/>
        <w:rPr>
          <w:rFonts w:ascii="宋体" w:hAnsi="宋体" w:cs="仿宋_GB2312"/>
          <w:b/>
          <w:color w:val="auto"/>
          <w:szCs w:val="21"/>
          <w:highlight w:val="none"/>
        </w:rPr>
      </w:pPr>
    </w:p>
    <w:p w14:paraId="7F78B9C1">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53705045">
      <w:pPr>
        <w:shd w:val="clear" w:color="auto" w:fill="auto"/>
        <w:autoSpaceDE w:val="0"/>
        <w:autoSpaceDN w:val="0"/>
        <w:spacing w:line="440" w:lineRule="exact"/>
        <w:ind w:firstLine="5670" w:firstLineChars="270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14:paraId="175FEA9C">
      <w:pPr>
        <w:shd w:val="clear" w:color="auto" w:fill="auto"/>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六、供应商类似的业绩证明文件</w:t>
      </w:r>
    </w:p>
    <w:tbl>
      <w:tblPr>
        <w:tblStyle w:val="24"/>
        <w:tblW w:w="0" w:type="auto"/>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834"/>
        <w:gridCol w:w="2628"/>
        <w:gridCol w:w="2260"/>
        <w:gridCol w:w="2137"/>
      </w:tblGrid>
      <w:tr w14:paraId="0219A8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1232" w:hRule="atLeast"/>
        </w:trPr>
        <w:tc>
          <w:tcPr>
            <w:tcW w:w="1834" w:type="dxa"/>
            <w:tcBorders>
              <w:top w:val="single" w:color="auto" w:sz="4" w:space="0"/>
              <w:left w:val="single" w:color="auto" w:sz="4" w:space="0"/>
              <w:bottom w:val="single" w:color="auto" w:sz="4" w:space="0"/>
              <w:right w:val="single" w:color="auto" w:sz="4" w:space="0"/>
            </w:tcBorders>
            <w:noWrap/>
            <w:vAlign w:val="center"/>
          </w:tcPr>
          <w:p w14:paraId="707025DE">
            <w:pPr>
              <w:keepNext w:val="0"/>
              <w:keepLines w:val="0"/>
              <w:suppressLineNumbers w:val="0"/>
              <w:snapToGrid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采购人名称</w:t>
            </w:r>
          </w:p>
        </w:tc>
        <w:tc>
          <w:tcPr>
            <w:tcW w:w="2628" w:type="dxa"/>
            <w:tcBorders>
              <w:top w:val="single" w:color="auto" w:sz="4" w:space="0"/>
              <w:left w:val="single" w:color="auto" w:sz="4" w:space="0"/>
              <w:bottom w:val="single" w:color="auto" w:sz="4" w:space="0"/>
              <w:right w:val="single" w:color="auto" w:sz="4" w:space="0"/>
            </w:tcBorders>
            <w:noWrap/>
            <w:vAlign w:val="center"/>
          </w:tcPr>
          <w:p w14:paraId="61764045">
            <w:pPr>
              <w:keepNext w:val="0"/>
              <w:keepLines w:val="0"/>
              <w:suppressLineNumbers w:val="0"/>
              <w:snapToGrid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项目名称</w:t>
            </w:r>
          </w:p>
        </w:tc>
        <w:tc>
          <w:tcPr>
            <w:tcW w:w="2260" w:type="dxa"/>
            <w:tcBorders>
              <w:top w:val="single" w:color="auto" w:sz="4" w:space="0"/>
              <w:left w:val="single" w:color="auto" w:sz="4" w:space="0"/>
              <w:bottom w:val="single" w:color="auto" w:sz="4" w:space="0"/>
              <w:right w:val="single" w:color="auto" w:sz="4" w:space="0"/>
            </w:tcBorders>
            <w:noWrap/>
            <w:vAlign w:val="center"/>
          </w:tcPr>
          <w:p w14:paraId="32D65400">
            <w:pPr>
              <w:keepNext w:val="0"/>
              <w:keepLines w:val="0"/>
              <w:suppressLineNumbers w:val="0"/>
              <w:snapToGrid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合同金额</w:t>
            </w:r>
          </w:p>
          <w:p w14:paraId="4528E237">
            <w:pPr>
              <w:keepNext w:val="0"/>
              <w:keepLines w:val="0"/>
              <w:suppressLineNumbers w:val="0"/>
              <w:snapToGrid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（万元）</w:t>
            </w:r>
          </w:p>
        </w:tc>
        <w:tc>
          <w:tcPr>
            <w:tcW w:w="2137" w:type="dxa"/>
            <w:tcBorders>
              <w:top w:val="single" w:color="auto" w:sz="4" w:space="0"/>
              <w:left w:val="single" w:color="auto" w:sz="4" w:space="0"/>
              <w:bottom w:val="single" w:color="auto" w:sz="4" w:space="0"/>
              <w:right w:val="single" w:color="auto" w:sz="4" w:space="0"/>
            </w:tcBorders>
            <w:noWrap/>
            <w:vAlign w:val="center"/>
          </w:tcPr>
          <w:p w14:paraId="682F6702">
            <w:pPr>
              <w:keepNext w:val="0"/>
              <w:keepLines w:val="0"/>
              <w:suppressLineNumbers w:val="0"/>
              <w:snapToGrid w:val="0"/>
              <w:spacing w:before="0" w:beforeAutospacing="0" w:after="0" w:afterAutospacing="0" w:line="240" w:lineRule="exact"/>
              <w:ind w:left="0" w:right="0"/>
              <w:jc w:val="center"/>
              <w:rPr>
                <w:rFonts w:hint="eastAsia" w:ascii="宋体" w:hAnsi="宋体"/>
                <w:color w:val="auto"/>
                <w:szCs w:val="21"/>
                <w:highlight w:val="none"/>
              </w:rPr>
            </w:pPr>
            <w:r>
              <w:rPr>
                <w:rFonts w:hint="eastAsia" w:ascii="宋体" w:hAnsi="宋体"/>
                <w:color w:val="auto"/>
                <w:szCs w:val="21"/>
                <w:highlight w:val="none"/>
              </w:rPr>
              <w:t>采购人联系人及联系电话</w:t>
            </w:r>
          </w:p>
        </w:tc>
      </w:tr>
      <w:tr w14:paraId="4E893B4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78" w:hRule="atLeast"/>
        </w:trPr>
        <w:tc>
          <w:tcPr>
            <w:tcW w:w="1834" w:type="dxa"/>
            <w:tcBorders>
              <w:top w:val="single" w:color="auto" w:sz="4" w:space="0"/>
              <w:left w:val="single" w:color="auto" w:sz="4" w:space="0"/>
              <w:bottom w:val="single" w:color="auto" w:sz="4" w:space="0"/>
              <w:right w:val="single" w:color="auto" w:sz="4" w:space="0"/>
            </w:tcBorders>
            <w:noWrap/>
          </w:tcPr>
          <w:p w14:paraId="219C6FE8">
            <w:pPr>
              <w:keepNext w:val="0"/>
              <w:keepLines w:val="0"/>
              <w:suppressLineNumbers w:val="0"/>
              <w:snapToGrid w:val="0"/>
              <w:spacing w:before="0" w:beforeAutospacing="0" w:after="0" w:afterAutospacing="0" w:line="240" w:lineRule="exact"/>
              <w:ind w:left="0" w:right="0"/>
              <w:jc w:val="left"/>
              <w:rPr>
                <w:rFonts w:hint="eastAsia" w:ascii="宋体" w:hAnsi="宋体"/>
                <w:color w:val="auto"/>
                <w:sz w:val="24"/>
                <w:highlight w:val="none"/>
              </w:rPr>
            </w:pPr>
          </w:p>
        </w:tc>
        <w:tc>
          <w:tcPr>
            <w:tcW w:w="2628" w:type="dxa"/>
            <w:tcBorders>
              <w:top w:val="single" w:color="auto" w:sz="4" w:space="0"/>
              <w:left w:val="single" w:color="auto" w:sz="4" w:space="0"/>
              <w:bottom w:val="single" w:color="auto" w:sz="4" w:space="0"/>
              <w:right w:val="single" w:color="auto" w:sz="4" w:space="0"/>
            </w:tcBorders>
            <w:noWrap/>
          </w:tcPr>
          <w:p w14:paraId="0F150B06">
            <w:pPr>
              <w:keepNext w:val="0"/>
              <w:keepLines w:val="0"/>
              <w:suppressLineNumbers w:val="0"/>
              <w:snapToGrid w:val="0"/>
              <w:spacing w:before="0" w:beforeAutospacing="0" w:after="0" w:afterAutospacing="0" w:line="240" w:lineRule="exact"/>
              <w:ind w:left="0" w:right="0"/>
              <w:jc w:val="left"/>
              <w:rPr>
                <w:rFonts w:hint="eastAsia" w:ascii="宋体" w:hAnsi="宋体"/>
                <w:color w:val="auto"/>
                <w:sz w:val="24"/>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30EB30EB">
            <w:pPr>
              <w:keepNext w:val="0"/>
              <w:keepLines w:val="0"/>
              <w:suppressLineNumbers w:val="0"/>
              <w:snapToGrid w:val="0"/>
              <w:spacing w:before="0" w:beforeAutospacing="0" w:after="0" w:afterAutospacing="0" w:line="240" w:lineRule="exact"/>
              <w:ind w:left="0" w:right="0"/>
              <w:jc w:val="left"/>
              <w:rPr>
                <w:rFonts w:hint="eastAsia" w:ascii="宋体" w:hAnsi="宋体"/>
                <w:color w:val="auto"/>
                <w:sz w:val="24"/>
                <w:highlight w:val="none"/>
              </w:rPr>
            </w:pPr>
          </w:p>
        </w:tc>
        <w:tc>
          <w:tcPr>
            <w:tcW w:w="2137" w:type="dxa"/>
            <w:tcBorders>
              <w:top w:val="single" w:color="auto" w:sz="4" w:space="0"/>
              <w:left w:val="single" w:color="auto" w:sz="4" w:space="0"/>
              <w:bottom w:val="single" w:color="auto" w:sz="4" w:space="0"/>
              <w:right w:val="single" w:color="auto" w:sz="4" w:space="0"/>
            </w:tcBorders>
            <w:noWrap/>
          </w:tcPr>
          <w:p w14:paraId="3BFB1DA7">
            <w:pPr>
              <w:keepNext w:val="0"/>
              <w:keepLines w:val="0"/>
              <w:suppressLineNumbers w:val="0"/>
              <w:snapToGrid w:val="0"/>
              <w:spacing w:before="0" w:beforeAutospacing="0" w:after="0" w:afterAutospacing="0" w:line="240" w:lineRule="exact"/>
              <w:ind w:left="0" w:right="0"/>
              <w:jc w:val="left"/>
              <w:rPr>
                <w:rFonts w:hint="eastAsia" w:ascii="宋体" w:hAnsi="宋体"/>
                <w:color w:val="auto"/>
                <w:sz w:val="24"/>
                <w:highlight w:val="none"/>
              </w:rPr>
            </w:pPr>
          </w:p>
        </w:tc>
      </w:tr>
      <w:tr w14:paraId="4F79BFE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834" w:type="dxa"/>
            <w:tcBorders>
              <w:top w:val="single" w:color="auto" w:sz="4" w:space="0"/>
              <w:left w:val="single" w:color="auto" w:sz="4" w:space="0"/>
              <w:bottom w:val="single" w:color="auto" w:sz="4" w:space="0"/>
              <w:right w:val="single" w:color="auto" w:sz="4" w:space="0"/>
            </w:tcBorders>
            <w:noWrap/>
          </w:tcPr>
          <w:p w14:paraId="4BDFAF9B">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628" w:type="dxa"/>
            <w:tcBorders>
              <w:top w:val="single" w:color="auto" w:sz="4" w:space="0"/>
              <w:left w:val="single" w:color="auto" w:sz="4" w:space="0"/>
              <w:bottom w:val="single" w:color="auto" w:sz="4" w:space="0"/>
              <w:right w:val="single" w:color="auto" w:sz="4" w:space="0"/>
            </w:tcBorders>
            <w:noWrap/>
          </w:tcPr>
          <w:p w14:paraId="705FECC0">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210738D8">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137" w:type="dxa"/>
            <w:tcBorders>
              <w:top w:val="single" w:color="auto" w:sz="4" w:space="0"/>
              <w:left w:val="single" w:color="auto" w:sz="4" w:space="0"/>
              <w:bottom w:val="single" w:color="auto" w:sz="4" w:space="0"/>
              <w:right w:val="single" w:color="auto" w:sz="4" w:space="0"/>
            </w:tcBorders>
            <w:noWrap/>
          </w:tcPr>
          <w:p w14:paraId="636F6E66">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r>
      <w:tr w14:paraId="7F097D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740" w:hRule="atLeast"/>
        </w:trPr>
        <w:tc>
          <w:tcPr>
            <w:tcW w:w="1834" w:type="dxa"/>
            <w:tcBorders>
              <w:top w:val="single" w:color="auto" w:sz="4" w:space="0"/>
              <w:left w:val="single" w:color="auto" w:sz="4" w:space="0"/>
              <w:bottom w:val="single" w:color="auto" w:sz="4" w:space="0"/>
              <w:right w:val="single" w:color="auto" w:sz="4" w:space="0"/>
            </w:tcBorders>
            <w:noWrap/>
          </w:tcPr>
          <w:p w14:paraId="3778B975">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628" w:type="dxa"/>
            <w:tcBorders>
              <w:top w:val="single" w:color="auto" w:sz="4" w:space="0"/>
              <w:left w:val="single" w:color="auto" w:sz="4" w:space="0"/>
              <w:bottom w:val="single" w:color="auto" w:sz="4" w:space="0"/>
              <w:right w:val="single" w:color="auto" w:sz="4" w:space="0"/>
            </w:tcBorders>
            <w:noWrap/>
          </w:tcPr>
          <w:p w14:paraId="6561F5D9">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2A77C8A2">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137" w:type="dxa"/>
            <w:tcBorders>
              <w:top w:val="single" w:color="auto" w:sz="4" w:space="0"/>
              <w:left w:val="single" w:color="auto" w:sz="4" w:space="0"/>
              <w:bottom w:val="single" w:color="auto" w:sz="4" w:space="0"/>
              <w:right w:val="single" w:color="auto" w:sz="4" w:space="0"/>
            </w:tcBorders>
            <w:noWrap/>
          </w:tcPr>
          <w:p w14:paraId="12BD486A">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r>
      <w:tr w14:paraId="3E3EA2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6" w:hRule="atLeast"/>
        </w:trPr>
        <w:tc>
          <w:tcPr>
            <w:tcW w:w="1834" w:type="dxa"/>
            <w:tcBorders>
              <w:top w:val="single" w:color="auto" w:sz="4" w:space="0"/>
              <w:left w:val="single" w:color="auto" w:sz="4" w:space="0"/>
              <w:bottom w:val="single" w:color="auto" w:sz="4" w:space="0"/>
              <w:right w:val="single" w:color="auto" w:sz="4" w:space="0"/>
            </w:tcBorders>
            <w:noWrap/>
          </w:tcPr>
          <w:p w14:paraId="774AFB14">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628" w:type="dxa"/>
            <w:tcBorders>
              <w:top w:val="single" w:color="auto" w:sz="4" w:space="0"/>
              <w:left w:val="single" w:color="auto" w:sz="4" w:space="0"/>
              <w:bottom w:val="single" w:color="auto" w:sz="4" w:space="0"/>
              <w:right w:val="single" w:color="auto" w:sz="4" w:space="0"/>
            </w:tcBorders>
            <w:noWrap/>
          </w:tcPr>
          <w:p w14:paraId="4B4BB4B2">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261D5474">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137" w:type="dxa"/>
            <w:tcBorders>
              <w:top w:val="single" w:color="auto" w:sz="4" w:space="0"/>
              <w:left w:val="single" w:color="auto" w:sz="4" w:space="0"/>
              <w:bottom w:val="single" w:color="auto" w:sz="4" w:space="0"/>
              <w:right w:val="single" w:color="auto" w:sz="4" w:space="0"/>
            </w:tcBorders>
            <w:noWrap/>
          </w:tcPr>
          <w:p w14:paraId="6A136493">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r>
      <w:tr w14:paraId="0025312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607" w:hRule="atLeast"/>
        </w:trPr>
        <w:tc>
          <w:tcPr>
            <w:tcW w:w="1834" w:type="dxa"/>
            <w:tcBorders>
              <w:top w:val="single" w:color="auto" w:sz="4" w:space="0"/>
              <w:left w:val="single" w:color="auto" w:sz="4" w:space="0"/>
              <w:bottom w:val="single" w:color="auto" w:sz="4" w:space="0"/>
              <w:right w:val="single" w:color="auto" w:sz="4" w:space="0"/>
            </w:tcBorders>
            <w:noWrap/>
          </w:tcPr>
          <w:p w14:paraId="3A943D9B">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628" w:type="dxa"/>
            <w:tcBorders>
              <w:top w:val="single" w:color="auto" w:sz="4" w:space="0"/>
              <w:left w:val="single" w:color="auto" w:sz="4" w:space="0"/>
              <w:bottom w:val="single" w:color="auto" w:sz="4" w:space="0"/>
              <w:right w:val="single" w:color="auto" w:sz="4" w:space="0"/>
            </w:tcBorders>
            <w:noWrap/>
          </w:tcPr>
          <w:p w14:paraId="4E96D942">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260" w:type="dxa"/>
            <w:tcBorders>
              <w:top w:val="single" w:color="auto" w:sz="4" w:space="0"/>
              <w:left w:val="single" w:color="auto" w:sz="4" w:space="0"/>
              <w:bottom w:val="single" w:color="auto" w:sz="4" w:space="0"/>
              <w:right w:val="single" w:color="auto" w:sz="4" w:space="0"/>
            </w:tcBorders>
            <w:noWrap/>
          </w:tcPr>
          <w:p w14:paraId="576C0D37">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c>
          <w:tcPr>
            <w:tcW w:w="2137" w:type="dxa"/>
            <w:tcBorders>
              <w:top w:val="single" w:color="auto" w:sz="4" w:space="0"/>
              <w:left w:val="single" w:color="auto" w:sz="4" w:space="0"/>
              <w:bottom w:val="single" w:color="auto" w:sz="4" w:space="0"/>
              <w:right w:val="single" w:color="auto" w:sz="4" w:space="0"/>
            </w:tcBorders>
            <w:noWrap/>
          </w:tcPr>
          <w:p w14:paraId="2A324861">
            <w:pPr>
              <w:keepNext w:val="0"/>
              <w:keepLines w:val="0"/>
              <w:suppressLineNumbers w:val="0"/>
              <w:snapToGrid w:val="0"/>
              <w:spacing w:before="50" w:beforeAutospacing="0" w:after="120" w:afterLines="50" w:afterAutospacing="0" w:line="400" w:lineRule="exact"/>
              <w:ind w:left="0" w:right="0"/>
              <w:jc w:val="left"/>
              <w:rPr>
                <w:rFonts w:hint="eastAsia" w:ascii="宋体" w:hAnsi="宋体"/>
                <w:color w:val="auto"/>
                <w:sz w:val="24"/>
                <w:highlight w:val="none"/>
              </w:rPr>
            </w:pPr>
          </w:p>
        </w:tc>
      </w:tr>
    </w:tbl>
    <w:p w14:paraId="09DBC7EE">
      <w:pPr>
        <w:pStyle w:val="19"/>
        <w:snapToGrid w:val="0"/>
        <w:ind w:left="480" w:hanging="480"/>
        <w:rPr>
          <w:rFonts w:hint="eastAsia" w:ascii="宋体" w:hAnsi="宋体"/>
          <w:color w:val="auto"/>
          <w:sz w:val="24"/>
          <w:highlight w:val="none"/>
        </w:rPr>
      </w:pPr>
    </w:p>
    <w:p w14:paraId="44847ECB">
      <w:pPr>
        <w:pStyle w:val="19"/>
        <w:snapToGrid w:val="0"/>
        <w:ind w:left="480" w:hanging="480"/>
        <w:rPr>
          <w:rFonts w:hint="eastAsia" w:ascii="宋体" w:hAnsi="宋体"/>
          <w:color w:val="auto"/>
          <w:sz w:val="24"/>
          <w:highlight w:val="none"/>
        </w:rPr>
      </w:pPr>
    </w:p>
    <w:p w14:paraId="1AE3BFB4">
      <w:pPr>
        <w:autoSpaceDE w:val="0"/>
        <w:autoSpaceDN w:val="0"/>
        <w:spacing w:line="360" w:lineRule="auto"/>
        <w:ind w:firstLine="120"/>
        <w:rPr>
          <w:rFonts w:hint="eastAsia" w:ascii="宋体" w:hAnsi="宋体" w:cs="宋体"/>
          <w:color w:val="auto"/>
          <w:sz w:val="21"/>
          <w:szCs w:val="21"/>
          <w:highlight w:val="none"/>
        </w:rPr>
      </w:pPr>
      <w:r>
        <w:rPr>
          <w:rFonts w:hint="eastAsia" w:ascii="宋体" w:hAnsi="宋体" w:cs="宋体"/>
          <w:b/>
          <w:color w:val="auto"/>
          <w:sz w:val="21"/>
          <w:szCs w:val="21"/>
          <w:highlight w:val="none"/>
        </w:rPr>
        <w:t>附表</w:t>
      </w:r>
      <w:r>
        <w:rPr>
          <w:rFonts w:hint="eastAsia" w:ascii="宋体" w:hAnsi="宋体" w:cs="宋体"/>
          <w:b/>
          <w:color w:val="auto"/>
          <w:sz w:val="21"/>
          <w:szCs w:val="21"/>
          <w:highlight w:val="none"/>
          <w:lang w:eastAsia="zh-CN"/>
        </w:rPr>
        <w:t>：</w:t>
      </w:r>
      <w:r>
        <w:rPr>
          <w:rFonts w:hint="eastAsia" w:ascii="宋体" w:hAnsi="宋体" w:cs="宋体"/>
          <w:b/>
          <w:color w:val="auto"/>
          <w:sz w:val="21"/>
          <w:szCs w:val="21"/>
          <w:highlight w:val="none"/>
        </w:rPr>
        <w:t>相关项目业绩一览表（供应商同类项目中标/成交通知书或合同复印件格式自拟）</w:t>
      </w:r>
    </w:p>
    <w:p w14:paraId="7DB6791B">
      <w:pPr>
        <w:pStyle w:val="15"/>
        <w:spacing w:line="360" w:lineRule="auto"/>
        <w:ind w:left="72"/>
        <w:rPr>
          <w:rFonts w:hint="eastAsia" w:hAnsi="宋体" w:cs="宋体"/>
          <w:color w:val="auto"/>
          <w:sz w:val="21"/>
          <w:szCs w:val="21"/>
          <w:highlight w:val="none"/>
        </w:rPr>
      </w:pPr>
      <w:r>
        <w:rPr>
          <w:rFonts w:hint="eastAsia" w:hAnsi="宋体" w:cs="宋体"/>
          <w:color w:val="auto"/>
          <w:sz w:val="21"/>
          <w:szCs w:val="21"/>
          <w:highlight w:val="none"/>
        </w:rPr>
        <w:t>注：供应商可按上述的格式自行编制，须随表提交相应的中标/成交通知书或合同复印件并注明所在供应商商务技术文件页码。</w:t>
      </w:r>
    </w:p>
    <w:p w14:paraId="770E12DE">
      <w:pPr>
        <w:snapToGrid w:val="0"/>
        <w:spacing w:line="360" w:lineRule="auto"/>
        <w:rPr>
          <w:rFonts w:hint="eastAsia" w:ascii="宋体" w:hAnsi="宋体" w:cs="宋体"/>
          <w:color w:val="auto"/>
          <w:sz w:val="21"/>
          <w:szCs w:val="21"/>
          <w:highlight w:val="none"/>
        </w:rPr>
      </w:pPr>
    </w:p>
    <w:p w14:paraId="60E1B1A1">
      <w:pPr>
        <w:snapToGrid w:val="0"/>
        <w:spacing w:line="360" w:lineRule="auto"/>
        <w:ind w:firstLine="2940" w:firstLineChars="1400"/>
        <w:rPr>
          <w:rFonts w:hint="eastAsia" w:ascii="宋体" w:hAnsi="宋体" w:cs="宋体"/>
          <w:color w:val="auto"/>
          <w:kern w:val="0"/>
          <w:sz w:val="21"/>
          <w:szCs w:val="21"/>
          <w:highlight w:val="none"/>
        </w:rPr>
      </w:pPr>
      <w:r>
        <w:rPr>
          <w:rFonts w:hint="eastAsia" w:ascii="宋体" w:hAnsi="宋体" w:cs="宋体"/>
          <w:color w:val="auto"/>
          <w:kern w:val="0"/>
          <w:sz w:val="21"/>
          <w:szCs w:val="21"/>
          <w:highlight w:val="none"/>
          <w:lang w:val="zh-CN"/>
        </w:rPr>
        <w:t>供应商名称(电子签章)：</w:t>
      </w:r>
    </w:p>
    <w:p w14:paraId="7CA5010A">
      <w:pPr>
        <w:spacing w:line="500" w:lineRule="exact"/>
        <w:jc w:val="center"/>
        <w:rPr>
          <w:rFonts w:hint="eastAsia" w:ascii="宋体" w:hAnsi="宋体" w:cs="宋体"/>
          <w:color w:val="auto"/>
          <w:sz w:val="21"/>
          <w:szCs w:val="21"/>
          <w:highlight w:val="none"/>
        </w:rPr>
      </w:pPr>
      <w:r>
        <w:rPr>
          <w:rFonts w:hint="eastAsia" w:ascii="宋体" w:hAnsi="宋体" w:cs="宋体"/>
          <w:color w:val="auto"/>
          <w:kern w:val="0"/>
          <w:sz w:val="21"/>
          <w:szCs w:val="21"/>
          <w:highlight w:val="none"/>
          <w:lang w:val="zh-CN"/>
        </w:rPr>
        <w:t xml:space="preserve">                         日期</w:t>
      </w:r>
      <w:r>
        <w:rPr>
          <w:rFonts w:hint="eastAsia" w:ascii="宋体" w:hAnsi="宋体" w:cs="宋体"/>
          <w:color w:val="auto"/>
          <w:kern w:val="0"/>
          <w:sz w:val="21"/>
          <w:szCs w:val="21"/>
          <w:highlight w:val="none"/>
        </w:rPr>
        <w:t xml:space="preserve">：  年  </w:t>
      </w:r>
      <w:r>
        <w:rPr>
          <w:rFonts w:hint="eastAsia" w:ascii="宋体" w:hAnsi="宋体" w:cs="宋体"/>
          <w:color w:val="auto"/>
          <w:kern w:val="0"/>
          <w:sz w:val="21"/>
          <w:szCs w:val="21"/>
          <w:highlight w:val="none"/>
          <w:lang w:val="zh-CN"/>
        </w:rPr>
        <w:t>月</w:t>
      </w:r>
      <w:r>
        <w:rPr>
          <w:rFonts w:hint="eastAsia" w:ascii="宋体" w:hAnsi="宋体" w:cs="宋体"/>
          <w:color w:val="auto"/>
          <w:kern w:val="0"/>
          <w:sz w:val="21"/>
          <w:szCs w:val="21"/>
          <w:highlight w:val="none"/>
        </w:rPr>
        <w:t xml:space="preserve">  </w:t>
      </w:r>
      <w:r>
        <w:rPr>
          <w:rFonts w:hint="eastAsia" w:ascii="宋体" w:hAnsi="宋体" w:cs="宋体"/>
          <w:color w:val="auto"/>
          <w:kern w:val="0"/>
          <w:sz w:val="21"/>
          <w:szCs w:val="21"/>
          <w:highlight w:val="none"/>
          <w:lang w:val="zh-CN"/>
        </w:rPr>
        <w:t>日</w:t>
      </w:r>
    </w:p>
    <w:p w14:paraId="2F55989E">
      <w:pPr>
        <w:widowControl/>
        <w:jc w:val="left"/>
        <w:rPr>
          <w:rFonts w:hint="eastAsia" w:ascii="仿宋_GB2312" w:hAnsi="仿宋_GB2312" w:eastAsia="仿宋_GB2312" w:cs="仿宋_GB2312"/>
          <w:color w:val="auto"/>
          <w:sz w:val="32"/>
          <w:szCs w:val="32"/>
          <w:highlight w:val="none"/>
        </w:rPr>
        <w:sectPr>
          <w:pgSz w:w="11910" w:h="16840"/>
          <w:pgMar w:top="1340" w:right="1500" w:bottom="280" w:left="1680" w:header="720" w:footer="720" w:gutter="0"/>
          <w:cols w:space="720" w:num="1"/>
        </w:sectPr>
      </w:pPr>
    </w:p>
    <w:p w14:paraId="5C79263D">
      <w:pPr>
        <w:shd w:val="clear" w:color="auto" w:fill="auto"/>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七、服务需求偏离表</w:t>
      </w:r>
    </w:p>
    <w:p w14:paraId="16BB4D79">
      <w:pPr>
        <w:shd w:val="clear" w:color="auto" w:fill="auto"/>
        <w:spacing w:line="440" w:lineRule="exact"/>
        <w:jc w:val="center"/>
        <w:rPr>
          <w:rFonts w:ascii="宋体" w:hAnsi="宋体" w:cs="方正小标宋简体"/>
          <w:bCs/>
          <w:color w:val="auto"/>
          <w:szCs w:val="21"/>
          <w:highlight w:val="none"/>
        </w:rPr>
      </w:pPr>
      <w:r>
        <w:rPr>
          <w:rFonts w:hint="eastAsia" w:ascii="宋体" w:hAnsi="宋体" w:cs="方正小标宋简体"/>
          <w:bCs/>
          <w:color w:val="auto"/>
          <w:szCs w:val="21"/>
          <w:highlight w:val="none"/>
        </w:rPr>
        <w:t>竞标产品服务需求偏离表</w:t>
      </w:r>
    </w:p>
    <w:p w14:paraId="5AF17FD0">
      <w:pPr>
        <w:shd w:val="clear" w:color="auto" w:fill="auto"/>
        <w:spacing w:line="440" w:lineRule="exact"/>
        <w:jc w:val="center"/>
        <w:rPr>
          <w:rFonts w:ascii="宋体" w:hAnsi="宋体"/>
          <w:b/>
          <w:color w:val="auto"/>
          <w:szCs w:val="21"/>
          <w:highlight w:val="none"/>
        </w:rPr>
      </w:pPr>
      <w:r>
        <w:rPr>
          <w:rFonts w:hint="eastAsia" w:ascii="宋体" w:hAnsi="宋体" w:cs="方正小标宋简体"/>
          <w:bCs/>
          <w:color w:val="auto"/>
          <w:szCs w:val="21"/>
          <w:highlight w:val="none"/>
        </w:rPr>
        <w:t>(注：按采购需求具体条款修改)</w:t>
      </w:r>
    </w:p>
    <w:tbl>
      <w:tblPr>
        <w:tblStyle w:val="24"/>
        <w:tblW w:w="80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93"/>
        <w:gridCol w:w="1142"/>
        <w:gridCol w:w="736"/>
        <w:gridCol w:w="1576"/>
        <w:gridCol w:w="1140"/>
        <w:gridCol w:w="658"/>
        <w:gridCol w:w="1146"/>
        <w:gridCol w:w="1095"/>
      </w:tblGrid>
      <w:tr w14:paraId="2603E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08" w:hRule="atLeast"/>
          <w:jc w:val="center"/>
        </w:trPr>
        <w:tc>
          <w:tcPr>
            <w:tcW w:w="593" w:type="dxa"/>
            <w:vMerge w:val="restart"/>
            <w:tcBorders>
              <w:top w:val="single" w:color="auto" w:sz="4" w:space="0"/>
              <w:left w:val="single" w:color="auto" w:sz="4" w:space="0"/>
              <w:bottom w:val="single" w:color="auto" w:sz="4" w:space="0"/>
              <w:right w:val="single" w:color="auto" w:sz="4" w:space="0"/>
            </w:tcBorders>
            <w:noWrap w:val="0"/>
            <w:vAlign w:val="center"/>
          </w:tcPr>
          <w:p w14:paraId="3E9C029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项号</w:t>
            </w:r>
          </w:p>
        </w:tc>
        <w:tc>
          <w:tcPr>
            <w:tcW w:w="3454" w:type="dxa"/>
            <w:gridSpan w:val="3"/>
            <w:tcBorders>
              <w:top w:val="single" w:color="auto" w:sz="4" w:space="0"/>
              <w:left w:val="single" w:color="auto" w:sz="4" w:space="0"/>
              <w:bottom w:val="single" w:color="auto" w:sz="4" w:space="0"/>
              <w:right w:val="single" w:color="auto" w:sz="4" w:space="0"/>
            </w:tcBorders>
            <w:noWrap w:val="0"/>
            <w:vAlign w:val="center"/>
          </w:tcPr>
          <w:p w14:paraId="61C00A5C">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Cs w:val="21"/>
                <w:highlight w:val="none"/>
              </w:rPr>
            </w:pPr>
            <w:r>
              <w:rPr>
                <w:rFonts w:hint="eastAsia" w:ascii="宋体" w:hAnsi="宋体"/>
                <w:color w:val="auto"/>
                <w:szCs w:val="21"/>
                <w:highlight w:val="none"/>
              </w:rPr>
              <w:t>竞争性磋商采购文件需求</w:t>
            </w:r>
          </w:p>
        </w:tc>
        <w:tc>
          <w:tcPr>
            <w:tcW w:w="2944" w:type="dxa"/>
            <w:gridSpan w:val="3"/>
            <w:tcBorders>
              <w:top w:val="single" w:color="auto" w:sz="4" w:space="0"/>
              <w:left w:val="single" w:color="auto" w:sz="4" w:space="0"/>
              <w:bottom w:val="single" w:color="auto" w:sz="4" w:space="0"/>
              <w:right w:val="single" w:color="auto" w:sz="4" w:space="0"/>
            </w:tcBorders>
            <w:noWrap w:val="0"/>
            <w:vAlign w:val="center"/>
          </w:tcPr>
          <w:p w14:paraId="12567BB5">
            <w:pPr>
              <w:keepNext w:val="0"/>
              <w:keepLines w:val="0"/>
              <w:suppressLineNumbers w:val="0"/>
              <w:shd w:val="clear" w:color="auto" w:fill="auto"/>
              <w:spacing w:before="0" w:beforeAutospacing="0" w:after="0" w:afterAutospacing="0" w:line="440" w:lineRule="exact"/>
              <w:ind w:left="0" w:right="0"/>
              <w:jc w:val="center"/>
              <w:rPr>
                <w:rFonts w:hint="default" w:ascii="宋体" w:hAnsi="宋体"/>
                <w:color w:val="auto"/>
                <w:szCs w:val="21"/>
                <w:highlight w:val="none"/>
              </w:rPr>
            </w:pPr>
            <w:r>
              <w:rPr>
                <w:rFonts w:hint="eastAsia" w:ascii="宋体" w:hAnsi="宋体"/>
                <w:color w:val="auto"/>
                <w:szCs w:val="21"/>
                <w:highlight w:val="none"/>
              </w:rPr>
              <w:t>响应文件承诺</w:t>
            </w:r>
          </w:p>
        </w:tc>
        <w:tc>
          <w:tcPr>
            <w:tcW w:w="1095" w:type="dxa"/>
            <w:vMerge w:val="restart"/>
            <w:tcBorders>
              <w:top w:val="single" w:color="auto" w:sz="4" w:space="0"/>
              <w:left w:val="single" w:color="auto" w:sz="4" w:space="0"/>
              <w:bottom w:val="single" w:color="auto" w:sz="4" w:space="0"/>
              <w:right w:val="single" w:color="auto" w:sz="4" w:space="0"/>
            </w:tcBorders>
            <w:noWrap w:val="0"/>
            <w:vAlign w:val="center"/>
          </w:tcPr>
          <w:p w14:paraId="4E1C3835">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偏离说明</w:t>
            </w:r>
          </w:p>
        </w:tc>
      </w:tr>
      <w:tr w14:paraId="4CFED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593" w:type="dxa"/>
            <w:vMerge w:val="continue"/>
            <w:tcBorders>
              <w:top w:val="single" w:color="auto" w:sz="4" w:space="0"/>
              <w:left w:val="single" w:color="auto" w:sz="4" w:space="0"/>
              <w:bottom w:val="single" w:color="auto" w:sz="4" w:space="0"/>
              <w:right w:val="single" w:color="auto" w:sz="4" w:space="0"/>
            </w:tcBorders>
            <w:noWrap w:val="0"/>
            <w:vAlign w:val="center"/>
          </w:tcPr>
          <w:p w14:paraId="45A24FA8">
            <w:pPr>
              <w:keepNext w:val="0"/>
              <w:keepLines w:val="0"/>
              <w:widowControl/>
              <w:suppressLineNumbers w:val="0"/>
              <w:shd w:val="clear" w:color="auto" w:fill="auto"/>
              <w:spacing w:before="0" w:beforeAutospacing="0" w:after="0" w:afterAutospacing="0" w:line="440" w:lineRule="exact"/>
              <w:ind w:left="0" w:right="0"/>
              <w:jc w:val="left"/>
              <w:rPr>
                <w:rFonts w:hint="default" w:ascii="宋体" w:hAnsi="宋体"/>
                <w:color w:val="auto"/>
                <w:szCs w:val="21"/>
                <w:highlight w:val="none"/>
              </w:rPr>
            </w:pPr>
          </w:p>
        </w:tc>
        <w:tc>
          <w:tcPr>
            <w:tcW w:w="1142" w:type="dxa"/>
            <w:tcBorders>
              <w:top w:val="single" w:color="auto" w:sz="4" w:space="0"/>
              <w:left w:val="single" w:color="auto" w:sz="4" w:space="0"/>
              <w:bottom w:val="single" w:color="auto" w:sz="4" w:space="0"/>
              <w:right w:val="single" w:color="auto" w:sz="4" w:space="0"/>
            </w:tcBorders>
            <w:noWrap w:val="0"/>
            <w:vAlign w:val="center"/>
          </w:tcPr>
          <w:p w14:paraId="481C61D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服务名称</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36241341">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数量</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52BEC03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服务参数要求</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BB765A0">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服务名称</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0590F42D">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数量</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7545C555">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服务参数</w:t>
            </w:r>
          </w:p>
        </w:tc>
        <w:tc>
          <w:tcPr>
            <w:tcW w:w="1095" w:type="dxa"/>
            <w:vMerge w:val="continue"/>
            <w:tcBorders>
              <w:top w:val="single" w:color="auto" w:sz="4" w:space="0"/>
              <w:left w:val="single" w:color="auto" w:sz="4" w:space="0"/>
              <w:bottom w:val="single" w:color="auto" w:sz="4" w:space="0"/>
              <w:right w:val="single" w:color="auto" w:sz="4" w:space="0"/>
            </w:tcBorders>
            <w:noWrap w:val="0"/>
            <w:vAlign w:val="center"/>
          </w:tcPr>
          <w:p w14:paraId="2F884CAE">
            <w:pPr>
              <w:keepNext w:val="0"/>
              <w:keepLines w:val="0"/>
              <w:widowControl/>
              <w:suppressLineNumbers w:val="0"/>
              <w:shd w:val="clear" w:color="auto" w:fill="auto"/>
              <w:spacing w:before="0" w:beforeAutospacing="0" w:after="0" w:afterAutospacing="0" w:line="440" w:lineRule="exact"/>
              <w:ind w:left="0" w:right="0"/>
              <w:jc w:val="left"/>
              <w:rPr>
                <w:rFonts w:hint="default" w:ascii="宋体" w:hAnsi="宋体"/>
                <w:color w:val="auto"/>
                <w:szCs w:val="21"/>
                <w:highlight w:val="none"/>
              </w:rPr>
            </w:pPr>
          </w:p>
        </w:tc>
      </w:tr>
      <w:tr w14:paraId="02852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3"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69193A9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1</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24FA257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3CE34112">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531D7E8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1  ……</w:t>
            </w:r>
          </w:p>
          <w:p w14:paraId="2A3DCCBE">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032C5FC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10144C7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0F814F7C">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719D208A">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0A0379D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1  ……</w:t>
            </w:r>
          </w:p>
          <w:p w14:paraId="2C4DE3D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2CB4C46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50F3BB1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6DD5B2B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r>
      <w:tr w14:paraId="3DDE1C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1"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421BEA5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2</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732CC81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736" w:type="dxa"/>
            <w:tcBorders>
              <w:top w:val="single" w:color="auto" w:sz="4" w:space="0"/>
              <w:left w:val="single" w:color="auto" w:sz="4" w:space="0"/>
              <w:bottom w:val="single" w:color="auto" w:sz="4" w:space="0"/>
              <w:right w:val="single" w:color="auto" w:sz="4" w:space="0"/>
            </w:tcBorders>
            <w:noWrap w:val="0"/>
            <w:vAlign w:val="center"/>
          </w:tcPr>
          <w:p w14:paraId="32289F7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576" w:type="dxa"/>
            <w:tcBorders>
              <w:top w:val="single" w:color="auto" w:sz="4" w:space="0"/>
              <w:left w:val="single" w:color="auto" w:sz="4" w:space="0"/>
              <w:bottom w:val="single" w:color="auto" w:sz="4" w:space="0"/>
              <w:right w:val="single" w:color="auto" w:sz="4" w:space="0"/>
            </w:tcBorders>
            <w:noWrap w:val="0"/>
            <w:vAlign w:val="center"/>
          </w:tcPr>
          <w:p w14:paraId="702283CD">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1  ……</w:t>
            </w:r>
          </w:p>
          <w:p w14:paraId="6BEFB7A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4BD7EB2A">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3DA5687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140" w:type="dxa"/>
            <w:tcBorders>
              <w:top w:val="single" w:color="auto" w:sz="4" w:space="0"/>
              <w:left w:val="single" w:color="auto" w:sz="4" w:space="0"/>
              <w:bottom w:val="single" w:color="auto" w:sz="4" w:space="0"/>
              <w:right w:val="single" w:color="auto" w:sz="4" w:space="0"/>
            </w:tcBorders>
            <w:noWrap w:val="0"/>
            <w:vAlign w:val="center"/>
          </w:tcPr>
          <w:p w14:paraId="21B05AF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658" w:type="dxa"/>
            <w:tcBorders>
              <w:top w:val="single" w:color="auto" w:sz="4" w:space="0"/>
              <w:left w:val="single" w:color="auto" w:sz="4" w:space="0"/>
              <w:bottom w:val="single" w:color="auto" w:sz="4" w:space="0"/>
              <w:right w:val="single" w:color="auto" w:sz="4" w:space="0"/>
            </w:tcBorders>
            <w:noWrap w:val="0"/>
            <w:vAlign w:val="center"/>
          </w:tcPr>
          <w:p w14:paraId="282E77D3">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852800D">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1  ……</w:t>
            </w:r>
          </w:p>
          <w:p w14:paraId="5944427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2  ……</w:t>
            </w:r>
          </w:p>
          <w:p w14:paraId="5E8484DB">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3  ……</w:t>
            </w:r>
          </w:p>
          <w:p w14:paraId="3CEFF2D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095" w:type="dxa"/>
            <w:tcBorders>
              <w:top w:val="single" w:color="auto" w:sz="4" w:space="0"/>
              <w:left w:val="single" w:color="auto" w:sz="4" w:space="0"/>
              <w:bottom w:val="single" w:color="auto" w:sz="4" w:space="0"/>
              <w:right w:val="single" w:color="auto" w:sz="4" w:space="0"/>
            </w:tcBorders>
            <w:noWrap w:val="0"/>
            <w:vAlign w:val="center"/>
          </w:tcPr>
          <w:p w14:paraId="4F2E5F06">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r>
      <w:tr w14:paraId="290697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593" w:type="dxa"/>
            <w:tcBorders>
              <w:top w:val="single" w:color="auto" w:sz="4" w:space="0"/>
              <w:left w:val="single" w:color="auto" w:sz="4" w:space="0"/>
              <w:bottom w:val="single" w:color="auto" w:sz="4" w:space="0"/>
              <w:right w:val="single" w:color="auto" w:sz="4" w:space="0"/>
            </w:tcBorders>
            <w:noWrap w:val="0"/>
            <w:vAlign w:val="center"/>
          </w:tcPr>
          <w:p w14:paraId="1779C63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r>
              <w:rPr>
                <w:rFonts w:hint="eastAsia" w:ascii="宋体" w:hAnsi="宋体"/>
                <w:color w:val="auto"/>
                <w:szCs w:val="21"/>
                <w:highlight w:val="none"/>
              </w:rPr>
              <w:t>...</w:t>
            </w:r>
          </w:p>
        </w:tc>
        <w:tc>
          <w:tcPr>
            <w:tcW w:w="1142" w:type="dxa"/>
            <w:tcBorders>
              <w:top w:val="single" w:color="auto" w:sz="4" w:space="0"/>
              <w:left w:val="single" w:color="auto" w:sz="4" w:space="0"/>
              <w:bottom w:val="single" w:color="auto" w:sz="4" w:space="0"/>
              <w:right w:val="single" w:color="auto" w:sz="4" w:space="0"/>
            </w:tcBorders>
            <w:noWrap w:val="0"/>
            <w:vAlign w:val="center"/>
          </w:tcPr>
          <w:p w14:paraId="5182CD85">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736" w:type="dxa"/>
            <w:tcBorders>
              <w:top w:val="single" w:color="auto" w:sz="4" w:space="0"/>
              <w:left w:val="single" w:color="auto" w:sz="4" w:space="0"/>
              <w:bottom w:val="single" w:color="auto" w:sz="4" w:space="0"/>
              <w:right w:val="single" w:color="auto" w:sz="4" w:space="0"/>
            </w:tcBorders>
            <w:noWrap w:val="0"/>
            <w:vAlign w:val="center"/>
          </w:tcPr>
          <w:p w14:paraId="651C39D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1576" w:type="dxa"/>
            <w:tcBorders>
              <w:top w:val="single" w:color="auto" w:sz="4" w:space="0"/>
              <w:left w:val="single" w:color="auto" w:sz="4" w:space="0"/>
              <w:bottom w:val="single" w:color="auto" w:sz="4" w:space="0"/>
              <w:right w:val="single" w:color="auto" w:sz="4" w:space="0"/>
            </w:tcBorders>
            <w:noWrap w:val="0"/>
            <w:vAlign w:val="center"/>
          </w:tcPr>
          <w:p w14:paraId="0A81A05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1140" w:type="dxa"/>
            <w:tcBorders>
              <w:top w:val="single" w:color="auto" w:sz="4" w:space="0"/>
              <w:left w:val="single" w:color="auto" w:sz="4" w:space="0"/>
              <w:bottom w:val="single" w:color="auto" w:sz="4" w:space="0"/>
              <w:right w:val="single" w:color="auto" w:sz="4" w:space="0"/>
            </w:tcBorders>
            <w:noWrap w:val="0"/>
            <w:vAlign w:val="center"/>
          </w:tcPr>
          <w:p w14:paraId="452499E3">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658" w:type="dxa"/>
            <w:tcBorders>
              <w:top w:val="single" w:color="auto" w:sz="4" w:space="0"/>
              <w:left w:val="single" w:color="auto" w:sz="4" w:space="0"/>
              <w:bottom w:val="single" w:color="auto" w:sz="4" w:space="0"/>
              <w:right w:val="single" w:color="auto" w:sz="4" w:space="0"/>
            </w:tcBorders>
            <w:noWrap w:val="0"/>
            <w:vAlign w:val="center"/>
          </w:tcPr>
          <w:p w14:paraId="63E31467">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1146" w:type="dxa"/>
            <w:tcBorders>
              <w:top w:val="single" w:color="auto" w:sz="4" w:space="0"/>
              <w:left w:val="single" w:color="auto" w:sz="4" w:space="0"/>
              <w:bottom w:val="single" w:color="auto" w:sz="4" w:space="0"/>
              <w:right w:val="single" w:color="auto" w:sz="4" w:space="0"/>
            </w:tcBorders>
            <w:noWrap w:val="0"/>
            <w:vAlign w:val="center"/>
          </w:tcPr>
          <w:p w14:paraId="6BAF3978">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c>
          <w:tcPr>
            <w:tcW w:w="1095" w:type="dxa"/>
            <w:tcBorders>
              <w:top w:val="single" w:color="auto" w:sz="4" w:space="0"/>
              <w:left w:val="single" w:color="auto" w:sz="4" w:space="0"/>
              <w:bottom w:val="single" w:color="auto" w:sz="4" w:space="0"/>
              <w:right w:val="single" w:color="auto" w:sz="4" w:space="0"/>
            </w:tcBorders>
            <w:noWrap w:val="0"/>
            <w:vAlign w:val="center"/>
          </w:tcPr>
          <w:p w14:paraId="1A4237A4">
            <w:pPr>
              <w:keepNext w:val="0"/>
              <w:keepLines w:val="0"/>
              <w:suppressLineNumbers w:val="0"/>
              <w:shd w:val="clear" w:color="auto" w:fill="auto"/>
              <w:spacing w:before="0" w:beforeAutospacing="0" w:after="0" w:afterAutospacing="0" w:line="440" w:lineRule="exact"/>
              <w:ind w:left="0" w:right="0"/>
              <w:rPr>
                <w:rFonts w:hint="default" w:ascii="宋体" w:hAnsi="宋体"/>
                <w:color w:val="auto"/>
                <w:szCs w:val="21"/>
                <w:highlight w:val="none"/>
              </w:rPr>
            </w:pPr>
          </w:p>
        </w:tc>
      </w:tr>
    </w:tbl>
    <w:p w14:paraId="7D2F0A6E">
      <w:pPr>
        <w:shd w:val="clear" w:color="auto" w:fill="auto"/>
        <w:spacing w:line="440" w:lineRule="exact"/>
        <w:contextualSpacing/>
        <w:rPr>
          <w:rFonts w:ascii="宋体" w:hAnsi="宋体"/>
          <w:color w:val="auto"/>
          <w:kern w:val="0"/>
          <w:szCs w:val="21"/>
          <w:highlight w:val="none"/>
        </w:rPr>
      </w:pPr>
      <w:r>
        <w:rPr>
          <w:rFonts w:hint="eastAsia" w:ascii="宋体" w:hAnsi="宋体"/>
          <w:color w:val="auto"/>
          <w:kern w:val="0"/>
          <w:szCs w:val="21"/>
          <w:highlight w:val="none"/>
        </w:rPr>
        <w:t>注：</w:t>
      </w:r>
    </w:p>
    <w:p w14:paraId="14687969">
      <w:pPr>
        <w:shd w:val="clear" w:color="auto" w:fill="auto"/>
        <w:spacing w:line="440" w:lineRule="exact"/>
        <w:contextualSpacing/>
        <w:rPr>
          <w:rFonts w:ascii="宋体" w:hAnsi="宋体" w:cs="仿宋_GB2312"/>
          <w:color w:val="auto"/>
          <w:kern w:val="0"/>
          <w:szCs w:val="21"/>
          <w:highlight w:val="none"/>
        </w:rPr>
      </w:pPr>
      <w:r>
        <w:rPr>
          <w:rFonts w:hint="eastAsia" w:ascii="宋体" w:hAnsi="宋体" w:cs="仿宋_GB2312"/>
          <w:color w:val="auto"/>
          <w:kern w:val="0"/>
          <w:szCs w:val="21"/>
          <w:highlight w:val="none"/>
        </w:rPr>
        <w:t>1.说明：应对照磋商文件“第二章”中“服务需求一览表”的采购清单及技术参数条款逐条作出明确响应，并作出偏离说明。</w:t>
      </w:r>
    </w:p>
    <w:p w14:paraId="11C01A2C">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2.供应商应根据自身的承诺，对照磋商文件要求，在“偏离说明”中注明“正偏离”、“负偏离”或者“无偏离”。既不属于“正偏离”也不属于“负偏离”即为“无偏离”。 当响应文件的商务内容低于竞争性磋商采购文件要求时，竞标人应当如实写明“负偏离”，否则视为虚假应标</w:t>
      </w:r>
    </w:p>
    <w:p w14:paraId="1FB9CC8F">
      <w:pPr>
        <w:shd w:val="clear" w:color="auto" w:fill="auto"/>
        <w:spacing w:line="440" w:lineRule="exact"/>
        <w:rPr>
          <w:rFonts w:ascii="宋体" w:hAnsi="宋体" w:cs="仿宋_GB2312"/>
          <w:color w:val="auto"/>
          <w:kern w:val="0"/>
          <w:szCs w:val="21"/>
          <w:highlight w:val="none"/>
        </w:rPr>
      </w:pPr>
      <w:r>
        <w:rPr>
          <w:rFonts w:hint="eastAsia" w:ascii="宋体" w:hAnsi="宋体" w:cs="仿宋_GB2312"/>
          <w:color w:val="auto"/>
          <w:kern w:val="0"/>
          <w:szCs w:val="21"/>
          <w:highlight w:val="none"/>
        </w:rPr>
        <w:t>3</w:t>
      </w:r>
      <w:r>
        <w:rPr>
          <w:rFonts w:ascii="宋体" w:hAnsi="宋体" w:cs="仿宋_GB2312"/>
          <w:color w:val="auto"/>
          <w:kern w:val="0"/>
          <w:szCs w:val="21"/>
          <w:highlight w:val="none"/>
        </w:rPr>
        <w:t>.</w:t>
      </w:r>
      <w:r>
        <w:rPr>
          <w:rFonts w:hint="eastAsia" w:ascii="宋体" w:hAnsi="宋体" w:cs="仿宋_GB2312"/>
          <w:color w:val="auto"/>
          <w:kern w:val="0"/>
          <w:szCs w:val="21"/>
          <w:highlight w:val="none"/>
        </w:rPr>
        <w:t>表格内容均需按要求填写并盖章，不得留空，否则按竞标无效处理。</w:t>
      </w:r>
    </w:p>
    <w:p w14:paraId="608B6CA6">
      <w:pPr>
        <w:shd w:val="clear" w:color="auto" w:fill="auto"/>
        <w:spacing w:line="440" w:lineRule="exact"/>
        <w:contextualSpacing/>
        <w:rPr>
          <w:rFonts w:ascii="宋体" w:hAnsi="宋体" w:cs="仿宋_GB2312"/>
          <w:color w:val="auto"/>
          <w:highlight w:val="none"/>
        </w:rPr>
      </w:pPr>
      <w:r>
        <w:rPr>
          <w:rFonts w:hint="eastAsia" w:ascii="宋体" w:hAnsi="宋体" w:cs="仿宋_GB2312"/>
          <w:color w:val="auto"/>
          <w:highlight w:val="none"/>
        </w:rPr>
        <w:t>4</w:t>
      </w:r>
      <w:r>
        <w:rPr>
          <w:rFonts w:ascii="宋体" w:hAnsi="宋体" w:cs="仿宋_GB2312"/>
          <w:color w:val="auto"/>
          <w:highlight w:val="none"/>
        </w:rPr>
        <w:t>.</w:t>
      </w:r>
      <w:r>
        <w:rPr>
          <w:rFonts w:hint="eastAsia" w:ascii="宋体" w:hAnsi="宋体" w:cs="仿宋_GB2312"/>
          <w:color w:val="auto"/>
          <w:highlight w:val="none"/>
        </w:rPr>
        <w:t>如果采购需求为小于、小于等于、大于或大于等于某个数值标准时，响应文件承诺不得直接复制采购需求，响应文件承诺内容应当写明竞标服务具体参数或商务响应承诺的具体数值，否则按竞标无效处理。如该采购需求属于不能明确具体数值的，采购人应在此采购需求的数值后标注◆号，对标注◆号的采购需求不适用上述“竞标无效”条款。</w:t>
      </w:r>
    </w:p>
    <w:p w14:paraId="1F8C77F4">
      <w:pPr>
        <w:shd w:val="clear" w:color="auto" w:fill="auto"/>
        <w:spacing w:line="440" w:lineRule="exact"/>
        <w:contextualSpacing/>
        <w:rPr>
          <w:rFonts w:ascii="宋体" w:hAnsi="宋体" w:cs="仿宋_GB2312"/>
          <w:color w:val="auto"/>
          <w:szCs w:val="21"/>
          <w:highlight w:val="none"/>
        </w:rPr>
      </w:pPr>
      <w:r>
        <w:rPr>
          <w:rFonts w:hint="eastAsia" w:ascii="宋体" w:hAnsi="宋体" w:cs="仿宋_GB2312"/>
          <w:color w:val="auto"/>
          <w:szCs w:val="21"/>
          <w:highlight w:val="none"/>
        </w:rPr>
        <w:t>5</w:t>
      </w:r>
      <w:r>
        <w:rPr>
          <w:rFonts w:ascii="宋体" w:hAnsi="宋体" w:cs="仿宋_GB2312"/>
          <w:color w:val="auto"/>
          <w:szCs w:val="21"/>
          <w:highlight w:val="none"/>
        </w:rPr>
        <w:t>.</w:t>
      </w:r>
      <w:r>
        <w:rPr>
          <w:rFonts w:hint="eastAsia" w:ascii="宋体" w:hAnsi="宋体" w:cs="仿宋_GB2312"/>
          <w:color w:val="auto"/>
          <w:szCs w:val="21"/>
          <w:highlight w:val="none"/>
        </w:rPr>
        <w:t xml:space="preserve"> 如技术偏离表中的竞标响应与佐证材料不一致的，以佐证材料为准。</w:t>
      </w:r>
    </w:p>
    <w:p w14:paraId="1937D953">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38C3F8EF">
      <w:pPr>
        <w:shd w:val="clear" w:color="auto" w:fill="auto"/>
        <w:autoSpaceDE w:val="0"/>
        <w:autoSpaceDN w:val="0"/>
        <w:spacing w:line="440" w:lineRule="exact"/>
        <w:ind w:firstLine="5670" w:firstLineChars="2700"/>
        <w:rPr>
          <w:rFonts w:ascii="宋体" w:hAnsi="宋体" w:cs="仿宋_GB2312"/>
          <w:b/>
          <w:bCs/>
          <w:color w:val="auto"/>
          <w:szCs w:val="21"/>
          <w:highlight w:val="none"/>
        </w:rPr>
      </w:pPr>
      <w:r>
        <w:rPr>
          <w:rFonts w:hint="eastAsia" w:ascii="宋体" w:hAnsi="宋体" w:cs="仿宋_GB2312"/>
          <w:color w:val="auto"/>
          <w:kern w:val="0"/>
          <w:szCs w:val="21"/>
          <w:highlight w:val="none"/>
          <w:lang w:val="zh-CN"/>
        </w:rPr>
        <w:t>日期：  年  月   日</w:t>
      </w:r>
    </w:p>
    <w:p w14:paraId="531873E7">
      <w:pPr>
        <w:adjustRightInd w:val="0"/>
        <w:snapToGrid w:val="0"/>
        <w:spacing w:line="520" w:lineRule="exact"/>
        <w:jc w:val="both"/>
        <w:rPr>
          <w:rFonts w:hint="eastAsia" w:ascii="方正小标宋简体" w:hAnsi="方正小标宋简体" w:eastAsia="方正小标宋简体" w:cs="方正小标宋简体"/>
          <w:bCs/>
          <w:color w:val="auto"/>
          <w:sz w:val="44"/>
          <w:szCs w:val="44"/>
          <w:highlight w:val="none"/>
        </w:rPr>
      </w:pPr>
    </w:p>
    <w:p w14:paraId="6F033721">
      <w:pPr>
        <w:snapToGrid w:val="0"/>
        <w:spacing w:line="360" w:lineRule="auto"/>
        <w:ind w:firstLine="602" w:firstLineChars="200"/>
        <w:rPr>
          <w:rFonts w:hint="eastAsia" w:ascii="仿宋" w:hAnsi="仿宋" w:eastAsia="仿宋" w:cs="仿宋_GB2312"/>
          <w:b/>
          <w:color w:val="auto"/>
          <w:sz w:val="30"/>
          <w:szCs w:val="30"/>
          <w:highlight w:val="none"/>
        </w:rPr>
      </w:pPr>
    </w:p>
    <w:p w14:paraId="6DAB4F05">
      <w:pPr>
        <w:rPr>
          <w:rFonts w:hint="eastAsia" w:ascii="宋体" w:hAnsi="宋体" w:cs="仿宋_GB2312"/>
          <w:b/>
          <w:color w:val="auto"/>
          <w:szCs w:val="21"/>
          <w:highlight w:val="none"/>
        </w:rPr>
      </w:pPr>
      <w:r>
        <w:rPr>
          <w:rFonts w:hint="eastAsia" w:ascii="宋体" w:hAnsi="宋体" w:cs="仿宋_GB2312"/>
          <w:b/>
          <w:color w:val="auto"/>
          <w:szCs w:val="21"/>
          <w:highlight w:val="none"/>
        </w:rPr>
        <w:br w:type="page"/>
      </w:r>
    </w:p>
    <w:p w14:paraId="6CCA9E6F">
      <w:pPr>
        <w:shd w:val="clear" w:color="auto" w:fill="auto"/>
        <w:snapToGrid w:val="0"/>
        <w:spacing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八、组织服务方案</w:t>
      </w:r>
    </w:p>
    <w:p w14:paraId="6A25B0B9">
      <w:pPr>
        <w:shd w:val="clear" w:color="auto" w:fill="auto"/>
        <w:snapToGrid w:val="0"/>
        <w:spacing w:line="440" w:lineRule="exact"/>
        <w:rPr>
          <w:rFonts w:hint="eastAsia" w:ascii="宋体" w:hAnsi="宋体" w:eastAsia="宋体" w:cs="宋体"/>
          <w:b/>
          <w:color w:val="auto"/>
          <w:sz w:val="21"/>
          <w:szCs w:val="21"/>
          <w:highlight w:val="none"/>
        </w:rPr>
      </w:pPr>
      <w:r>
        <w:rPr>
          <w:rFonts w:hint="eastAsia" w:ascii="宋体" w:hAnsi="宋体" w:eastAsia="宋体" w:cs="宋体"/>
          <w:color w:val="auto"/>
          <w:sz w:val="21"/>
          <w:szCs w:val="21"/>
          <w:highlight w:val="none"/>
        </w:rPr>
        <w:t>（由供应商根据</w:t>
      </w:r>
      <w:r>
        <w:rPr>
          <w:rFonts w:hint="eastAsia" w:ascii="宋体" w:hAnsi="宋体" w:cs="仿宋_GB2312"/>
          <w:b/>
          <w:color w:val="auto"/>
          <w:szCs w:val="21"/>
          <w:highlight w:val="none"/>
        </w:rPr>
        <w:t>采购</w:t>
      </w:r>
      <w:r>
        <w:rPr>
          <w:rFonts w:hint="eastAsia" w:ascii="宋体" w:hAnsi="宋体" w:eastAsia="宋体" w:cs="宋体"/>
          <w:color w:val="auto"/>
          <w:sz w:val="21"/>
          <w:szCs w:val="21"/>
          <w:highlight w:val="none"/>
        </w:rPr>
        <w:t>需求及采购文件要求编制</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格式自拟）</w:t>
      </w:r>
    </w:p>
    <w:p w14:paraId="2DE5B77E">
      <w:pPr>
        <w:spacing w:line="500" w:lineRule="exact"/>
        <w:rPr>
          <w:rFonts w:hint="eastAsia" w:ascii="宋体" w:hAnsi="宋体" w:eastAsia="宋体" w:cs="宋体"/>
          <w:color w:val="auto"/>
          <w:sz w:val="21"/>
          <w:szCs w:val="21"/>
          <w:highlight w:val="none"/>
        </w:rPr>
      </w:pPr>
    </w:p>
    <w:p w14:paraId="09D376D5">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3716084F">
      <w:pPr>
        <w:autoSpaceDE w:val="0"/>
        <w:autoSpaceDN w:val="0"/>
        <w:spacing w:line="360" w:lineRule="auto"/>
        <w:ind w:firstLine="5670" w:firstLineChars="2700"/>
        <w:rPr>
          <w:rFonts w:hint="eastAsia" w:ascii="宋体" w:hAnsi="宋体" w:eastAsia="宋体" w:cs="宋体"/>
          <w:b/>
          <w:bCs/>
          <w:color w:val="auto"/>
          <w:sz w:val="21"/>
          <w:szCs w:val="21"/>
          <w:highlight w:val="none"/>
        </w:rPr>
      </w:pPr>
      <w:r>
        <w:rPr>
          <w:rFonts w:hint="eastAsia" w:ascii="宋体" w:hAnsi="宋体" w:eastAsia="宋体" w:cs="宋体"/>
          <w:color w:val="auto"/>
          <w:kern w:val="0"/>
          <w:sz w:val="21"/>
          <w:szCs w:val="21"/>
          <w:highlight w:val="none"/>
          <w:lang w:val="zh-CN"/>
        </w:rPr>
        <w:t>日期：  年  月   日</w:t>
      </w:r>
    </w:p>
    <w:p w14:paraId="25F79679">
      <w:pPr>
        <w:spacing w:line="500" w:lineRule="exact"/>
        <w:rPr>
          <w:rFonts w:hint="eastAsia" w:ascii="仿宋_GB2312" w:hAnsi="仿宋_GB2312" w:eastAsia="仿宋_GB2312" w:cs="仿宋_GB2312"/>
          <w:color w:val="auto"/>
          <w:sz w:val="32"/>
          <w:szCs w:val="32"/>
          <w:highlight w:val="none"/>
        </w:rPr>
      </w:pPr>
    </w:p>
    <w:p w14:paraId="337ADA2B">
      <w:pP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63AF6279">
      <w:pPr>
        <w:shd w:val="clear" w:color="auto" w:fill="auto"/>
        <w:snapToGrid w:val="0"/>
        <w:spacing w:before="120" w:beforeLines="50" w:after="50" w:line="440" w:lineRule="exact"/>
        <w:ind w:left="143" w:leftChars="68" w:firstLine="417" w:firstLineChars="198"/>
        <w:rPr>
          <w:rFonts w:ascii="宋体" w:hAnsi="宋体" w:cs="仿宋_GB2312"/>
          <w:b/>
          <w:color w:val="auto"/>
          <w:szCs w:val="21"/>
          <w:highlight w:val="none"/>
        </w:rPr>
      </w:pPr>
      <w:r>
        <w:rPr>
          <w:rFonts w:hint="eastAsia" w:ascii="宋体" w:hAnsi="宋体" w:cs="仿宋_GB2312"/>
          <w:b/>
          <w:color w:val="auto"/>
          <w:szCs w:val="21"/>
          <w:highlight w:val="none"/>
        </w:rPr>
        <w:t>九、售后服务方案</w:t>
      </w:r>
    </w:p>
    <w:p w14:paraId="0575B169">
      <w:pPr>
        <w:shd w:val="clear" w:color="auto" w:fill="auto"/>
        <w:snapToGrid w:val="0"/>
        <w:spacing w:before="120" w:beforeLines="50" w:after="50" w:line="440" w:lineRule="exact"/>
        <w:ind w:left="143" w:leftChars="68" w:firstLine="420" w:firstLineChars="200"/>
        <w:rPr>
          <w:rFonts w:ascii="宋体" w:hAnsi="宋体"/>
          <w:color w:val="auto"/>
          <w:szCs w:val="21"/>
          <w:highlight w:val="none"/>
        </w:rPr>
      </w:pPr>
      <w:r>
        <w:rPr>
          <w:rFonts w:hint="eastAsia" w:ascii="宋体" w:hAnsi="宋体"/>
          <w:color w:val="auto"/>
          <w:szCs w:val="21"/>
          <w:highlight w:val="none"/>
        </w:rPr>
        <w:t>由竞标人按本项目竞争性磋商采购文件第二章“服务需求一览表”中商务条款部分的售后服务要求自行填写，</w:t>
      </w:r>
      <w:r>
        <w:rPr>
          <w:rFonts w:hint="eastAsia" w:ascii="宋体" w:hAnsi="宋体"/>
          <w:color w:val="auto"/>
          <w:szCs w:val="21"/>
          <w:highlight w:val="none"/>
          <w:lang w:eastAsia="zh-CN"/>
        </w:rPr>
        <w:t>其中</w:t>
      </w:r>
      <w:r>
        <w:rPr>
          <w:rFonts w:hint="eastAsia" w:ascii="宋体" w:hAnsi="宋体"/>
          <w:color w:val="auto"/>
          <w:szCs w:val="21"/>
          <w:highlight w:val="none"/>
        </w:rPr>
        <w:t>包含售后服务承诺书。</w:t>
      </w:r>
    </w:p>
    <w:p w14:paraId="50CCBD84">
      <w:pPr>
        <w:shd w:val="clear" w:color="auto" w:fill="auto"/>
        <w:snapToGrid w:val="0"/>
        <w:spacing w:before="120" w:beforeLines="50" w:after="50" w:line="440" w:lineRule="exact"/>
        <w:ind w:left="142"/>
        <w:jc w:val="center"/>
        <w:rPr>
          <w:rFonts w:ascii="宋体" w:hAnsi="宋体"/>
          <w:b/>
          <w:color w:val="auto"/>
          <w:szCs w:val="21"/>
          <w:highlight w:val="none"/>
        </w:rPr>
      </w:pPr>
      <w:r>
        <w:rPr>
          <w:rFonts w:hint="eastAsia" w:ascii="宋体" w:hAnsi="宋体"/>
          <w:b/>
          <w:color w:val="auto"/>
          <w:szCs w:val="21"/>
          <w:highlight w:val="none"/>
        </w:rPr>
        <w:t>1、售后服务承诺</w:t>
      </w:r>
    </w:p>
    <w:p w14:paraId="2FC73D66">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附表A:售后服务机构情况表</w:t>
      </w:r>
      <w:r>
        <w:rPr>
          <w:rFonts w:hint="eastAsia" w:ascii="宋体" w:hAnsi="宋体" w:cs="仿宋_GB2312"/>
          <w:color w:val="auto"/>
          <w:szCs w:val="21"/>
          <w:highlight w:val="none"/>
        </w:rPr>
        <w:t>（按此格式自制）</w:t>
      </w:r>
    </w:p>
    <w:tbl>
      <w:tblPr>
        <w:tblStyle w:val="24"/>
        <w:tblW w:w="8748" w:type="dxa"/>
        <w:tblInd w:w="11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340"/>
        <w:gridCol w:w="1095"/>
        <w:gridCol w:w="1245"/>
        <w:gridCol w:w="1980"/>
        <w:gridCol w:w="1260"/>
      </w:tblGrid>
      <w:tr w14:paraId="04C050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1A88E96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序号</w:t>
            </w:r>
          </w:p>
        </w:tc>
        <w:tc>
          <w:tcPr>
            <w:tcW w:w="2340" w:type="dxa"/>
            <w:noWrap w:val="0"/>
            <w:vAlign w:val="top"/>
          </w:tcPr>
          <w:p w14:paraId="69CC24B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机构名称</w:t>
            </w:r>
          </w:p>
        </w:tc>
        <w:tc>
          <w:tcPr>
            <w:tcW w:w="1095" w:type="dxa"/>
            <w:noWrap w:val="0"/>
            <w:vAlign w:val="top"/>
          </w:tcPr>
          <w:p w14:paraId="571F42E4">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机构性质</w:t>
            </w:r>
          </w:p>
        </w:tc>
        <w:tc>
          <w:tcPr>
            <w:tcW w:w="1245" w:type="dxa"/>
            <w:noWrap w:val="0"/>
            <w:vAlign w:val="top"/>
          </w:tcPr>
          <w:p w14:paraId="2C52DBF1">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注册地址</w:t>
            </w:r>
          </w:p>
        </w:tc>
        <w:tc>
          <w:tcPr>
            <w:tcW w:w="1980" w:type="dxa"/>
            <w:noWrap w:val="0"/>
            <w:vAlign w:val="top"/>
          </w:tcPr>
          <w:p w14:paraId="67642508">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服务技术人员数量</w:t>
            </w:r>
          </w:p>
        </w:tc>
        <w:tc>
          <w:tcPr>
            <w:tcW w:w="1260" w:type="dxa"/>
            <w:noWrap w:val="0"/>
            <w:vAlign w:val="top"/>
          </w:tcPr>
          <w:p w14:paraId="76BBBB62">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b/>
                <w:color w:val="auto"/>
                <w:szCs w:val="21"/>
                <w:highlight w:val="none"/>
              </w:rPr>
            </w:pPr>
            <w:r>
              <w:rPr>
                <w:rFonts w:hint="eastAsia" w:ascii="宋体" w:hAnsi="宋体" w:cs="仿宋_GB2312"/>
                <w:b/>
                <w:color w:val="auto"/>
                <w:szCs w:val="21"/>
                <w:highlight w:val="none"/>
              </w:rPr>
              <w:t>联系电话</w:t>
            </w:r>
          </w:p>
        </w:tc>
      </w:tr>
      <w:tr w14:paraId="2F314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5495724F">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2340" w:type="dxa"/>
            <w:noWrap w:val="0"/>
            <w:vAlign w:val="top"/>
          </w:tcPr>
          <w:p w14:paraId="22BD25CC">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095" w:type="dxa"/>
            <w:noWrap w:val="0"/>
            <w:vAlign w:val="top"/>
          </w:tcPr>
          <w:p w14:paraId="3D526116">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45" w:type="dxa"/>
            <w:noWrap w:val="0"/>
            <w:vAlign w:val="top"/>
          </w:tcPr>
          <w:p w14:paraId="4630AE6F">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980" w:type="dxa"/>
            <w:noWrap w:val="0"/>
            <w:vAlign w:val="top"/>
          </w:tcPr>
          <w:p w14:paraId="716A6C02">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60" w:type="dxa"/>
            <w:noWrap w:val="0"/>
            <w:vAlign w:val="top"/>
          </w:tcPr>
          <w:p w14:paraId="58CE660C">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r>
      <w:tr w14:paraId="2B39C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59D8E05">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2340" w:type="dxa"/>
            <w:noWrap w:val="0"/>
            <w:vAlign w:val="top"/>
          </w:tcPr>
          <w:p w14:paraId="2137E5C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095" w:type="dxa"/>
            <w:noWrap w:val="0"/>
            <w:vAlign w:val="top"/>
          </w:tcPr>
          <w:p w14:paraId="42EF2FF5">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45" w:type="dxa"/>
            <w:noWrap w:val="0"/>
            <w:vAlign w:val="top"/>
          </w:tcPr>
          <w:p w14:paraId="2E4B0D85">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980" w:type="dxa"/>
            <w:noWrap w:val="0"/>
            <w:vAlign w:val="top"/>
          </w:tcPr>
          <w:p w14:paraId="48744469">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60" w:type="dxa"/>
            <w:noWrap w:val="0"/>
            <w:vAlign w:val="top"/>
          </w:tcPr>
          <w:p w14:paraId="69D2ADAA">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r>
      <w:tr w14:paraId="31083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noWrap w:val="0"/>
            <w:vAlign w:val="top"/>
          </w:tcPr>
          <w:p w14:paraId="787049C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2340" w:type="dxa"/>
            <w:noWrap w:val="0"/>
            <w:vAlign w:val="top"/>
          </w:tcPr>
          <w:p w14:paraId="47DECE7D">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095" w:type="dxa"/>
            <w:noWrap w:val="0"/>
            <w:vAlign w:val="top"/>
          </w:tcPr>
          <w:p w14:paraId="3BE7F20C">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45" w:type="dxa"/>
            <w:noWrap w:val="0"/>
            <w:vAlign w:val="top"/>
          </w:tcPr>
          <w:p w14:paraId="0AD8835D">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980" w:type="dxa"/>
            <w:noWrap w:val="0"/>
            <w:vAlign w:val="top"/>
          </w:tcPr>
          <w:p w14:paraId="74E05449">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1260" w:type="dxa"/>
            <w:noWrap w:val="0"/>
            <w:vAlign w:val="top"/>
          </w:tcPr>
          <w:p w14:paraId="717F246B">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r>
    </w:tbl>
    <w:p w14:paraId="04DC8450">
      <w:pPr>
        <w:shd w:val="clear" w:color="auto" w:fill="auto"/>
        <w:autoSpaceDE w:val="0"/>
        <w:autoSpaceDN w:val="0"/>
        <w:spacing w:line="440" w:lineRule="exact"/>
        <w:rPr>
          <w:rFonts w:ascii="宋体" w:hAnsi="宋体" w:cs="仿宋_GB2312"/>
          <w:b/>
          <w:color w:val="auto"/>
          <w:szCs w:val="21"/>
          <w:highlight w:val="none"/>
        </w:rPr>
      </w:pPr>
      <w:r>
        <w:rPr>
          <w:rFonts w:hint="eastAsia" w:ascii="宋体" w:hAnsi="宋体" w:cs="仿宋_GB2312"/>
          <w:b/>
          <w:color w:val="auto"/>
          <w:szCs w:val="21"/>
          <w:highlight w:val="none"/>
        </w:rPr>
        <w:t>注：关于项目涉及的所有售后服务机构均在本表注明，包括供应商本单位和符合条件的第三方服务机构；</w:t>
      </w:r>
    </w:p>
    <w:p w14:paraId="5D027966">
      <w:pPr>
        <w:shd w:val="clear" w:color="auto" w:fill="auto"/>
        <w:autoSpaceDE w:val="0"/>
        <w:autoSpaceDN w:val="0"/>
        <w:spacing w:line="440" w:lineRule="exact"/>
        <w:rPr>
          <w:rFonts w:ascii="宋体" w:hAnsi="宋体" w:cs="仿宋_GB2312"/>
          <w:color w:val="auto"/>
          <w:kern w:val="0"/>
          <w:szCs w:val="21"/>
          <w:highlight w:val="none"/>
        </w:rPr>
      </w:pPr>
      <w:r>
        <w:rPr>
          <w:rFonts w:hint="eastAsia" w:ascii="宋体" w:hAnsi="宋体" w:cs="仿宋_GB2312"/>
          <w:b/>
          <w:color w:val="auto"/>
          <w:kern w:val="0"/>
          <w:szCs w:val="21"/>
          <w:highlight w:val="none"/>
        </w:rPr>
        <w:t>附表B：售后服务人员情况表</w:t>
      </w:r>
      <w:r>
        <w:rPr>
          <w:rFonts w:hint="eastAsia" w:ascii="宋体" w:hAnsi="宋体" w:cs="仿宋_GB2312"/>
          <w:color w:val="auto"/>
          <w:szCs w:val="21"/>
          <w:highlight w:val="none"/>
        </w:rPr>
        <w:t>（按此格式自制）</w:t>
      </w:r>
    </w:p>
    <w:tbl>
      <w:tblPr>
        <w:tblStyle w:val="24"/>
        <w:tblW w:w="10002" w:type="dxa"/>
        <w:jc w:val="center"/>
        <w:tblLayout w:type="fixed"/>
        <w:tblCellMar>
          <w:top w:w="0" w:type="dxa"/>
          <w:left w:w="108" w:type="dxa"/>
          <w:bottom w:w="0" w:type="dxa"/>
          <w:right w:w="108" w:type="dxa"/>
        </w:tblCellMar>
      </w:tblPr>
      <w:tblGrid>
        <w:gridCol w:w="646"/>
        <w:gridCol w:w="746"/>
        <w:gridCol w:w="787"/>
        <w:gridCol w:w="412"/>
        <w:gridCol w:w="900"/>
        <w:gridCol w:w="1080"/>
        <w:gridCol w:w="1080"/>
        <w:gridCol w:w="1080"/>
        <w:gridCol w:w="1260"/>
        <w:gridCol w:w="900"/>
        <w:gridCol w:w="1111"/>
      </w:tblGrid>
      <w:tr w14:paraId="2EC5F3B3">
        <w:tblPrEx>
          <w:tblCellMar>
            <w:top w:w="0" w:type="dxa"/>
            <w:left w:w="108" w:type="dxa"/>
            <w:bottom w:w="0" w:type="dxa"/>
            <w:right w:w="108" w:type="dxa"/>
          </w:tblCellMar>
        </w:tblPrEx>
        <w:trPr>
          <w:jc w:val="center"/>
        </w:trPr>
        <w:tc>
          <w:tcPr>
            <w:tcW w:w="646" w:type="dxa"/>
            <w:tcBorders>
              <w:top w:val="single" w:color="auto" w:sz="6" w:space="0"/>
              <w:left w:val="single" w:color="auto" w:sz="6" w:space="0"/>
              <w:bottom w:val="single" w:color="auto" w:sz="6" w:space="0"/>
              <w:right w:val="single" w:color="auto" w:sz="4" w:space="0"/>
            </w:tcBorders>
            <w:noWrap w:val="0"/>
            <w:vAlign w:val="center"/>
          </w:tcPr>
          <w:p w14:paraId="253C1404">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序号</w:t>
            </w:r>
          </w:p>
          <w:p w14:paraId="7E3222AC">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center"/>
          </w:tcPr>
          <w:p w14:paraId="53314F28">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类别</w:t>
            </w:r>
          </w:p>
        </w:tc>
        <w:tc>
          <w:tcPr>
            <w:tcW w:w="787" w:type="dxa"/>
            <w:tcBorders>
              <w:top w:val="single" w:color="auto" w:sz="6" w:space="0"/>
              <w:left w:val="single" w:color="auto" w:sz="6" w:space="0"/>
              <w:bottom w:val="single" w:color="auto" w:sz="6" w:space="0"/>
              <w:right w:val="single" w:color="auto" w:sz="6" w:space="0"/>
            </w:tcBorders>
            <w:noWrap w:val="0"/>
            <w:vAlign w:val="center"/>
          </w:tcPr>
          <w:p w14:paraId="2DA05FF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姓名</w:t>
            </w:r>
          </w:p>
        </w:tc>
        <w:tc>
          <w:tcPr>
            <w:tcW w:w="412" w:type="dxa"/>
            <w:tcBorders>
              <w:top w:val="single" w:color="auto" w:sz="6" w:space="0"/>
              <w:left w:val="single" w:color="auto" w:sz="6" w:space="0"/>
              <w:bottom w:val="single" w:color="auto" w:sz="6" w:space="0"/>
              <w:right w:val="single" w:color="auto" w:sz="6" w:space="0"/>
            </w:tcBorders>
            <w:noWrap w:val="0"/>
            <w:vAlign w:val="center"/>
          </w:tcPr>
          <w:p w14:paraId="39D2352A">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性别</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06EE9E28">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年龄</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6BBC792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学历</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01D49515">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专业</w:t>
            </w:r>
          </w:p>
        </w:tc>
        <w:tc>
          <w:tcPr>
            <w:tcW w:w="1080" w:type="dxa"/>
            <w:tcBorders>
              <w:top w:val="single" w:color="auto" w:sz="6" w:space="0"/>
              <w:left w:val="single" w:color="auto" w:sz="6" w:space="0"/>
              <w:bottom w:val="single" w:color="auto" w:sz="6" w:space="0"/>
              <w:right w:val="single" w:color="auto" w:sz="6" w:space="0"/>
            </w:tcBorders>
            <w:noWrap w:val="0"/>
            <w:vAlign w:val="center"/>
          </w:tcPr>
          <w:p w14:paraId="223548F7">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职称</w:t>
            </w:r>
          </w:p>
        </w:tc>
        <w:tc>
          <w:tcPr>
            <w:tcW w:w="1260" w:type="dxa"/>
            <w:tcBorders>
              <w:top w:val="single" w:color="auto" w:sz="6" w:space="0"/>
              <w:left w:val="single" w:color="auto" w:sz="6" w:space="0"/>
              <w:bottom w:val="single" w:color="auto" w:sz="6" w:space="0"/>
              <w:right w:val="single" w:color="auto" w:sz="6" w:space="0"/>
            </w:tcBorders>
            <w:noWrap w:val="0"/>
            <w:vAlign w:val="center"/>
          </w:tcPr>
          <w:p w14:paraId="08DEC444">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0"/>
            <w:vAlign w:val="center"/>
          </w:tcPr>
          <w:p w14:paraId="2DFA1F6E">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响应时间</w:t>
            </w:r>
          </w:p>
        </w:tc>
        <w:tc>
          <w:tcPr>
            <w:tcW w:w="1111" w:type="dxa"/>
            <w:tcBorders>
              <w:top w:val="single" w:color="auto" w:sz="6" w:space="0"/>
              <w:left w:val="single" w:color="auto" w:sz="6" w:space="0"/>
              <w:bottom w:val="single" w:color="auto" w:sz="6" w:space="0"/>
              <w:right w:val="single" w:color="auto" w:sz="6" w:space="0"/>
            </w:tcBorders>
            <w:noWrap w:val="0"/>
            <w:vAlign w:val="center"/>
          </w:tcPr>
          <w:p w14:paraId="2BC5281E">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到达现场时间</w:t>
            </w:r>
          </w:p>
        </w:tc>
      </w:tr>
      <w:tr w14:paraId="650D5E60">
        <w:tblPrEx>
          <w:tblCellMar>
            <w:top w:w="0" w:type="dxa"/>
            <w:left w:w="108" w:type="dxa"/>
            <w:bottom w:w="0" w:type="dxa"/>
            <w:right w:w="108" w:type="dxa"/>
          </w:tblCellMar>
        </w:tblPrEx>
        <w:trPr>
          <w:trHeight w:val="607"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B00DFF4">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B40B7CE">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lang w:val="en-US" w:eastAsia="zh-CN"/>
              </w:rPr>
              <w:t>负责</w:t>
            </w:r>
            <w:r>
              <w:rPr>
                <w:rFonts w:hint="eastAsia" w:ascii="宋体" w:hAnsi="宋体" w:cs="仿宋_GB2312"/>
                <w:color w:val="auto"/>
                <w:szCs w:val="21"/>
                <w:highlight w:val="none"/>
              </w:rPr>
              <w:t>人</w:t>
            </w:r>
          </w:p>
        </w:tc>
        <w:tc>
          <w:tcPr>
            <w:tcW w:w="787" w:type="dxa"/>
            <w:tcBorders>
              <w:top w:val="single" w:color="auto" w:sz="6" w:space="0"/>
              <w:left w:val="single" w:color="auto" w:sz="6" w:space="0"/>
              <w:bottom w:val="single" w:color="auto" w:sz="6" w:space="0"/>
              <w:right w:val="single" w:color="auto" w:sz="6" w:space="0"/>
            </w:tcBorders>
            <w:noWrap w:val="0"/>
            <w:vAlign w:val="top"/>
          </w:tcPr>
          <w:p w14:paraId="589D3E94">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1606A4FC">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9252D8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A137CBF">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140E4CA7">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007B495">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4CFF2750">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58812E8">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0A49133B">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r>
      <w:tr w14:paraId="11468A8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136A47D">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17197EF6">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r>
              <w:rPr>
                <w:rFonts w:hint="eastAsia" w:ascii="宋体" w:hAnsi="宋体" w:cs="仿宋_GB2312"/>
                <w:color w:val="auto"/>
                <w:szCs w:val="21"/>
                <w:highlight w:val="none"/>
              </w:rPr>
              <w:t>售后人员</w:t>
            </w:r>
          </w:p>
        </w:tc>
        <w:tc>
          <w:tcPr>
            <w:tcW w:w="787" w:type="dxa"/>
            <w:tcBorders>
              <w:top w:val="single" w:color="auto" w:sz="6" w:space="0"/>
              <w:left w:val="single" w:color="auto" w:sz="6" w:space="0"/>
              <w:bottom w:val="single" w:color="auto" w:sz="6" w:space="0"/>
              <w:right w:val="single" w:color="auto" w:sz="6" w:space="0"/>
            </w:tcBorders>
            <w:noWrap w:val="0"/>
            <w:vAlign w:val="top"/>
          </w:tcPr>
          <w:p w14:paraId="1387CB4C">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013350F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3C31845D">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6D0524C">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537CD62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77880DC">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5D4DD171">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A9A10DA">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6590E78E">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r>
      <w:tr w14:paraId="3B5F1F10">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18A864F8">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79E9A8AE">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0F398111">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7D7D0641">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097FC531">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7570FABD">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2FC12805">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660982B3">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337CDC9D">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7861A80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14A6217B">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r>
      <w:tr w14:paraId="4B10DF2A">
        <w:tblPrEx>
          <w:tblCellMar>
            <w:top w:w="0" w:type="dxa"/>
            <w:left w:w="108" w:type="dxa"/>
            <w:bottom w:w="0" w:type="dxa"/>
            <w:right w:w="108" w:type="dxa"/>
          </w:tblCellMar>
        </w:tblPrEx>
        <w:trPr>
          <w:trHeight w:val="595" w:hRule="atLeast"/>
          <w:jc w:val="center"/>
        </w:trPr>
        <w:tc>
          <w:tcPr>
            <w:tcW w:w="646" w:type="dxa"/>
            <w:tcBorders>
              <w:top w:val="single" w:color="auto" w:sz="6" w:space="0"/>
              <w:left w:val="single" w:color="auto" w:sz="6" w:space="0"/>
              <w:bottom w:val="single" w:color="auto" w:sz="6" w:space="0"/>
              <w:right w:val="single" w:color="auto" w:sz="4" w:space="0"/>
            </w:tcBorders>
            <w:noWrap w:val="0"/>
            <w:vAlign w:val="top"/>
          </w:tcPr>
          <w:p w14:paraId="2AE1C558">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46" w:type="dxa"/>
            <w:tcBorders>
              <w:top w:val="single" w:color="auto" w:sz="6" w:space="0"/>
              <w:left w:val="single" w:color="auto" w:sz="4" w:space="0"/>
              <w:bottom w:val="single" w:color="auto" w:sz="6" w:space="0"/>
              <w:right w:val="single" w:color="auto" w:sz="6" w:space="0"/>
            </w:tcBorders>
            <w:noWrap w:val="0"/>
            <w:vAlign w:val="top"/>
          </w:tcPr>
          <w:p w14:paraId="5A695A4A">
            <w:pPr>
              <w:keepNext w:val="0"/>
              <w:keepLines w:val="0"/>
              <w:suppressLineNumbers w:val="0"/>
              <w:shd w:val="clear" w:color="auto" w:fill="auto"/>
              <w:autoSpaceDE w:val="0"/>
              <w:autoSpaceDN w:val="0"/>
              <w:spacing w:before="0" w:beforeAutospacing="0" w:after="0" w:afterAutospacing="0" w:line="440" w:lineRule="exact"/>
              <w:ind w:left="0" w:right="0"/>
              <w:jc w:val="center"/>
              <w:rPr>
                <w:rFonts w:hint="default" w:ascii="宋体" w:hAnsi="宋体" w:cs="仿宋_GB2312"/>
                <w:color w:val="auto"/>
                <w:szCs w:val="21"/>
                <w:highlight w:val="none"/>
              </w:rPr>
            </w:pPr>
          </w:p>
        </w:tc>
        <w:tc>
          <w:tcPr>
            <w:tcW w:w="787" w:type="dxa"/>
            <w:tcBorders>
              <w:top w:val="single" w:color="auto" w:sz="6" w:space="0"/>
              <w:left w:val="single" w:color="auto" w:sz="6" w:space="0"/>
              <w:bottom w:val="single" w:color="auto" w:sz="6" w:space="0"/>
              <w:right w:val="single" w:color="auto" w:sz="6" w:space="0"/>
            </w:tcBorders>
            <w:noWrap w:val="0"/>
            <w:vAlign w:val="top"/>
          </w:tcPr>
          <w:p w14:paraId="1DAEAE3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412" w:type="dxa"/>
            <w:tcBorders>
              <w:top w:val="single" w:color="auto" w:sz="6" w:space="0"/>
              <w:left w:val="single" w:color="auto" w:sz="6" w:space="0"/>
              <w:bottom w:val="single" w:color="auto" w:sz="6" w:space="0"/>
              <w:right w:val="single" w:color="auto" w:sz="6" w:space="0"/>
            </w:tcBorders>
            <w:noWrap w:val="0"/>
            <w:vAlign w:val="top"/>
          </w:tcPr>
          <w:p w14:paraId="4E8C2A97">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2F5E3424">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341A643C">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5DB51E6">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080" w:type="dxa"/>
            <w:tcBorders>
              <w:top w:val="single" w:color="auto" w:sz="6" w:space="0"/>
              <w:left w:val="single" w:color="auto" w:sz="6" w:space="0"/>
              <w:bottom w:val="single" w:color="auto" w:sz="6" w:space="0"/>
              <w:right w:val="single" w:color="auto" w:sz="6" w:space="0"/>
            </w:tcBorders>
            <w:noWrap w:val="0"/>
            <w:vAlign w:val="top"/>
          </w:tcPr>
          <w:p w14:paraId="4AEAB387">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260" w:type="dxa"/>
            <w:tcBorders>
              <w:top w:val="single" w:color="auto" w:sz="6" w:space="0"/>
              <w:left w:val="single" w:color="auto" w:sz="6" w:space="0"/>
              <w:bottom w:val="single" w:color="auto" w:sz="6" w:space="0"/>
              <w:right w:val="single" w:color="auto" w:sz="6" w:space="0"/>
            </w:tcBorders>
            <w:noWrap w:val="0"/>
            <w:vAlign w:val="top"/>
          </w:tcPr>
          <w:p w14:paraId="1ECD5D84">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900" w:type="dxa"/>
            <w:tcBorders>
              <w:top w:val="single" w:color="auto" w:sz="6" w:space="0"/>
              <w:left w:val="single" w:color="auto" w:sz="6" w:space="0"/>
              <w:bottom w:val="single" w:color="auto" w:sz="6" w:space="0"/>
              <w:right w:val="single" w:color="auto" w:sz="6" w:space="0"/>
            </w:tcBorders>
            <w:noWrap w:val="0"/>
            <w:vAlign w:val="top"/>
          </w:tcPr>
          <w:p w14:paraId="18D41BB1">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c>
          <w:tcPr>
            <w:tcW w:w="1111" w:type="dxa"/>
            <w:tcBorders>
              <w:top w:val="single" w:color="auto" w:sz="6" w:space="0"/>
              <w:left w:val="single" w:color="auto" w:sz="6" w:space="0"/>
              <w:bottom w:val="single" w:color="auto" w:sz="6" w:space="0"/>
              <w:right w:val="single" w:color="auto" w:sz="6" w:space="0"/>
            </w:tcBorders>
            <w:noWrap w:val="0"/>
            <w:vAlign w:val="top"/>
          </w:tcPr>
          <w:p w14:paraId="58ACEA83">
            <w:pPr>
              <w:keepNext w:val="0"/>
              <w:keepLines w:val="0"/>
              <w:suppressLineNumbers w:val="0"/>
              <w:shd w:val="clear" w:color="auto" w:fill="auto"/>
              <w:autoSpaceDE w:val="0"/>
              <w:autoSpaceDN w:val="0"/>
              <w:spacing w:before="0" w:beforeAutospacing="0" w:after="0" w:afterAutospacing="0" w:line="440" w:lineRule="exact"/>
              <w:ind w:left="0" w:right="0"/>
              <w:rPr>
                <w:rFonts w:hint="default" w:ascii="宋体" w:hAnsi="宋体" w:cs="仿宋_GB2312"/>
                <w:color w:val="auto"/>
                <w:szCs w:val="21"/>
                <w:highlight w:val="none"/>
              </w:rPr>
            </w:pPr>
          </w:p>
        </w:tc>
      </w:tr>
    </w:tbl>
    <w:p w14:paraId="2CA74240">
      <w:pPr>
        <w:shd w:val="clear" w:color="auto" w:fill="auto"/>
        <w:spacing w:line="440" w:lineRule="exact"/>
        <w:ind w:firstLine="415" w:firstLineChars="198"/>
        <w:rPr>
          <w:rFonts w:ascii="宋体" w:hAnsi="宋体"/>
          <w:color w:val="auto"/>
          <w:highlight w:val="none"/>
        </w:rPr>
      </w:pPr>
    </w:p>
    <w:p w14:paraId="03C0F230">
      <w:pPr>
        <w:shd w:val="clear" w:color="auto" w:fill="auto"/>
        <w:spacing w:line="440" w:lineRule="exact"/>
        <w:rPr>
          <w:rFonts w:ascii="宋体" w:hAnsi="宋体" w:cs="仿宋_GB2312"/>
          <w:color w:val="auto"/>
          <w:szCs w:val="21"/>
          <w:highlight w:val="none"/>
        </w:rPr>
      </w:pPr>
    </w:p>
    <w:p w14:paraId="2BD4A669">
      <w:pPr>
        <w:shd w:val="clear" w:color="auto" w:fill="auto"/>
        <w:autoSpaceDE w:val="0"/>
        <w:autoSpaceDN w:val="0"/>
        <w:spacing w:line="440" w:lineRule="exact"/>
        <w:ind w:left="4305" w:leftChars="1950" w:hanging="210" w:hangingChars="100"/>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624943D7">
      <w:pPr>
        <w:shd w:val="clear" w:color="auto" w:fill="auto"/>
        <w:snapToGrid w:val="0"/>
        <w:spacing w:line="440" w:lineRule="exact"/>
        <w:ind w:firstLine="5355" w:firstLineChars="2550"/>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14:paraId="600AAF26">
      <w:pPr>
        <w:shd w:val="clear" w:color="auto" w:fill="auto"/>
        <w:snapToGrid w:val="0"/>
        <w:spacing w:line="440" w:lineRule="exact"/>
        <w:ind w:firstLine="422" w:firstLineChars="200"/>
        <w:rPr>
          <w:rFonts w:ascii="宋体" w:hAnsi="宋体" w:cs="仿宋_GB2312"/>
          <w:b/>
          <w:color w:val="auto"/>
          <w:szCs w:val="21"/>
          <w:highlight w:val="none"/>
        </w:rPr>
      </w:pPr>
    </w:p>
    <w:p w14:paraId="191F8F50">
      <w:pPr>
        <w:snapToGrid w:val="0"/>
        <w:spacing w:line="360" w:lineRule="auto"/>
        <w:ind w:firstLine="602" w:firstLineChars="200"/>
        <w:rPr>
          <w:rFonts w:hint="eastAsia" w:ascii="仿宋" w:hAnsi="仿宋" w:eastAsia="仿宋" w:cs="仿宋_GB2312"/>
          <w:b/>
          <w:color w:val="auto"/>
          <w:sz w:val="30"/>
          <w:szCs w:val="30"/>
          <w:highlight w:val="none"/>
        </w:rPr>
      </w:pPr>
    </w:p>
    <w:p w14:paraId="33B1B30A">
      <w:pPr>
        <w:rPr>
          <w:rFonts w:hint="eastAsia" w:ascii="仿宋" w:hAnsi="仿宋" w:eastAsia="仿宋" w:cs="仿宋_GB2312"/>
          <w:b/>
          <w:color w:val="auto"/>
          <w:sz w:val="30"/>
          <w:szCs w:val="30"/>
          <w:highlight w:val="none"/>
        </w:rPr>
      </w:pPr>
      <w:r>
        <w:rPr>
          <w:rFonts w:hint="eastAsia" w:ascii="仿宋" w:hAnsi="仿宋" w:eastAsia="仿宋" w:cs="仿宋_GB2312"/>
          <w:b/>
          <w:color w:val="auto"/>
          <w:sz w:val="30"/>
          <w:szCs w:val="30"/>
          <w:highlight w:val="none"/>
        </w:rPr>
        <w:br w:type="page"/>
      </w:r>
    </w:p>
    <w:p w14:paraId="5A8CA52F">
      <w:pPr>
        <w:shd w:val="clear" w:color="auto" w:fill="auto"/>
        <w:snapToGrid w:val="0"/>
        <w:spacing w:before="120" w:beforeLines="50" w:after="50"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十、项目实施人员一览表</w:t>
      </w:r>
    </w:p>
    <w:p w14:paraId="3444EA4B">
      <w:pPr>
        <w:spacing w:line="360" w:lineRule="auto"/>
        <w:jc w:val="center"/>
        <w:rPr>
          <w:rFonts w:hint="eastAsia" w:ascii="宋体" w:hAnsi="宋体" w:eastAsia="宋体" w:cs="宋体"/>
          <w:b/>
          <w:bCs/>
          <w:color w:val="auto"/>
          <w:sz w:val="21"/>
          <w:szCs w:val="21"/>
          <w:highlight w:val="none"/>
        </w:rPr>
      </w:pPr>
      <w:r>
        <w:rPr>
          <w:rFonts w:hint="eastAsia" w:ascii="宋体" w:hAnsi="宋体" w:eastAsia="宋体" w:cs="宋体"/>
          <w:color w:val="auto"/>
          <w:sz w:val="21"/>
          <w:szCs w:val="21"/>
          <w:highlight w:val="none"/>
        </w:rPr>
        <w:t>（由供应商根据采购需求及采购文件要求编制）</w:t>
      </w:r>
    </w:p>
    <w:p w14:paraId="2542811C">
      <w:pPr>
        <w:keepNext/>
        <w:autoSpaceDE w:val="0"/>
        <w:autoSpaceDN w:val="0"/>
        <w:spacing w:line="360" w:lineRule="auto"/>
        <w:ind w:firstLine="477"/>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附表A:本项目的项目经理情况表</w:t>
      </w:r>
    </w:p>
    <w:tbl>
      <w:tblPr>
        <w:tblStyle w:val="24"/>
        <w:tblW w:w="0" w:type="auto"/>
        <w:tblInd w:w="-605" w:type="dxa"/>
        <w:tblLayout w:type="fixed"/>
        <w:tblCellMar>
          <w:top w:w="0" w:type="dxa"/>
          <w:left w:w="108" w:type="dxa"/>
          <w:bottom w:w="0" w:type="dxa"/>
          <w:right w:w="108" w:type="dxa"/>
        </w:tblCellMar>
      </w:tblPr>
      <w:tblGrid>
        <w:gridCol w:w="1883"/>
        <w:gridCol w:w="1317"/>
        <w:gridCol w:w="1116"/>
        <w:gridCol w:w="5160"/>
      </w:tblGrid>
      <w:tr w14:paraId="714C63A6">
        <w:tblPrEx>
          <w:tblCellMar>
            <w:top w:w="0" w:type="dxa"/>
            <w:left w:w="108" w:type="dxa"/>
            <w:bottom w:w="0" w:type="dxa"/>
            <w:right w:w="108" w:type="dxa"/>
          </w:tblCellMar>
        </w:tblPrEx>
        <w:trPr>
          <w:trHeight w:val="604" w:hRule="atLeast"/>
        </w:trPr>
        <w:tc>
          <w:tcPr>
            <w:tcW w:w="188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56CB84DF">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1317" w:type="dxa"/>
            <w:tcBorders>
              <w:top w:val="single" w:color="auto" w:sz="6" w:space="0"/>
              <w:left w:val="single" w:color="auto" w:sz="6" w:space="0"/>
              <w:bottom w:val="single" w:color="auto" w:sz="6" w:space="0"/>
              <w:right w:val="single" w:color="auto" w:sz="4" w:space="0"/>
            </w:tcBorders>
            <w:shd w:val="clear" w:color="auto" w:fill="B3B3B3"/>
            <w:noWrap/>
            <w:vAlign w:val="center"/>
          </w:tcPr>
          <w:p w14:paraId="7382374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0C60DDC0">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5160" w:type="dxa"/>
            <w:tcBorders>
              <w:top w:val="single" w:color="auto" w:sz="6" w:space="0"/>
              <w:left w:val="single" w:color="auto" w:sz="6" w:space="0"/>
              <w:bottom w:val="single" w:color="auto" w:sz="6" w:space="0"/>
              <w:right w:val="single" w:color="auto" w:sz="6" w:space="0"/>
            </w:tcBorders>
            <w:noWrap/>
            <w:vAlign w:val="center"/>
          </w:tcPr>
          <w:p w14:paraId="025F1ADA">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响应截止时间前</w:t>
            </w:r>
            <w:r>
              <w:rPr>
                <w:rFonts w:hint="eastAsia" w:ascii="宋体" w:hAnsi="宋体" w:eastAsia="宋体" w:cs="宋体"/>
                <w:color w:val="auto"/>
                <w:sz w:val="21"/>
                <w:szCs w:val="21"/>
                <w:highlight w:val="none"/>
                <w:lang w:val="en-US" w:eastAsia="zh-CN"/>
              </w:rPr>
              <w:t>近</w:t>
            </w:r>
            <w:r>
              <w:rPr>
                <w:rFonts w:hint="eastAsia" w:ascii="宋体" w:hAnsi="宋体" w:eastAsia="宋体" w:cs="宋体"/>
                <w:color w:val="auto"/>
                <w:sz w:val="21"/>
                <w:szCs w:val="21"/>
                <w:highlight w:val="none"/>
              </w:rPr>
              <w:t>年业绩及承担的主要工作情况，曾担任项目经理的项目应列明细</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可按照评标办法，结合自身实际情况填写</w:t>
            </w:r>
            <w:r>
              <w:rPr>
                <w:rFonts w:hint="eastAsia" w:ascii="宋体" w:hAnsi="宋体" w:eastAsia="宋体" w:cs="宋体"/>
                <w:color w:val="auto"/>
                <w:sz w:val="21"/>
                <w:szCs w:val="21"/>
                <w:highlight w:val="none"/>
                <w:lang w:eastAsia="zh-CN"/>
              </w:rPr>
              <w:t>）</w:t>
            </w:r>
          </w:p>
        </w:tc>
      </w:tr>
      <w:tr w14:paraId="38F6706B">
        <w:tblPrEx>
          <w:tblCellMar>
            <w:top w:w="0" w:type="dxa"/>
            <w:left w:w="108" w:type="dxa"/>
            <w:bottom w:w="0" w:type="dxa"/>
            <w:right w:w="108" w:type="dxa"/>
          </w:tblCellMar>
        </w:tblPrEx>
        <w:trPr>
          <w:cantSplit/>
          <w:trHeight w:val="345" w:hRule="atLeast"/>
        </w:trPr>
        <w:tc>
          <w:tcPr>
            <w:tcW w:w="188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3671691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131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4F535D76">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719439DD">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restart"/>
            <w:tcBorders>
              <w:top w:val="single" w:color="auto" w:sz="6" w:space="0"/>
              <w:left w:val="single" w:color="auto" w:sz="6" w:space="0"/>
              <w:bottom w:val="single" w:color="auto" w:sz="6" w:space="0"/>
              <w:right w:val="single" w:color="auto" w:sz="6" w:space="0"/>
            </w:tcBorders>
            <w:noWrap/>
            <w:vAlign w:val="center"/>
          </w:tcPr>
          <w:p w14:paraId="7A905723">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r>
      <w:tr w14:paraId="0D8046AA">
        <w:tblPrEx>
          <w:tblCellMar>
            <w:top w:w="0" w:type="dxa"/>
            <w:left w:w="108" w:type="dxa"/>
            <w:bottom w:w="0" w:type="dxa"/>
            <w:right w:w="108" w:type="dxa"/>
          </w:tblCellMar>
        </w:tblPrEx>
        <w:trPr>
          <w:cantSplit/>
          <w:trHeight w:val="337" w:hRule="atLeast"/>
        </w:trPr>
        <w:tc>
          <w:tcPr>
            <w:tcW w:w="188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2EF5E234">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31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7F770A4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6940F52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107ACDA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13BD06E8">
        <w:tblPrEx>
          <w:tblCellMar>
            <w:top w:w="0" w:type="dxa"/>
            <w:left w:w="108" w:type="dxa"/>
            <w:bottom w:w="0" w:type="dxa"/>
            <w:right w:w="108" w:type="dxa"/>
          </w:tblCellMar>
        </w:tblPrEx>
        <w:trPr>
          <w:cantSplit/>
          <w:trHeight w:val="345"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004FA13A">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tc>
        <w:tc>
          <w:tcPr>
            <w:tcW w:w="1317" w:type="dxa"/>
            <w:tcBorders>
              <w:top w:val="single" w:color="auto" w:sz="6" w:space="0"/>
              <w:left w:val="single" w:color="auto" w:sz="6" w:space="0"/>
              <w:bottom w:val="single" w:color="auto" w:sz="6" w:space="0"/>
              <w:right w:val="single" w:color="auto" w:sz="4" w:space="0"/>
            </w:tcBorders>
            <w:noWrap/>
            <w:vAlign w:val="center"/>
          </w:tcPr>
          <w:p w14:paraId="4D83294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03E61DB0">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7A9A947D">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5D6B080A">
        <w:tblPrEx>
          <w:tblCellMar>
            <w:top w:w="0" w:type="dxa"/>
            <w:left w:w="108" w:type="dxa"/>
            <w:bottom w:w="0" w:type="dxa"/>
            <w:right w:w="108" w:type="dxa"/>
          </w:tblCellMar>
        </w:tblPrEx>
        <w:trPr>
          <w:cantSplit/>
          <w:trHeight w:val="345"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2B7E20F2">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毕业时间</w:t>
            </w:r>
          </w:p>
        </w:tc>
        <w:tc>
          <w:tcPr>
            <w:tcW w:w="1317" w:type="dxa"/>
            <w:tcBorders>
              <w:top w:val="single" w:color="auto" w:sz="6" w:space="0"/>
              <w:left w:val="single" w:color="auto" w:sz="6" w:space="0"/>
              <w:bottom w:val="single" w:color="auto" w:sz="6" w:space="0"/>
              <w:right w:val="single" w:color="auto" w:sz="4" w:space="0"/>
            </w:tcBorders>
            <w:noWrap/>
            <w:vAlign w:val="center"/>
          </w:tcPr>
          <w:p w14:paraId="6057E79D">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5407E352">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0088F537">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362EAA6B">
        <w:tblPrEx>
          <w:tblCellMar>
            <w:top w:w="0" w:type="dxa"/>
            <w:left w:w="108" w:type="dxa"/>
            <w:bottom w:w="0" w:type="dxa"/>
            <w:right w:w="108" w:type="dxa"/>
          </w:tblCellMar>
        </w:tblPrEx>
        <w:trPr>
          <w:cantSplit/>
          <w:trHeight w:val="422"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2FCF20DC">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所学专业</w:t>
            </w:r>
          </w:p>
        </w:tc>
        <w:tc>
          <w:tcPr>
            <w:tcW w:w="1317" w:type="dxa"/>
            <w:tcBorders>
              <w:top w:val="single" w:color="auto" w:sz="6" w:space="0"/>
              <w:left w:val="single" w:color="auto" w:sz="6" w:space="0"/>
              <w:bottom w:val="single" w:color="auto" w:sz="6" w:space="0"/>
              <w:right w:val="single" w:color="auto" w:sz="4" w:space="0"/>
            </w:tcBorders>
            <w:noWrap/>
            <w:vAlign w:val="center"/>
          </w:tcPr>
          <w:p w14:paraId="5C20188C">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18AA69BE">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7148942C">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3C3B8AE3">
        <w:tblPrEx>
          <w:tblCellMar>
            <w:top w:w="0" w:type="dxa"/>
            <w:left w:w="108" w:type="dxa"/>
            <w:bottom w:w="0" w:type="dxa"/>
            <w:right w:w="108" w:type="dxa"/>
          </w:tblCellMar>
        </w:tblPrEx>
        <w:trPr>
          <w:cantSplit/>
          <w:trHeight w:val="416"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00493360">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tc>
        <w:tc>
          <w:tcPr>
            <w:tcW w:w="1317" w:type="dxa"/>
            <w:tcBorders>
              <w:top w:val="single" w:color="auto" w:sz="6" w:space="0"/>
              <w:left w:val="single" w:color="auto" w:sz="6" w:space="0"/>
              <w:bottom w:val="single" w:color="auto" w:sz="6" w:space="0"/>
              <w:right w:val="single" w:color="auto" w:sz="4" w:space="0"/>
            </w:tcBorders>
            <w:noWrap/>
            <w:vAlign w:val="center"/>
          </w:tcPr>
          <w:p w14:paraId="24280E7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74559BC9">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308B7801">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4B2AA7C8">
        <w:tblPrEx>
          <w:tblCellMar>
            <w:top w:w="0" w:type="dxa"/>
            <w:left w:w="108" w:type="dxa"/>
            <w:bottom w:w="0" w:type="dxa"/>
            <w:right w:w="108" w:type="dxa"/>
          </w:tblCellMar>
        </w:tblPrEx>
        <w:trPr>
          <w:cantSplit/>
          <w:trHeight w:val="356"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6A947C23">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资质证书编号</w:t>
            </w:r>
          </w:p>
        </w:tc>
        <w:tc>
          <w:tcPr>
            <w:tcW w:w="1317" w:type="dxa"/>
            <w:tcBorders>
              <w:top w:val="single" w:color="auto" w:sz="6" w:space="0"/>
              <w:left w:val="single" w:color="auto" w:sz="6" w:space="0"/>
              <w:bottom w:val="single" w:color="auto" w:sz="6" w:space="0"/>
              <w:right w:val="single" w:color="auto" w:sz="4" w:space="0"/>
            </w:tcBorders>
            <w:noWrap/>
            <w:vAlign w:val="center"/>
          </w:tcPr>
          <w:p w14:paraId="12F383D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55D680BA">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550FF182">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4490EB99">
        <w:tblPrEx>
          <w:tblCellMar>
            <w:top w:w="0" w:type="dxa"/>
            <w:left w:w="108" w:type="dxa"/>
            <w:bottom w:w="0" w:type="dxa"/>
            <w:right w:w="108" w:type="dxa"/>
          </w:tblCellMar>
        </w:tblPrEx>
        <w:trPr>
          <w:cantSplit/>
          <w:trHeight w:val="177" w:hRule="atLeast"/>
        </w:trPr>
        <w:tc>
          <w:tcPr>
            <w:tcW w:w="1883" w:type="dxa"/>
            <w:tcBorders>
              <w:top w:val="single" w:color="auto" w:sz="6" w:space="0"/>
              <w:left w:val="single" w:color="auto" w:sz="6" w:space="0"/>
              <w:bottom w:val="single" w:color="auto" w:sz="6" w:space="0"/>
              <w:right w:val="single" w:color="auto" w:sz="6" w:space="0"/>
            </w:tcBorders>
            <w:noWrap/>
            <w:vAlign w:val="center"/>
          </w:tcPr>
          <w:p w14:paraId="70F689B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其他资质情况</w:t>
            </w:r>
          </w:p>
        </w:tc>
        <w:tc>
          <w:tcPr>
            <w:tcW w:w="1317" w:type="dxa"/>
            <w:tcBorders>
              <w:top w:val="single" w:color="auto" w:sz="6" w:space="0"/>
              <w:left w:val="single" w:color="auto" w:sz="6" w:space="0"/>
              <w:bottom w:val="single" w:color="auto" w:sz="6" w:space="0"/>
              <w:right w:val="single" w:color="auto" w:sz="4" w:space="0"/>
            </w:tcBorders>
            <w:noWrap/>
            <w:vAlign w:val="center"/>
          </w:tcPr>
          <w:p w14:paraId="1D954A8B">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noWrap/>
            <w:vAlign w:val="center"/>
          </w:tcPr>
          <w:p w14:paraId="0E1B7DEE">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7F16DEBB">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r w14:paraId="7D115C8B">
        <w:tblPrEx>
          <w:tblCellMar>
            <w:top w:w="0" w:type="dxa"/>
            <w:left w:w="108" w:type="dxa"/>
            <w:bottom w:w="0" w:type="dxa"/>
            <w:right w:w="108" w:type="dxa"/>
          </w:tblCellMar>
        </w:tblPrEx>
        <w:trPr>
          <w:cantSplit/>
          <w:trHeight w:val="169" w:hRule="atLeast"/>
        </w:trPr>
        <w:tc>
          <w:tcPr>
            <w:tcW w:w="1883" w:type="dxa"/>
            <w:tcBorders>
              <w:top w:val="single" w:color="auto" w:sz="6" w:space="0"/>
              <w:left w:val="single" w:color="auto" w:sz="6" w:space="0"/>
              <w:bottom w:val="single" w:color="auto" w:sz="6" w:space="0"/>
              <w:right w:val="single" w:color="auto" w:sz="6" w:space="0"/>
            </w:tcBorders>
            <w:shd w:val="clear" w:color="auto" w:fill="auto"/>
            <w:noWrap/>
            <w:vAlign w:val="center"/>
          </w:tcPr>
          <w:p w14:paraId="621B95A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联系电话</w:t>
            </w:r>
          </w:p>
        </w:tc>
        <w:tc>
          <w:tcPr>
            <w:tcW w:w="1317" w:type="dxa"/>
            <w:tcBorders>
              <w:top w:val="single" w:color="auto" w:sz="6" w:space="0"/>
              <w:left w:val="single" w:color="auto" w:sz="6" w:space="0"/>
              <w:bottom w:val="single" w:color="auto" w:sz="6" w:space="0"/>
              <w:right w:val="single" w:color="auto" w:sz="4" w:space="0"/>
            </w:tcBorders>
            <w:shd w:val="clear" w:color="auto" w:fill="auto"/>
            <w:noWrap/>
            <w:vAlign w:val="center"/>
          </w:tcPr>
          <w:p w14:paraId="2561A7A8">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1116" w:type="dxa"/>
            <w:tcBorders>
              <w:top w:val="single" w:color="auto" w:sz="6" w:space="0"/>
              <w:left w:val="single" w:color="auto" w:sz="4" w:space="0"/>
              <w:bottom w:val="single" w:color="auto" w:sz="6" w:space="0"/>
              <w:right w:val="single" w:color="auto" w:sz="6" w:space="0"/>
            </w:tcBorders>
            <w:shd w:val="clear" w:color="auto" w:fill="B3B3B3"/>
            <w:noWrap/>
            <w:vAlign w:val="center"/>
          </w:tcPr>
          <w:p w14:paraId="60D095AE">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5160" w:type="dxa"/>
            <w:vMerge w:val="continue"/>
            <w:tcBorders>
              <w:top w:val="single" w:color="auto" w:sz="6" w:space="0"/>
              <w:left w:val="single" w:color="auto" w:sz="6" w:space="0"/>
              <w:bottom w:val="single" w:color="auto" w:sz="6" w:space="0"/>
              <w:right w:val="single" w:color="auto" w:sz="6" w:space="0"/>
            </w:tcBorders>
            <w:noWrap/>
            <w:vAlign w:val="center"/>
          </w:tcPr>
          <w:p w14:paraId="73C2B9F5">
            <w:pPr>
              <w:keepNext w:val="0"/>
              <w:keepLines w:val="0"/>
              <w:widowControl/>
              <w:suppressLineNumbers w:val="0"/>
              <w:spacing w:before="0" w:beforeAutospacing="0" w:after="0" w:afterAutospacing="0"/>
              <w:ind w:left="0" w:right="0"/>
              <w:jc w:val="left"/>
              <w:rPr>
                <w:rFonts w:hint="eastAsia" w:ascii="宋体" w:hAnsi="宋体" w:eastAsia="宋体" w:cs="宋体"/>
                <w:color w:val="auto"/>
                <w:sz w:val="21"/>
                <w:szCs w:val="21"/>
                <w:highlight w:val="none"/>
              </w:rPr>
            </w:pPr>
          </w:p>
        </w:tc>
      </w:tr>
    </w:tbl>
    <w:p w14:paraId="6F515949">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注：须随表提交相应的证书复印件并注明所在响应技术文件页码。</w:t>
      </w:r>
    </w:p>
    <w:p w14:paraId="598AB146">
      <w:pPr>
        <w:autoSpaceDE w:val="0"/>
        <w:autoSpaceDN w:val="0"/>
        <w:spacing w:line="360" w:lineRule="auto"/>
        <w:rPr>
          <w:rFonts w:hint="eastAsia" w:ascii="宋体" w:hAnsi="宋体" w:eastAsia="宋体" w:cs="宋体"/>
          <w:b/>
          <w:color w:val="auto"/>
          <w:sz w:val="21"/>
          <w:szCs w:val="21"/>
          <w:highlight w:val="none"/>
        </w:rPr>
      </w:pPr>
      <w:r>
        <w:rPr>
          <w:rFonts w:hint="eastAsia" w:ascii="宋体" w:hAnsi="宋体" w:eastAsia="宋体" w:cs="宋体"/>
          <w:b/>
          <w:color w:val="auto"/>
          <w:sz w:val="21"/>
          <w:szCs w:val="21"/>
          <w:highlight w:val="none"/>
        </w:rPr>
        <w:t>附表B:本项目的项目小组人员情况表</w:t>
      </w:r>
      <w:r>
        <w:rPr>
          <w:rFonts w:hint="eastAsia" w:ascii="宋体" w:hAnsi="宋体" w:eastAsia="宋体" w:cs="宋体"/>
          <w:color w:val="auto"/>
          <w:sz w:val="21"/>
          <w:szCs w:val="21"/>
          <w:highlight w:val="none"/>
        </w:rPr>
        <w:t>（按此格式自制）</w:t>
      </w:r>
    </w:p>
    <w:tbl>
      <w:tblPr>
        <w:tblStyle w:val="24"/>
        <w:tblW w:w="9727" w:type="dxa"/>
        <w:tblInd w:w="-589" w:type="dxa"/>
        <w:tblLayout w:type="fixed"/>
        <w:tblCellMar>
          <w:top w:w="0" w:type="dxa"/>
          <w:left w:w="108" w:type="dxa"/>
          <w:bottom w:w="0" w:type="dxa"/>
          <w:right w:w="108" w:type="dxa"/>
        </w:tblCellMar>
      </w:tblPr>
      <w:tblGrid>
        <w:gridCol w:w="750"/>
        <w:gridCol w:w="800"/>
        <w:gridCol w:w="617"/>
        <w:gridCol w:w="735"/>
        <w:gridCol w:w="1035"/>
        <w:gridCol w:w="1080"/>
        <w:gridCol w:w="1080"/>
        <w:gridCol w:w="1260"/>
        <w:gridCol w:w="900"/>
        <w:gridCol w:w="1470"/>
      </w:tblGrid>
      <w:tr w14:paraId="6DBD4CA4">
        <w:tblPrEx>
          <w:tblCellMar>
            <w:top w:w="0" w:type="dxa"/>
            <w:left w:w="108" w:type="dxa"/>
            <w:bottom w:w="0" w:type="dxa"/>
            <w:right w:w="108" w:type="dxa"/>
          </w:tblCellMar>
        </w:tblPrEx>
        <w:tc>
          <w:tcPr>
            <w:tcW w:w="750" w:type="dxa"/>
            <w:tcBorders>
              <w:top w:val="single" w:color="auto" w:sz="6" w:space="0"/>
              <w:left w:val="single" w:color="auto" w:sz="6" w:space="0"/>
              <w:bottom w:val="single" w:color="auto" w:sz="6" w:space="0"/>
              <w:right w:val="single" w:color="auto" w:sz="6" w:space="0"/>
            </w:tcBorders>
            <w:noWrap/>
            <w:vAlign w:val="center"/>
          </w:tcPr>
          <w:p w14:paraId="3496942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序号</w:t>
            </w:r>
          </w:p>
        </w:tc>
        <w:tc>
          <w:tcPr>
            <w:tcW w:w="800" w:type="dxa"/>
            <w:tcBorders>
              <w:top w:val="single" w:color="auto" w:sz="6" w:space="0"/>
              <w:left w:val="single" w:color="auto" w:sz="6" w:space="0"/>
              <w:bottom w:val="single" w:color="auto" w:sz="6" w:space="0"/>
              <w:right w:val="single" w:color="auto" w:sz="6" w:space="0"/>
            </w:tcBorders>
            <w:noWrap/>
            <w:vAlign w:val="center"/>
          </w:tcPr>
          <w:p w14:paraId="7343EE7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姓名</w:t>
            </w:r>
          </w:p>
        </w:tc>
        <w:tc>
          <w:tcPr>
            <w:tcW w:w="617" w:type="dxa"/>
            <w:tcBorders>
              <w:top w:val="single" w:color="auto" w:sz="6" w:space="0"/>
              <w:left w:val="single" w:color="auto" w:sz="6" w:space="0"/>
              <w:bottom w:val="single" w:color="auto" w:sz="6" w:space="0"/>
              <w:right w:val="single" w:color="auto" w:sz="6" w:space="0"/>
            </w:tcBorders>
            <w:noWrap/>
            <w:vAlign w:val="center"/>
          </w:tcPr>
          <w:p w14:paraId="78AECE76">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性别</w:t>
            </w:r>
          </w:p>
        </w:tc>
        <w:tc>
          <w:tcPr>
            <w:tcW w:w="735" w:type="dxa"/>
            <w:tcBorders>
              <w:top w:val="single" w:color="auto" w:sz="6" w:space="0"/>
              <w:left w:val="single" w:color="auto" w:sz="6" w:space="0"/>
              <w:bottom w:val="single" w:color="auto" w:sz="6" w:space="0"/>
              <w:right w:val="single" w:color="auto" w:sz="6" w:space="0"/>
            </w:tcBorders>
            <w:noWrap/>
            <w:vAlign w:val="center"/>
          </w:tcPr>
          <w:p w14:paraId="4A00D40D">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年龄</w:t>
            </w:r>
          </w:p>
        </w:tc>
        <w:tc>
          <w:tcPr>
            <w:tcW w:w="1035" w:type="dxa"/>
            <w:tcBorders>
              <w:top w:val="single" w:color="auto" w:sz="6" w:space="0"/>
              <w:left w:val="single" w:color="auto" w:sz="6" w:space="0"/>
              <w:bottom w:val="single" w:color="auto" w:sz="6" w:space="0"/>
              <w:right w:val="single" w:color="auto" w:sz="6" w:space="0"/>
            </w:tcBorders>
            <w:noWrap/>
            <w:vAlign w:val="center"/>
          </w:tcPr>
          <w:p w14:paraId="749E03FF">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学历</w:t>
            </w:r>
          </w:p>
          <w:p w14:paraId="0A0E7497">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1D89CFCB">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专业</w:t>
            </w:r>
          </w:p>
          <w:p w14:paraId="14A24756">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080" w:type="dxa"/>
            <w:tcBorders>
              <w:top w:val="single" w:color="auto" w:sz="6" w:space="0"/>
              <w:left w:val="single" w:color="auto" w:sz="6" w:space="0"/>
              <w:bottom w:val="single" w:color="auto" w:sz="6" w:space="0"/>
              <w:right w:val="single" w:color="auto" w:sz="6" w:space="0"/>
            </w:tcBorders>
            <w:noWrap/>
            <w:vAlign w:val="center"/>
          </w:tcPr>
          <w:p w14:paraId="03CC1C1E">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职称</w:t>
            </w:r>
          </w:p>
          <w:p w14:paraId="1178941F">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(页码)</w:t>
            </w:r>
          </w:p>
        </w:tc>
        <w:tc>
          <w:tcPr>
            <w:tcW w:w="1260" w:type="dxa"/>
            <w:tcBorders>
              <w:top w:val="single" w:color="auto" w:sz="6" w:space="0"/>
              <w:left w:val="single" w:color="auto" w:sz="6" w:space="0"/>
              <w:bottom w:val="single" w:color="auto" w:sz="6" w:space="0"/>
              <w:right w:val="single" w:color="auto" w:sz="6" w:space="0"/>
            </w:tcBorders>
            <w:noWrap/>
            <w:vAlign w:val="center"/>
          </w:tcPr>
          <w:p w14:paraId="6D2FEE92">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noWrap/>
            <w:vAlign w:val="center"/>
          </w:tcPr>
          <w:p w14:paraId="73944656">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项目经历</w:t>
            </w:r>
          </w:p>
        </w:tc>
        <w:tc>
          <w:tcPr>
            <w:tcW w:w="1470" w:type="dxa"/>
            <w:tcBorders>
              <w:top w:val="single" w:color="auto" w:sz="6" w:space="0"/>
              <w:left w:val="single" w:color="auto" w:sz="6" w:space="0"/>
              <w:bottom w:val="single" w:color="auto" w:sz="6" w:space="0"/>
              <w:right w:val="single" w:color="auto" w:sz="6" w:space="0"/>
            </w:tcBorders>
            <w:noWrap/>
            <w:vAlign w:val="center"/>
          </w:tcPr>
          <w:p w14:paraId="3D399870">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参与本项目的到位情况</w:t>
            </w:r>
          </w:p>
        </w:tc>
      </w:tr>
      <w:tr w14:paraId="7BDA04DE">
        <w:tblPrEx>
          <w:tblCellMar>
            <w:top w:w="0" w:type="dxa"/>
            <w:left w:w="108" w:type="dxa"/>
            <w:bottom w:w="0" w:type="dxa"/>
            <w:right w:w="108" w:type="dxa"/>
          </w:tblCellMar>
        </w:tblPrEx>
        <w:trPr>
          <w:trHeight w:val="479" w:hRule="atLeast"/>
        </w:trPr>
        <w:tc>
          <w:tcPr>
            <w:tcW w:w="750" w:type="dxa"/>
            <w:tcBorders>
              <w:top w:val="single" w:color="auto" w:sz="6" w:space="0"/>
              <w:left w:val="single" w:color="auto" w:sz="6" w:space="0"/>
              <w:bottom w:val="single" w:color="auto" w:sz="6" w:space="0"/>
              <w:right w:val="single" w:color="auto" w:sz="6" w:space="0"/>
            </w:tcBorders>
            <w:noWrap/>
          </w:tcPr>
          <w:p w14:paraId="149F5915">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800" w:type="dxa"/>
            <w:tcBorders>
              <w:top w:val="single" w:color="auto" w:sz="6" w:space="0"/>
              <w:left w:val="single" w:color="auto" w:sz="6" w:space="0"/>
              <w:bottom w:val="single" w:color="auto" w:sz="6" w:space="0"/>
              <w:right w:val="single" w:color="auto" w:sz="6" w:space="0"/>
            </w:tcBorders>
            <w:noWrap/>
          </w:tcPr>
          <w:p w14:paraId="64AE7315">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617" w:type="dxa"/>
            <w:tcBorders>
              <w:top w:val="single" w:color="auto" w:sz="6" w:space="0"/>
              <w:left w:val="single" w:color="auto" w:sz="6" w:space="0"/>
              <w:bottom w:val="single" w:color="auto" w:sz="6" w:space="0"/>
              <w:right w:val="single" w:color="auto" w:sz="6" w:space="0"/>
            </w:tcBorders>
            <w:noWrap/>
          </w:tcPr>
          <w:p w14:paraId="46CC2639">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735" w:type="dxa"/>
            <w:tcBorders>
              <w:top w:val="single" w:color="auto" w:sz="6" w:space="0"/>
              <w:left w:val="single" w:color="auto" w:sz="6" w:space="0"/>
              <w:bottom w:val="single" w:color="auto" w:sz="6" w:space="0"/>
              <w:right w:val="single" w:color="auto" w:sz="6" w:space="0"/>
            </w:tcBorders>
            <w:noWrap/>
          </w:tcPr>
          <w:p w14:paraId="2F707F39">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tcPr>
          <w:p w14:paraId="030F5272">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tcPr>
          <w:p w14:paraId="3E7624C3">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tcPr>
          <w:p w14:paraId="50BA43BF">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tcPr>
          <w:p w14:paraId="545B78B3">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tcPr>
          <w:p w14:paraId="4402038F">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tcPr>
          <w:p w14:paraId="5140A96D">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r>
      <w:tr w14:paraId="5E79504A">
        <w:tblPrEx>
          <w:tblCellMar>
            <w:top w:w="0" w:type="dxa"/>
            <w:left w:w="108" w:type="dxa"/>
            <w:bottom w:w="0" w:type="dxa"/>
            <w:right w:w="108" w:type="dxa"/>
          </w:tblCellMar>
        </w:tblPrEx>
        <w:trPr>
          <w:trHeight w:val="473" w:hRule="atLeast"/>
        </w:trPr>
        <w:tc>
          <w:tcPr>
            <w:tcW w:w="750" w:type="dxa"/>
            <w:tcBorders>
              <w:top w:val="single" w:color="auto" w:sz="6" w:space="0"/>
              <w:left w:val="single" w:color="auto" w:sz="6" w:space="0"/>
              <w:bottom w:val="single" w:color="auto" w:sz="6" w:space="0"/>
              <w:right w:val="single" w:color="auto" w:sz="6" w:space="0"/>
            </w:tcBorders>
            <w:noWrap/>
          </w:tcPr>
          <w:p w14:paraId="412B25F1">
            <w:pPr>
              <w:keepNext w:val="0"/>
              <w:keepLines w:val="0"/>
              <w:suppressLineNumbers w:val="0"/>
              <w:autoSpaceDE w:val="0"/>
              <w:autoSpaceDN w:val="0"/>
              <w:spacing w:before="0" w:beforeAutospacing="0" w:after="0" w:afterAutospacing="0" w:line="360" w:lineRule="auto"/>
              <w:ind w:left="0" w:right="0"/>
              <w:jc w:val="center"/>
              <w:rPr>
                <w:rFonts w:hint="eastAsia" w:ascii="宋体" w:hAnsi="宋体" w:eastAsia="宋体" w:cs="宋体"/>
                <w:color w:val="auto"/>
                <w:sz w:val="21"/>
                <w:szCs w:val="21"/>
                <w:highlight w:val="none"/>
              </w:rPr>
            </w:pPr>
          </w:p>
        </w:tc>
        <w:tc>
          <w:tcPr>
            <w:tcW w:w="800" w:type="dxa"/>
            <w:tcBorders>
              <w:top w:val="single" w:color="auto" w:sz="6" w:space="0"/>
              <w:left w:val="single" w:color="auto" w:sz="6" w:space="0"/>
              <w:bottom w:val="single" w:color="auto" w:sz="6" w:space="0"/>
              <w:right w:val="single" w:color="auto" w:sz="6" w:space="0"/>
            </w:tcBorders>
            <w:noWrap/>
          </w:tcPr>
          <w:p w14:paraId="7648DEA0">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617" w:type="dxa"/>
            <w:tcBorders>
              <w:top w:val="single" w:color="auto" w:sz="6" w:space="0"/>
              <w:left w:val="single" w:color="auto" w:sz="6" w:space="0"/>
              <w:bottom w:val="single" w:color="auto" w:sz="6" w:space="0"/>
              <w:right w:val="single" w:color="auto" w:sz="6" w:space="0"/>
            </w:tcBorders>
            <w:noWrap/>
          </w:tcPr>
          <w:p w14:paraId="2865C5C1">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735" w:type="dxa"/>
            <w:tcBorders>
              <w:top w:val="single" w:color="auto" w:sz="6" w:space="0"/>
              <w:left w:val="single" w:color="auto" w:sz="6" w:space="0"/>
              <w:bottom w:val="single" w:color="auto" w:sz="6" w:space="0"/>
              <w:right w:val="single" w:color="auto" w:sz="6" w:space="0"/>
            </w:tcBorders>
            <w:noWrap/>
          </w:tcPr>
          <w:p w14:paraId="4C82DE69">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35" w:type="dxa"/>
            <w:tcBorders>
              <w:top w:val="single" w:color="auto" w:sz="6" w:space="0"/>
              <w:left w:val="single" w:color="auto" w:sz="6" w:space="0"/>
              <w:bottom w:val="single" w:color="auto" w:sz="6" w:space="0"/>
              <w:right w:val="single" w:color="auto" w:sz="6" w:space="0"/>
            </w:tcBorders>
            <w:noWrap/>
          </w:tcPr>
          <w:p w14:paraId="066C0F9F">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tcPr>
          <w:p w14:paraId="752F1E24">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080" w:type="dxa"/>
            <w:tcBorders>
              <w:top w:val="single" w:color="auto" w:sz="6" w:space="0"/>
              <w:left w:val="single" w:color="auto" w:sz="6" w:space="0"/>
              <w:bottom w:val="single" w:color="auto" w:sz="6" w:space="0"/>
              <w:right w:val="single" w:color="auto" w:sz="6" w:space="0"/>
            </w:tcBorders>
            <w:noWrap/>
          </w:tcPr>
          <w:p w14:paraId="594673CF">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260" w:type="dxa"/>
            <w:tcBorders>
              <w:top w:val="single" w:color="auto" w:sz="6" w:space="0"/>
              <w:left w:val="single" w:color="auto" w:sz="6" w:space="0"/>
              <w:bottom w:val="single" w:color="auto" w:sz="6" w:space="0"/>
              <w:right w:val="single" w:color="auto" w:sz="6" w:space="0"/>
            </w:tcBorders>
            <w:noWrap/>
          </w:tcPr>
          <w:p w14:paraId="1D25453C">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900" w:type="dxa"/>
            <w:tcBorders>
              <w:top w:val="single" w:color="auto" w:sz="6" w:space="0"/>
              <w:left w:val="single" w:color="auto" w:sz="6" w:space="0"/>
              <w:bottom w:val="single" w:color="auto" w:sz="6" w:space="0"/>
              <w:right w:val="single" w:color="auto" w:sz="6" w:space="0"/>
            </w:tcBorders>
            <w:noWrap/>
          </w:tcPr>
          <w:p w14:paraId="410CD120">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c>
          <w:tcPr>
            <w:tcW w:w="1470" w:type="dxa"/>
            <w:tcBorders>
              <w:top w:val="single" w:color="auto" w:sz="6" w:space="0"/>
              <w:left w:val="single" w:color="auto" w:sz="6" w:space="0"/>
              <w:bottom w:val="single" w:color="auto" w:sz="6" w:space="0"/>
              <w:right w:val="single" w:color="auto" w:sz="6" w:space="0"/>
            </w:tcBorders>
            <w:noWrap/>
          </w:tcPr>
          <w:p w14:paraId="254EF7D3">
            <w:pPr>
              <w:keepNext w:val="0"/>
              <w:keepLines w:val="0"/>
              <w:suppressLineNumbers w:val="0"/>
              <w:autoSpaceDE w:val="0"/>
              <w:autoSpaceDN w:val="0"/>
              <w:spacing w:before="0" w:beforeAutospacing="0" w:after="0" w:afterAutospacing="0" w:line="360" w:lineRule="auto"/>
              <w:ind w:left="0" w:right="0"/>
              <w:rPr>
                <w:rFonts w:hint="eastAsia" w:ascii="宋体" w:hAnsi="宋体" w:eastAsia="宋体" w:cs="宋体"/>
                <w:color w:val="auto"/>
                <w:sz w:val="21"/>
                <w:szCs w:val="21"/>
                <w:highlight w:val="none"/>
              </w:rPr>
            </w:pPr>
          </w:p>
        </w:tc>
      </w:tr>
    </w:tbl>
    <w:p w14:paraId="060DA853">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注：供应商可按上述的格式自行编制，须随表提交相应的证书复印件并注明所在响应技术文件页码。</w:t>
      </w:r>
    </w:p>
    <w:p w14:paraId="71BAB077">
      <w:pPr>
        <w:spacing w:line="360" w:lineRule="auto"/>
        <w:rPr>
          <w:rFonts w:hint="eastAsia" w:ascii="宋体" w:hAnsi="宋体" w:eastAsia="宋体" w:cs="宋体"/>
          <w:b/>
          <w:bCs/>
          <w:color w:val="auto"/>
          <w:sz w:val="21"/>
          <w:szCs w:val="21"/>
          <w:highlight w:val="none"/>
        </w:rPr>
      </w:pPr>
      <w:r>
        <w:rPr>
          <w:rFonts w:hint="eastAsia" w:ascii="宋体" w:hAnsi="宋体" w:eastAsia="宋体" w:cs="宋体"/>
          <w:b/>
          <w:color w:val="auto"/>
          <w:sz w:val="21"/>
          <w:szCs w:val="21"/>
          <w:highlight w:val="none"/>
        </w:rPr>
        <w:t>附表C:拟投入人员须提供其有效的资格或职称证书复印件及截标前半年内任意一个月参保证明或劳动合同证明</w:t>
      </w:r>
    </w:p>
    <w:p w14:paraId="6D6B023B">
      <w:pPr>
        <w:snapToGrid w:val="0"/>
        <w:spacing w:line="360" w:lineRule="auto"/>
        <w:ind w:firstLine="422" w:firstLineChars="200"/>
        <w:rPr>
          <w:rFonts w:hint="eastAsia" w:ascii="宋体" w:hAnsi="宋体" w:eastAsia="宋体" w:cs="宋体"/>
          <w:b/>
          <w:color w:val="auto"/>
          <w:sz w:val="21"/>
          <w:szCs w:val="21"/>
          <w:highlight w:val="none"/>
        </w:rPr>
      </w:pPr>
    </w:p>
    <w:p w14:paraId="09E53DBF">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5A62D760">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1A02090E">
      <w:pPr>
        <w:autoSpaceDE w:val="0"/>
        <w:autoSpaceDN w:val="0"/>
        <w:spacing w:line="360" w:lineRule="auto"/>
        <w:ind w:firstLine="5670" w:firstLineChars="2700"/>
        <w:rPr>
          <w:rFonts w:hint="eastAsia" w:ascii="宋体" w:hAnsi="宋体" w:cs="仿宋_GB2312"/>
          <w:b/>
          <w:color w:val="auto"/>
          <w:szCs w:val="21"/>
          <w:highlight w:val="none"/>
        </w:rPr>
      </w:pPr>
      <w:r>
        <w:rPr>
          <w:rFonts w:hint="eastAsia" w:ascii="宋体" w:hAnsi="宋体" w:eastAsia="宋体" w:cs="宋体"/>
          <w:color w:val="auto"/>
          <w:kern w:val="0"/>
          <w:sz w:val="21"/>
          <w:szCs w:val="21"/>
          <w:highlight w:val="none"/>
          <w:lang w:val="zh-CN"/>
        </w:rPr>
        <w:t>日期：  年  月   日</w:t>
      </w:r>
    </w:p>
    <w:p w14:paraId="3FBA3A13">
      <w:pPr>
        <w:shd w:val="clear" w:color="auto" w:fill="auto"/>
        <w:snapToGrid w:val="0"/>
        <w:spacing w:before="120" w:beforeLines="50" w:after="50" w:line="440" w:lineRule="exact"/>
        <w:rPr>
          <w:rFonts w:hint="eastAsia" w:ascii="宋体" w:hAnsi="宋体" w:cs="仿宋_GB2312"/>
          <w:b/>
          <w:color w:val="auto"/>
          <w:szCs w:val="21"/>
          <w:highlight w:val="none"/>
        </w:rPr>
      </w:pPr>
      <w:r>
        <w:rPr>
          <w:rFonts w:hint="eastAsia" w:ascii="宋体" w:hAnsi="宋体" w:cs="仿宋_GB2312"/>
          <w:b/>
          <w:color w:val="auto"/>
          <w:szCs w:val="21"/>
          <w:highlight w:val="none"/>
        </w:rPr>
        <w:t>十一、服务需求、商务条款要求提供的其他材料</w:t>
      </w:r>
    </w:p>
    <w:p w14:paraId="7F62E265">
      <w:pPr>
        <w:autoSpaceDE w:val="0"/>
        <w:autoSpaceDN w:val="0"/>
        <w:spacing w:line="360" w:lineRule="auto"/>
        <w:ind w:left="4335" w:leftChars="1950" w:hanging="240" w:hangingChars="100"/>
        <w:rPr>
          <w:rFonts w:hint="eastAsia" w:ascii="仿宋_GB2312" w:hAnsi="仿宋" w:eastAsia="仿宋_GB2312" w:cs="仿宋_GB2312"/>
          <w:color w:val="auto"/>
          <w:kern w:val="0"/>
          <w:sz w:val="24"/>
          <w:highlight w:val="none"/>
        </w:rPr>
      </w:pPr>
    </w:p>
    <w:p w14:paraId="14621C7D">
      <w:pPr>
        <w:autoSpaceDE w:val="0"/>
        <w:autoSpaceDN w:val="0"/>
        <w:spacing w:line="360" w:lineRule="auto"/>
        <w:ind w:firstLine="5692" w:firstLineChars="2700"/>
        <w:rPr>
          <w:rFonts w:hint="eastAsia" w:ascii="宋体" w:hAnsi="宋体" w:eastAsia="宋体" w:cs="宋体"/>
          <w:b/>
          <w:bCs/>
          <w:color w:val="auto"/>
          <w:sz w:val="21"/>
          <w:szCs w:val="21"/>
          <w:highlight w:val="none"/>
        </w:rPr>
      </w:pPr>
    </w:p>
    <w:p w14:paraId="020FF5F9">
      <w:pPr>
        <w:autoSpaceDE w:val="0"/>
        <w:autoSpaceDN w:val="0"/>
        <w:spacing w:line="360" w:lineRule="auto"/>
        <w:ind w:left="4305" w:leftChars="1950" w:hanging="210" w:hangingChars="100"/>
        <w:rPr>
          <w:rFonts w:hint="eastAsia" w:ascii="宋体" w:hAnsi="宋体" w:eastAsia="宋体" w:cs="宋体"/>
          <w:color w:val="auto"/>
          <w:kern w:val="0"/>
          <w:sz w:val="21"/>
          <w:szCs w:val="21"/>
          <w:highlight w:val="none"/>
        </w:rPr>
      </w:pPr>
      <w:r>
        <w:rPr>
          <w:rFonts w:hint="eastAsia" w:ascii="宋体" w:hAnsi="宋体" w:eastAsia="宋体" w:cs="宋体"/>
          <w:color w:val="auto"/>
          <w:kern w:val="0"/>
          <w:sz w:val="21"/>
          <w:szCs w:val="21"/>
          <w:highlight w:val="none"/>
        </w:rPr>
        <w:t>供应商名称（电子签章）：</w:t>
      </w:r>
    </w:p>
    <w:p w14:paraId="0D82E68E">
      <w:pPr>
        <w:autoSpaceDE w:val="0"/>
        <w:autoSpaceDN w:val="0"/>
        <w:spacing w:line="360" w:lineRule="auto"/>
        <w:ind w:firstLine="5670" w:firstLineChars="2700"/>
        <w:rPr>
          <w:rFonts w:hint="eastAsia" w:ascii="宋体" w:hAnsi="宋体" w:eastAsia="宋体" w:cs="宋体"/>
          <w:color w:val="auto"/>
          <w:kern w:val="0"/>
          <w:sz w:val="21"/>
          <w:szCs w:val="21"/>
          <w:highlight w:val="none"/>
          <w:lang w:val="zh-CN"/>
        </w:rPr>
      </w:pPr>
      <w:r>
        <w:rPr>
          <w:rFonts w:hint="eastAsia" w:ascii="宋体" w:hAnsi="宋体" w:eastAsia="宋体" w:cs="宋体"/>
          <w:color w:val="auto"/>
          <w:kern w:val="0"/>
          <w:sz w:val="21"/>
          <w:szCs w:val="21"/>
          <w:highlight w:val="none"/>
          <w:lang w:val="zh-CN"/>
        </w:rPr>
        <w:t>日期：  年  月   日</w:t>
      </w:r>
    </w:p>
    <w:p w14:paraId="4BAEABB3">
      <w:pPr>
        <w:widowControl/>
        <w:spacing w:line="360" w:lineRule="auto"/>
        <w:jc w:val="left"/>
        <w:rPr>
          <w:rFonts w:hint="eastAsia" w:ascii="仿宋_GB2312" w:hAnsi="仿宋" w:eastAsia="仿宋_GB2312" w:cs="仿宋_GB2312"/>
          <w:b/>
          <w:bCs/>
          <w:color w:val="auto"/>
          <w:sz w:val="24"/>
          <w:highlight w:val="none"/>
        </w:rPr>
        <w:sectPr>
          <w:pgSz w:w="11910" w:h="16840"/>
          <w:pgMar w:top="1340" w:right="1500" w:bottom="280" w:left="1680" w:header="720" w:footer="720" w:gutter="0"/>
          <w:cols w:space="720" w:num="1"/>
        </w:sectPr>
      </w:pPr>
    </w:p>
    <w:p w14:paraId="18E7F80C">
      <w:pPr>
        <w:jc w:val="center"/>
        <w:rPr>
          <w:rFonts w:hint="eastAsia" w:ascii="宋体" w:hAnsi="宋体"/>
          <w:b/>
          <w:bCs/>
          <w:color w:val="auto"/>
          <w:kern w:val="44"/>
          <w:sz w:val="24"/>
          <w:szCs w:val="44"/>
          <w:highlight w:val="none"/>
        </w:rPr>
      </w:pPr>
    </w:p>
    <w:p w14:paraId="39263834">
      <w:pPr>
        <w:pStyle w:val="3"/>
        <w:jc w:val="center"/>
        <w:rPr>
          <w:rFonts w:hint="eastAsia" w:ascii="宋体" w:hAnsi="宋体"/>
          <w:color w:val="auto"/>
          <w:kern w:val="44"/>
          <w:sz w:val="24"/>
          <w:szCs w:val="44"/>
          <w:highlight w:val="none"/>
        </w:rPr>
      </w:pPr>
      <w:bookmarkStart w:id="67" w:name="_Toc80205941"/>
      <w:bookmarkStart w:id="68" w:name="_Toc3564"/>
      <w:r>
        <w:rPr>
          <w:rFonts w:hint="eastAsia" w:ascii="宋体" w:hAnsi="宋体"/>
          <w:color w:val="auto"/>
          <w:kern w:val="44"/>
          <w:sz w:val="24"/>
          <w:szCs w:val="44"/>
          <w:highlight w:val="none"/>
        </w:rPr>
        <w:t>第四节 报价文件格式</w:t>
      </w:r>
      <w:bookmarkEnd w:id="67"/>
      <w:bookmarkEnd w:id="68"/>
    </w:p>
    <w:p w14:paraId="27BB4CF4">
      <w:pPr>
        <w:shd w:val="clear" w:color="auto" w:fill="auto"/>
        <w:snapToGrid w:val="0"/>
        <w:spacing w:before="120" w:beforeLines="50" w:after="50"/>
        <w:jc w:val="right"/>
        <w:rPr>
          <w:rFonts w:ascii="宋体" w:hAnsi="宋体"/>
          <w:color w:val="auto"/>
          <w:sz w:val="24"/>
          <w:highlight w:val="none"/>
        </w:rPr>
      </w:pPr>
    </w:p>
    <w:p w14:paraId="52993005">
      <w:pPr>
        <w:shd w:val="clear" w:color="auto" w:fill="auto"/>
        <w:snapToGrid w:val="0"/>
        <w:spacing w:before="120" w:beforeLines="50" w:after="50"/>
        <w:jc w:val="right"/>
        <w:rPr>
          <w:rFonts w:ascii="宋体" w:hAnsi="宋体"/>
          <w:bCs/>
          <w:color w:val="auto"/>
          <w:sz w:val="24"/>
          <w:highlight w:val="none"/>
        </w:rPr>
      </w:pPr>
      <w:r>
        <w:rPr>
          <w:rFonts w:hint="eastAsia" w:ascii="宋体" w:hAnsi="宋体"/>
          <w:color w:val="auto"/>
          <w:sz w:val="24"/>
          <w:highlight w:val="none"/>
        </w:rPr>
        <w:t xml:space="preserve">   </w:t>
      </w:r>
      <w:r>
        <w:rPr>
          <w:rFonts w:hint="eastAsia" w:ascii="宋体" w:hAnsi="宋体"/>
          <w:bCs/>
          <w:color w:val="auto"/>
          <w:sz w:val="24"/>
          <w:highlight w:val="none"/>
        </w:rPr>
        <w:t>全流程电子文件</w:t>
      </w:r>
    </w:p>
    <w:p w14:paraId="2096FEC4">
      <w:pPr>
        <w:shd w:val="clear" w:color="auto" w:fill="auto"/>
        <w:snapToGrid w:val="0"/>
        <w:spacing w:before="120" w:beforeLines="50" w:after="50"/>
        <w:rPr>
          <w:rFonts w:ascii="宋体" w:hAnsi="宋体"/>
          <w:color w:val="auto"/>
          <w:sz w:val="24"/>
          <w:highlight w:val="none"/>
        </w:rPr>
      </w:pPr>
    </w:p>
    <w:p w14:paraId="78D174DD">
      <w:pPr>
        <w:shd w:val="clear" w:color="auto" w:fill="auto"/>
        <w:snapToGrid w:val="0"/>
        <w:spacing w:before="120" w:beforeLines="50" w:after="50"/>
        <w:rPr>
          <w:rFonts w:ascii="宋体" w:hAnsi="宋体"/>
          <w:color w:val="auto"/>
          <w:sz w:val="24"/>
          <w:highlight w:val="none"/>
        </w:rPr>
      </w:pPr>
    </w:p>
    <w:p w14:paraId="35731AE4">
      <w:pPr>
        <w:shd w:val="clear" w:color="auto" w:fill="auto"/>
        <w:snapToGrid w:val="0"/>
        <w:spacing w:before="120" w:beforeLines="50" w:after="50"/>
        <w:rPr>
          <w:rFonts w:ascii="宋体" w:hAnsi="宋体"/>
          <w:color w:val="auto"/>
          <w:sz w:val="24"/>
          <w:highlight w:val="none"/>
        </w:rPr>
      </w:pPr>
    </w:p>
    <w:p w14:paraId="39322682">
      <w:pPr>
        <w:shd w:val="clear" w:color="auto" w:fill="auto"/>
        <w:snapToGrid w:val="0"/>
        <w:spacing w:before="120" w:beforeLines="50" w:after="50"/>
        <w:jc w:val="center"/>
        <w:rPr>
          <w:rFonts w:ascii="宋体" w:hAnsi="宋体" w:cs="方正小标宋简体"/>
          <w:bCs/>
          <w:color w:val="auto"/>
          <w:sz w:val="24"/>
          <w:highlight w:val="none"/>
        </w:rPr>
      </w:pPr>
      <w:r>
        <w:rPr>
          <w:rFonts w:hint="eastAsia" w:ascii="宋体" w:hAnsi="宋体" w:cs="方正小标宋简体"/>
          <w:bCs/>
          <w:color w:val="auto"/>
          <w:sz w:val="24"/>
          <w:highlight w:val="none"/>
        </w:rPr>
        <w:t xml:space="preserve">报 </w:t>
      </w:r>
      <w:r>
        <w:rPr>
          <w:rFonts w:ascii="宋体" w:hAnsi="宋体" w:cs="方正小标宋简体"/>
          <w:bCs/>
          <w:color w:val="auto"/>
          <w:sz w:val="24"/>
          <w:highlight w:val="none"/>
        </w:rPr>
        <w:t xml:space="preserve"> </w:t>
      </w:r>
      <w:r>
        <w:rPr>
          <w:rFonts w:hint="eastAsia" w:ascii="宋体" w:hAnsi="宋体" w:cs="方正小标宋简体"/>
          <w:bCs/>
          <w:color w:val="auto"/>
          <w:sz w:val="24"/>
          <w:highlight w:val="none"/>
        </w:rPr>
        <w:t>价  文  件（封面）</w:t>
      </w:r>
    </w:p>
    <w:p w14:paraId="1936434F">
      <w:pPr>
        <w:shd w:val="clear" w:color="auto" w:fill="auto"/>
        <w:snapToGrid w:val="0"/>
        <w:spacing w:before="120" w:beforeLines="50" w:after="50"/>
        <w:rPr>
          <w:rFonts w:ascii="宋体" w:hAnsi="宋体"/>
          <w:bCs/>
          <w:color w:val="auto"/>
          <w:sz w:val="24"/>
          <w:highlight w:val="none"/>
        </w:rPr>
      </w:pPr>
    </w:p>
    <w:p w14:paraId="14765D38">
      <w:pPr>
        <w:shd w:val="clear" w:color="auto" w:fill="auto"/>
        <w:snapToGrid w:val="0"/>
        <w:spacing w:before="120" w:beforeLines="50" w:after="50"/>
        <w:rPr>
          <w:rFonts w:ascii="宋体" w:hAnsi="宋体"/>
          <w:bCs/>
          <w:color w:val="auto"/>
          <w:sz w:val="24"/>
          <w:highlight w:val="none"/>
        </w:rPr>
      </w:pPr>
    </w:p>
    <w:p w14:paraId="28F038C2">
      <w:pPr>
        <w:shd w:val="clear" w:color="auto" w:fill="auto"/>
        <w:snapToGrid w:val="0"/>
        <w:spacing w:before="120" w:beforeLines="50" w:after="50"/>
        <w:rPr>
          <w:rFonts w:ascii="宋体" w:hAnsi="宋体"/>
          <w:bCs/>
          <w:color w:val="auto"/>
          <w:sz w:val="24"/>
          <w:highlight w:val="none"/>
        </w:rPr>
      </w:pPr>
    </w:p>
    <w:p w14:paraId="5B5373A0">
      <w:pPr>
        <w:shd w:val="clear" w:color="auto" w:fill="auto"/>
        <w:snapToGrid w:val="0"/>
        <w:spacing w:before="120" w:beforeLines="50" w:after="50"/>
        <w:rPr>
          <w:rFonts w:ascii="宋体" w:hAnsi="宋体"/>
          <w:bCs/>
          <w:color w:val="auto"/>
          <w:sz w:val="24"/>
          <w:highlight w:val="none"/>
        </w:rPr>
      </w:pPr>
    </w:p>
    <w:p w14:paraId="3D236613">
      <w:pPr>
        <w:shd w:val="clear" w:color="auto" w:fill="auto"/>
        <w:snapToGrid w:val="0"/>
        <w:spacing w:before="120" w:beforeLines="50" w:after="50"/>
        <w:rPr>
          <w:rFonts w:ascii="宋体" w:hAnsi="宋体"/>
          <w:bCs/>
          <w:color w:val="auto"/>
          <w:sz w:val="24"/>
          <w:highlight w:val="none"/>
        </w:rPr>
      </w:pPr>
    </w:p>
    <w:p w14:paraId="6EA9309F">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项目名称：</w:t>
      </w:r>
    </w:p>
    <w:p w14:paraId="47392303">
      <w:pPr>
        <w:shd w:val="clear" w:color="auto" w:fill="auto"/>
        <w:snapToGrid w:val="0"/>
        <w:spacing w:before="120" w:beforeLines="50" w:after="50"/>
        <w:ind w:firstLine="540" w:firstLineChars="225"/>
        <w:rPr>
          <w:rFonts w:ascii="宋体" w:hAnsi="宋体" w:cs="仿宋_GB2312"/>
          <w:bCs/>
          <w:color w:val="auto"/>
          <w:sz w:val="24"/>
          <w:highlight w:val="none"/>
        </w:rPr>
      </w:pPr>
    </w:p>
    <w:p w14:paraId="7A40A23F">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项目编号：</w:t>
      </w:r>
    </w:p>
    <w:p w14:paraId="23AD73C8">
      <w:pPr>
        <w:shd w:val="clear" w:color="auto" w:fill="auto"/>
        <w:snapToGrid w:val="0"/>
        <w:spacing w:before="120" w:beforeLines="50" w:after="50"/>
        <w:ind w:firstLine="540" w:firstLineChars="225"/>
        <w:rPr>
          <w:rFonts w:ascii="宋体" w:hAnsi="宋体" w:cs="仿宋_GB2312"/>
          <w:bCs/>
          <w:color w:val="auto"/>
          <w:sz w:val="24"/>
          <w:highlight w:val="none"/>
        </w:rPr>
      </w:pPr>
      <w:r>
        <w:rPr>
          <w:rFonts w:hint="eastAsia" w:ascii="宋体" w:hAnsi="宋体" w:cs="仿宋_GB2312"/>
          <w:bCs/>
          <w:color w:val="auto"/>
          <w:sz w:val="24"/>
          <w:highlight w:val="none"/>
        </w:rPr>
        <w:t xml:space="preserve"> </w:t>
      </w:r>
    </w:p>
    <w:p w14:paraId="458F9727">
      <w:pPr>
        <w:shd w:val="clear" w:color="auto" w:fill="auto"/>
        <w:snapToGrid w:val="0"/>
        <w:spacing w:before="120" w:beforeLines="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所竞分标（如有则填写，无分标时填写“无”或者留空）：</w:t>
      </w:r>
    </w:p>
    <w:p w14:paraId="18751BB6">
      <w:pPr>
        <w:shd w:val="clear" w:color="auto" w:fill="auto"/>
        <w:snapToGrid w:val="0"/>
        <w:spacing w:before="120" w:beforeLines="50" w:after="50"/>
        <w:ind w:firstLine="540" w:firstLineChars="225"/>
        <w:rPr>
          <w:rFonts w:ascii="宋体" w:hAnsi="宋体" w:cs="仿宋_GB2312"/>
          <w:bCs/>
          <w:color w:val="auto"/>
          <w:sz w:val="24"/>
          <w:highlight w:val="none"/>
        </w:rPr>
      </w:pPr>
    </w:p>
    <w:p w14:paraId="6B6D32F7">
      <w:pPr>
        <w:shd w:val="clear" w:color="auto" w:fill="auto"/>
        <w:snapToGrid w:val="0"/>
        <w:spacing w:before="50" w:after="50"/>
        <w:ind w:firstLine="480" w:firstLineChars="200"/>
        <w:rPr>
          <w:rFonts w:ascii="宋体" w:hAnsi="宋体" w:cs="仿宋_GB2312"/>
          <w:bCs/>
          <w:color w:val="auto"/>
          <w:sz w:val="24"/>
          <w:highlight w:val="none"/>
        </w:rPr>
      </w:pPr>
      <w:r>
        <w:rPr>
          <w:rFonts w:hint="eastAsia" w:ascii="宋体" w:hAnsi="宋体" w:cs="仿宋_GB2312"/>
          <w:bCs/>
          <w:color w:val="auto"/>
          <w:sz w:val="24"/>
          <w:highlight w:val="none"/>
        </w:rPr>
        <w:t>供应商名称：</w:t>
      </w:r>
    </w:p>
    <w:p w14:paraId="4F9C1493">
      <w:pPr>
        <w:shd w:val="clear" w:color="auto" w:fill="auto"/>
        <w:snapToGrid w:val="0"/>
        <w:spacing w:before="50" w:after="50"/>
        <w:ind w:firstLine="540" w:firstLineChars="225"/>
        <w:rPr>
          <w:rFonts w:ascii="宋体" w:hAnsi="宋体" w:cs="仿宋_GB2312"/>
          <w:bCs/>
          <w:color w:val="auto"/>
          <w:sz w:val="24"/>
          <w:highlight w:val="none"/>
        </w:rPr>
      </w:pPr>
    </w:p>
    <w:p w14:paraId="64F57C15">
      <w:pPr>
        <w:shd w:val="clear" w:color="auto" w:fill="auto"/>
        <w:snapToGrid w:val="0"/>
        <w:spacing w:before="50" w:after="50"/>
        <w:ind w:firstLine="540" w:firstLineChars="225"/>
        <w:rPr>
          <w:rFonts w:ascii="宋体" w:hAnsi="宋体" w:cs="仿宋_GB2312"/>
          <w:bCs/>
          <w:color w:val="auto"/>
          <w:sz w:val="24"/>
          <w:highlight w:val="none"/>
        </w:rPr>
      </w:pPr>
    </w:p>
    <w:p w14:paraId="3E00A33D">
      <w:pPr>
        <w:shd w:val="clear" w:color="auto" w:fill="auto"/>
        <w:snapToGrid w:val="0"/>
        <w:spacing w:before="50" w:after="50"/>
        <w:ind w:firstLine="960" w:firstLineChars="400"/>
        <w:rPr>
          <w:rFonts w:ascii="宋体" w:hAnsi="宋体" w:cs="仿宋_GB2312"/>
          <w:bCs/>
          <w:color w:val="auto"/>
          <w:sz w:val="24"/>
          <w:highlight w:val="none"/>
        </w:rPr>
      </w:pPr>
    </w:p>
    <w:p w14:paraId="236A7140">
      <w:pPr>
        <w:shd w:val="clear" w:color="auto" w:fill="auto"/>
        <w:snapToGrid w:val="0"/>
        <w:spacing w:before="120" w:beforeLines="50" w:after="50"/>
        <w:jc w:val="center"/>
        <w:rPr>
          <w:rFonts w:ascii="宋体" w:hAnsi="宋体" w:cs="仿宋_GB2312"/>
          <w:color w:val="auto"/>
          <w:sz w:val="24"/>
          <w:highlight w:val="none"/>
        </w:rPr>
      </w:pPr>
      <w:r>
        <w:rPr>
          <w:rFonts w:hint="eastAsia" w:ascii="宋体" w:hAnsi="宋体" w:cs="仿宋_GB2312"/>
          <w:color w:val="auto"/>
          <w:sz w:val="24"/>
          <w:highlight w:val="none"/>
        </w:rPr>
        <w:t>年    月    日</w:t>
      </w:r>
    </w:p>
    <w:p w14:paraId="005952A3">
      <w:pPr>
        <w:snapToGrid w:val="0"/>
        <w:spacing w:before="156" w:beforeLines="50" w:after="50" w:line="360" w:lineRule="auto"/>
        <w:ind w:left="142"/>
        <w:jc w:val="left"/>
        <w:rPr>
          <w:rFonts w:hint="eastAsia" w:ascii="宋体" w:hAnsi="宋体" w:eastAsia="宋体" w:cs="宋体"/>
          <w:color w:val="auto"/>
          <w:sz w:val="21"/>
          <w:szCs w:val="21"/>
          <w:highlight w:val="none"/>
        </w:rPr>
      </w:pPr>
      <w:r>
        <w:rPr>
          <w:rFonts w:hint="eastAsia" w:ascii="宋体" w:hAnsi="宋体"/>
          <w:color w:val="auto"/>
          <w:sz w:val="24"/>
          <w:highlight w:val="none"/>
        </w:rPr>
        <w:br w:type="page"/>
      </w:r>
      <w:r>
        <w:rPr>
          <w:rFonts w:hint="eastAsia" w:ascii="宋体" w:hAnsi="宋体" w:cs="Times New Roman"/>
          <w:b/>
          <w:bCs/>
          <w:color w:val="auto"/>
          <w:sz w:val="32"/>
          <w:szCs w:val="32"/>
          <w:highlight w:val="none"/>
          <w:lang w:val="en-US" w:eastAsia="zh-CN"/>
        </w:rPr>
        <w:t>3</w:t>
      </w:r>
      <w:r>
        <w:rPr>
          <w:rFonts w:hint="eastAsia" w:ascii="宋体" w:hAnsi="宋体" w:eastAsia="宋体" w:cs="Times New Roman"/>
          <w:b/>
          <w:bCs/>
          <w:color w:val="auto"/>
          <w:sz w:val="32"/>
          <w:szCs w:val="32"/>
          <w:highlight w:val="none"/>
          <w:lang w:val="en-US" w:eastAsia="zh-CN"/>
        </w:rPr>
        <w:t>、</w:t>
      </w:r>
      <w:r>
        <w:rPr>
          <w:rFonts w:hint="eastAsia" w:ascii="宋体" w:hAnsi="宋体" w:eastAsia="宋体" w:cs="Times New Roman"/>
          <w:b/>
          <w:bCs/>
          <w:color w:val="auto"/>
          <w:sz w:val="32"/>
          <w:szCs w:val="32"/>
          <w:highlight w:val="none"/>
        </w:rPr>
        <w:t>报价文件目录</w:t>
      </w:r>
    </w:p>
    <w:p w14:paraId="3C57FD1D">
      <w:pPr>
        <w:spacing w:line="400" w:lineRule="exact"/>
        <w:ind w:firstLine="640" w:firstLineChars="200"/>
        <w:rPr>
          <w:rFonts w:hint="eastAsia" w:ascii="宋体" w:hAnsi="宋体" w:eastAsia="宋体" w:cs="Times New Roman"/>
          <w:color w:val="auto"/>
          <w:sz w:val="32"/>
          <w:szCs w:val="32"/>
          <w:highlight w:val="none"/>
        </w:rPr>
      </w:pPr>
      <w:r>
        <w:rPr>
          <w:rFonts w:hint="eastAsia" w:ascii="宋体" w:hAnsi="宋体" w:eastAsia="宋体" w:cs="Times New Roman"/>
          <w:color w:val="auto"/>
          <w:sz w:val="32"/>
          <w:szCs w:val="32"/>
          <w:highlight w:val="none"/>
        </w:rPr>
        <w:t>根据磋商文件规定及供应商提供的材料自行编写目录（部分格式后附）。</w:t>
      </w:r>
    </w:p>
    <w:p w14:paraId="5C68C516">
      <w:pPr>
        <w:keepNext w:val="0"/>
        <w:keepLines w:val="0"/>
        <w:pageBreakBefore w:val="0"/>
        <w:kinsoku/>
        <w:wordWrap/>
        <w:overflowPunct/>
        <w:topLinePunct w:val="0"/>
        <w:bidi w:val="0"/>
        <w:adjustRightInd/>
        <w:snapToGrid w:val="0"/>
        <w:spacing w:before="120" w:beforeLines="50" w:after="50" w:line="380" w:lineRule="exact"/>
        <w:jc w:val="left"/>
        <w:textAlignment w:val="auto"/>
        <w:rPr>
          <w:rFonts w:hint="eastAsia" w:hAnsi="宋体" w:cs="仿宋_GB2312"/>
          <w:color w:val="auto"/>
          <w:sz w:val="21"/>
          <w:szCs w:val="21"/>
          <w:highlight w:val="none"/>
        </w:rPr>
      </w:pPr>
      <w:r>
        <w:rPr>
          <w:rFonts w:hAnsi="宋体" w:cs="仿宋_GB2312"/>
          <w:color w:val="auto"/>
          <w:sz w:val="24"/>
          <w:highlight w:val="none"/>
        </w:rPr>
        <w:br w:type="page"/>
      </w:r>
      <w:r>
        <w:rPr>
          <w:rFonts w:hint="eastAsia" w:hAnsi="宋体"/>
          <w:b/>
          <w:bCs/>
          <w:color w:val="auto"/>
          <w:sz w:val="21"/>
          <w:szCs w:val="21"/>
          <w:highlight w:val="none"/>
        </w:rPr>
        <w:t>一、响应函</w:t>
      </w:r>
    </w:p>
    <w:p w14:paraId="451E58CF">
      <w:pPr>
        <w:pStyle w:val="15"/>
        <w:keepNext w:val="0"/>
        <w:keepLines w:val="0"/>
        <w:pageBreakBefore w:val="0"/>
        <w:kinsoku/>
        <w:wordWrap/>
        <w:overflowPunct/>
        <w:topLinePunct w:val="0"/>
        <w:bidi w:val="0"/>
        <w:adjustRightInd/>
        <w:spacing w:line="380" w:lineRule="exact"/>
        <w:jc w:val="center"/>
        <w:textAlignment w:val="auto"/>
        <w:rPr>
          <w:rFonts w:ascii="Times New Roman" w:hAnsi="Times New Roman"/>
          <w:b/>
          <w:bCs/>
          <w:color w:val="auto"/>
          <w:sz w:val="21"/>
          <w:szCs w:val="21"/>
          <w:highlight w:val="none"/>
        </w:rPr>
      </w:pPr>
      <w:r>
        <w:rPr>
          <w:rFonts w:hint="eastAsia" w:ascii="Times New Roman" w:hAnsi="Times New Roman"/>
          <w:b/>
          <w:bCs/>
          <w:color w:val="auto"/>
          <w:sz w:val="21"/>
          <w:szCs w:val="21"/>
          <w:highlight w:val="none"/>
        </w:rPr>
        <w:t>响应函</w:t>
      </w:r>
    </w:p>
    <w:p w14:paraId="06340160">
      <w:pPr>
        <w:pStyle w:val="15"/>
        <w:keepNext w:val="0"/>
        <w:keepLines w:val="0"/>
        <w:pageBreakBefore w:val="0"/>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致：</w:t>
      </w:r>
      <w:r>
        <w:rPr>
          <w:rFonts w:hint="eastAsia" w:hAnsi="宋体" w:cs="宋体"/>
          <w:color w:val="auto"/>
          <w:sz w:val="21"/>
          <w:szCs w:val="21"/>
          <w:highlight w:val="none"/>
          <w:u w:val="single"/>
        </w:rPr>
        <w:t>广西国力招标有限公司</w:t>
      </w:r>
    </w:p>
    <w:p w14:paraId="1D4570DB">
      <w:pPr>
        <w:pStyle w:val="15"/>
        <w:keepNext w:val="0"/>
        <w:keepLines w:val="0"/>
        <w:pageBreakBefore w:val="0"/>
        <w:kinsoku/>
        <w:wordWrap/>
        <w:overflowPunct/>
        <w:topLinePunct w:val="0"/>
        <w:bidi w:val="0"/>
        <w:adjustRightInd/>
        <w:snapToGrid/>
        <w:spacing w:line="38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我方已仔细阅读了贵方组织的</w:t>
      </w:r>
      <w:r>
        <w:rPr>
          <w:rFonts w:hint="eastAsia" w:hAnsi="宋体" w:cs="宋体"/>
          <w:color w:val="auto"/>
          <w:sz w:val="21"/>
          <w:szCs w:val="21"/>
          <w:highlight w:val="none"/>
          <w:u w:val="single"/>
          <w:lang w:eastAsia="zh-CN"/>
        </w:rPr>
        <w:t>扶绥县就业公共服务能力提升项目—线上人力资源数据运营服务</w:t>
      </w:r>
      <w:r>
        <w:rPr>
          <w:rFonts w:hint="eastAsia" w:hAnsi="宋体" w:cs="宋体"/>
          <w:color w:val="auto"/>
          <w:sz w:val="21"/>
          <w:szCs w:val="21"/>
          <w:highlight w:val="none"/>
        </w:rPr>
        <w:t>项目（项目编号：</w:t>
      </w:r>
      <w:r>
        <w:rPr>
          <w:rFonts w:hint="eastAsia" w:hAnsi="宋体" w:cs="宋体"/>
          <w:color w:val="auto"/>
          <w:sz w:val="21"/>
          <w:szCs w:val="21"/>
          <w:highlight w:val="none"/>
          <w:u w:val="single"/>
          <w:lang w:eastAsia="zh-CN"/>
        </w:rPr>
        <w:t>CZZC2025-C3-210076-GLZB</w:t>
      </w:r>
      <w:r>
        <w:rPr>
          <w:rFonts w:hint="eastAsia" w:hAnsi="宋体" w:cs="宋体"/>
          <w:color w:val="auto"/>
          <w:sz w:val="21"/>
          <w:szCs w:val="21"/>
          <w:highlight w:val="none"/>
        </w:rPr>
        <w:t xml:space="preserve">）的竞争性磋商采购文件的全部内容，现正式递交下述文件参加贵方组织的本次政府采购活动： </w:t>
      </w:r>
    </w:p>
    <w:p w14:paraId="0938C428">
      <w:pPr>
        <w:pStyle w:val="15"/>
        <w:keepNext w:val="0"/>
        <w:keepLines w:val="0"/>
        <w:pageBreakBefore w:val="0"/>
        <w:kinsoku/>
        <w:wordWrap/>
        <w:overflowPunct/>
        <w:topLinePunct w:val="0"/>
        <w:bidi w:val="0"/>
        <w:adjustRightInd/>
        <w:snapToGrid/>
        <w:spacing w:line="38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一、首次报价文件</w:t>
      </w:r>
      <w:r>
        <w:rPr>
          <w:rFonts w:hint="eastAsia" w:hAnsi="宋体" w:cs="宋体"/>
          <w:color w:val="auto"/>
          <w:sz w:val="21"/>
          <w:szCs w:val="21"/>
          <w:highlight w:val="none"/>
          <w:lang w:eastAsia="zh-CN"/>
        </w:rPr>
        <w:t>电子版</w:t>
      </w:r>
      <w:r>
        <w:rPr>
          <w:rFonts w:hint="eastAsia" w:hAnsi="宋体" w:cs="宋体"/>
          <w:color w:val="auto"/>
          <w:sz w:val="21"/>
          <w:szCs w:val="21"/>
          <w:highlight w:val="none"/>
        </w:rPr>
        <w:t>（包含按“第三章 供应商须知”提交的全部文件）；</w:t>
      </w:r>
    </w:p>
    <w:p w14:paraId="62CADD77">
      <w:pPr>
        <w:pStyle w:val="15"/>
        <w:keepNext w:val="0"/>
        <w:keepLines w:val="0"/>
        <w:pageBreakBefore w:val="0"/>
        <w:kinsoku/>
        <w:wordWrap/>
        <w:overflowPunct/>
        <w:topLinePunct w:val="0"/>
        <w:bidi w:val="0"/>
        <w:adjustRightInd/>
        <w:snapToGrid/>
        <w:spacing w:line="38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二、技术文件电子版份（包含按“第三章 供应商须知”提交的全部文件）；商务文件</w:t>
      </w:r>
      <w:r>
        <w:rPr>
          <w:rFonts w:hint="eastAsia" w:hAnsi="宋体" w:cs="宋体"/>
          <w:color w:val="auto"/>
          <w:sz w:val="21"/>
          <w:szCs w:val="21"/>
          <w:highlight w:val="none"/>
          <w:lang w:eastAsia="zh-CN"/>
        </w:rPr>
        <w:t>电子版</w:t>
      </w:r>
      <w:r>
        <w:rPr>
          <w:rFonts w:hint="eastAsia" w:hAnsi="宋体" w:cs="宋体"/>
          <w:color w:val="auto"/>
          <w:sz w:val="21"/>
          <w:szCs w:val="21"/>
          <w:highlight w:val="none"/>
        </w:rPr>
        <w:t>（包含按“第三章 供应商须知”提交的全部文件）；（商务技术文件已合并装订成册）；</w:t>
      </w:r>
    </w:p>
    <w:p w14:paraId="38328181">
      <w:pPr>
        <w:pStyle w:val="15"/>
        <w:keepNext w:val="0"/>
        <w:keepLines w:val="0"/>
        <w:pageBreakBefore w:val="0"/>
        <w:kinsoku/>
        <w:wordWrap/>
        <w:overflowPunct/>
        <w:topLinePunct w:val="0"/>
        <w:bidi w:val="0"/>
        <w:adjustRightInd/>
        <w:snapToGrid/>
        <w:spacing w:line="38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三、资格证明文件电子版（包含按“第三章供应商须知”提交的全部文件）；</w:t>
      </w:r>
    </w:p>
    <w:p w14:paraId="1B9AF195">
      <w:pPr>
        <w:pStyle w:val="15"/>
        <w:keepNext w:val="0"/>
        <w:keepLines w:val="0"/>
        <w:pageBreakBefore w:val="0"/>
        <w:kinsoku/>
        <w:wordWrap/>
        <w:overflowPunct/>
        <w:topLinePunct w:val="0"/>
        <w:bidi w:val="0"/>
        <w:adjustRightInd/>
        <w:snapToGrid/>
        <w:spacing w:line="380" w:lineRule="exact"/>
        <w:ind w:firstLine="420" w:firstLineChars="200"/>
        <w:textAlignment w:val="auto"/>
        <w:rPr>
          <w:rFonts w:hint="eastAsia" w:hAnsi="宋体" w:cs="宋体"/>
          <w:color w:val="auto"/>
          <w:sz w:val="21"/>
          <w:szCs w:val="21"/>
          <w:highlight w:val="none"/>
        </w:rPr>
      </w:pPr>
      <w:r>
        <w:rPr>
          <w:rFonts w:hint="eastAsia" w:hAnsi="宋体" w:cs="宋体"/>
          <w:color w:val="auto"/>
          <w:sz w:val="21"/>
          <w:szCs w:val="21"/>
          <w:highlight w:val="none"/>
        </w:rPr>
        <w:t>据此函，签字人兹宣布：</w:t>
      </w:r>
    </w:p>
    <w:p w14:paraId="3AA97063">
      <w:pPr>
        <w:keepNext w:val="0"/>
        <w:keepLines w:val="0"/>
        <w:pageBreakBefore w:val="0"/>
        <w:shd w:val="clear" w:color="auto" w:fill="auto"/>
        <w:kinsoku/>
        <w:wordWrap/>
        <w:overflowPunct/>
        <w:topLinePunct w:val="0"/>
        <w:bidi w:val="0"/>
        <w:adjustRightInd/>
        <w:snapToGrid/>
        <w:spacing w:line="380" w:lineRule="exact"/>
        <w:ind w:firstLine="482"/>
        <w:textAlignment w:val="auto"/>
        <w:rPr>
          <w:rFonts w:ascii="宋体" w:hAnsi="宋体"/>
          <w:color w:val="auto"/>
          <w:highlight w:val="none"/>
        </w:rPr>
      </w:pPr>
      <w:r>
        <w:rPr>
          <w:rFonts w:hint="eastAsia" w:ascii="宋体" w:hAnsi="宋体"/>
          <w:color w:val="auto"/>
          <w:highlight w:val="none"/>
        </w:rPr>
        <w:t>1、我方愿意以（大写）人民币</w:t>
      </w:r>
      <w:r>
        <w:rPr>
          <w:rFonts w:hint="eastAsia" w:ascii="宋体" w:hAnsi="宋体"/>
          <w:color w:val="auto"/>
          <w:highlight w:val="none"/>
          <w:u w:val="single"/>
        </w:rPr>
        <w:t xml:space="preserve">              </w:t>
      </w:r>
      <w:r>
        <w:rPr>
          <w:rFonts w:hint="eastAsia" w:ascii="宋体" w:hAnsi="宋体"/>
          <w:color w:val="auto"/>
          <w:highlight w:val="none"/>
        </w:rPr>
        <w:t>（￥</w:t>
      </w:r>
      <w:r>
        <w:rPr>
          <w:rFonts w:hint="eastAsia" w:ascii="宋体" w:hAnsi="宋体"/>
          <w:color w:val="auto"/>
          <w:highlight w:val="none"/>
          <w:u w:val="single"/>
        </w:rPr>
        <w:t xml:space="preserve">          </w:t>
      </w:r>
      <w:r>
        <w:rPr>
          <w:rFonts w:hint="eastAsia" w:ascii="宋体" w:hAnsi="宋体"/>
          <w:color w:val="auto"/>
          <w:highlight w:val="none"/>
        </w:rPr>
        <w:t>元)的竞标总报价，提供服务期（无分标时填写）：</w:t>
      </w:r>
      <w:r>
        <w:rPr>
          <w:rFonts w:hint="eastAsia" w:ascii="宋体" w:hAnsi="宋体"/>
          <w:color w:val="auto"/>
          <w:highlight w:val="none"/>
          <w:u w:val="single"/>
        </w:rPr>
        <w:t xml:space="preserve">            </w:t>
      </w:r>
      <w:r>
        <w:rPr>
          <w:rFonts w:hint="eastAsia" w:ascii="宋体" w:hAnsi="宋体"/>
          <w:color w:val="auto"/>
          <w:highlight w:val="none"/>
        </w:rPr>
        <w:t>，提供本项目竞争性磋商采购文件第二章“服务需求一览表”中相应的采购内容。</w:t>
      </w:r>
    </w:p>
    <w:p w14:paraId="74D3F37A">
      <w:pPr>
        <w:keepNext w:val="0"/>
        <w:keepLines w:val="0"/>
        <w:pageBreakBefore w:val="0"/>
        <w:shd w:val="clear" w:color="auto" w:fill="auto"/>
        <w:kinsoku/>
        <w:wordWrap/>
        <w:overflowPunct/>
        <w:topLinePunct w:val="0"/>
        <w:bidi w:val="0"/>
        <w:adjustRightInd/>
        <w:snapToGrid/>
        <w:spacing w:line="380" w:lineRule="exact"/>
        <w:ind w:firstLine="482"/>
        <w:textAlignment w:val="auto"/>
        <w:rPr>
          <w:rFonts w:ascii="宋体" w:hAnsi="宋体"/>
          <w:color w:val="auto"/>
          <w:highlight w:val="none"/>
        </w:rPr>
      </w:pPr>
      <w:r>
        <w:rPr>
          <w:rFonts w:hint="eastAsia" w:ascii="宋体" w:hAnsi="宋体"/>
          <w:color w:val="auto"/>
          <w:highlight w:val="none"/>
        </w:rPr>
        <w:t>其中（有分标时填写）：</w:t>
      </w:r>
    </w:p>
    <w:p w14:paraId="70D2AAC9">
      <w:pPr>
        <w:keepNext w:val="0"/>
        <w:keepLines w:val="0"/>
        <w:pageBreakBefore w:val="0"/>
        <w:shd w:val="clear" w:color="auto" w:fill="auto"/>
        <w:kinsoku/>
        <w:wordWrap/>
        <w:overflowPunct/>
        <w:topLinePunct w:val="0"/>
        <w:bidi w:val="0"/>
        <w:adjustRightInd/>
        <w:snapToGrid/>
        <w:spacing w:line="380" w:lineRule="exact"/>
        <w:ind w:firstLine="482"/>
        <w:textAlignment w:val="auto"/>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14:paraId="2DC3505E">
      <w:pPr>
        <w:keepNext w:val="0"/>
        <w:keepLines w:val="0"/>
        <w:pageBreakBefore w:val="0"/>
        <w:shd w:val="clear" w:color="auto" w:fill="auto"/>
        <w:kinsoku/>
        <w:wordWrap/>
        <w:overflowPunct/>
        <w:topLinePunct w:val="0"/>
        <w:bidi w:val="0"/>
        <w:adjustRightInd/>
        <w:snapToGrid/>
        <w:spacing w:line="380" w:lineRule="exact"/>
        <w:ind w:firstLine="482"/>
        <w:textAlignment w:val="auto"/>
        <w:rPr>
          <w:rFonts w:ascii="宋体" w:hAnsi="宋体"/>
          <w:color w:val="auto"/>
          <w:highlight w:val="none"/>
        </w:rPr>
      </w:pPr>
      <w:r>
        <w:rPr>
          <w:rFonts w:hint="eastAsia" w:ascii="宋体" w:hAnsi="宋体"/>
          <w:color w:val="auto"/>
          <w:highlight w:val="none"/>
          <w:u w:val="single"/>
        </w:rPr>
        <w:t xml:space="preserve">    </w:t>
      </w:r>
      <w:r>
        <w:rPr>
          <w:rFonts w:hint="eastAsia" w:ascii="宋体" w:hAnsi="宋体"/>
          <w:color w:val="auto"/>
          <w:highlight w:val="none"/>
        </w:rPr>
        <w:t>分标报价为（大写）人民币</w:t>
      </w:r>
      <w:r>
        <w:rPr>
          <w:rFonts w:hint="eastAsia" w:ascii="宋体" w:hAnsi="宋体"/>
          <w:color w:val="auto"/>
          <w:highlight w:val="none"/>
          <w:u w:val="single"/>
        </w:rPr>
        <w:t xml:space="preserve">               </w:t>
      </w:r>
      <w:r>
        <w:rPr>
          <w:rFonts w:hint="eastAsia" w:ascii="宋体" w:hAnsi="宋体"/>
          <w:color w:val="auto"/>
          <w:highlight w:val="none"/>
        </w:rPr>
        <w:t xml:space="preserve"> (￥</w:t>
      </w:r>
      <w:r>
        <w:rPr>
          <w:rFonts w:hint="eastAsia" w:ascii="宋体" w:hAnsi="宋体"/>
          <w:color w:val="auto"/>
          <w:highlight w:val="none"/>
          <w:u w:val="single"/>
        </w:rPr>
        <w:t xml:space="preserve">           </w:t>
      </w:r>
      <w:r>
        <w:rPr>
          <w:rFonts w:hint="eastAsia" w:ascii="宋体" w:hAnsi="宋体"/>
          <w:color w:val="auto"/>
          <w:highlight w:val="none"/>
        </w:rPr>
        <w:t>元)，服务期：</w:t>
      </w:r>
      <w:r>
        <w:rPr>
          <w:rFonts w:hint="eastAsia" w:ascii="宋体" w:hAnsi="宋体"/>
          <w:color w:val="auto"/>
          <w:highlight w:val="none"/>
          <w:u w:val="single"/>
        </w:rPr>
        <w:t xml:space="preserve">          </w:t>
      </w:r>
      <w:r>
        <w:rPr>
          <w:rFonts w:hint="eastAsia" w:ascii="宋体" w:hAnsi="宋体"/>
          <w:color w:val="auto"/>
          <w:highlight w:val="none"/>
        </w:rPr>
        <w:t>；</w:t>
      </w:r>
    </w:p>
    <w:p w14:paraId="4CC319E9">
      <w:pPr>
        <w:keepNext w:val="0"/>
        <w:keepLines w:val="0"/>
        <w:pageBreakBefore w:val="0"/>
        <w:shd w:val="clear" w:color="auto" w:fill="auto"/>
        <w:kinsoku/>
        <w:wordWrap/>
        <w:overflowPunct/>
        <w:topLinePunct w:val="0"/>
        <w:bidi w:val="0"/>
        <w:adjustRightInd/>
        <w:snapToGrid/>
        <w:spacing w:line="380" w:lineRule="exact"/>
        <w:ind w:firstLine="482"/>
        <w:textAlignment w:val="auto"/>
        <w:rPr>
          <w:rFonts w:ascii="宋体" w:hAnsi="宋体"/>
          <w:color w:val="auto"/>
          <w:highlight w:val="none"/>
        </w:rPr>
      </w:pPr>
      <w:r>
        <w:rPr>
          <w:rFonts w:hint="eastAsia" w:ascii="宋体" w:hAnsi="宋体"/>
          <w:color w:val="auto"/>
          <w:highlight w:val="none"/>
        </w:rPr>
        <w:t>......</w:t>
      </w:r>
    </w:p>
    <w:p w14:paraId="35A68C2B">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rPr>
        <w:t>2、我方同意自本项目竞争性磋商采购文件采购公告规定的递交响应文件截止时间起遵循本响应函，并承诺在“第三章 供应商须知”规定的响应有效期内不修改、撤销响应文件。</w:t>
      </w:r>
    </w:p>
    <w:p w14:paraId="21788D5A">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rPr>
        <w:t>3、我方在此声明，所递交的响应文件及有关资料内容完整、真实和准确。</w:t>
      </w:r>
    </w:p>
    <w:p w14:paraId="4813CA0B">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rPr>
        <w:t>4、如本项目采购内容涉及须符合国家强制规定的，我方承诺我方本次竞标均符合国家有关强制规定。</w:t>
      </w:r>
    </w:p>
    <w:p w14:paraId="39DD8D2C">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rPr>
        <w:t>5、我方承诺未被列入失信被执行人、重大税收违法案件当事人名单、政府采购严重违法失信行为记录名单，并已经具备《中华人民共和国政府采购法》中规定的参加政府采购活动的供应商应当具备的条件：</w:t>
      </w:r>
    </w:p>
    <w:p w14:paraId="7EB362FD">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1</w:t>
      </w:r>
      <w:r>
        <w:rPr>
          <w:rFonts w:hint="eastAsia" w:hAnsi="宋体" w:cs="宋体"/>
          <w:color w:val="auto"/>
          <w:sz w:val="21"/>
          <w:szCs w:val="21"/>
          <w:highlight w:val="none"/>
          <w:lang w:eastAsia="zh-CN"/>
        </w:rPr>
        <w:t>）</w:t>
      </w:r>
      <w:r>
        <w:rPr>
          <w:rFonts w:hint="eastAsia" w:hAnsi="宋体" w:cs="宋体"/>
          <w:color w:val="auto"/>
          <w:sz w:val="21"/>
          <w:szCs w:val="21"/>
          <w:highlight w:val="none"/>
        </w:rPr>
        <w:t>具有独立承担民事责任的能力；</w:t>
      </w:r>
    </w:p>
    <w:p w14:paraId="08370E43">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2</w:t>
      </w:r>
      <w:r>
        <w:rPr>
          <w:rFonts w:hint="eastAsia" w:hAnsi="宋体" w:cs="宋体"/>
          <w:color w:val="auto"/>
          <w:sz w:val="21"/>
          <w:szCs w:val="21"/>
          <w:highlight w:val="none"/>
          <w:lang w:eastAsia="zh-CN"/>
        </w:rPr>
        <w:t>）</w:t>
      </w:r>
      <w:r>
        <w:rPr>
          <w:rFonts w:hint="eastAsia" w:hAnsi="宋体" w:cs="宋体"/>
          <w:color w:val="auto"/>
          <w:sz w:val="21"/>
          <w:szCs w:val="21"/>
          <w:highlight w:val="none"/>
        </w:rPr>
        <w:t>具有良好的商业信誉和健全的财务会计制度；</w:t>
      </w:r>
    </w:p>
    <w:p w14:paraId="14184569">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3</w:t>
      </w:r>
      <w:r>
        <w:rPr>
          <w:rFonts w:hint="eastAsia" w:hAnsi="宋体" w:cs="宋体"/>
          <w:color w:val="auto"/>
          <w:sz w:val="21"/>
          <w:szCs w:val="21"/>
          <w:highlight w:val="none"/>
          <w:lang w:eastAsia="zh-CN"/>
        </w:rPr>
        <w:t>）</w:t>
      </w:r>
      <w:r>
        <w:rPr>
          <w:rFonts w:hint="eastAsia" w:hAnsi="宋体" w:cs="宋体"/>
          <w:color w:val="auto"/>
          <w:sz w:val="21"/>
          <w:szCs w:val="21"/>
          <w:highlight w:val="none"/>
        </w:rPr>
        <w:t>具有履行合同所必需的设备和专业技术能力；</w:t>
      </w:r>
    </w:p>
    <w:p w14:paraId="27947727">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4</w:t>
      </w:r>
      <w:r>
        <w:rPr>
          <w:rFonts w:hint="eastAsia" w:hAnsi="宋体" w:cs="宋体"/>
          <w:color w:val="auto"/>
          <w:sz w:val="21"/>
          <w:szCs w:val="21"/>
          <w:highlight w:val="none"/>
          <w:lang w:eastAsia="zh-CN"/>
        </w:rPr>
        <w:t>）</w:t>
      </w:r>
      <w:r>
        <w:rPr>
          <w:rFonts w:hint="eastAsia" w:hAnsi="宋体" w:cs="宋体"/>
          <w:color w:val="auto"/>
          <w:sz w:val="21"/>
          <w:szCs w:val="21"/>
          <w:highlight w:val="none"/>
        </w:rPr>
        <w:t>有依法缴纳税收和社会保障资金的良好记录；</w:t>
      </w:r>
    </w:p>
    <w:p w14:paraId="4F64BACE">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5</w:t>
      </w:r>
      <w:r>
        <w:rPr>
          <w:rFonts w:hint="eastAsia" w:hAnsi="宋体" w:cs="宋体"/>
          <w:color w:val="auto"/>
          <w:sz w:val="21"/>
          <w:szCs w:val="21"/>
          <w:highlight w:val="none"/>
          <w:lang w:eastAsia="zh-CN"/>
        </w:rPr>
        <w:t>）</w:t>
      </w:r>
      <w:r>
        <w:rPr>
          <w:rFonts w:hint="eastAsia" w:hAnsi="宋体" w:cs="宋体"/>
          <w:color w:val="auto"/>
          <w:sz w:val="21"/>
          <w:szCs w:val="21"/>
          <w:highlight w:val="none"/>
        </w:rPr>
        <w:t>参加政府采购活动前三年内，在经营活动中没有重大违法记录；</w:t>
      </w:r>
    </w:p>
    <w:p w14:paraId="6DA85C4A">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eastAsia="zh-CN"/>
        </w:rPr>
        <w:t>（</w:t>
      </w:r>
      <w:r>
        <w:rPr>
          <w:rFonts w:hint="eastAsia" w:hAnsi="宋体" w:cs="宋体"/>
          <w:color w:val="auto"/>
          <w:sz w:val="21"/>
          <w:szCs w:val="21"/>
          <w:highlight w:val="none"/>
          <w:lang w:val="en-US" w:eastAsia="zh-CN"/>
        </w:rPr>
        <w:t>6</w:t>
      </w:r>
      <w:r>
        <w:rPr>
          <w:rFonts w:hint="eastAsia" w:hAnsi="宋体" w:cs="宋体"/>
          <w:color w:val="auto"/>
          <w:sz w:val="21"/>
          <w:szCs w:val="21"/>
          <w:highlight w:val="none"/>
          <w:lang w:eastAsia="zh-CN"/>
        </w:rPr>
        <w:t>）</w:t>
      </w:r>
      <w:r>
        <w:rPr>
          <w:rFonts w:hint="eastAsia" w:hAnsi="宋体" w:cs="宋体"/>
          <w:color w:val="auto"/>
          <w:sz w:val="21"/>
          <w:szCs w:val="21"/>
          <w:highlight w:val="none"/>
        </w:rPr>
        <w:t>法律、行政法规规定的其他条件</w:t>
      </w:r>
    </w:p>
    <w:p w14:paraId="7CC791B4">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6、</w:t>
      </w:r>
      <w:r>
        <w:rPr>
          <w:rFonts w:hint="eastAsia" w:hAnsi="宋体" w:cs="宋体"/>
          <w:color w:val="auto"/>
          <w:sz w:val="21"/>
          <w:szCs w:val="21"/>
          <w:highlight w:val="none"/>
        </w:rPr>
        <w:t>如我方成交，我方承诺在收到成交通知书后，在成交通知书规定的期限内，根据竞争性磋商采购文件、我方的响应文件及有关澄清承诺书的要求按第六章“合同文本”与采购人订立书面合同，并按照合同约定承担完成合同的责任和义务。</w:t>
      </w:r>
    </w:p>
    <w:p w14:paraId="004D5C33">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7</w:t>
      </w:r>
      <w:r>
        <w:rPr>
          <w:rFonts w:hint="eastAsia" w:hAnsi="宋体" w:cs="宋体"/>
          <w:color w:val="auto"/>
          <w:sz w:val="21"/>
          <w:szCs w:val="21"/>
          <w:highlight w:val="none"/>
        </w:rPr>
        <w:t>、我方已详细审核竞争性磋商采购文件，我方知道必须放弃提出含糊不清或误解问题的权利。</w:t>
      </w:r>
    </w:p>
    <w:p w14:paraId="72A1C97E">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8</w:t>
      </w:r>
      <w:r>
        <w:rPr>
          <w:rFonts w:hint="eastAsia" w:hAnsi="宋体" w:cs="宋体"/>
          <w:color w:val="auto"/>
          <w:sz w:val="21"/>
          <w:szCs w:val="21"/>
          <w:highlight w:val="none"/>
        </w:rPr>
        <w:t>、我方承诺满足竞争性磋商采购文件第六章“合同文本”的条款，承担完成合同的责任和义务。</w:t>
      </w:r>
    </w:p>
    <w:p w14:paraId="22DA66D1">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9</w:t>
      </w:r>
      <w:r>
        <w:rPr>
          <w:rFonts w:hint="eastAsia" w:hAnsi="宋体" w:cs="宋体"/>
          <w:color w:val="auto"/>
          <w:sz w:val="21"/>
          <w:szCs w:val="21"/>
          <w:highlight w:val="none"/>
        </w:rPr>
        <w:t>、我方同意应贵方要求提供与本竞标有关的任何数据或资料。若贵方需要，我方愿意提供我方作出的一切承诺的证明材料。</w:t>
      </w:r>
    </w:p>
    <w:p w14:paraId="177503F0">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lang w:val="en-US" w:eastAsia="zh-CN"/>
        </w:rPr>
        <w:t>10</w:t>
      </w:r>
      <w:r>
        <w:rPr>
          <w:rFonts w:hint="eastAsia" w:hAnsi="宋体" w:cs="宋体"/>
          <w:color w:val="auto"/>
          <w:sz w:val="21"/>
          <w:szCs w:val="21"/>
          <w:highlight w:val="none"/>
        </w:rPr>
        <w:t>、我方完全理解贵方不一定接受响应报价最低的竞标人为成交供应商的行为。</w:t>
      </w:r>
    </w:p>
    <w:p w14:paraId="46570F00">
      <w:pPr>
        <w:pStyle w:val="15"/>
        <w:keepNext w:val="0"/>
        <w:keepLines w:val="0"/>
        <w:pageBreakBefore w:val="0"/>
        <w:kinsoku/>
        <w:wordWrap/>
        <w:overflowPunct/>
        <w:topLinePunct w:val="0"/>
        <w:bidi w:val="0"/>
        <w:adjustRightInd/>
        <w:snapToGrid/>
        <w:spacing w:line="380" w:lineRule="exact"/>
        <w:ind w:firstLine="482"/>
        <w:textAlignment w:val="auto"/>
        <w:rPr>
          <w:rFonts w:hint="eastAsia" w:hAnsi="宋体" w:cs="宋体"/>
          <w:color w:val="auto"/>
          <w:sz w:val="21"/>
          <w:szCs w:val="21"/>
          <w:highlight w:val="none"/>
        </w:rPr>
      </w:pPr>
      <w:r>
        <w:rPr>
          <w:rFonts w:hint="eastAsia" w:hAnsi="宋体" w:cs="宋体"/>
          <w:color w:val="auto"/>
          <w:sz w:val="21"/>
          <w:szCs w:val="21"/>
          <w:highlight w:val="none"/>
        </w:rPr>
        <w:t>1</w:t>
      </w:r>
      <w:r>
        <w:rPr>
          <w:rFonts w:hint="eastAsia" w:hAnsi="宋体" w:cs="宋体"/>
          <w:color w:val="auto"/>
          <w:sz w:val="21"/>
          <w:szCs w:val="21"/>
          <w:highlight w:val="none"/>
          <w:lang w:val="en-US" w:eastAsia="zh-CN"/>
        </w:rPr>
        <w:t>1</w:t>
      </w:r>
      <w:r>
        <w:rPr>
          <w:rFonts w:hint="eastAsia" w:hAnsi="宋体" w:cs="宋体"/>
          <w:color w:val="auto"/>
          <w:sz w:val="21"/>
          <w:szCs w:val="21"/>
          <w:highlight w:val="none"/>
        </w:rPr>
        <w:t>、我方将严格遵守《中华人民共和国政府采购法》第七十七条的规定，即供应商有下列情形之一的，处以采购金额千分之五以上千分之十以下的罚款，列入不良行为记录名单，在一至三年内禁止参加政府采购活动，有违法所得的，并处没收违法所得，情节严重的，由工商行政管理机关吊销营业执照；构成犯罪的，依法追究刑事责任：</w:t>
      </w:r>
    </w:p>
    <w:p w14:paraId="3B1D34A8">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提供虚假材料谋取中标、成交的；</w:t>
      </w:r>
    </w:p>
    <w:p w14:paraId="52963B05">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采取不正当手段诋毁、排挤其他供应商的；</w:t>
      </w:r>
    </w:p>
    <w:p w14:paraId="07A3F3EE">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与采购人、其他供应商或者采购代理机构恶意串通的；</w:t>
      </w:r>
    </w:p>
    <w:p w14:paraId="5AF279A4">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向采购人、采购代理机构行贿或者提供其他不正当利益的；</w:t>
      </w:r>
    </w:p>
    <w:p w14:paraId="2EB605FB">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在采购过程中与采购人进行协商谈判的；</w:t>
      </w:r>
    </w:p>
    <w:p w14:paraId="719020C8">
      <w:pPr>
        <w:pStyle w:val="15"/>
        <w:keepNext w:val="0"/>
        <w:keepLines w:val="0"/>
        <w:pageBreakBefore w:val="0"/>
        <w:numPr>
          <w:ilvl w:val="0"/>
          <w:numId w:val="4"/>
        </w:numPr>
        <w:tabs>
          <w:tab w:val="left" w:pos="945"/>
        </w:tabs>
        <w:kinsoku/>
        <w:wordWrap/>
        <w:overflowPunct/>
        <w:topLinePunct w:val="0"/>
        <w:bidi w:val="0"/>
        <w:adjustRightInd/>
        <w:snapToGrid/>
        <w:spacing w:line="380" w:lineRule="exact"/>
        <w:textAlignment w:val="auto"/>
        <w:rPr>
          <w:rFonts w:hint="eastAsia" w:hAnsi="宋体" w:cs="宋体"/>
          <w:color w:val="auto"/>
          <w:sz w:val="21"/>
          <w:szCs w:val="21"/>
          <w:highlight w:val="none"/>
        </w:rPr>
      </w:pPr>
      <w:r>
        <w:rPr>
          <w:rFonts w:hint="eastAsia" w:hAnsi="宋体" w:cs="宋体"/>
          <w:color w:val="auto"/>
          <w:sz w:val="21"/>
          <w:szCs w:val="21"/>
          <w:highlight w:val="none"/>
        </w:rPr>
        <w:t>拒绝有关部门监督检查或提供虚假情况的。</w:t>
      </w:r>
    </w:p>
    <w:p w14:paraId="7EC1C38F">
      <w:pPr>
        <w:pStyle w:val="15"/>
        <w:keepNext w:val="0"/>
        <w:keepLines w:val="0"/>
        <w:pageBreakBefore w:val="0"/>
        <w:kinsoku/>
        <w:wordWrap/>
        <w:overflowPunct/>
        <w:topLinePunct w:val="0"/>
        <w:bidi w:val="0"/>
        <w:adjustRightInd/>
        <w:snapToGrid/>
        <w:spacing w:line="380" w:lineRule="exact"/>
        <w:ind w:firstLine="420"/>
        <w:textAlignment w:val="auto"/>
        <w:rPr>
          <w:rFonts w:hint="eastAsia" w:hAnsi="宋体" w:cs="宋体"/>
          <w:color w:val="auto"/>
          <w:sz w:val="21"/>
          <w:szCs w:val="21"/>
          <w:highlight w:val="none"/>
        </w:rPr>
      </w:pPr>
      <w:r>
        <w:rPr>
          <w:rFonts w:hint="eastAsia" w:hAnsi="宋体" w:cs="宋体"/>
          <w:color w:val="auto"/>
          <w:sz w:val="21"/>
          <w:szCs w:val="21"/>
          <w:highlight w:val="none"/>
        </w:rPr>
        <w:t>1</w:t>
      </w:r>
      <w:r>
        <w:rPr>
          <w:rFonts w:hint="eastAsia" w:hAnsi="宋体" w:cs="宋体"/>
          <w:color w:val="auto"/>
          <w:sz w:val="21"/>
          <w:szCs w:val="21"/>
          <w:highlight w:val="none"/>
          <w:lang w:val="en-US" w:eastAsia="zh-CN"/>
        </w:rPr>
        <w:t>2</w:t>
      </w:r>
      <w:r>
        <w:rPr>
          <w:rFonts w:hint="eastAsia" w:hAnsi="宋体" w:cs="宋体"/>
          <w:color w:val="auto"/>
          <w:sz w:val="21"/>
          <w:szCs w:val="21"/>
          <w:highlight w:val="none"/>
          <w:lang w:eastAsia="zh-CN"/>
        </w:rPr>
        <w:t>、</w:t>
      </w:r>
      <w:r>
        <w:rPr>
          <w:rFonts w:hint="eastAsia" w:hAnsi="宋体" w:cs="宋体"/>
          <w:color w:val="auto"/>
          <w:sz w:val="21"/>
          <w:szCs w:val="21"/>
          <w:highlight w:val="none"/>
        </w:rPr>
        <w:t>与本磋商有关的一切正式往来信函请寄：</w:t>
      </w:r>
    </w:p>
    <w:p w14:paraId="13646EFE">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rPr>
      </w:pPr>
      <w:r>
        <w:rPr>
          <w:rFonts w:hint="eastAsia" w:ascii="宋体" w:hAnsi="宋体"/>
          <w:color w:val="auto"/>
          <w:highlight w:val="none"/>
        </w:rPr>
        <w:t>地址：</w:t>
      </w:r>
      <w:r>
        <w:rPr>
          <w:rFonts w:hint="eastAsia" w:ascii="宋体" w:hAnsi="宋体"/>
          <w:color w:val="auto"/>
          <w:highlight w:val="none"/>
          <w:u w:val="single"/>
        </w:rPr>
        <w:t xml:space="preserve">                                                        </w:t>
      </w:r>
      <w:r>
        <w:rPr>
          <w:rFonts w:hint="eastAsia" w:ascii="宋体" w:hAnsi="宋体"/>
          <w:color w:val="auto"/>
          <w:highlight w:val="none"/>
        </w:rPr>
        <w:t xml:space="preserve"> </w:t>
      </w:r>
    </w:p>
    <w:p w14:paraId="2D2E9373">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u w:val="single"/>
        </w:rPr>
      </w:pPr>
      <w:r>
        <w:rPr>
          <w:rFonts w:hint="eastAsia" w:ascii="宋体" w:hAnsi="宋体"/>
          <w:color w:val="auto"/>
          <w:highlight w:val="none"/>
        </w:rPr>
        <w:t>电话：</w:t>
      </w:r>
      <w:r>
        <w:rPr>
          <w:rFonts w:hint="eastAsia" w:ascii="宋体" w:hAnsi="宋体"/>
          <w:color w:val="auto"/>
          <w:highlight w:val="none"/>
          <w:u w:val="single"/>
        </w:rPr>
        <w:t xml:space="preserve">                                      　　　　　　　　　</w:t>
      </w:r>
    </w:p>
    <w:p w14:paraId="36ABAB1C">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rPr>
      </w:pPr>
      <w:r>
        <w:rPr>
          <w:rFonts w:hint="eastAsia" w:ascii="宋体" w:hAnsi="宋体"/>
          <w:color w:val="auto"/>
          <w:highlight w:val="none"/>
        </w:rPr>
        <w:t>传真：</w:t>
      </w:r>
      <w:r>
        <w:rPr>
          <w:rFonts w:hint="eastAsia" w:ascii="宋体" w:hAnsi="宋体"/>
          <w:color w:val="auto"/>
          <w:highlight w:val="none"/>
          <w:u w:val="single"/>
        </w:rPr>
        <w:t>　　　　　　　　　　　　　　　　　　　　　　　　　　　　</w:t>
      </w:r>
    </w:p>
    <w:p w14:paraId="449B56A0">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u w:val="single"/>
        </w:rPr>
      </w:pPr>
      <w:r>
        <w:rPr>
          <w:rFonts w:hint="eastAsia" w:ascii="宋体" w:hAnsi="宋体"/>
          <w:color w:val="auto"/>
          <w:highlight w:val="none"/>
        </w:rPr>
        <w:t>邮政编码：</w:t>
      </w:r>
      <w:r>
        <w:rPr>
          <w:rFonts w:hint="eastAsia" w:ascii="宋体" w:hAnsi="宋体"/>
          <w:color w:val="auto"/>
          <w:highlight w:val="none"/>
          <w:u w:val="single"/>
        </w:rPr>
        <w:t xml:space="preserve">                                                    </w:t>
      </w:r>
    </w:p>
    <w:p w14:paraId="62B5FD4D">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u w:val="single"/>
        </w:rPr>
      </w:pPr>
      <w:r>
        <w:rPr>
          <w:rFonts w:hint="eastAsia" w:ascii="宋体" w:hAnsi="宋体"/>
          <w:color w:val="auto"/>
          <w:highlight w:val="none"/>
        </w:rPr>
        <w:t>开户名称：</w:t>
      </w:r>
      <w:r>
        <w:rPr>
          <w:rFonts w:hint="eastAsia" w:ascii="宋体" w:hAnsi="宋体"/>
          <w:color w:val="auto"/>
          <w:highlight w:val="none"/>
          <w:u w:val="single"/>
        </w:rPr>
        <w:t xml:space="preserve">                                                    </w:t>
      </w:r>
    </w:p>
    <w:p w14:paraId="2874934D">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u w:val="single"/>
        </w:rPr>
      </w:pPr>
      <w:r>
        <w:rPr>
          <w:rFonts w:hint="eastAsia" w:ascii="宋体" w:hAnsi="宋体"/>
          <w:color w:val="auto"/>
          <w:highlight w:val="none"/>
        </w:rPr>
        <w:t>开户银行：</w:t>
      </w:r>
      <w:r>
        <w:rPr>
          <w:rFonts w:hint="eastAsia" w:ascii="宋体" w:hAnsi="宋体"/>
          <w:color w:val="auto"/>
          <w:highlight w:val="none"/>
          <w:u w:val="single"/>
        </w:rPr>
        <w:t xml:space="preserve">                                                    </w:t>
      </w:r>
    </w:p>
    <w:p w14:paraId="443535D9">
      <w:pPr>
        <w:keepNext w:val="0"/>
        <w:keepLines w:val="0"/>
        <w:pageBreakBefore w:val="0"/>
        <w:shd w:val="clear" w:color="auto" w:fill="auto"/>
        <w:kinsoku/>
        <w:wordWrap/>
        <w:overflowPunct/>
        <w:topLinePunct w:val="0"/>
        <w:bidi w:val="0"/>
        <w:adjustRightInd/>
        <w:snapToGrid/>
        <w:spacing w:line="380" w:lineRule="exact"/>
        <w:ind w:firstLine="420"/>
        <w:textAlignment w:val="auto"/>
        <w:rPr>
          <w:rFonts w:ascii="宋体" w:hAnsi="宋体"/>
          <w:color w:val="auto"/>
          <w:highlight w:val="none"/>
          <w:u w:val="single"/>
        </w:rPr>
      </w:pPr>
      <w:r>
        <w:rPr>
          <w:rFonts w:hint="eastAsia" w:ascii="宋体" w:hAnsi="宋体"/>
          <w:color w:val="auto"/>
          <w:highlight w:val="none"/>
        </w:rPr>
        <w:t>银行账号：</w:t>
      </w:r>
      <w:r>
        <w:rPr>
          <w:rFonts w:hint="eastAsia" w:ascii="宋体" w:hAnsi="宋体"/>
          <w:color w:val="auto"/>
          <w:highlight w:val="none"/>
          <w:u w:val="single"/>
        </w:rPr>
        <w:t xml:space="preserve">                                                    </w:t>
      </w:r>
    </w:p>
    <w:p w14:paraId="6C56793D">
      <w:pPr>
        <w:keepNext w:val="0"/>
        <w:keepLines w:val="0"/>
        <w:pageBreakBefore w:val="0"/>
        <w:widowControl w:val="0"/>
        <w:numPr>
          <w:ilvl w:val="0"/>
          <w:numId w:val="0"/>
        </w:numPr>
        <w:shd w:val="clear" w:color="auto" w:fill="auto"/>
        <w:tabs>
          <w:tab w:val="left" w:pos="454"/>
          <w:tab w:val="left" w:pos="720"/>
          <w:tab w:val="left" w:pos="840"/>
          <w:tab w:val="left" w:pos="939"/>
        </w:tabs>
        <w:kinsoku/>
        <w:wordWrap/>
        <w:overflowPunct/>
        <w:topLinePunct w:val="0"/>
        <w:bidi w:val="0"/>
        <w:adjustRightInd/>
        <w:snapToGrid/>
        <w:spacing w:after="120" w:line="380" w:lineRule="exact"/>
        <w:ind w:left="141" w:leftChars="67" w:firstLine="315" w:firstLineChars="150"/>
        <w:jc w:val="both"/>
        <w:textAlignment w:val="auto"/>
        <w:rPr>
          <w:rFonts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特此承诺。</w:t>
      </w:r>
    </w:p>
    <w:p w14:paraId="69F3BD7E">
      <w:pPr>
        <w:keepNext w:val="0"/>
        <w:keepLines w:val="0"/>
        <w:pageBreakBefore w:val="0"/>
        <w:shd w:val="clear" w:color="auto" w:fill="auto"/>
        <w:kinsoku/>
        <w:wordWrap/>
        <w:overflowPunct/>
        <w:topLinePunct w:val="0"/>
        <w:bidi w:val="0"/>
        <w:adjustRightInd/>
        <w:snapToGrid/>
        <w:spacing w:line="380" w:lineRule="exact"/>
        <w:contextualSpacing/>
        <w:jc w:val="left"/>
        <w:textAlignment w:val="auto"/>
        <w:rPr>
          <w:rFonts w:ascii="宋体" w:hAnsi="宋体" w:cs="宋体"/>
          <w:color w:val="auto"/>
          <w:szCs w:val="21"/>
          <w:highlight w:val="none"/>
        </w:rPr>
      </w:pPr>
    </w:p>
    <w:p w14:paraId="27B38285">
      <w:pPr>
        <w:keepNext w:val="0"/>
        <w:keepLines w:val="0"/>
        <w:pageBreakBefore w:val="0"/>
        <w:shd w:val="clear" w:color="auto" w:fill="auto"/>
        <w:kinsoku/>
        <w:wordWrap/>
        <w:overflowPunct/>
        <w:topLinePunct w:val="0"/>
        <w:autoSpaceDE w:val="0"/>
        <w:autoSpaceDN w:val="0"/>
        <w:bidi w:val="0"/>
        <w:adjustRightInd/>
        <w:snapToGrid/>
        <w:spacing w:line="380" w:lineRule="exact"/>
        <w:ind w:left="4305" w:leftChars="1950" w:hanging="210" w:hangingChars="100"/>
        <w:textAlignment w:val="auto"/>
        <w:rPr>
          <w:rFonts w:ascii="宋体" w:hAnsi="宋体" w:cs="仿宋_GB2312"/>
          <w:color w:val="auto"/>
          <w:kern w:val="0"/>
          <w:szCs w:val="21"/>
          <w:highlight w:val="none"/>
        </w:rPr>
      </w:pPr>
      <w:r>
        <w:rPr>
          <w:rFonts w:hint="eastAsia" w:ascii="宋体" w:hAnsi="宋体" w:cs="仿宋_GB2312"/>
          <w:color w:val="auto"/>
          <w:kern w:val="0"/>
          <w:szCs w:val="21"/>
          <w:highlight w:val="none"/>
        </w:rPr>
        <w:t>供应商名称（电子签章）：</w:t>
      </w:r>
    </w:p>
    <w:p w14:paraId="0BC919B0">
      <w:pPr>
        <w:keepNext w:val="0"/>
        <w:keepLines w:val="0"/>
        <w:pageBreakBefore w:val="0"/>
        <w:shd w:val="clear" w:color="auto" w:fill="auto"/>
        <w:kinsoku/>
        <w:wordWrap/>
        <w:overflowPunct/>
        <w:topLinePunct w:val="0"/>
        <w:autoSpaceDE w:val="0"/>
        <w:autoSpaceDN w:val="0"/>
        <w:bidi w:val="0"/>
        <w:adjustRightInd/>
        <w:snapToGrid/>
        <w:spacing w:line="380" w:lineRule="exact"/>
        <w:ind w:firstLine="5670" w:firstLineChars="2700"/>
        <w:textAlignment w:val="auto"/>
        <w:rPr>
          <w:rFonts w:ascii="宋体" w:hAnsi="宋体" w:cs="仿宋_GB2312"/>
          <w:color w:val="auto"/>
          <w:kern w:val="0"/>
          <w:szCs w:val="21"/>
          <w:highlight w:val="none"/>
          <w:lang w:val="zh-CN"/>
        </w:rPr>
      </w:pPr>
      <w:r>
        <w:rPr>
          <w:rFonts w:hint="eastAsia" w:ascii="宋体" w:hAnsi="宋体" w:cs="仿宋_GB2312"/>
          <w:color w:val="auto"/>
          <w:kern w:val="0"/>
          <w:szCs w:val="21"/>
          <w:highlight w:val="none"/>
          <w:lang w:val="zh-CN"/>
        </w:rPr>
        <w:t>日期：  年  月   日</w:t>
      </w:r>
    </w:p>
    <w:p w14:paraId="54AF47EC">
      <w:pPr>
        <w:keepNext w:val="0"/>
        <w:keepLines w:val="0"/>
        <w:pageBreakBefore w:val="0"/>
        <w:widowControl/>
        <w:kinsoku/>
        <w:wordWrap/>
        <w:overflowPunct/>
        <w:topLinePunct w:val="0"/>
        <w:bidi w:val="0"/>
        <w:adjustRightInd/>
        <w:snapToGrid/>
        <w:spacing w:line="380" w:lineRule="exact"/>
        <w:jc w:val="left"/>
        <w:textAlignment w:val="auto"/>
        <w:rPr>
          <w:rFonts w:hint="eastAsia" w:ascii="宋体" w:hAnsi="宋体" w:cs="宋体"/>
          <w:color w:val="auto"/>
          <w:kern w:val="0"/>
          <w:sz w:val="21"/>
          <w:szCs w:val="21"/>
          <w:highlight w:val="none"/>
          <w:lang w:val="zh-CN"/>
        </w:rPr>
        <w:sectPr>
          <w:pgSz w:w="11910" w:h="16840"/>
          <w:pgMar w:top="1340" w:right="1500" w:bottom="280" w:left="1680" w:header="720" w:footer="720" w:gutter="0"/>
          <w:cols w:space="720" w:num="1"/>
        </w:sectPr>
      </w:pPr>
    </w:p>
    <w:p w14:paraId="66D2E1A8">
      <w:pPr>
        <w:keepNext w:val="0"/>
        <w:keepLines w:val="0"/>
        <w:pageBreakBefore w:val="0"/>
        <w:numPr>
          <w:ilvl w:val="0"/>
          <w:numId w:val="0"/>
        </w:numPr>
        <w:kinsoku/>
        <w:wordWrap/>
        <w:overflowPunct/>
        <w:topLinePunct w:val="0"/>
        <w:bidi w:val="0"/>
        <w:adjustRightInd/>
        <w:snapToGrid w:val="0"/>
        <w:spacing w:before="120" w:beforeLines="50" w:after="50" w:line="380" w:lineRule="exact"/>
        <w:jc w:val="left"/>
        <w:textAlignment w:val="auto"/>
        <w:rPr>
          <w:rFonts w:hint="eastAsia" w:hAnsi="宋体"/>
          <w:b/>
          <w:bCs/>
          <w:color w:val="auto"/>
          <w:sz w:val="21"/>
          <w:szCs w:val="21"/>
          <w:highlight w:val="none"/>
        </w:rPr>
      </w:pPr>
      <w:r>
        <w:rPr>
          <w:rFonts w:hint="eastAsia" w:ascii="Times New Roman" w:hAnsi="宋体" w:eastAsia="宋体" w:cs="Times New Roman"/>
          <w:b/>
          <w:bCs/>
          <w:color w:val="auto"/>
          <w:kern w:val="2"/>
          <w:sz w:val="21"/>
          <w:szCs w:val="21"/>
          <w:highlight w:val="none"/>
          <w:lang w:val="en-US" w:eastAsia="zh-CN" w:bidi="ar-SA"/>
        </w:rPr>
        <w:t>二、</w:t>
      </w:r>
      <w:r>
        <w:rPr>
          <w:rFonts w:hint="eastAsia" w:hAnsi="宋体"/>
          <w:b/>
          <w:bCs/>
          <w:color w:val="auto"/>
          <w:sz w:val="21"/>
          <w:szCs w:val="21"/>
          <w:highlight w:val="none"/>
        </w:rPr>
        <w:t>响应报价表</w:t>
      </w:r>
    </w:p>
    <w:p w14:paraId="0FA20EB3">
      <w:pPr>
        <w:pStyle w:val="31"/>
        <w:numPr>
          <w:ilvl w:val="0"/>
          <w:numId w:val="0"/>
        </w:numPr>
        <w:rPr>
          <w:rFonts w:hint="eastAsia"/>
          <w:color w:val="auto"/>
          <w:highlight w:val="none"/>
        </w:rPr>
      </w:pPr>
    </w:p>
    <w:p w14:paraId="56915A93">
      <w:pPr>
        <w:snapToGrid w:val="0"/>
        <w:spacing w:before="50" w:after="50" w:line="360" w:lineRule="auto"/>
        <w:rPr>
          <w:rFonts w:hint="eastAsia" w:ascii="宋体" w:hAnsi="宋体" w:eastAsia="宋体" w:cs="宋体"/>
          <w:color w:val="auto"/>
          <w:szCs w:val="21"/>
          <w:highlight w:val="none"/>
          <w:lang w:eastAsia="zh-CN"/>
        </w:rPr>
      </w:pPr>
      <w:r>
        <w:rPr>
          <w:rFonts w:hint="eastAsia" w:ascii="宋体" w:hAnsi="宋体" w:cs="宋体"/>
          <w:color w:val="auto"/>
          <w:szCs w:val="21"/>
          <w:highlight w:val="none"/>
        </w:rPr>
        <w:t>项目名称：</w:t>
      </w:r>
      <w:r>
        <w:rPr>
          <w:rFonts w:hint="eastAsia" w:ascii="宋体" w:hAnsi="宋体" w:cs="宋体"/>
          <w:color w:val="auto"/>
          <w:szCs w:val="21"/>
          <w:highlight w:val="none"/>
          <w:u w:val="single"/>
          <w:lang w:eastAsia="zh-CN"/>
        </w:rPr>
        <w:t>扶绥县就业公共服务能力提升项目—线上人力资源数据运营服务</w:t>
      </w:r>
    </w:p>
    <w:p w14:paraId="6C1CD52E">
      <w:pPr>
        <w:snapToGrid w:val="0"/>
        <w:spacing w:before="50" w:after="50" w:line="360" w:lineRule="auto"/>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项目编号：</w:t>
      </w:r>
      <w:r>
        <w:rPr>
          <w:rFonts w:hint="eastAsia" w:ascii="宋体" w:hAnsi="宋体" w:cs="宋体"/>
          <w:color w:val="auto"/>
          <w:szCs w:val="21"/>
          <w:highlight w:val="none"/>
          <w:u w:val="single"/>
          <w:lang w:eastAsia="zh-CN"/>
        </w:rPr>
        <w:t>CZZC2025-C3-210076-GLZB</w:t>
      </w:r>
      <w:r>
        <w:rPr>
          <w:rFonts w:hint="eastAsia" w:ascii="宋体" w:hAnsi="宋体" w:cs="宋体"/>
          <w:color w:val="auto"/>
          <w:szCs w:val="21"/>
          <w:highlight w:val="none"/>
        </w:rPr>
        <w:t xml:space="preserve">         </w:t>
      </w:r>
    </w:p>
    <w:p w14:paraId="1315EAD4">
      <w:pPr>
        <w:snapToGrid w:val="0"/>
        <w:spacing w:before="50" w:after="50" w:line="360" w:lineRule="auto"/>
        <w:rPr>
          <w:rFonts w:hint="default" w:ascii="宋体" w:hAnsi="宋体" w:eastAsia="宋体" w:cs="宋体"/>
          <w:color w:val="auto"/>
          <w:szCs w:val="21"/>
          <w:highlight w:val="none"/>
          <w:u w:val="single"/>
          <w:lang w:val="en-US" w:eastAsia="zh-CN"/>
        </w:rPr>
      </w:pPr>
      <w:r>
        <w:rPr>
          <w:rFonts w:hint="eastAsia" w:ascii="宋体" w:hAnsi="宋体" w:cs="宋体"/>
          <w:color w:val="auto"/>
          <w:szCs w:val="21"/>
          <w:highlight w:val="none"/>
        </w:rPr>
        <w:t>供应商名称：</w:t>
      </w:r>
      <w:r>
        <w:rPr>
          <w:rFonts w:hint="eastAsia" w:ascii="宋体" w:hAnsi="宋体" w:cs="宋体"/>
          <w:color w:val="auto"/>
          <w:szCs w:val="21"/>
          <w:highlight w:val="none"/>
          <w:u w:val="single"/>
          <w:lang w:val="en-US" w:eastAsia="zh-CN"/>
        </w:rPr>
        <w:t xml:space="preserve">         </w:t>
      </w:r>
    </w:p>
    <w:tbl>
      <w:tblPr>
        <w:tblStyle w:val="24"/>
        <w:tblW w:w="9531" w:type="dxa"/>
        <w:tblInd w:w="-40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36"/>
        <w:gridCol w:w="1005"/>
        <w:gridCol w:w="2205"/>
        <w:gridCol w:w="1192"/>
        <w:gridCol w:w="908"/>
        <w:gridCol w:w="1305"/>
        <w:gridCol w:w="1035"/>
        <w:gridCol w:w="645"/>
      </w:tblGrid>
      <w:tr w14:paraId="0C1B9F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3" w:hRule="atLeast"/>
        </w:trPr>
        <w:tc>
          <w:tcPr>
            <w:tcW w:w="1236" w:type="dxa"/>
            <w:tcBorders>
              <w:top w:val="single" w:color="auto" w:sz="4" w:space="0"/>
              <w:left w:val="single" w:color="auto" w:sz="4" w:space="0"/>
              <w:bottom w:val="single" w:color="auto" w:sz="4" w:space="0"/>
              <w:right w:val="single" w:color="auto" w:sz="4" w:space="0"/>
            </w:tcBorders>
            <w:noWrap/>
            <w:vAlign w:val="center"/>
          </w:tcPr>
          <w:p w14:paraId="6FF2068A">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序号</w:t>
            </w:r>
          </w:p>
        </w:tc>
        <w:tc>
          <w:tcPr>
            <w:tcW w:w="1005" w:type="dxa"/>
            <w:tcBorders>
              <w:top w:val="single" w:color="auto" w:sz="4" w:space="0"/>
              <w:left w:val="single" w:color="auto" w:sz="4" w:space="0"/>
              <w:bottom w:val="single" w:color="auto" w:sz="4" w:space="0"/>
              <w:right w:val="single" w:color="auto" w:sz="4" w:space="0"/>
            </w:tcBorders>
            <w:noWrap/>
            <w:vAlign w:val="center"/>
          </w:tcPr>
          <w:p w14:paraId="361B6F8D">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服务名称</w:t>
            </w:r>
          </w:p>
        </w:tc>
        <w:tc>
          <w:tcPr>
            <w:tcW w:w="2205" w:type="dxa"/>
            <w:tcBorders>
              <w:top w:val="single" w:color="auto" w:sz="4" w:space="0"/>
              <w:left w:val="single" w:color="auto" w:sz="4" w:space="0"/>
              <w:bottom w:val="single" w:color="auto" w:sz="4" w:space="0"/>
              <w:right w:val="single" w:color="auto" w:sz="4" w:space="0"/>
            </w:tcBorders>
            <w:noWrap/>
            <w:vAlign w:val="center"/>
          </w:tcPr>
          <w:p w14:paraId="6B8F2ADB">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具体服务内容（含具体服务范围、服务时间、服务标准等内容）</w:t>
            </w:r>
          </w:p>
        </w:tc>
        <w:tc>
          <w:tcPr>
            <w:tcW w:w="1192" w:type="dxa"/>
            <w:tcBorders>
              <w:top w:val="single" w:color="auto" w:sz="4" w:space="0"/>
              <w:left w:val="single" w:color="auto" w:sz="4" w:space="0"/>
              <w:bottom w:val="single" w:color="auto" w:sz="4" w:space="0"/>
              <w:right w:val="single" w:color="auto" w:sz="4" w:space="0"/>
            </w:tcBorders>
            <w:noWrap/>
            <w:vAlign w:val="center"/>
          </w:tcPr>
          <w:p w14:paraId="6B0C4231">
            <w:pPr>
              <w:keepNext w:val="0"/>
              <w:keepLines w:val="0"/>
              <w:suppressLineNumbers w:val="0"/>
              <w:spacing w:before="0" w:beforeAutospacing="0" w:after="0" w:afterAutospacing="0"/>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数量①</w:t>
            </w:r>
          </w:p>
        </w:tc>
        <w:tc>
          <w:tcPr>
            <w:tcW w:w="908" w:type="dxa"/>
            <w:tcBorders>
              <w:top w:val="single" w:color="auto" w:sz="4" w:space="0"/>
              <w:left w:val="single" w:color="auto" w:sz="4" w:space="0"/>
              <w:bottom w:val="single" w:color="auto" w:sz="4" w:space="0"/>
              <w:right w:val="single" w:color="auto" w:sz="4" w:space="0"/>
            </w:tcBorders>
            <w:noWrap/>
            <w:vAlign w:val="center"/>
          </w:tcPr>
          <w:p w14:paraId="75A22A74">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单价(元)②</w:t>
            </w:r>
          </w:p>
        </w:tc>
        <w:tc>
          <w:tcPr>
            <w:tcW w:w="1305" w:type="dxa"/>
            <w:tcBorders>
              <w:top w:val="single" w:color="auto" w:sz="4" w:space="0"/>
              <w:left w:val="single" w:color="auto" w:sz="4" w:space="0"/>
              <w:bottom w:val="single" w:color="auto" w:sz="4" w:space="0"/>
              <w:right w:val="single" w:color="auto" w:sz="4" w:space="0"/>
            </w:tcBorders>
            <w:noWrap/>
            <w:vAlign w:val="center"/>
          </w:tcPr>
          <w:p w14:paraId="00788870">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单项</w:t>
            </w:r>
            <w:r>
              <w:rPr>
                <w:rFonts w:hint="eastAsia" w:ascii="宋体" w:hAnsi="宋体" w:cs="宋体"/>
                <w:color w:val="auto"/>
                <w:szCs w:val="21"/>
                <w:highlight w:val="none"/>
                <w:lang w:eastAsia="zh-CN"/>
              </w:rPr>
              <w:t>合计</w:t>
            </w:r>
            <w:r>
              <w:rPr>
                <w:rFonts w:hint="eastAsia" w:ascii="宋体" w:hAnsi="宋体" w:cs="宋体"/>
                <w:color w:val="auto"/>
                <w:szCs w:val="21"/>
                <w:highlight w:val="none"/>
              </w:rPr>
              <w:t>（元）</w:t>
            </w:r>
          </w:p>
          <w:p w14:paraId="1DF7E371">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③＝①×②/费率</w:t>
            </w:r>
          </w:p>
        </w:tc>
        <w:tc>
          <w:tcPr>
            <w:tcW w:w="1035" w:type="dxa"/>
            <w:tcBorders>
              <w:top w:val="single" w:color="auto" w:sz="4" w:space="0"/>
              <w:left w:val="single" w:color="auto" w:sz="4" w:space="0"/>
              <w:bottom w:val="single" w:color="auto" w:sz="4" w:space="0"/>
              <w:right w:val="single" w:color="auto" w:sz="4" w:space="0"/>
            </w:tcBorders>
            <w:noWrap/>
          </w:tcPr>
          <w:p w14:paraId="5DC33CEF">
            <w:pPr>
              <w:keepNext w:val="0"/>
              <w:keepLines w:val="0"/>
              <w:suppressLineNumbers w:val="0"/>
              <w:spacing w:before="0" w:beforeAutospacing="0" w:after="0" w:afterAutospacing="0" w:line="360" w:lineRule="auto"/>
              <w:ind w:left="0" w:right="0"/>
              <w:jc w:val="center"/>
              <w:rPr>
                <w:rFonts w:hint="eastAsia" w:ascii="宋体" w:hAnsi="宋体" w:cs="宋体"/>
                <w:color w:val="auto"/>
                <w:szCs w:val="21"/>
                <w:highlight w:val="none"/>
              </w:rPr>
            </w:pPr>
            <w:r>
              <w:rPr>
                <w:rFonts w:hint="eastAsia" w:ascii="宋体" w:hAnsi="宋体" w:cs="宋体"/>
                <w:color w:val="auto"/>
                <w:szCs w:val="21"/>
                <w:highlight w:val="none"/>
              </w:rPr>
              <w:t>服务期限</w:t>
            </w:r>
          </w:p>
        </w:tc>
        <w:tc>
          <w:tcPr>
            <w:tcW w:w="645" w:type="dxa"/>
            <w:tcBorders>
              <w:top w:val="single" w:color="auto" w:sz="4" w:space="0"/>
              <w:left w:val="single" w:color="auto" w:sz="4" w:space="0"/>
              <w:bottom w:val="single" w:color="auto" w:sz="4" w:space="0"/>
              <w:right w:val="single" w:color="auto" w:sz="4" w:space="0"/>
            </w:tcBorders>
            <w:noWrap/>
            <w:vAlign w:val="center"/>
          </w:tcPr>
          <w:p w14:paraId="568FCE4E">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备注</w:t>
            </w:r>
          </w:p>
        </w:tc>
      </w:tr>
      <w:tr w14:paraId="57638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5" w:hRule="atLeast"/>
        </w:trPr>
        <w:tc>
          <w:tcPr>
            <w:tcW w:w="1236" w:type="dxa"/>
            <w:tcBorders>
              <w:top w:val="single" w:color="auto" w:sz="4" w:space="0"/>
              <w:left w:val="single" w:color="auto" w:sz="4" w:space="0"/>
              <w:bottom w:val="single" w:color="auto" w:sz="4" w:space="0"/>
              <w:right w:val="single" w:color="auto" w:sz="4" w:space="0"/>
            </w:tcBorders>
            <w:noWrap/>
            <w:vAlign w:val="center"/>
          </w:tcPr>
          <w:p w14:paraId="20656457">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1</w:t>
            </w:r>
          </w:p>
        </w:tc>
        <w:tc>
          <w:tcPr>
            <w:tcW w:w="1005" w:type="dxa"/>
            <w:tcBorders>
              <w:top w:val="single" w:color="auto" w:sz="4" w:space="0"/>
              <w:left w:val="single" w:color="auto" w:sz="4" w:space="0"/>
              <w:bottom w:val="single" w:color="auto" w:sz="4" w:space="0"/>
              <w:right w:val="single" w:color="auto" w:sz="4" w:space="0"/>
            </w:tcBorders>
            <w:noWrap/>
            <w:vAlign w:val="center"/>
          </w:tcPr>
          <w:p w14:paraId="144C2ED5">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2205" w:type="dxa"/>
            <w:tcBorders>
              <w:top w:val="single" w:color="auto" w:sz="4" w:space="0"/>
              <w:left w:val="single" w:color="auto" w:sz="4" w:space="0"/>
              <w:bottom w:val="single" w:color="auto" w:sz="4" w:space="0"/>
              <w:right w:val="single" w:color="auto" w:sz="4" w:space="0"/>
            </w:tcBorders>
            <w:noWrap/>
            <w:vAlign w:val="center"/>
          </w:tcPr>
          <w:p w14:paraId="34477BFE">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192" w:type="dxa"/>
            <w:tcBorders>
              <w:top w:val="single" w:color="auto" w:sz="4" w:space="0"/>
              <w:left w:val="single" w:color="auto" w:sz="4" w:space="0"/>
              <w:bottom w:val="single" w:color="auto" w:sz="4" w:space="0"/>
              <w:right w:val="single" w:color="auto" w:sz="4" w:space="0"/>
            </w:tcBorders>
            <w:noWrap/>
            <w:vAlign w:val="center"/>
          </w:tcPr>
          <w:p w14:paraId="1C04F87F">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908" w:type="dxa"/>
            <w:tcBorders>
              <w:top w:val="single" w:color="auto" w:sz="4" w:space="0"/>
              <w:left w:val="single" w:color="auto" w:sz="4" w:space="0"/>
              <w:bottom w:val="single" w:color="auto" w:sz="4" w:space="0"/>
              <w:right w:val="single" w:color="auto" w:sz="4" w:space="0"/>
            </w:tcBorders>
            <w:noWrap/>
            <w:vAlign w:val="center"/>
          </w:tcPr>
          <w:p w14:paraId="3BB60D29">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305" w:type="dxa"/>
            <w:tcBorders>
              <w:top w:val="single" w:color="auto" w:sz="4" w:space="0"/>
              <w:left w:val="single" w:color="auto" w:sz="4" w:space="0"/>
              <w:bottom w:val="single" w:color="auto" w:sz="4" w:space="0"/>
              <w:right w:val="single" w:color="auto" w:sz="4" w:space="0"/>
            </w:tcBorders>
            <w:noWrap/>
            <w:vAlign w:val="center"/>
          </w:tcPr>
          <w:p w14:paraId="7171EDFC">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035" w:type="dxa"/>
            <w:tcBorders>
              <w:top w:val="single" w:color="auto" w:sz="4" w:space="0"/>
              <w:left w:val="single" w:color="auto" w:sz="4" w:space="0"/>
              <w:bottom w:val="single" w:color="auto" w:sz="4" w:space="0"/>
              <w:right w:val="single" w:color="auto" w:sz="4" w:space="0"/>
            </w:tcBorders>
            <w:noWrap/>
          </w:tcPr>
          <w:p w14:paraId="51BDD2BB">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noWrap/>
            <w:vAlign w:val="center"/>
          </w:tcPr>
          <w:p w14:paraId="6B3C7907">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r>
      <w:tr w14:paraId="72794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1" w:hRule="atLeast"/>
        </w:trPr>
        <w:tc>
          <w:tcPr>
            <w:tcW w:w="1236" w:type="dxa"/>
            <w:tcBorders>
              <w:top w:val="single" w:color="auto" w:sz="4" w:space="0"/>
              <w:left w:val="single" w:color="auto" w:sz="4" w:space="0"/>
              <w:bottom w:val="single" w:color="auto" w:sz="4" w:space="0"/>
              <w:right w:val="single" w:color="auto" w:sz="4" w:space="0"/>
            </w:tcBorders>
            <w:noWrap/>
            <w:vAlign w:val="center"/>
          </w:tcPr>
          <w:p w14:paraId="684E8206">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2</w:t>
            </w:r>
          </w:p>
        </w:tc>
        <w:tc>
          <w:tcPr>
            <w:tcW w:w="1005" w:type="dxa"/>
            <w:tcBorders>
              <w:top w:val="single" w:color="auto" w:sz="4" w:space="0"/>
              <w:left w:val="single" w:color="auto" w:sz="4" w:space="0"/>
              <w:bottom w:val="single" w:color="auto" w:sz="4" w:space="0"/>
              <w:right w:val="single" w:color="auto" w:sz="4" w:space="0"/>
            </w:tcBorders>
            <w:noWrap/>
            <w:vAlign w:val="center"/>
          </w:tcPr>
          <w:p w14:paraId="6FC2ED63">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2205" w:type="dxa"/>
            <w:tcBorders>
              <w:top w:val="single" w:color="auto" w:sz="4" w:space="0"/>
              <w:left w:val="single" w:color="auto" w:sz="4" w:space="0"/>
              <w:bottom w:val="single" w:color="auto" w:sz="4" w:space="0"/>
              <w:right w:val="single" w:color="auto" w:sz="4" w:space="0"/>
            </w:tcBorders>
            <w:noWrap/>
            <w:vAlign w:val="center"/>
          </w:tcPr>
          <w:p w14:paraId="2822A186">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192" w:type="dxa"/>
            <w:tcBorders>
              <w:top w:val="single" w:color="auto" w:sz="4" w:space="0"/>
              <w:left w:val="single" w:color="auto" w:sz="4" w:space="0"/>
              <w:bottom w:val="single" w:color="auto" w:sz="4" w:space="0"/>
              <w:right w:val="single" w:color="auto" w:sz="4" w:space="0"/>
            </w:tcBorders>
            <w:noWrap/>
            <w:vAlign w:val="center"/>
          </w:tcPr>
          <w:p w14:paraId="5537282D">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908" w:type="dxa"/>
            <w:tcBorders>
              <w:top w:val="single" w:color="auto" w:sz="4" w:space="0"/>
              <w:left w:val="single" w:color="auto" w:sz="4" w:space="0"/>
              <w:bottom w:val="single" w:color="auto" w:sz="4" w:space="0"/>
              <w:right w:val="single" w:color="auto" w:sz="4" w:space="0"/>
            </w:tcBorders>
            <w:noWrap/>
            <w:vAlign w:val="center"/>
          </w:tcPr>
          <w:p w14:paraId="452E44BF">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305" w:type="dxa"/>
            <w:tcBorders>
              <w:top w:val="single" w:color="auto" w:sz="4" w:space="0"/>
              <w:left w:val="single" w:color="auto" w:sz="4" w:space="0"/>
              <w:bottom w:val="single" w:color="auto" w:sz="4" w:space="0"/>
              <w:right w:val="single" w:color="auto" w:sz="4" w:space="0"/>
            </w:tcBorders>
            <w:noWrap/>
            <w:vAlign w:val="center"/>
          </w:tcPr>
          <w:p w14:paraId="7567D41A">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035" w:type="dxa"/>
            <w:tcBorders>
              <w:top w:val="single" w:color="auto" w:sz="4" w:space="0"/>
              <w:left w:val="single" w:color="auto" w:sz="4" w:space="0"/>
              <w:bottom w:val="single" w:color="auto" w:sz="4" w:space="0"/>
              <w:right w:val="single" w:color="auto" w:sz="4" w:space="0"/>
            </w:tcBorders>
            <w:noWrap/>
          </w:tcPr>
          <w:p w14:paraId="694EEF2B">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noWrap/>
            <w:vAlign w:val="center"/>
          </w:tcPr>
          <w:p w14:paraId="618DE7EB">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r>
      <w:tr w14:paraId="34F68C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8" w:hRule="atLeast"/>
        </w:trPr>
        <w:tc>
          <w:tcPr>
            <w:tcW w:w="1236" w:type="dxa"/>
            <w:tcBorders>
              <w:top w:val="single" w:color="auto" w:sz="4" w:space="0"/>
              <w:left w:val="single" w:color="auto" w:sz="4" w:space="0"/>
              <w:bottom w:val="single" w:color="auto" w:sz="4" w:space="0"/>
              <w:right w:val="single" w:color="auto" w:sz="4" w:space="0"/>
            </w:tcBorders>
            <w:noWrap/>
            <w:vAlign w:val="center"/>
          </w:tcPr>
          <w:p w14:paraId="1DDF2399">
            <w:pPr>
              <w:keepNext w:val="0"/>
              <w:keepLines w:val="0"/>
              <w:suppressLineNumbers w:val="0"/>
              <w:spacing w:before="0" w:beforeAutospacing="0" w:after="0" w:afterAutospacing="0"/>
              <w:ind w:left="0" w:right="0"/>
              <w:rPr>
                <w:rFonts w:hint="eastAsia" w:ascii="宋体" w:hAnsi="宋体" w:cs="宋体"/>
                <w:color w:val="auto"/>
                <w:szCs w:val="21"/>
                <w:highlight w:val="none"/>
              </w:rPr>
            </w:pPr>
            <w:r>
              <w:rPr>
                <w:rFonts w:hint="eastAsia" w:ascii="宋体" w:hAnsi="宋体" w:cs="宋体"/>
                <w:color w:val="auto"/>
                <w:szCs w:val="21"/>
                <w:highlight w:val="none"/>
              </w:rPr>
              <w:t>...</w:t>
            </w:r>
          </w:p>
        </w:tc>
        <w:tc>
          <w:tcPr>
            <w:tcW w:w="1005" w:type="dxa"/>
            <w:tcBorders>
              <w:top w:val="single" w:color="auto" w:sz="4" w:space="0"/>
              <w:left w:val="single" w:color="auto" w:sz="4" w:space="0"/>
              <w:bottom w:val="single" w:color="auto" w:sz="4" w:space="0"/>
              <w:right w:val="single" w:color="auto" w:sz="4" w:space="0"/>
            </w:tcBorders>
            <w:noWrap/>
            <w:vAlign w:val="center"/>
          </w:tcPr>
          <w:p w14:paraId="6DA457A9">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2205" w:type="dxa"/>
            <w:tcBorders>
              <w:top w:val="single" w:color="auto" w:sz="4" w:space="0"/>
              <w:left w:val="single" w:color="auto" w:sz="4" w:space="0"/>
              <w:bottom w:val="single" w:color="auto" w:sz="4" w:space="0"/>
              <w:right w:val="single" w:color="auto" w:sz="4" w:space="0"/>
            </w:tcBorders>
            <w:noWrap/>
            <w:vAlign w:val="center"/>
          </w:tcPr>
          <w:p w14:paraId="4A946121">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192" w:type="dxa"/>
            <w:tcBorders>
              <w:top w:val="single" w:color="auto" w:sz="4" w:space="0"/>
              <w:left w:val="single" w:color="auto" w:sz="4" w:space="0"/>
              <w:bottom w:val="single" w:color="auto" w:sz="4" w:space="0"/>
              <w:right w:val="single" w:color="auto" w:sz="4" w:space="0"/>
            </w:tcBorders>
            <w:noWrap/>
            <w:vAlign w:val="center"/>
          </w:tcPr>
          <w:p w14:paraId="39326EE2">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908" w:type="dxa"/>
            <w:tcBorders>
              <w:top w:val="single" w:color="auto" w:sz="4" w:space="0"/>
              <w:left w:val="single" w:color="auto" w:sz="4" w:space="0"/>
              <w:bottom w:val="single" w:color="auto" w:sz="4" w:space="0"/>
              <w:right w:val="single" w:color="auto" w:sz="4" w:space="0"/>
            </w:tcBorders>
            <w:noWrap/>
            <w:vAlign w:val="center"/>
          </w:tcPr>
          <w:p w14:paraId="024C0287">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305" w:type="dxa"/>
            <w:tcBorders>
              <w:top w:val="single" w:color="auto" w:sz="4" w:space="0"/>
              <w:left w:val="single" w:color="auto" w:sz="4" w:space="0"/>
              <w:bottom w:val="single" w:color="auto" w:sz="4" w:space="0"/>
              <w:right w:val="single" w:color="auto" w:sz="4" w:space="0"/>
            </w:tcBorders>
            <w:noWrap/>
            <w:vAlign w:val="center"/>
          </w:tcPr>
          <w:p w14:paraId="6D54DC3D">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1035" w:type="dxa"/>
            <w:tcBorders>
              <w:top w:val="single" w:color="auto" w:sz="4" w:space="0"/>
              <w:left w:val="single" w:color="auto" w:sz="4" w:space="0"/>
              <w:bottom w:val="single" w:color="auto" w:sz="4" w:space="0"/>
              <w:right w:val="single" w:color="auto" w:sz="4" w:space="0"/>
            </w:tcBorders>
            <w:noWrap/>
          </w:tcPr>
          <w:p w14:paraId="060D1EF8">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c>
          <w:tcPr>
            <w:tcW w:w="645" w:type="dxa"/>
            <w:tcBorders>
              <w:top w:val="single" w:color="auto" w:sz="4" w:space="0"/>
              <w:left w:val="single" w:color="auto" w:sz="4" w:space="0"/>
              <w:bottom w:val="single" w:color="auto" w:sz="4" w:space="0"/>
              <w:right w:val="single" w:color="auto" w:sz="4" w:space="0"/>
            </w:tcBorders>
            <w:noWrap/>
            <w:vAlign w:val="center"/>
          </w:tcPr>
          <w:p w14:paraId="3C74BEFE">
            <w:pPr>
              <w:keepNext w:val="0"/>
              <w:keepLines w:val="0"/>
              <w:suppressLineNumbers w:val="0"/>
              <w:spacing w:before="0" w:beforeAutospacing="0" w:after="0" w:afterAutospacing="0"/>
              <w:ind w:left="0" w:right="0"/>
              <w:rPr>
                <w:rFonts w:hint="eastAsia" w:ascii="宋体" w:hAnsi="宋体" w:cs="宋体"/>
                <w:color w:val="auto"/>
                <w:szCs w:val="21"/>
                <w:highlight w:val="none"/>
              </w:rPr>
            </w:pPr>
          </w:p>
        </w:tc>
      </w:tr>
      <w:tr w14:paraId="182E8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31" w:type="dxa"/>
            <w:gridSpan w:val="8"/>
            <w:tcBorders>
              <w:top w:val="single" w:color="auto" w:sz="4" w:space="0"/>
              <w:left w:val="single" w:color="auto" w:sz="4" w:space="0"/>
              <w:bottom w:val="single" w:color="auto" w:sz="4" w:space="0"/>
              <w:right w:val="single" w:color="auto" w:sz="4" w:space="0"/>
            </w:tcBorders>
            <w:noWrap/>
            <w:vAlign w:val="center"/>
          </w:tcPr>
          <w:p w14:paraId="0D07693B">
            <w:pPr>
              <w:keepNext w:val="0"/>
              <w:keepLines w:val="0"/>
              <w:suppressLineNumbers w:val="0"/>
              <w:spacing w:before="0" w:beforeAutospacing="0" w:after="0" w:afterAutospacing="0"/>
              <w:ind w:left="210" w:right="0" w:hanging="210" w:hangingChars="100"/>
              <w:jc w:val="center"/>
              <w:rPr>
                <w:rFonts w:hint="eastAsia" w:ascii="宋体" w:hAnsi="宋体" w:cs="宋体"/>
                <w:color w:val="auto"/>
                <w:szCs w:val="21"/>
                <w:highlight w:val="none"/>
              </w:rPr>
            </w:pPr>
            <w:r>
              <w:rPr>
                <w:rFonts w:hint="eastAsia" w:ascii="宋体" w:hAnsi="宋体" w:cs="宋体"/>
                <w:color w:val="auto"/>
                <w:szCs w:val="21"/>
                <w:highlight w:val="none"/>
              </w:rPr>
              <w:t>报价合计（包含税费等所有费用）：（大写）人民币</w:t>
            </w:r>
            <w:r>
              <w:rPr>
                <w:rFonts w:hint="eastAsia" w:ascii="宋体" w:hAnsi="宋体" w:cs="宋体"/>
                <w:color w:val="auto"/>
                <w:szCs w:val="21"/>
                <w:highlight w:val="none"/>
                <w:lang w:val="en-US" w:eastAsia="zh-CN"/>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w:t>
            </w:r>
            <w:r>
              <w:rPr>
                <w:rFonts w:hint="eastAsia" w:ascii="宋体" w:hAnsi="宋体" w:cs="宋体"/>
                <w:color w:val="auto"/>
                <w:szCs w:val="21"/>
                <w:highlight w:val="none"/>
                <w:u w:val="single"/>
              </w:rPr>
              <w:t xml:space="preserve">              </w:t>
            </w:r>
            <w:r>
              <w:rPr>
                <w:rFonts w:hint="eastAsia" w:ascii="宋体" w:hAnsi="宋体" w:cs="宋体"/>
                <w:color w:val="auto"/>
                <w:szCs w:val="21"/>
                <w:highlight w:val="none"/>
              </w:rPr>
              <w:t xml:space="preserve"> 元）</w:t>
            </w:r>
          </w:p>
        </w:tc>
      </w:tr>
      <w:tr w14:paraId="4CDCB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31" w:type="dxa"/>
            <w:gridSpan w:val="8"/>
            <w:tcBorders>
              <w:top w:val="single" w:color="auto" w:sz="4" w:space="0"/>
              <w:left w:val="single" w:color="auto" w:sz="4" w:space="0"/>
              <w:bottom w:val="single" w:color="auto" w:sz="4" w:space="0"/>
              <w:right w:val="single" w:color="auto" w:sz="4" w:space="0"/>
            </w:tcBorders>
            <w:noWrap/>
            <w:vAlign w:val="center"/>
          </w:tcPr>
          <w:p w14:paraId="0E06CFCC">
            <w:pPr>
              <w:keepNext w:val="0"/>
              <w:keepLines w:val="0"/>
              <w:suppressLineNumbers w:val="0"/>
              <w:spacing w:before="0" w:beforeAutospacing="0" w:after="0" w:afterAutospacing="0"/>
              <w:ind w:left="0" w:right="0"/>
              <w:jc w:val="both"/>
              <w:rPr>
                <w:rFonts w:hint="eastAsia" w:ascii="宋体" w:hAnsi="宋体" w:cs="宋体"/>
                <w:color w:val="auto"/>
                <w:szCs w:val="21"/>
                <w:highlight w:val="none"/>
              </w:rPr>
            </w:pPr>
            <w:r>
              <w:rPr>
                <w:rFonts w:hint="eastAsia" w:ascii="宋体" w:hAnsi="宋体" w:cs="宋体"/>
                <w:color w:val="auto"/>
                <w:szCs w:val="21"/>
                <w:highlight w:val="none"/>
                <w:u w:val="single"/>
                <w:lang w:val="en-US" w:eastAsia="zh-CN"/>
              </w:rPr>
              <w:t xml:space="preserve">     </w:t>
            </w:r>
            <w:r>
              <w:rPr>
                <w:rFonts w:hint="eastAsia" w:ascii="宋体" w:hAnsi="宋体" w:cs="宋体"/>
                <w:color w:val="auto"/>
                <w:szCs w:val="21"/>
                <w:highlight w:val="none"/>
              </w:rPr>
              <w:t>分标（此处有分标时填写具体分标号，无分标时填写“无”）</w:t>
            </w:r>
          </w:p>
        </w:tc>
      </w:tr>
      <w:tr w14:paraId="53DF5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31" w:type="dxa"/>
            <w:gridSpan w:val="8"/>
            <w:tcBorders>
              <w:top w:val="single" w:color="auto" w:sz="4" w:space="0"/>
              <w:left w:val="single" w:color="auto" w:sz="4" w:space="0"/>
              <w:bottom w:val="single" w:color="auto" w:sz="4" w:space="0"/>
              <w:right w:val="single" w:color="auto" w:sz="4" w:space="0"/>
            </w:tcBorders>
            <w:noWrap/>
            <w:vAlign w:val="center"/>
          </w:tcPr>
          <w:p w14:paraId="220278ED">
            <w:pPr>
              <w:keepNext w:val="0"/>
              <w:keepLines w:val="0"/>
              <w:suppressLineNumbers w:val="0"/>
              <w:spacing w:before="0" w:beforeAutospacing="0" w:after="0" w:afterAutospacing="0"/>
              <w:ind w:left="0" w:right="0"/>
              <w:jc w:val="both"/>
              <w:rPr>
                <w:rFonts w:hint="eastAsia" w:ascii="宋体" w:hAnsi="宋体" w:cs="宋体"/>
                <w:color w:val="auto"/>
                <w:szCs w:val="21"/>
                <w:highlight w:val="none"/>
              </w:rPr>
            </w:pPr>
            <w:r>
              <w:rPr>
                <w:rFonts w:hint="eastAsia" w:ascii="宋体" w:hAnsi="宋体" w:cs="宋体"/>
                <w:color w:val="auto"/>
                <w:szCs w:val="21"/>
                <w:highlight w:val="none"/>
              </w:rPr>
              <w:t>验收标准：</w:t>
            </w:r>
          </w:p>
        </w:tc>
      </w:tr>
      <w:tr w14:paraId="4D66B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4" w:hRule="atLeast"/>
        </w:trPr>
        <w:tc>
          <w:tcPr>
            <w:tcW w:w="9531" w:type="dxa"/>
            <w:gridSpan w:val="8"/>
            <w:tcBorders>
              <w:top w:val="single" w:color="auto" w:sz="4" w:space="0"/>
              <w:left w:val="single" w:color="auto" w:sz="4" w:space="0"/>
              <w:bottom w:val="single" w:color="auto" w:sz="4" w:space="0"/>
              <w:right w:val="single" w:color="auto" w:sz="4" w:space="0"/>
            </w:tcBorders>
            <w:noWrap/>
            <w:vAlign w:val="center"/>
          </w:tcPr>
          <w:p w14:paraId="4B71F054">
            <w:pPr>
              <w:keepNext w:val="0"/>
              <w:keepLines w:val="0"/>
              <w:suppressLineNumbers w:val="0"/>
              <w:spacing w:before="0" w:beforeAutospacing="0" w:after="0" w:afterAutospacing="0"/>
              <w:ind w:left="0" w:right="0"/>
              <w:jc w:val="both"/>
              <w:rPr>
                <w:rFonts w:hint="eastAsia" w:ascii="宋体" w:hAnsi="宋体" w:cs="宋体"/>
                <w:color w:val="auto"/>
                <w:szCs w:val="21"/>
                <w:highlight w:val="none"/>
              </w:rPr>
            </w:pPr>
            <w:r>
              <w:rPr>
                <w:rFonts w:hint="eastAsia" w:ascii="宋体" w:hAnsi="宋体" w:cs="宋体"/>
                <w:color w:val="auto"/>
                <w:szCs w:val="21"/>
                <w:highlight w:val="none"/>
              </w:rPr>
              <w:t>优惠及其它：</w:t>
            </w:r>
          </w:p>
        </w:tc>
      </w:tr>
    </w:tbl>
    <w:p w14:paraId="2E2530F0">
      <w:pPr>
        <w:snapToGrid w:val="0"/>
        <w:spacing w:before="50" w:after="50"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 xml:space="preserve">注： </w:t>
      </w:r>
    </w:p>
    <w:p w14:paraId="208BA3A1">
      <w:pPr>
        <w:snapToGrid w:val="0"/>
        <w:spacing w:before="50" w:after="50"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1、 供应商需按本表格式填写，不得自行更改，也不得留空, 如有多分标，按分标分别提供响应报价表</w:t>
      </w:r>
      <w:r>
        <w:rPr>
          <w:rFonts w:hint="eastAsia" w:ascii="宋体" w:hAnsi="宋体" w:cs="宋体"/>
          <w:b/>
          <w:color w:val="auto"/>
          <w:kern w:val="0"/>
          <w:szCs w:val="21"/>
          <w:highlight w:val="none"/>
          <w:lang w:val="zh-CN"/>
        </w:rPr>
        <w:t>。</w:t>
      </w:r>
    </w:p>
    <w:p w14:paraId="2DBDA547">
      <w:pPr>
        <w:snapToGrid w:val="0"/>
        <w:spacing w:before="50" w:after="50" w:line="380" w:lineRule="exact"/>
        <w:ind w:firstLine="420" w:firstLineChars="200"/>
        <w:jc w:val="left"/>
        <w:rPr>
          <w:rFonts w:hint="eastAsia" w:ascii="宋体" w:hAnsi="宋体" w:cs="宋体"/>
          <w:b/>
          <w:color w:val="auto"/>
          <w:kern w:val="0"/>
          <w:szCs w:val="21"/>
          <w:highlight w:val="none"/>
          <w:lang w:val="zh-CN"/>
        </w:rPr>
      </w:pPr>
      <w:r>
        <w:rPr>
          <w:rFonts w:hint="eastAsia" w:ascii="宋体" w:hAnsi="宋体" w:cs="宋体"/>
          <w:color w:val="auto"/>
          <w:kern w:val="0"/>
          <w:szCs w:val="21"/>
          <w:highlight w:val="none"/>
          <w:lang w:val="zh-CN"/>
        </w:rPr>
        <w:t>2、如为联合体响应的，“供应商名称”处必须列明联合体各方名称，并标注联合体牵头人名称，且盖章处须加盖联合体各方公章，</w:t>
      </w:r>
      <w:r>
        <w:rPr>
          <w:rFonts w:hint="eastAsia" w:ascii="宋体" w:hAnsi="宋体" w:cs="宋体"/>
          <w:b/>
          <w:color w:val="auto"/>
          <w:kern w:val="0"/>
          <w:szCs w:val="21"/>
          <w:highlight w:val="none"/>
          <w:lang w:val="zh-CN"/>
        </w:rPr>
        <w:t>否则其响应作无效响应处理。</w:t>
      </w:r>
    </w:p>
    <w:p w14:paraId="0B76864E">
      <w:pPr>
        <w:snapToGrid w:val="0"/>
        <w:spacing w:before="50" w:after="50" w:line="380" w:lineRule="exact"/>
        <w:ind w:firstLine="420" w:firstLineChars="200"/>
        <w:jc w:val="left"/>
        <w:rPr>
          <w:rFonts w:hint="eastAsia" w:ascii="宋体" w:hAnsi="宋体" w:cs="宋体"/>
          <w:b/>
          <w:color w:val="auto"/>
          <w:kern w:val="0"/>
          <w:szCs w:val="21"/>
          <w:highlight w:val="none"/>
          <w:lang w:val="zh-CN"/>
        </w:rPr>
      </w:pPr>
      <w:r>
        <w:rPr>
          <w:rFonts w:hint="eastAsia" w:ascii="宋体" w:hAnsi="宋体" w:cs="宋体"/>
          <w:color w:val="auto"/>
          <w:kern w:val="0"/>
          <w:szCs w:val="21"/>
          <w:highlight w:val="none"/>
          <w:lang w:val="zh-CN"/>
        </w:rPr>
        <w:t>3、以上表格要求细分项目及报价，在“具体服务内容”一栏中，填写具体服务范围、服务时间、服务标准，</w:t>
      </w:r>
      <w:r>
        <w:rPr>
          <w:rFonts w:hint="eastAsia" w:ascii="宋体" w:hAnsi="宋体" w:cs="宋体"/>
          <w:b/>
          <w:color w:val="auto"/>
          <w:kern w:val="0"/>
          <w:szCs w:val="21"/>
          <w:highlight w:val="none"/>
          <w:lang w:val="zh-CN"/>
        </w:rPr>
        <w:t>否则其响应作无效响应处理。</w:t>
      </w:r>
    </w:p>
    <w:p w14:paraId="09F95CFD">
      <w:pPr>
        <w:snapToGrid w:val="0"/>
        <w:spacing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4、特别提示：采购机构将对项目名称和项目编号，成交供应商名称、地址和成交金额，主要成交标的的名称、服务范围、服务要求、服务时间、服务标准等予以公示。</w:t>
      </w:r>
    </w:p>
    <w:p w14:paraId="0411D62A">
      <w:pPr>
        <w:snapToGrid w:val="0"/>
        <w:spacing w:line="380" w:lineRule="exact"/>
        <w:ind w:firstLine="420" w:firstLineChars="200"/>
        <w:jc w:val="left"/>
        <w:rPr>
          <w:rFonts w:hint="eastAsia" w:ascii="宋体" w:hAnsi="宋体" w:cs="宋体"/>
          <w:color w:val="auto"/>
          <w:kern w:val="0"/>
          <w:szCs w:val="21"/>
          <w:highlight w:val="none"/>
          <w:lang w:val="zh-CN"/>
        </w:rPr>
      </w:pPr>
      <w:r>
        <w:rPr>
          <w:rFonts w:hint="eastAsia" w:ascii="宋体" w:hAnsi="宋体" w:cs="宋体"/>
          <w:color w:val="auto"/>
          <w:kern w:val="0"/>
          <w:szCs w:val="21"/>
          <w:highlight w:val="none"/>
          <w:lang w:val="zh-CN"/>
        </w:rPr>
        <w:t>5、符合采购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14:paraId="0DFA19BE">
      <w:pPr>
        <w:snapToGrid w:val="0"/>
        <w:spacing w:line="380" w:lineRule="exact"/>
        <w:ind w:firstLine="420" w:firstLineChars="200"/>
        <w:jc w:val="left"/>
        <w:rPr>
          <w:rFonts w:hint="eastAsia" w:ascii="宋体" w:hAnsi="宋体" w:cs="宋体"/>
          <w:color w:val="auto"/>
          <w:kern w:val="0"/>
          <w:szCs w:val="21"/>
          <w:highlight w:val="none"/>
          <w:lang w:val="zh-CN"/>
        </w:rPr>
      </w:pPr>
    </w:p>
    <w:p w14:paraId="05FEF800">
      <w:pPr>
        <w:autoSpaceDE w:val="0"/>
        <w:autoSpaceDN w:val="0"/>
        <w:spacing w:line="380" w:lineRule="exact"/>
        <w:ind w:firstLine="4200" w:firstLineChars="20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03154022">
      <w:pPr>
        <w:pStyle w:val="15"/>
        <w:spacing w:line="500" w:lineRule="exact"/>
        <w:ind w:firstLine="5565" w:firstLineChars="2650"/>
        <w:rPr>
          <w:rFonts w:hint="eastAsia" w:hAnsi="宋体" w:cs="宋体"/>
          <w:color w:val="auto"/>
          <w:sz w:val="21"/>
          <w:highlight w:val="none"/>
          <w:lang w:val="zh-CN"/>
        </w:rPr>
      </w:pPr>
      <w:r>
        <w:rPr>
          <w:rFonts w:hint="eastAsia" w:hAnsi="宋体" w:cs="宋体"/>
          <w:color w:val="auto"/>
          <w:sz w:val="21"/>
          <w:highlight w:val="none"/>
          <w:lang w:val="zh-CN"/>
        </w:rPr>
        <w:t>日期：  年  月   日</w:t>
      </w:r>
    </w:p>
    <w:p w14:paraId="649E3FDE">
      <w:pPr>
        <w:rPr>
          <w:rFonts w:hint="eastAsia" w:ascii="仿宋_GB2312" w:hAnsi="仿宋" w:eastAsia="仿宋_GB2312" w:cs="仿宋_GB2312"/>
          <w:color w:val="auto"/>
          <w:kern w:val="0"/>
          <w:sz w:val="24"/>
          <w:szCs w:val="21"/>
          <w:highlight w:val="none"/>
          <w:lang w:val="zh-CN"/>
        </w:rPr>
      </w:pPr>
      <w:r>
        <w:rPr>
          <w:rFonts w:hint="eastAsia" w:ascii="仿宋_GB2312" w:hAnsi="仿宋" w:eastAsia="仿宋_GB2312" w:cs="仿宋_GB2312"/>
          <w:color w:val="auto"/>
          <w:kern w:val="0"/>
          <w:sz w:val="24"/>
          <w:szCs w:val="21"/>
          <w:highlight w:val="none"/>
          <w:lang w:val="zh-CN"/>
        </w:rPr>
        <w:br w:type="page"/>
      </w:r>
    </w:p>
    <w:p w14:paraId="0E7ECAE5">
      <w:pPr>
        <w:shd w:val="clear" w:color="auto" w:fill="auto"/>
        <w:spacing w:line="320" w:lineRule="exact"/>
        <w:jc w:val="left"/>
        <w:rPr>
          <w:rFonts w:hint="eastAsia" w:ascii="宋体" w:hAnsi="宋体" w:eastAsia="宋体" w:cs="Times New Roman"/>
          <w:b/>
          <w:color w:val="auto"/>
          <w:szCs w:val="21"/>
          <w:highlight w:val="none"/>
        </w:rPr>
      </w:pPr>
      <w:r>
        <w:rPr>
          <w:rFonts w:hint="eastAsia" w:ascii="宋体" w:hAnsi="宋体" w:eastAsia="宋体" w:cs="Times New Roman"/>
          <w:b/>
          <w:color w:val="auto"/>
          <w:szCs w:val="21"/>
          <w:highlight w:val="none"/>
          <w:lang w:val="en-US" w:eastAsia="zh-CN"/>
        </w:rPr>
        <w:t>三、</w:t>
      </w:r>
      <w:r>
        <w:rPr>
          <w:rFonts w:hint="eastAsia" w:ascii="宋体" w:hAnsi="宋体" w:eastAsia="宋体" w:cs="Times New Roman"/>
          <w:b/>
          <w:color w:val="auto"/>
          <w:szCs w:val="21"/>
          <w:highlight w:val="none"/>
        </w:rPr>
        <w:t>中小企业声明函</w:t>
      </w:r>
    </w:p>
    <w:p w14:paraId="5046329E">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宋体" w:hAnsi="宋体" w:eastAsia="宋体" w:cs="宋体"/>
          <w:color w:val="auto"/>
          <w:szCs w:val="21"/>
          <w:highlight w:val="none"/>
        </w:rPr>
      </w:pPr>
    </w:p>
    <w:p w14:paraId="39969B9F">
      <w:pPr>
        <w:keepNext w:val="0"/>
        <w:keepLines w:val="0"/>
        <w:pageBreakBefore w:val="0"/>
        <w:widowControl w:val="0"/>
        <w:kinsoku/>
        <w:wordWrap/>
        <w:overflowPunct/>
        <w:topLinePunct w:val="0"/>
        <w:bidi w:val="0"/>
        <w:adjustRightInd/>
        <w:snapToGrid/>
        <w:spacing w:line="380" w:lineRule="exact"/>
        <w:jc w:val="center"/>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中小企业声明函（服务）</w:t>
      </w:r>
    </w:p>
    <w:p w14:paraId="06EFAB5A">
      <w:pPr>
        <w:keepNext w:val="0"/>
        <w:keepLines w:val="0"/>
        <w:pageBreakBefore w:val="0"/>
        <w:widowControl w:val="0"/>
        <w:kinsoku/>
        <w:wordWrap/>
        <w:overflowPunct/>
        <w:topLinePunct w:val="0"/>
        <w:bidi w:val="0"/>
        <w:adjustRightInd/>
        <w:snapToGrid/>
        <w:spacing w:after="0" w:line="380" w:lineRule="exact"/>
        <w:ind w:left="-426" w:right="142" w:firstLine="640"/>
        <w:contextualSpacing/>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本公司（联合体）郑重声明，根据《政府采购促进中小企业发展管理办法》（财库﹝2020﹞46号）的规定，本公司（联合体）参加</w:t>
      </w:r>
      <w:r>
        <w:rPr>
          <w:rFonts w:hint="eastAsia" w:ascii="宋体" w:hAnsi="宋体" w:eastAsia="宋体" w:cs="宋体"/>
          <w:color w:val="auto"/>
          <w:kern w:val="2"/>
          <w:sz w:val="21"/>
          <w:szCs w:val="21"/>
          <w:highlight w:val="none"/>
          <w:u w:val="single"/>
          <w:lang w:val="en-US" w:eastAsia="zh-CN" w:bidi="ar-SA"/>
        </w:rPr>
        <w:t xml:space="preserve">扶绥县人力资源和社会保障局 </w:t>
      </w:r>
      <w:r>
        <w:rPr>
          <w:rFonts w:hint="eastAsia" w:ascii="宋体" w:hAnsi="宋体" w:eastAsia="宋体" w:cs="宋体"/>
          <w:color w:val="auto"/>
          <w:kern w:val="2"/>
          <w:sz w:val="21"/>
          <w:szCs w:val="21"/>
          <w:highlight w:val="none"/>
          <w:lang w:val="en-US" w:eastAsia="zh-CN" w:bidi="ar-SA"/>
        </w:rPr>
        <w:t>的</w:t>
      </w:r>
      <w:r>
        <w:rPr>
          <w:rFonts w:hint="eastAsia" w:ascii="宋体" w:hAnsi="宋体" w:eastAsia="宋体" w:cs="宋体"/>
          <w:color w:val="auto"/>
          <w:kern w:val="2"/>
          <w:sz w:val="21"/>
          <w:szCs w:val="21"/>
          <w:highlight w:val="none"/>
          <w:u w:val="single"/>
          <w:lang w:val="en-US" w:eastAsia="zh-CN" w:bidi="ar-SA"/>
        </w:rPr>
        <w:t>扶绥县就业公共服务能力提升项目—线上人力资源数据运营服务</w:t>
      </w:r>
      <w:r>
        <w:rPr>
          <w:rFonts w:hint="eastAsia" w:ascii="宋体" w:hAnsi="宋体" w:eastAsia="宋体" w:cs="宋体"/>
          <w:color w:val="auto"/>
          <w:kern w:val="2"/>
          <w:sz w:val="21"/>
          <w:szCs w:val="21"/>
          <w:highlight w:val="none"/>
          <w:lang w:val="en-US" w:eastAsia="zh-CN" w:bidi="ar-SA"/>
        </w:rPr>
        <w:t>采购活动，提供的服务全部由符合政策要求的中小企业制造。相关企业（含联合体中的中小企业、签订分包意向协议的中小企业）的具体情况如下：</w:t>
      </w:r>
    </w:p>
    <w:p w14:paraId="7407EB2B">
      <w:pPr>
        <w:keepNext w:val="0"/>
        <w:keepLines w:val="0"/>
        <w:pageBreakBefore w:val="0"/>
        <w:widowControl w:val="0"/>
        <w:numPr>
          <w:ilvl w:val="0"/>
          <w:numId w:val="5"/>
        </w:numPr>
        <w:tabs>
          <w:tab w:val="left" w:pos="1384"/>
          <w:tab w:val="left" w:pos="4562"/>
          <w:tab w:val="left" w:pos="6803"/>
        </w:tabs>
        <w:kinsoku/>
        <w:wordWrap/>
        <w:overflowPunct/>
        <w:topLinePunct w:val="0"/>
        <w:bidi w:val="0"/>
        <w:adjustRightInd/>
        <w:snapToGrid/>
        <w:spacing w:line="380" w:lineRule="exact"/>
        <w:ind w:left="-214" w:leftChars="-102" w:right="-58" w:firstLine="443" w:firstLineChars="211"/>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lang w:eastAsia="zh-CN"/>
        </w:rPr>
        <w:t>扶绥县就业公共服务能力提升项目—线上人力资源数据运营服务</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lang w:val="en-US" w:eastAsia="zh-CN"/>
        </w:rPr>
        <w:t xml:space="preserve">软件和信息技术服务业 </w:t>
      </w:r>
      <w:r>
        <w:rPr>
          <w:rFonts w:hint="eastAsia" w:ascii="宋体" w:hAnsi="宋体" w:eastAsia="宋体" w:cs="宋体"/>
          <w:color w:val="auto"/>
          <w:szCs w:val="21"/>
          <w:highlight w:val="none"/>
        </w:rPr>
        <w:t>行业；制造商为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lang w:val="en-US" w:eastAsia="zh-CN"/>
        </w:rPr>
        <w:t xml:space="preserve"> </w:t>
      </w:r>
      <w:r>
        <w:rPr>
          <w:rFonts w:hint="eastAsia" w:ascii="宋体" w:hAnsi="宋体" w:eastAsia="宋体" w:cs="宋体"/>
          <w:color w:val="auto"/>
          <w:szCs w:val="21"/>
          <w:highlight w:val="none"/>
          <w:u w:val="single"/>
        </w:rPr>
        <w:t>（中型企业、小型企业、微型企业）</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w:t>
      </w:r>
    </w:p>
    <w:p w14:paraId="76D58D9B">
      <w:pPr>
        <w:keepNext w:val="0"/>
        <w:keepLines w:val="0"/>
        <w:pageBreakBefore w:val="0"/>
        <w:widowControl w:val="0"/>
        <w:tabs>
          <w:tab w:val="left" w:pos="1065"/>
          <w:tab w:val="left" w:pos="6477"/>
        </w:tabs>
        <w:kinsoku/>
        <w:wordWrap/>
        <w:overflowPunct/>
        <w:topLinePunct w:val="0"/>
        <w:bidi w:val="0"/>
        <w:adjustRightInd/>
        <w:snapToGrid/>
        <w:spacing w:line="380" w:lineRule="exact"/>
        <w:ind w:left="-426" w:right="-58" w:firstLine="655"/>
        <w:contextualSpacing/>
        <w:textAlignment w:val="auto"/>
        <w:rPr>
          <w:rFonts w:hint="eastAsia" w:ascii="宋体" w:hAnsi="宋体" w:eastAsia="宋体" w:cs="宋体"/>
          <w:color w:val="auto"/>
          <w:szCs w:val="21"/>
          <w:highlight w:val="none"/>
        </w:rPr>
      </w:pPr>
      <w:r>
        <w:rPr>
          <w:rFonts w:hint="eastAsia" w:ascii="宋体" w:hAnsi="宋体" w:eastAsia="宋体" w:cs="宋体"/>
          <w:color w:val="auto"/>
          <w:szCs w:val="21"/>
          <w:highlight w:val="none"/>
        </w:rPr>
        <w:t>2.</w:t>
      </w:r>
      <w:r>
        <w:rPr>
          <w:rFonts w:hint="eastAsia" w:ascii="宋体" w:hAnsi="宋体" w:eastAsia="宋体" w:cs="宋体"/>
          <w:color w:val="auto"/>
          <w:szCs w:val="21"/>
          <w:highlight w:val="none"/>
          <w:u w:val="single"/>
        </w:rPr>
        <w:t>（标的名称）</w:t>
      </w:r>
      <w:r>
        <w:rPr>
          <w:rFonts w:hint="eastAsia" w:ascii="宋体" w:hAnsi="宋体" w:eastAsia="宋体" w:cs="宋体"/>
          <w:color w:val="auto"/>
          <w:szCs w:val="21"/>
          <w:highlight w:val="none"/>
        </w:rPr>
        <w:t>，属于</w:t>
      </w:r>
      <w:r>
        <w:rPr>
          <w:rFonts w:hint="eastAsia" w:ascii="宋体" w:hAnsi="宋体" w:eastAsia="宋体" w:cs="宋体"/>
          <w:color w:val="auto"/>
          <w:szCs w:val="21"/>
          <w:highlight w:val="none"/>
          <w:u w:val="single"/>
        </w:rPr>
        <w:t>（采购文件中明确的所属行业）</w:t>
      </w:r>
      <w:r>
        <w:rPr>
          <w:rFonts w:hint="eastAsia" w:ascii="宋体" w:hAnsi="宋体" w:eastAsia="宋体" w:cs="宋体"/>
          <w:color w:val="auto"/>
          <w:szCs w:val="21"/>
          <w:highlight w:val="none"/>
        </w:rPr>
        <w:t>行业；制造商为</w:t>
      </w:r>
      <w:r>
        <w:rPr>
          <w:rFonts w:hint="eastAsia" w:ascii="宋体" w:hAnsi="宋体" w:eastAsia="宋体" w:cs="宋体"/>
          <w:color w:val="auto"/>
          <w:szCs w:val="21"/>
          <w:highlight w:val="none"/>
          <w:u w:val="single"/>
        </w:rPr>
        <w:t>（企业名称）</w:t>
      </w:r>
      <w:r>
        <w:rPr>
          <w:rFonts w:hint="eastAsia" w:ascii="宋体" w:hAnsi="宋体" w:eastAsia="宋体" w:cs="宋体"/>
          <w:color w:val="auto"/>
          <w:szCs w:val="21"/>
          <w:highlight w:val="none"/>
        </w:rPr>
        <w:t>，从业人员</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人，营业收入为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万元，资产总额为</w:t>
      </w:r>
      <w:r>
        <w:rPr>
          <w:rFonts w:hint="eastAsia" w:ascii="宋体" w:hAnsi="宋体" w:eastAsia="宋体" w:cs="宋体"/>
          <w:color w:val="auto"/>
          <w:szCs w:val="21"/>
          <w:highlight w:val="none"/>
          <w:u w:val="single"/>
          <w:lang w:val="en-US" w:eastAsia="zh-CN"/>
        </w:rPr>
        <w:t xml:space="preserve">   </w:t>
      </w:r>
      <w:r>
        <w:rPr>
          <w:rFonts w:hint="eastAsia" w:ascii="宋体" w:hAnsi="宋体" w:eastAsia="宋体" w:cs="宋体"/>
          <w:color w:val="auto"/>
          <w:szCs w:val="21"/>
          <w:highlight w:val="none"/>
        </w:rPr>
        <w:t>万元，属于</w:t>
      </w:r>
      <w:r>
        <w:rPr>
          <w:rFonts w:hint="eastAsia" w:ascii="宋体" w:hAnsi="宋体" w:eastAsia="宋体" w:cs="宋体"/>
          <w:color w:val="auto"/>
          <w:szCs w:val="21"/>
          <w:highlight w:val="none"/>
          <w:u w:val="single"/>
        </w:rPr>
        <w:t>（中型企业、小型企业、微型企业）</w:t>
      </w:r>
      <w:r>
        <w:rPr>
          <w:rFonts w:hint="eastAsia" w:ascii="宋体" w:hAnsi="宋体" w:eastAsia="宋体" w:cs="宋体"/>
          <w:color w:val="auto"/>
          <w:szCs w:val="21"/>
          <w:highlight w:val="none"/>
        </w:rPr>
        <w:t>；</w:t>
      </w:r>
    </w:p>
    <w:p w14:paraId="1761865B">
      <w:pPr>
        <w:keepNext w:val="0"/>
        <w:keepLines w:val="0"/>
        <w:pageBreakBefore w:val="0"/>
        <w:widowControl w:val="0"/>
        <w:kinsoku/>
        <w:wordWrap/>
        <w:overflowPunct/>
        <w:topLinePunct w:val="0"/>
        <w:bidi w:val="0"/>
        <w:adjustRightInd/>
        <w:snapToGrid/>
        <w:spacing w:after="0" w:line="380" w:lineRule="exact"/>
        <w:ind w:left="142" w:right="142"/>
        <w:contextualSpacing/>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 xml:space="preserve">…… </w:t>
      </w:r>
    </w:p>
    <w:p w14:paraId="77B20757">
      <w:pPr>
        <w:keepNext w:val="0"/>
        <w:keepLines w:val="0"/>
        <w:pageBreakBefore w:val="0"/>
        <w:widowControl w:val="0"/>
        <w:kinsoku/>
        <w:wordWrap/>
        <w:overflowPunct/>
        <w:topLinePunct w:val="0"/>
        <w:bidi w:val="0"/>
        <w:adjustRightInd/>
        <w:snapToGrid/>
        <w:spacing w:after="0" w:line="380" w:lineRule="exact"/>
        <w:ind w:left="-405" w:leftChars="-193" w:right="142" w:firstLine="396" w:firstLineChars="189"/>
        <w:contextualSpacing/>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以上企业，不属于大企业的分支机构，不存在控股股东为大企业的情形，也不存在与大企业的负责人为同一人的情形。</w:t>
      </w:r>
    </w:p>
    <w:p w14:paraId="07E4A9F9">
      <w:pPr>
        <w:keepNext w:val="0"/>
        <w:keepLines w:val="0"/>
        <w:pageBreakBefore w:val="0"/>
        <w:widowControl w:val="0"/>
        <w:kinsoku/>
        <w:wordWrap/>
        <w:overflowPunct/>
        <w:topLinePunct w:val="0"/>
        <w:bidi w:val="0"/>
        <w:adjustRightInd/>
        <w:snapToGrid/>
        <w:spacing w:after="0" w:line="380" w:lineRule="exact"/>
        <w:ind w:left="-426" w:right="142" w:firstLine="567"/>
        <w:contextualSpacing/>
        <w:jc w:val="both"/>
        <w:textAlignment w:val="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kern w:val="2"/>
          <w:sz w:val="21"/>
          <w:szCs w:val="21"/>
          <w:highlight w:val="none"/>
          <w:lang w:val="en-US" w:eastAsia="zh-CN" w:bidi="ar-SA"/>
        </w:rPr>
        <w:t>本企业对上述声明内容的真实性负责。如有虚假，将依法承担相应责任。</w:t>
      </w:r>
    </w:p>
    <w:p w14:paraId="0FC05F64">
      <w:pPr>
        <w:keepNext w:val="0"/>
        <w:keepLines w:val="0"/>
        <w:pageBreakBefore w:val="0"/>
        <w:widowControl w:val="0"/>
        <w:kinsoku/>
        <w:wordWrap/>
        <w:overflowPunct/>
        <w:topLinePunct w:val="0"/>
        <w:bidi w:val="0"/>
        <w:adjustRightInd/>
        <w:snapToGrid/>
        <w:spacing w:after="0" w:line="380" w:lineRule="exact"/>
        <w:ind w:left="3960" w:right="1808"/>
        <w:contextualSpacing/>
        <w:jc w:val="both"/>
        <w:textAlignment w:val="auto"/>
        <w:rPr>
          <w:rFonts w:hint="eastAsia" w:ascii="宋体" w:hAnsi="宋体" w:eastAsia="宋体" w:cs="宋体"/>
          <w:color w:val="auto"/>
          <w:kern w:val="2"/>
          <w:sz w:val="21"/>
          <w:szCs w:val="21"/>
          <w:highlight w:val="none"/>
          <w:lang w:val="en-US" w:eastAsia="zh-CN" w:bidi="ar-SA"/>
        </w:rPr>
      </w:pPr>
    </w:p>
    <w:p w14:paraId="056EEE63">
      <w:pPr>
        <w:keepNext w:val="0"/>
        <w:keepLines w:val="0"/>
        <w:pageBreakBefore w:val="0"/>
        <w:widowControl w:val="0"/>
        <w:kinsoku/>
        <w:wordWrap/>
        <w:overflowPunct/>
        <w:topLinePunct w:val="0"/>
        <w:autoSpaceDE w:val="0"/>
        <w:autoSpaceDN w:val="0"/>
        <w:bidi w:val="0"/>
        <w:adjustRightInd/>
        <w:snapToGrid/>
        <w:spacing w:line="380" w:lineRule="exact"/>
        <w:ind w:left="4305" w:leftChars="1850" w:hanging="420" w:hanging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供应商名称（电子签章）：</w:t>
      </w:r>
    </w:p>
    <w:p w14:paraId="666A4A9B">
      <w:pPr>
        <w:keepNext w:val="0"/>
        <w:keepLines w:val="0"/>
        <w:pageBreakBefore w:val="0"/>
        <w:widowControl w:val="0"/>
        <w:kinsoku/>
        <w:wordWrap/>
        <w:overflowPunct/>
        <w:topLinePunct w:val="0"/>
        <w:autoSpaceDE w:val="0"/>
        <w:autoSpaceDN w:val="0"/>
        <w:bidi w:val="0"/>
        <w:adjustRightInd/>
        <w:snapToGrid/>
        <w:spacing w:line="380" w:lineRule="exact"/>
        <w:ind w:firstLine="5355" w:firstLineChars="2550"/>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日期：  年  月   日</w:t>
      </w:r>
    </w:p>
    <w:p w14:paraId="70C29CBC">
      <w:pPr>
        <w:keepNext w:val="0"/>
        <w:keepLines w:val="0"/>
        <w:pageBreakBefore w:val="0"/>
        <w:widowControl w:val="0"/>
        <w:kinsoku/>
        <w:wordWrap/>
        <w:overflowPunct/>
        <w:topLinePunct w:val="0"/>
        <w:bidi w:val="0"/>
        <w:adjustRightInd/>
        <w:snapToGrid/>
        <w:spacing w:after="0" w:line="380" w:lineRule="exact"/>
        <w:ind w:left="3960" w:right="1808"/>
        <w:contextualSpacing/>
        <w:jc w:val="both"/>
        <w:textAlignment w:val="auto"/>
        <w:rPr>
          <w:rFonts w:hint="eastAsia" w:ascii="宋体" w:hAnsi="宋体" w:eastAsia="宋体" w:cs="宋体"/>
          <w:color w:val="auto"/>
          <w:kern w:val="2"/>
          <w:sz w:val="21"/>
          <w:szCs w:val="21"/>
          <w:highlight w:val="none"/>
          <w:lang w:val="en-US" w:eastAsia="zh-CN" w:bidi="ar-SA"/>
        </w:rPr>
      </w:pPr>
    </w:p>
    <w:p w14:paraId="39310BBD">
      <w:pPr>
        <w:keepNext w:val="0"/>
        <w:keepLines w:val="0"/>
        <w:pageBreakBefore w:val="0"/>
        <w:widowControl w:val="0"/>
        <w:kinsoku/>
        <w:wordWrap/>
        <w:overflowPunct/>
        <w:topLinePunct w:val="0"/>
        <w:bidi w:val="0"/>
        <w:adjustRightInd/>
        <w:snapToGrid/>
        <w:spacing w:line="380" w:lineRule="exact"/>
        <w:jc w:val="left"/>
        <w:textAlignment w:val="auto"/>
        <w:rPr>
          <w:rFonts w:hint="eastAsia" w:ascii="宋体" w:hAnsi="宋体" w:eastAsia="宋体" w:cs="宋体"/>
          <w:color w:val="auto"/>
          <w:kern w:val="0"/>
          <w:szCs w:val="21"/>
          <w:highlight w:val="none"/>
        </w:rPr>
      </w:pPr>
      <w:r>
        <w:rPr>
          <w:rFonts w:hint="eastAsia" w:ascii="宋体" w:hAnsi="宋体" w:eastAsia="宋体" w:cs="宋体"/>
          <w:color w:val="auto"/>
          <w:szCs w:val="21"/>
          <w:highlight w:val="none"/>
        </w:rPr>
        <w:t>注：享受《政府采购促进中小企业发展管理办法》（财库〔2020〕46号）规定的中小企业扶持政策的，采购人、采购代理机构应当随成交结果公开成交供应商的《中小企业声明函》。从业人员、营业收入、资产总额填报上一年度数据，无上一年度数据的新成立企业可不填报。</w:t>
      </w:r>
    </w:p>
    <w:p w14:paraId="41D5A556">
      <w:pPr>
        <w:keepNext w:val="0"/>
        <w:keepLines w:val="0"/>
        <w:pageBreakBefore w:val="0"/>
        <w:widowControl w:val="0"/>
        <w:kinsoku/>
        <w:wordWrap/>
        <w:overflowPunct/>
        <w:topLinePunct w:val="0"/>
        <w:autoSpaceDE w:val="0"/>
        <w:autoSpaceDN w:val="0"/>
        <w:bidi w:val="0"/>
        <w:adjustRightInd w:val="0"/>
        <w:snapToGrid/>
        <w:spacing w:line="380" w:lineRule="exact"/>
        <w:jc w:val="left"/>
        <w:textAlignment w:val="auto"/>
        <w:rPr>
          <w:rFonts w:hint="eastAsia" w:ascii="仿宋_GB2312" w:hAnsi="仿宋_GB2312" w:eastAsia="仿宋_GB2312" w:cs="宋体"/>
          <w:color w:val="auto"/>
          <w:kern w:val="0"/>
          <w:sz w:val="24"/>
          <w:highlight w:val="none"/>
        </w:rPr>
      </w:pPr>
    </w:p>
    <w:p w14:paraId="3F42A566">
      <w:pPr>
        <w:keepNext w:val="0"/>
        <w:keepLines w:val="0"/>
        <w:pageBreakBefore w:val="0"/>
        <w:widowControl w:val="0"/>
        <w:kinsoku/>
        <w:wordWrap/>
        <w:overflowPunct/>
        <w:topLinePunct w:val="0"/>
        <w:autoSpaceDE w:val="0"/>
        <w:autoSpaceDN w:val="0"/>
        <w:bidi w:val="0"/>
        <w:adjustRightInd w:val="0"/>
        <w:snapToGrid/>
        <w:spacing w:line="380" w:lineRule="exact"/>
        <w:jc w:val="left"/>
        <w:textAlignment w:val="auto"/>
        <w:rPr>
          <w:rFonts w:hint="eastAsia" w:ascii="仿宋_GB2312" w:hAnsi="仿宋_GB2312" w:eastAsia="仿宋_GB2312" w:cs="宋体"/>
          <w:color w:val="auto"/>
          <w:kern w:val="0"/>
          <w:sz w:val="24"/>
          <w:highlight w:val="none"/>
        </w:rPr>
      </w:pPr>
    </w:p>
    <w:p w14:paraId="55532077">
      <w:pPr>
        <w:keepNext w:val="0"/>
        <w:keepLines w:val="0"/>
        <w:pageBreakBefore w:val="0"/>
        <w:widowControl w:val="0"/>
        <w:kinsoku/>
        <w:wordWrap/>
        <w:overflowPunct/>
        <w:topLinePunct w:val="0"/>
        <w:autoSpaceDE w:val="0"/>
        <w:autoSpaceDN w:val="0"/>
        <w:bidi w:val="0"/>
        <w:adjustRightInd/>
        <w:snapToGrid/>
        <w:spacing w:line="380" w:lineRule="exact"/>
        <w:ind w:left="4305" w:leftChars="1850" w:hanging="420" w:hangingChars="200"/>
        <w:textAlignment w:val="auto"/>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供应商名称（电子签章）：</w:t>
      </w:r>
    </w:p>
    <w:p w14:paraId="40E4158C">
      <w:pPr>
        <w:keepNext w:val="0"/>
        <w:keepLines w:val="0"/>
        <w:pageBreakBefore w:val="0"/>
        <w:widowControl w:val="0"/>
        <w:kinsoku/>
        <w:wordWrap/>
        <w:overflowPunct/>
        <w:topLinePunct w:val="0"/>
        <w:autoSpaceDE w:val="0"/>
        <w:autoSpaceDN w:val="0"/>
        <w:bidi w:val="0"/>
        <w:adjustRightInd/>
        <w:snapToGrid/>
        <w:spacing w:line="380" w:lineRule="exact"/>
        <w:ind w:firstLine="5355" w:firstLineChars="2550"/>
        <w:textAlignment w:val="auto"/>
        <w:rPr>
          <w:rFonts w:hint="eastAsia" w:ascii="宋体" w:hAnsi="宋体" w:eastAsia="宋体" w:cs="宋体"/>
          <w:color w:val="auto"/>
          <w:kern w:val="0"/>
          <w:szCs w:val="21"/>
          <w:highlight w:val="none"/>
          <w:lang w:val="zh-CN"/>
        </w:rPr>
      </w:pPr>
      <w:r>
        <w:rPr>
          <w:rFonts w:hint="eastAsia" w:ascii="宋体" w:hAnsi="宋体" w:eastAsia="宋体" w:cs="宋体"/>
          <w:color w:val="auto"/>
          <w:kern w:val="0"/>
          <w:szCs w:val="21"/>
          <w:highlight w:val="none"/>
          <w:lang w:val="zh-CN"/>
        </w:rPr>
        <w:t>日期：  年  月   日</w:t>
      </w:r>
    </w:p>
    <w:p w14:paraId="05B2AB1D">
      <w:pPr>
        <w:widowControl/>
        <w:jc w:val="left"/>
        <w:rPr>
          <w:rFonts w:hint="eastAsia" w:ascii="仿宋_GB2312" w:hAnsi="仿宋" w:eastAsia="仿宋_GB2312" w:cs="仿宋_GB2312"/>
          <w:color w:val="auto"/>
          <w:kern w:val="0"/>
          <w:sz w:val="24"/>
          <w:szCs w:val="21"/>
          <w:highlight w:val="none"/>
          <w:lang w:val="zh-CN"/>
        </w:rPr>
      </w:pPr>
    </w:p>
    <w:p w14:paraId="166C2745">
      <w:pPr>
        <w:rPr>
          <w:rFonts w:hint="eastAsia" w:ascii="仿宋_GB2312" w:hAnsi="仿宋" w:eastAsia="仿宋_GB2312" w:cs="仿宋_GB2312"/>
          <w:color w:val="auto"/>
          <w:kern w:val="0"/>
          <w:sz w:val="24"/>
          <w:szCs w:val="21"/>
          <w:highlight w:val="none"/>
          <w:lang w:val="zh-CN"/>
        </w:rPr>
      </w:pPr>
      <w:r>
        <w:rPr>
          <w:rFonts w:hint="eastAsia" w:ascii="仿宋_GB2312" w:hAnsi="仿宋" w:eastAsia="仿宋_GB2312" w:cs="仿宋_GB2312"/>
          <w:color w:val="auto"/>
          <w:kern w:val="0"/>
          <w:sz w:val="24"/>
          <w:szCs w:val="21"/>
          <w:highlight w:val="none"/>
          <w:lang w:val="zh-CN"/>
        </w:rPr>
        <w:br w:type="page"/>
      </w:r>
    </w:p>
    <w:p w14:paraId="6E5CAA83">
      <w:pPr>
        <w:jc w:val="center"/>
        <w:rPr>
          <w:rFonts w:ascii="宋体" w:hAnsi="宋体" w:eastAsia="宋体" w:cs="Arial Unicode MS"/>
          <w:color w:val="auto"/>
          <w:sz w:val="40"/>
          <w:szCs w:val="40"/>
          <w:highlight w:val="none"/>
        </w:rPr>
      </w:pPr>
      <w:r>
        <w:rPr>
          <w:rFonts w:hint="eastAsia" w:ascii="宋体" w:hAnsi="宋体" w:eastAsia="宋体" w:cs="微软雅黑"/>
          <w:color w:val="auto"/>
          <w:sz w:val="40"/>
          <w:szCs w:val="40"/>
          <w:highlight w:val="none"/>
        </w:rPr>
        <w:t>中小微企业划型标准</w:t>
      </w:r>
    </w:p>
    <w:tbl>
      <w:tblPr>
        <w:tblStyle w:val="24"/>
        <w:tblW w:w="8618" w:type="dxa"/>
        <w:tblInd w:w="250" w:type="dxa"/>
        <w:tblLayout w:type="fixed"/>
        <w:tblCellMar>
          <w:top w:w="0" w:type="dxa"/>
          <w:left w:w="108" w:type="dxa"/>
          <w:bottom w:w="0" w:type="dxa"/>
          <w:right w:w="108" w:type="dxa"/>
        </w:tblCellMar>
      </w:tblPr>
      <w:tblGrid>
        <w:gridCol w:w="1837"/>
        <w:gridCol w:w="1494"/>
        <w:gridCol w:w="986"/>
        <w:gridCol w:w="1748"/>
        <w:gridCol w:w="1554"/>
        <w:gridCol w:w="999"/>
      </w:tblGrid>
      <w:tr w14:paraId="301754F1">
        <w:tblPrEx>
          <w:tblCellMar>
            <w:top w:w="0" w:type="dxa"/>
            <w:left w:w="108" w:type="dxa"/>
            <w:bottom w:w="0" w:type="dxa"/>
            <w:right w:w="108" w:type="dxa"/>
          </w:tblCellMar>
        </w:tblPrEx>
        <w:trPr>
          <w:trHeight w:val="703" w:hRule="atLeast"/>
        </w:trPr>
        <w:tc>
          <w:tcPr>
            <w:tcW w:w="1837" w:type="dxa"/>
            <w:tcBorders>
              <w:top w:val="single" w:color="auto" w:sz="4" w:space="0"/>
              <w:left w:val="single" w:color="auto" w:sz="4" w:space="0"/>
              <w:bottom w:val="single" w:color="auto" w:sz="4" w:space="0"/>
              <w:right w:val="single" w:color="auto" w:sz="4" w:space="0"/>
            </w:tcBorders>
            <w:noWrap w:val="0"/>
            <w:vAlign w:val="center"/>
          </w:tcPr>
          <w:p w14:paraId="29980977">
            <w:pPr>
              <w:keepNext w:val="0"/>
              <w:keepLines w:val="0"/>
              <w:widowControl/>
              <w:suppressLineNumbers w:val="0"/>
              <w:spacing w:before="0" w:beforeAutospacing="0" w:after="0" w:afterAutospacing="0"/>
              <w:ind w:left="0" w:right="0"/>
              <w:jc w:val="left"/>
              <w:rPr>
                <w:rFonts w:hint="default" w:ascii="宋体" w:hAnsi="宋体" w:eastAsia="宋体" w:cs="宋体"/>
                <w:b/>
                <w:color w:val="auto"/>
                <w:kern w:val="0"/>
                <w:sz w:val="24"/>
                <w:highlight w:val="none"/>
              </w:rPr>
            </w:pPr>
            <w:r>
              <w:rPr>
                <w:rFonts w:hint="eastAsia" w:ascii="宋体" w:hAnsi="宋体" w:eastAsia="宋体" w:cs="宋体"/>
                <w:b/>
                <w:color w:val="auto"/>
                <w:kern w:val="0"/>
                <w:sz w:val="24"/>
                <w:highlight w:val="none"/>
              </w:rPr>
              <w:t>行业名称</w:t>
            </w:r>
          </w:p>
        </w:tc>
        <w:tc>
          <w:tcPr>
            <w:tcW w:w="1494" w:type="dxa"/>
            <w:tcBorders>
              <w:top w:val="single" w:color="auto" w:sz="4" w:space="0"/>
              <w:left w:val="nil"/>
              <w:bottom w:val="single" w:color="auto" w:sz="4" w:space="0"/>
              <w:right w:val="single" w:color="auto" w:sz="4" w:space="0"/>
            </w:tcBorders>
            <w:noWrap w:val="0"/>
            <w:vAlign w:val="center"/>
          </w:tcPr>
          <w:p w14:paraId="132CEFF3">
            <w:pPr>
              <w:keepNext w:val="0"/>
              <w:keepLines w:val="0"/>
              <w:widowControl/>
              <w:suppressLineNumbers w:val="0"/>
              <w:spacing w:before="0" w:beforeAutospacing="0" w:after="0" w:afterAutospacing="0"/>
              <w:ind w:left="0" w:right="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指标名称</w:t>
            </w:r>
          </w:p>
        </w:tc>
        <w:tc>
          <w:tcPr>
            <w:tcW w:w="986" w:type="dxa"/>
            <w:tcBorders>
              <w:top w:val="single" w:color="auto" w:sz="4" w:space="0"/>
              <w:left w:val="nil"/>
              <w:bottom w:val="single" w:color="auto" w:sz="4" w:space="0"/>
              <w:right w:val="single" w:color="auto" w:sz="4" w:space="0"/>
            </w:tcBorders>
            <w:noWrap w:val="0"/>
            <w:vAlign w:val="center"/>
          </w:tcPr>
          <w:p w14:paraId="06A1BB7C">
            <w:pPr>
              <w:keepNext w:val="0"/>
              <w:keepLines w:val="0"/>
              <w:widowControl/>
              <w:suppressLineNumbers w:val="0"/>
              <w:spacing w:before="0" w:beforeAutospacing="0" w:after="0" w:afterAutospacing="0"/>
              <w:ind w:left="0" w:right="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计量单位</w:t>
            </w:r>
          </w:p>
        </w:tc>
        <w:tc>
          <w:tcPr>
            <w:tcW w:w="1748" w:type="dxa"/>
            <w:tcBorders>
              <w:top w:val="single" w:color="auto" w:sz="4" w:space="0"/>
              <w:left w:val="nil"/>
              <w:bottom w:val="single" w:color="auto" w:sz="4" w:space="0"/>
              <w:right w:val="single" w:color="auto" w:sz="4" w:space="0"/>
            </w:tcBorders>
            <w:noWrap w:val="0"/>
            <w:vAlign w:val="center"/>
          </w:tcPr>
          <w:p w14:paraId="0D999ED5">
            <w:pPr>
              <w:keepNext w:val="0"/>
              <w:keepLines w:val="0"/>
              <w:widowControl/>
              <w:suppressLineNumbers w:val="0"/>
              <w:spacing w:before="0" w:beforeAutospacing="0" w:after="0" w:afterAutospacing="0"/>
              <w:ind w:left="0" w:right="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中型</w:t>
            </w:r>
          </w:p>
        </w:tc>
        <w:tc>
          <w:tcPr>
            <w:tcW w:w="1554" w:type="dxa"/>
            <w:tcBorders>
              <w:top w:val="single" w:color="auto" w:sz="4" w:space="0"/>
              <w:left w:val="nil"/>
              <w:bottom w:val="single" w:color="auto" w:sz="4" w:space="0"/>
              <w:right w:val="single" w:color="auto" w:sz="4" w:space="0"/>
            </w:tcBorders>
            <w:noWrap w:val="0"/>
            <w:vAlign w:val="center"/>
          </w:tcPr>
          <w:p w14:paraId="3466B9A3">
            <w:pPr>
              <w:keepNext w:val="0"/>
              <w:keepLines w:val="0"/>
              <w:widowControl/>
              <w:suppressLineNumbers w:val="0"/>
              <w:spacing w:before="0" w:beforeAutospacing="0" w:after="0" w:afterAutospacing="0"/>
              <w:ind w:left="0" w:right="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小型</w:t>
            </w:r>
          </w:p>
        </w:tc>
        <w:tc>
          <w:tcPr>
            <w:tcW w:w="999" w:type="dxa"/>
            <w:tcBorders>
              <w:top w:val="single" w:color="auto" w:sz="4" w:space="0"/>
              <w:left w:val="nil"/>
              <w:bottom w:val="single" w:color="auto" w:sz="4" w:space="0"/>
              <w:right w:val="single" w:color="auto" w:sz="4" w:space="0"/>
            </w:tcBorders>
            <w:noWrap w:val="0"/>
            <w:vAlign w:val="center"/>
          </w:tcPr>
          <w:p w14:paraId="2270B298">
            <w:pPr>
              <w:keepNext w:val="0"/>
              <w:keepLines w:val="0"/>
              <w:widowControl/>
              <w:suppressLineNumbers w:val="0"/>
              <w:spacing w:before="0" w:beforeAutospacing="0" w:after="0" w:afterAutospacing="0"/>
              <w:ind w:left="0" w:right="0"/>
              <w:jc w:val="left"/>
              <w:rPr>
                <w:rFonts w:hint="eastAsia" w:ascii="宋体" w:hAnsi="宋体" w:eastAsia="宋体" w:cs="宋体"/>
                <w:b/>
                <w:color w:val="auto"/>
                <w:kern w:val="0"/>
                <w:sz w:val="24"/>
                <w:highlight w:val="none"/>
              </w:rPr>
            </w:pPr>
            <w:r>
              <w:rPr>
                <w:rFonts w:hint="eastAsia" w:ascii="宋体" w:hAnsi="宋体" w:eastAsia="宋体" w:cs="宋体"/>
                <w:b/>
                <w:color w:val="auto"/>
                <w:kern w:val="0"/>
                <w:sz w:val="24"/>
                <w:highlight w:val="none"/>
              </w:rPr>
              <w:t>微型</w:t>
            </w:r>
          </w:p>
        </w:tc>
      </w:tr>
      <w:tr w14:paraId="73D42C05">
        <w:tblPrEx>
          <w:tblCellMar>
            <w:top w:w="0" w:type="dxa"/>
            <w:left w:w="108" w:type="dxa"/>
            <w:bottom w:w="0" w:type="dxa"/>
            <w:right w:w="108" w:type="dxa"/>
          </w:tblCellMar>
        </w:tblPrEx>
        <w:trPr>
          <w:trHeight w:val="270" w:hRule="atLeast"/>
        </w:trPr>
        <w:tc>
          <w:tcPr>
            <w:tcW w:w="1837" w:type="dxa"/>
            <w:tcBorders>
              <w:top w:val="nil"/>
              <w:left w:val="single" w:color="auto" w:sz="4" w:space="0"/>
              <w:bottom w:val="single" w:color="auto" w:sz="4" w:space="0"/>
              <w:right w:val="single" w:color="auto" w:sz="4" w:space="0"/>
            </w:tcBorders>
            <w:noWrap w:val="0"/>
            <w:vAlign w:val="bottom"/>
          </w:tcPr>
          <w:p w14:paraId="063442DB">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农、林、牧、渔</w:t>
            </w:r>
          </w:p>
        </w:tc>
        <w:tc>
          <w:tcPr>
            <w:tcW w:w="1494" w:type="dxa"/>
            <w:tcBorders>
              <w:top w:val="nil"/>
              <w:left w:val="nil"/>
              <w:bottom w:val="single" w:color="auto" w:sz="4" w:space="0"/>
              <w:right w:val="single" w:color="auto" w:sz="4" w:space="0"/>
            </w:tcBorders>
            <w:noWrap w:val="0"/>
            <w:vAlign w:val="center"/>
          </w:tcPr>
          <w:p w14:paraId="6D08F51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4C528BB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0CE3534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554" w:type="dxa"/>
            <w:tcBorders>
              <w:top w:val="nil"/>
              <w:left w:val="nil"/>
              <w:bottom w:val="single" w:color="auto" w:sz="4" w:space="0"/>
              <w:right w:val="single" w:color="auto" w:sz="4" w:space="0"/>
            </w:tcBorders>
            <w:noWrap w:val="0"/>
            <w:vAlign w:val="center"/>
          </w:tcPr>
          <w:p w14:paraId="6117CC5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50≤Y＜500</w:t>
            </w:r>
          </w:p>
        </w:tc>
        <w:tc>
          <w:tcPr>
            <w:tcW w:w="999" w:type="dxa"/>
            <w:tcBorders>
              <w:top w:val="nil"/>
              <w:left w:val="nil"/>
              <w:bottom w:val="single" w:color="auto" w:sz="4" w:space="0"/>
              <w:right w:val="single" w:color="auto" w:sz="4" w:space="0"/>
            </w:tcBorders>
            <w:noWrap w:val="0"/>
            <w:vAlign w:val="center"/>
          </w:tcPr>
          <w:p w14:paraId="7665179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5A1CFD4F">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2E99DB50">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工业</w:t>
            </w:r>
          </w:p>
        </w:tc>
        <w:tc>
          <w:tcPr>
            <w:tcW w:w="1494" w:type="dxa"/>
            <w:tcBorders>
              <w:top w:val="nil"/>
              <w:left w:val="nil"/>
              <w:bottom w:val="single" w:color="auto" w:sz="4" w:space="0"/>
              <w:right w:val="single" w:color="auto" w:sz="4" w:space="0"/>
            </w:tcBorders>
            <w:noWrap w:val="0"/>
            <w:vAlign w:val="center"/>
          </w:tcPr>
          <w:p w14:paraId="2311318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0012FCC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49B06CF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noWrap w:val="0"/>
            <w:vAlign w:val="center"/>
          </w:tcPr>
          <w:p w14:paraId="43502A0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noWrap w:val="0"/>
            <w:vAlign w:val="center"/>
          </w:tcPr>
          <w:p w14:paraId="0F4698E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0254F734">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77F56D52">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7B24845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060F53A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68D22CD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2000≤Y＜40000</w:t>
            </w:r>
          </w:p>
        </w:tc>
        <w:tc>
          <w:tcPr>
            <w:tcW w:w="1554" w:type="dxa"/>
            <w:tcBorders>
              <w:top w:val="nil"/>
              <w:left w:val="nil"/>
              <w:bottom w:val="single" w:color="auto" w:sz="4" w:space="0"/>
              <w:right w:val="single" w:color="auto" w:sz="4" w:space="0"/>
            </w:tcBorders>
            <w:noWrap w:val="0"/>
            <w:vAlign w:val="center"/>
          </w:tcPr>
          <w:p w14:paraId="26B701E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300≤Y＜2000</w:t>
            </w:r>
          </w:p>
        </w:tc>
        <w:tc>
          <w:tcPr>
            <w:tcW w:w="999" w:type="dxa"/>
            <w:tcBorders>
              <w:top w:val="nil"/>
              <w:left w:val="nil"/>
              <w:bottom w:val="single" w:color="auto" w:sz="4" w:space="0"/>
              <w:right w:val="single" w:color="auto" w:sz="4" w:space="0"/>
            </w:tcBorders>
            <w:noWrap w:val="0"/>
            <w:vAlign w:val="center"/>
          </w:tcPr>
          <w:p w14:paraId="0E22F5F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24B073C4">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242819CB">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建筑业</w:t>
            </w:r>
          </w:p>
        </w:tc>
        <w:tc>
          <w:tcPr>
            <w:tcW w:w="1494" w:type="dxa"/>
            <w:tcBorders>
              <w:top w:val="nil"/>
              <w:left w:val="nil"/>
              <w:bottom w:val="single" w:color="auto" w:sz="4" w:space="0"/>
              <w:right w:val="single" w:color="auto" w:sz="4" w:space="0"/>
            </w:tcBorders>
            <w:noWrap w:val="0"/>
            <w:vAlign w:val="center"/>
          </w:tcPr>
          <w:p w14:paraId="256D760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2C77672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3ED73B8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6000≤Y＜80000</w:t>
            </w:r>
          </w:p>
        </w:tc>
        <w:tc>
          <w:tcPr>
            <w:tcW w:w="1554" w:type="dxa"/>
            <w:tcBorders>
              <w:top w:val="nil"/>
              <w:left w:val="nil"/>
              <w:bottom w:val="single" w:color="auto" w:sz="4" w:space="0"/>
              <w:right w:val="single" w:color="auto" w:sz="4" w:space="0"/>
            </w:tcBorders>
            <w:noWrap w:val="0"/>
            <w:vAlign w:val="center"/>
          </w:tcPr>
          <w:p w14:paraId="2075CE2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300≤Y＜6000</w:t>
            </w:r>
          </w:p>
        </w:tc>
        <w:tc>
          <w:tcPr>
            <w:tcW w:w="999" w:type="dxa"/>
            <w:tcBorders>
              <w:top w:val="nil"/>
              <w:left w:val="nil"/>
              <w:bottom w:val="single" w:color="auto" w:sz="4" w:space="0"/>
              <w:right w:val="single" w:color="auto" w:sz="4" w:space="0"/>
            </w:tcBorders>
            <w:noWrap w:val="0"/>
            <w:vAlign w:val="center"/>
          </w:tcPr>
          <w:p w14:paraId="0E018D3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Y＜300</w:t>
            </w:r>
          </w:p>
        </w:tc>
      </w:tr>
      <w:tr w14:paraId="50EAC8D7">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36133177">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17A2059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noWrap w:val="0"/>
            <w:vAlign w:val="center"/>
          </w:tcPr>
          <w:p w14:paraId="2153758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4CCB73C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5000≤Z＜80000</w:t>
            </w:r>
          </w:p>
        </w:tc>
        <w:tc>
          <w:tcPr>
            <w:tcW w:w="1554" w:type="dxa"/>
            <w:tcBorders>
              <w:top w:val="nil"/>
              <w:left w:val="nil"/>
              <w:bottom w:val="single" w:color="auto" w:sz="4" w:space="0"/>
              <w:right w:val="single" w:color="auto" w:sz="4" w:space="0"/>
            </w:tcBorders>
            <w:noWrap w:val="0"/>
            <w:vAlign w:val="center"/>
          </w:tcPr>
          <w:p w14:paraId="11FAC6C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300≤Z＜5000</w:t>
            </w:r>
          </w:p>
        </w:tc>
        <w:tc>
          <w:tcPr>
            <w:tcW w:w="999" w:type="dxa"/>
            <w:tcBorders>
              <w:top w:val="nil"/>
              <w:left w:val="nil"/>
              <w:bottom w:val="single" w:color="auto" w:sz="4" w:space="0"/>
              <w:right w:val="single" w:color="auto" w:sz="4" w:space="0"/>
            </w:tcBorders>
            <w:noWrap w:val="0"/>
            <w:vAlign w:val="center"/>
          </w:tcPr>
          <w:p w14:paraId="085DAEE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Z＜300</w:t>
            </w:r>
          </w:p>
        </w:tc>
      </w:tr>
      <w:tr w14:paraId="7A3DD69A">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1FB66ACC">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批发业</w:t>
            </w:r>
          </w:p>
        </w:tc>
        <w:tc>
          <w:tcPr>
            <w:tcW w:w="1494" w:type="dxa"/>
            <w:tcBorders>
              <w:top w:val="nil"/>
              <w:left w:val="nil"/>
              <w:bottom w:val="single" w:color="auto" w:sz="4" w:space="0"/>
              <w:right w:val="single" w:color="auto" w:sz="4" w:space="0"/>
            </w:tcBorders>
            <w:noWrap w:val="0"/>
            <w:vAlign w:val="center"/>
          </w:tcPr>
          <w:p w14:paraId="610C60F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4B724D2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1CDD0F0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20≤X＜200</w:t>
            </w:r>
          </w:p>
        </w:tc>
        <w:tc>
          <w:tcPr>
            <w:tcW w:w="1554" w:type="dxa"/>
            <w:tcBorders>
              <w:top w:val="nil"/>
              <w:left w:val="nil"/>
              <w:bottom w:val="single" w:color="auto" w:sz="4" w:space="0"/>
              <w:right w:val="single" w:color="auto" w:sz="4" w:space="0"/>
            </w:tcBorders>
            <w:noWrap w:val="0"/>
            <w:vAlign w:val="center"/>
          </w:tcPr>
          <w:p w14:paraId="34A9278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5≤X＜20</w:t>
            </w:r>
          </w:p>
        </w:tc>
        <w:tc>
          <w:tcPr>
            <w:tcW w:w="999" w:type="dxa"/>
            <w:tcBorders>
              <w:top w:val="nil"/>
              <w:left w:val="nil"/>
              <w:bottom w:val="single" w:color="auto" w:sz="4" w:space="0"/>
              <w:right w:val="single" w:color="auto" w:sz="4" w:space="0"/>
            </w:tcBorders>
            <w:noWrap w:val="0"/>
            <w:vAlign w:val="center"/>
          </w:tcPr>
          <w:p w14:paraId="05A95E3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X＜5</w:t>
            </w:r>
          </w:p>
        </w:tc>
      </w:tr>
      <w:tr w14:paraId="09DE335B">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3C3EFF87">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2A86DAE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5B9CCBA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691B439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5000≤Y＜40000</w:t>
            </w:r>
          </w:p>
        </w:tc>
        <w:tc>
          <w:tcPr>
            <w:tcW w:w="1554" w:type="dxa"/>
            <w:tcBorders>
              <w:top w:val="nil"/>
              <w:left w:val="nil"/>
              <w:bottom w:val="single" w:color="auto" w:sz="4" w:space="0"/>
              <w:right w:val="single" w:color="auto" w:sz="4" w:space="0"/>
            </w:tcBorders>
            <w:noWrap w:val="0"/>
            <w:vAlign w:val="center"/>
          </w:tcPr>
          <w:p w14:paraId="683032E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999" w:type="dxa"/>
            <w:tcBorders>
              <w:top w:val="nil"/>
              <w:left w:val="nil"/>
              <w:bottom w:val="single" w:color="auto" w:sz="4" w:space="0"/>
              <w:right w:val="single" w:color="auto" w:sz="4" w:space="0"/>
            </w:tcBorders>
            <w:noWrap w:val="0"/>
            <w:vAlign w:val="center"/>
          </w:tcPr>
          <w:p w14:paraId="3FD9DB6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Y＜1000</w:t>
            </w:r>
          </w:p>
        </w:tc>
      </w:tr>
      <w:tr w14:paraId="346D14BA">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19EB4201">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零售业</w:t>
            </w:r>
          </w:p>
        </w:tc>
        <w:tc>
          <w:tcPr>
            <w:tcW w:w="1494" w:type="dxa"/>
            <w:tcBorders>
              <w:top w:val="nil"/>
              <w:left w:val="nil"/>
              <w:bottom w:val="single" w:color="auto" w:sz="4" w:space="0"/>
              <w:right w:val="single" w:color="auto" w:sz="4" w:space="0"/>
            </w:tcBorders>
            <w:noWrap w:val="0"/>
            <w:vAlign w:val="center"/>
          </w:tcPr>
          <w:p w14:paraId="4B606A4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3198010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05FC563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50≤X＜300</w:t>
            </w:r>
          </w:p>
        </w:tc>
        <w:tc>
          <w:tcPr>
            <w:tcW w:w="1554" w:type="dxa"/>
            <w:tcBorders>
              <w:top w:val="nil"/>
              <w:left w:val="nil"/>
              <w:bottom w:val="single" w:color="auto" w:sz="4" w:space="0"/>
              <w:right w:val="single" w:color="auto" w:sz="4" w:space="0"/>
            </w:tcBorders>
            <w:noWrap w:val="0"/>
            <w:vAlign w:val="center"/>
          </w:tcPr>
          <w:p w14:paraId="7A75A87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10≤X＜50</w:t>
            </w:r>
          </w:p>
        </w:tc>
        <w:tc>
          <w:tcPr>
            <w:tcW w:w="999" w:type="dxa"/>
            <w:tcBorders>
              <w:top w:val="nil"/>
              <w:left w:val="nil"/>
              <w:bottom w:val="single" w:color="auto" w:sz="4" w:space="0"/>
              <w:right w:val="single" w:color="auto" w:sz="4" w:space="0"/>
            </w:tcBorders>
            <w:noWrap w:val="0"/>
            <w:vAlign w:val="center"/>
          </w:tcPr>
          <w:p w14:paraId="477DD4D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4E42AA08">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6111E6ED">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3D496B6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1151788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0CB1855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500≤Y＜20000</w:t>
            </w:r>
          </w:p>
        </w:tc>
        <w:tc>
          <w:tcPr>
            <w:tcW w:w="1554" w:type="dxa"/>
            <w:tcBorders>
              <w:top w:val="nil"/>
              <w:left w:val="nil"/>
              <w:bottom w:val="single" w:color="auto" w:sz="4" w:space="0"/>
              <w:right w:val="single" w:color="auto" w:sz="4" w:space="0"/>
            </w:tcBorders>
            <w:noWrap w:val="0"/>
            <w:vAlign w:val="center"/>
          </w:tcPr>
          <w:p w14:paraId="3755388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100≤Y＜500</w:t>
            </w:r>
          </w:p>
        </w:tc>
        <w:tc>
          <w:tcPr>
            <w:tcW w:w="999" w:type="dxa"/>
            <w:tcBorders>
              <w:top w:val="nil"/>
              <w:left w:val="nil"/>
              <w:bottom w:val="single" w:color="auto" w:sz="4" w:space="0"/>
              <w:right w:val="single" w:color="auto" w:sz="4" w:space="0"/>
            </w:tcBorders>
            <w:noWrap w:val="0"/>
            <w:vAlign w:val="center"/>
          </w:tcPr>
          <w:p w14:paraId="33E6465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5024B621">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5BC99B7F">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交通运输业</w:t>
            </w:r>
          </w:p>
        </w:tc>
        <w:tc>
          <w:tcPr>
            <w:tcW w:w="1494" w:type="dxa"/>
            <w:tcBorders>
              <w:top w:val="nil"/>
              <w:left w:val="nil"/>
              <w:bottom w:val="single" w:color="auto" w:sz="4" w:space="0"/>
              <w:right w:val="single" w:color="auto" w:sz="4" w:space="0"/>
            </w:tcBorders>
            <w:noWrap w:val="0"/>
            <w:vAlign w:val="center"/>
          </w:tcPr>
          <w:p w14:paraId="002A5D1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48E62A3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11DA26A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noWrap w:val="0"/>
            <w:vAlign w:val="center"/>
          </w:tcPr>
          <w:p w14:paraId="008A82D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noWrap w:val="0"/>
            <w:vAlign w:val="center"/>
          </w:tcPr>
          <w:p w14:paraId="0BDA323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523CBE1D">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6B6BD98A">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11AE7D8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57ACA62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28ED83F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3000≤Y＜30000</w:t>
            </w:r>
          </w:p>
        </w:tc>
        <w:tc>
          <w:tcPr>
            <w:tcW w:w="1554" w:type="dxa"/>
            <w:tcBorders>
              <w:top w:val="nil"/>
              <w:left w:val="nil"/>
              <w:bottom w:val="single" w:color="auto" w:sz="4" w:space="0"/>
              <w:right w:val="single" w:color="auto" w:sz="4" w:space="0"/>
            </w:tcBorders>
            <w:noWrap w:val="0"/>
            <w:vAlign w:val="center"/>
          </w:tcPr>
          <w:p w14:paraId="1511915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200≤Y＜3000</w:t>
            </w:r>
          </w:p>
        </w:tc>
        <w:tc>
          <w:tcPr>
            <w:tcW w:w="999" w:type="dxa"/>
            <w:tcBorders>
              <w:top w:val="nil"/>
              <w:left w:val="nil"/>
              <w:bottom w:val="single" w:color="auto" w:sz="4" w:space="0"/>
              <w:right w:val="single" w:color="auto" w:sz="4" w:space="0"/>
            </w:tcBorders>
            <w:noWrap w:val="0"/>
            <w:vAlign w:val="center"/>
          </w:tcPr>
          <w:p w14:paraId="096B09D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w:t>
            </w:r>
          </w:p>
        </w:tc>
      </w:tr>
      <w:tr w14:paraId="73712ECB">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26DAB6B0">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仓储业</w:t>
            </w:r>
          </w:p>
        </w:tc>
        <w:tc>
          <w:tcPr>
            <w:tcW w:w="1494" w:type="dxa"/>
            <w:tcBorders>
              <w:top w:val="nil"/>
              <w:left w:val="nil"/>
              <w:bottom w:val="single" w:color="auto" w:sz="4" w:space="0"/>
              <w:right w:val="single" w:color="auto" w:sz="4" w:space="0"/>
            </w:tcBorders>
            <w:noWrap w:val="0"/>
            <w:vAlign w:val="center"/>
          </w:tcPr>
          <w:p w14:paraId="536D983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493DA65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2EC2F07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w:t>
            </w:r>
          </w:p>
        </w:tc>
        <w:tc>
          <w:tcPr>
            <w:tcW w:w="1554" w:type="dxa"/>
            <w:tcBorders>
              <w:top w:val="nil"/>
              <w:left w:val="nil"/>
              <w:bottom w:val="single" w:color="auto" w:sz="4" w:space="0"/>
              <w:right w:val="single" w:color="auto" w:sz="4" w:space="0"/>
            </w:tcBorders>
            <w:noWrap w:val="0"/>
            <w:vAlign w:val="center"/>
          </w:tcPr>
          <w:p w14:paraId="1D5A71E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20≤X＜100</w:t>
            </w:r>
          </w:p>
        </w:tc>
        <w:tc>
          <w:tcPr>
            <w:tcW w:w="999" w:type="dxa"/>
            <w:tcBorders>
              <w:top w:val="nil"/>
              <w:left w:val="nil"/>
              <w:bottom w:val="single" w:color="auto" w:sz="4" w:space="0"/>
              <w:right w:val="single" w:color="auto" w:sz="4" w:space="0"/>
            </w:tcBorders>
            <w:noWrap w:val="0"/>
            <w:vAlign w:val="center"/>
          </w:tcPr>
          <w:p w14:paraId="27BAF47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2F3A3CB6">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79DEB843">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49E5AA7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4C642C7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57B18A6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1000≤Y＜30000</w:t>
            </w:r>
          </w:p>
        </w:tc>
        <w:tc>
          <w:tcPr>
            <w:tcW w:w="1554" w:type="dxa"/>
            <w:tcBorders>
              <w:top w:val="nil"/>
              <w:left w:val="nil"/>
              <w:bottom w:val="single" w:color="auto" w:sz="4" w:space="0"/>
              <w:right w:val="single" w:color="auto" w:sz="4" w:space="0"/>
            </w:tcBorders>
            <w:noWrap w:val="0"/>
            <w:vAlign w:val="center"/>
          </w:tcPr>
          <w:p w14:paraId="46CC29D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9" w:type="dxa"/>
            <w:tcBorders>
              <w:top w:val="nil"/>
              <w:left w:val="nil"/>
              <w:bottom w:val="single" w:color="auto" w:sz="4" w:space="0"/>
              <w:right w:val="single" w:color="auto" w:sz="4" w:space="0"/>
            </w:tcBorders>
            <w:noWrap w:val="0"/>
            <w:vAlign w:val="center"/>
          </w:tcPr>
          <w:p w14:paraId="089A7F2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49D8159">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1759CEF8">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邮政业</w:t>
            </w:r>
          </w:p>
        </w:tc>
        <w:tc>
          <w:tcPr>
            <w:tcW w:w="1494" w:type="dxa"/>
            <w:tcBorders>
              <w:top w:val="nil"/>
              <w:left w:val="nil"/>
              <w:bottom w:val="single" w:color="auto" w:sz="4" w:space="0"/>
              <w:right w:val="single" w:color="auto" w:sz="4" w:space="0"/>
            </w:tcBorders>
            <w:noWrap w:val="0"/>
            <w:vAlign w:val="center"/>
          </w:tcPr>
          <w:p w14:paraId="518631C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53E1B4C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62663A3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noWrap w:val="0"/>
            <w:vAlign w:val="center"/>
          </w:tcPr>
          <w:p w14:paraId="1D0B7A7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20≤X＜300</w:t>
            </w:r>
          </w:p>
        </w:tc>
        <w:tc>
          <w:tcPr>
            <w:tcW w:w="999" w:type="dxa"/>
            <w:tcBorders>
              <w:top w:val="nil"/>
              <w:left w:val="nil"/>
              <w:bottom w:val="single" w:color="auto" w:sz="4" w:space="0"/>
              <w:right w:val="single" w:color="auto" w:sz="4" w:space="0"/>
            </w:tcBorders>
            <w:noWrap w:val="0"/>
            <w:vAlign w:val="center"/>
          </w:tcPr>
          <w:p w14:paraId="4A5E189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X＜20</w:t>
            </w:r>
          </w:p>
        </w:tc>
      </w:tr>
      <w:tr w14:paraId="3042B658">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39B2B756">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15EF3B5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191569E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3A09089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2000≤Y＜30000</w:t>
            </w:r>
          </w:p>
        </w:tc>
        <w:tc>
          <w:tcPr>
            <w:tcW w:w="1554" w:type="dxa"/>
            <w:tcBorders>
              <w:top w:val="nil"/>
              <w:left w:val="nil"/>
              <w:bottom w:val="single" w:color="auto" w:sz="4" w:space="0"/>
              <w:right w:val="single" w:color="auto" w:sz="4" w:space="0"/>
            </w:tcBorders>
            <w:noWrap w:val="0"/>
            <w:vAlign w:val="center"/>
          </w:tcPr>
          <w:p w14:paraId="1A87EE4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noWrap w:val="0"/>
            <w:vAlign w:val="center"/>
          </w:tcPr>
          <w:p w14:paraId="491769A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6C6E4B92">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27DF14E8">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住宿业</w:t>
            </w:r>
          </w:p>
        </w:tc>
        <w:tc>
          <w:tcPr>
            <w:tcW w:w="1494" w:type="dxa"/>
            <w:tcBorders>
              <w:top w:val="nil"/>
              <w:left w:val="nil"/>
              <w:bottom w:val="single" w:color="auto" w:sz="4" w:space="0"/>
              <w:right w:val="single" w:color="auto" w:sz="4" w:space="0"/>
            </w:tcBorders>
            <w:noWrap w:val="0"/>
            <w:vAlign w:val="center"/>
          </w:tcPr>
          <w:p w14:paraId="5E175D0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6B4BA93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17C5363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noWrap w:val="0"/>
            <w:vAlign w:val="center"/>
          </w:tcPr>
          <w:p w14:paraId="7FC5278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14B6561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DC59255">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2C38BF90">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68286C88">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27D0ED3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3FD6104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554" w:type="dxa"/>
            <w:tcBorders>
              <w:top w:val="nil"/>
              <w:left w:val="nil"/>
              <w:bottom w:val="single" w:color="auto" w:sz="4" w:space="0"/>
              <w:right w:val="single" w:color="auto" w:sz="4" w:space="0"/>
            </w:tcBorders>
            <w:noWrap w:val="0"/>
            <w:vAlign w:val="center"/>
          </w:tcPr>
          <w:p w14:paraId="4169C6A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noWrap w:val="0"/>
            <w:vAlign w:val="center"/>
          </w:tcPr>
          <w:p w14:paraId="51EEB47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C00F583">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334F0994">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餐饮业</w:t>
            </w:r>
          </w:p>
        </w:tc>
        <w:tc>
          <w:tcPr>
            <w:tcW w:w="1494" w:type="dxa"/>
            <w:tcBorders>
              <w:top w:val="nil"/>
              <w:left w:val="nil"/>
              <w:bottom w:val="single" w:color="auto" w:sz="4" w:space="0"/>
              <w:right w:val="single" w:color="auto" w:sz="4" w:space="0"/>
            </w:tcBorders>
            <w:noWrap w:val="0"/>
            <w:vAlign w:val="center"/>
          </w:tcPr>
          <w:p w14:paraId="3D42FF0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245F01B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1F1DB63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noWrap w:val="0"/>
            <w:vAlign w:val="center"/>
          </w:tcPr>
          <w:p w14:paraId="21E94D9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3542523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15316331">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719B5C59">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6F26BF4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72BA5E94">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38AAAB5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2000≤Y＜10000</w:t>
            </w:r>
          </w:p>
        </w:tc>
        <w:tc>
          <w:tcPr>
            <w:tcW w:w="1554" w:type="dxa"/>
            <w:tcBorders>
              <w:top w:val="nil"/>
              <w:left w:val="nil"/>
              <w:bottom w:val="single" w:color="auto" w:sz="4" w:space="0"/>
              <w:right w:val="single" w:color="auto" w:sz="4" w:space="0"/>
            </w:tcBorders>
            <w:noWrap w:val="0"/>
            <w:vAlign w:val="center"/>
          </w:tcPr>
          <w:p w14:paraId="1A8BFA1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100≤Y＜2000</w:t>
            </w:r>
          </w:p>
        </w:tc>
        <w:tc>
          <w:tcPr>
            <w:tcW w:w="999" w:type="dxa"/>
            <w:tcBorders>
              <w:top w:val="nil"/>
              <w:left w:val="nil"/>
              <w:bottom w:val="single" w:color="auto" w:sz="4" w:space="0"/>
              <w:right w:val="single" w:color="auto" w:sz="4" w:space="0"/>
            </w:tcBorders>
            <w:noWrap w:val="0"/>
            <w:vAlign w:val="center"/>
          </w:tcPr>
          <w:p w14:paraId="6330F8B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19412B46">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66B9C590">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信息传输业</w:t>
            </w:r>
          </w:p>
        </w:tc>
        <w:tc>
          <w:tcPr>
            <w:tcW w:w="1494" w:type="dxa"/>
            <w:tcBorders>
              <w:top w:val="nil"/>
              <w:left w:val="nil"/>
              <w:bottom w:val="single" w:color="auto" w:sz="4" w:space="0"/>
              <w:right w:val="single" w:color="auto" w:sz="4" w:space="0"/>
            </w:tcBorders>
            <w:noWrap w:val="0"/>
            <w:vAlign w:val="center"/>
          </w:tcPr>
          <w:p w14:paraId="2BA01D3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23DD110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504C321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100≤X＜2000</w:t>
            </w:r>
          </w:p>
        </w:tc>
        <w:tc>
          <w:tcPr>
            <w:tcW w:w="1554" w:type="dxa"/>
            <w:tcBorders>
              <w:top w:val="nil"/>
              <w:left w:val="nil"/>
              <w:bottom w:val="single" w:color="auto" w:sz="4" w:space="0"/>
              <w:right w:val="single" w:color="auto" w:sz="4" w:space="0"/>
            </w:tcBorders>
            <w:noWrap w:val="0"/>
            <w:vAlign w:val="center"/>
          </w:tcPr>
          <w:p w14:paraId="30C0985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58ABB62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2E364DE9">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1AFC9DB8">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0E50057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775F765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57E3879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1000≤Y＜100000</w:t>
            </w:r>
          </w:p>
        </w:tc>
        <w:tc>
          <w:tcPr>
            <w:tcW w:w="1554" w:type="dxa"/>
            <w:tcBorders>
              <w:top w:val="nil"/>
              <w:left w:val="nil"/>
              <w:bottom w:val="single" w:color="auto" w:sz="4" w:space="0"/>
              <w:right w:val="single" w:color="auto" w:sz="4" w:space="0"/>
            </w:tcBorders>
            <w:noWrap w:val="0"/>
            <w:vAlign w:val="center"/>
          </w:tcPr>
          <w:p w14:paraId="60456AA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100≤Y＜1000</w:t>
            </w:r>
          </w:p>
        </w:tc>
        <w:tc>
          <w:tcPr>
            <w:tcW w:w="999" w:type="dxa"/>
            <w:tcBorders>
              <w:top w:val="nil"/>
              <w:left w:val="nil"/>
              <w:bottom w:val="single" w:color="auto" w:sz="4" w:space="0"/>
              <w:right w:val="single" w:color="auto" w:sz="4" w:space="0"/>
            </w:tcBorders>
            <w:noWrap w:val="0"/>
            <w:vAlign w:val="center"/>
          </w:tcPr>
          <w:p w14:paraId="13041DD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0258ED4A">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33B7251B">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软件和信息技术服务业</w:t>
            </w:r>
          </w:p>
        </w:tc>
        <w:tc>
          <w:tcPr>
            <w:tcW w:w="1494" w:type="dxa"/>
            <w:tcBorders>
              <w:top w:val="nil"/>
              <w:left w:val="nil"/>
              <w:bottom w:val="single" w:color="auto" w:sz="4" w:space="0"/>
              <w:right w:val="single" w:color="auto" w:sz="4" w:space="0"/>
            </w:tcBorders>
            <w:noWrap w:val="0"/>
            <w:vAlign w:val="center"/>
          </w:tcPr>
          <w:p w14:paraId="014FC24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2E42617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7DD280A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noWrap w:val="0"/>
            <w:vAlign w:val="center"/>
          </w:tcPr>
          <w:p w14:paraId="75396BF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5FB59D4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05F5DA3E">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44BD7757">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5E8A057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048F606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32529A8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1000≤Y＜10000</w:t>
            </w:r>
          </w:p>
        </w:tc>
        <w:tc>
          <w:tcPr>
            <w:tcW w:w="1554" w:type="dxa"/>
            <w:tcBorders>
              <w:top w:val="nil"/>
              <w:left w:val="nil"/>
              <w:bottom w:val="single" w:color="auto" w:sz="4" w:space="0"/>
              <w:right w:val="single" w:color="auto" w:sz="4" w:space="0"/>
            </w:tcBorders>
            <w:noWrap w:val="0"/>
            <w:vAlign w:val="center"/>
          </w:tcPr>
          <w:p w14:paraId="443817E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50≤Y＜1000</w:t>
            </w:r>
          </w:p>
        </w:tc>
        <w:tc>
          <w:tcPr>
            <w:tcW w:w="999" w:type="dxa"/>
            <w:tcBorders>
              <w:top w:val="nil"/>
              <w:left w:val="nil"/>
              <w:bottom w:val="single" w:color="auto" w:sz="4" w:space="0"/>
              <w:right w:val="single" w:color="auto" w:sz="4" w:space="0"/>
            </w:tcBorders>
            <w:noWrap w:val="0"/>
            <w:vAlign w:val="center"/>
          </w:tcPr>
          <w:p w14:paraId="6E94BCF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w:t>
            </w:r>
          </w:p>
        </w:tc>
      </w:tr>
      <w:tr w14:paraId="778B10F3">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263DB016">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房地产开发经营</w:t>
            </w:r>
          </w:p>
        </w:tc>
        <w:tc>
          <w:tcPr>
            <w:tcW w:w="1494" w:type="dxa"/>
            <w:tcBorders>
              <w:top w:val="nil"/>
              <w:left w:val="nil"/>
              <w:bottom w:val="single" w:color="auto" w:sz="4" w:space="0"/>
              <w:right w:val="single" w:color="auto" w:sz="4" w:space="0"/>
            </w:tcBorders>
            <w:noWrap w:val="0"/>
            <w:vAlign w:val="center"/>
          </w:tcPr>
          <w:p w14:paraId="698AA9F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4EF0B44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09E2697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1000≤Y＜200000</w:t>
            </w:r>
          </w:p>
        </w:tc>
        <w:tc>
          <w:tcPr>
            <w:tcW w:w="1554" w:type="dxa"/>
            <w:tcBorders>
              <w:top w:val="nil"/>
              <w:left w:val="nil"/>
              <w:bottom w:val="single" w:color="auto" w:sz="4" w:space="0"/>
              <w:right w:val="single" w:color="auto" w:sz="4" w:space="0"/>
            </w:tcBorders>
            <w:noWrap w:val="0"/>
            <w:vAlign w:val="center"/>
          </w:tcPr>
          <w:p w14:paraId="6A20D68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100≤X＜1000</w:t>
            </w:r>
          </w:p>
        </w:tc>
        <w:tc>
          <w:tcPr>
            <w:tcW w:w="999" w:type="dxa"/>
            <w:tcBorders>
              <w:top w:val="nil"/>
              <w:left w:val="nil"/>
              <w:bottom w:val="single" w:color="auto" w:sz="4" w:space="0"/>
              <w:right w:val="single" w:color="auto" w:sz="4" w:space="0"/>
            </w:tcBorders>
            <w:noWrap w:val="0"/>
            <w:vAlign w:val="center"/>
          </w:tcPr>
          <w:p w14:paraId="6FDA42E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5D2CE780">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6692D0ED">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19BF97A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noWrap w:val="0"/>
            <w:vAlign w:val="center"/>
          </w:tcPr>
          <w:p w14:paraId="2BBC71C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54860AD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5000≤Z＜10000</w:t>
            </w:r>
          </w:p>
        </w:tc>
        <w:tc>
          <w:tcPr>
            <w:tcW w:w="1554" w:type="dxa"/>
            <w:tcBorders>
              <w:top w:val="nil"/>
              <w:left w:val="nil"/>
              <w:bottom w:val="single" w:color="auto" w:sz="4" w:space="0"/>
              <w:right w:val="single" w:color="auto" w:sz="4" w:space="0"/>
            </w:tcBorders>
            <w:noWrap w:val="0"/>
            <w:vAlign w:val="center"/>
          </w:tcPr>
          <w:p w14:paraId="39CC70A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2000≤Y＜5000</w:t>
            </w:r>
          </w:p>
        </w:tc>
        <w:tc>
          <w:tcPr>
            <w:tcW w:w="999" w:type="dxa"/>
            <w:tcBorders>
              <w:top w:val="nil"/>
              <w:left w:val="nil"/>
              <w:bottom w:val="single" w:color="auto" w:sz="4" w:space="0"/>
              <w:right w:val="single" w:color="auto" w:sz="4" w:space="0"/>
            </w:tcBorders>
            <w:noWrap w:val="0"/>
            <w:vAlign w:val="center"/>
          </w:tcPr>
          <w:p w14:paraId="1E5DE22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Y＜2000</w:t>
            </w:r>
          </w:p>
        </w:tc>
      </w:tr>
      <w:tr w14:paraId="0C70E797">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456E8D9E">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物业管理</w:t>
            </w:r>
          </w:p>
        </w:tc>
        <w:tc>
          <w:tcPr>
            <w:tcW w:w="1494" w:type="dxa"/>
            <w:tcBorders>
              <w:top w:val="nil"/>
              <w:left w:val="nil"/>
              <w:bottom w:val="single" w:color="auto" w:sz="4" w:space="0"/>
              <w:right w:val="single" w:color="auto" w:sz="4" w:space="0"/>
            </w:tcBorders>
            <w:noWrap w:val="0"/>
            <w:vAlign w:val="center"/>
          </w:tcPr>
          <w:p w14:paraId="3661F95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076EA51D">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0B4F211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300≤X＜1000</w:t>
            </w:r>
          </w:p>
        </w:tc>
        <w:tc>
          <w:tcPr>
            <w:tcW w:w="1554" w:type="dxa"/>
            <w:tcBorders>
              <w:top w:val="nil"/>
              <w:left w:val="nil"/>
              <w:bottom w:val="single" w:color="auto" w:sz="4" w:space="0"/>
              <w:right w:val="single" w:color="auto" w:sz="4" w:space="0"/>
            </w:tcBorders>
            <w:noWrap w:val="0"/>
            <w:vAlign w:val="center"/>
          </w:tcPr>
          <w:p w14:paraId="5CF8912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999" w:type="dxa"/>
            <w:tcBorders>
              <w:top w:val="nil"/>
              <w:left w:val="nil"/>
              <w:bottom w:val="single" w:color="auto" w:sz="4" w:space="0"/>
              <w:right w:val="single" w:color="auto" w:sz="4" w:space="0"/>
            </w:tcBorders>
            <w:noWrap w:val="0"/>
            <w:vAlign w:val="center"/>
          </w:tcPr>
          <w:p w14:paraId="790B915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X＜100</w:t>
            </w:r>
          </w:p>
        </w:tc>
      </w:tr>
      <w:tr w14:paraId="1057F560">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3745A578">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297E8A75">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营业收入（Y）</w:t>
            </w:r>
          </w:p>
        </w:tc>
        <w:tc>
          <w:tcPr>
            <w:tcW w:w="986" w:type="dxa"/>
            <w:tcBorders>
              <w:top w:val="nil"/>
              <w:left w:val="nil"/>
              <w:bottom w:val="single" w:color="auto" w:sz="4" w:space="0"/>
              <w:right w:val="single" w:color="auto" w:sz="4" w:space="0"/>
            </w:tcBorders>
            <w:noWrap w:val="0"/>
            <w:vAlign w:val="center"/>
          </w:tcPr>
          <w:p w14:paraId="4EFD519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4B97BF5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1000≤Y＜5000</w:t>
            </w:r>
          </w:p>
        </w:tc>
        <w:tc>
          <w:tcPr>
            <w:tcW w:w="1554" w:type="dxa"/>
            <w:tcBorders>
              <w:top w:val="nil"/>
              <w:left w:val="nil"/>
              <w:bottom w:val="single" w:color="auto" w:sz="4" w:space="0"/>
              <w:right w:val="single" w:color="auto" w:sz="4" w:space="0"/>
            </w:tcBorders>
            <w:noWrap w:val="0"/>
            <w:vAlign w:val="center"/>
          </w:tcPr>
          <w:p w14:paraId="7A6F06D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500≤Y＜1000</w:t>
            </w:r>
          </w:p>
        </w:tc>
        <w:tc>
          <w:tcPr>
            <w:tcW w:w="999" w:type="dxa"/>
            <w:tcBorders>
              <w:top w:val="nil"/>
              <w:left w:val="nil"/>
              <w:bottom w:val="single" w:color="auto" w:sz="4" w:space="0"/>
              <w:right w:val="single" w:color="auto" w:sz="4" w:space="0"/>
            </w:tcBorders>
            <w:noWrap w:val="0"/>
            <w:vAlign w:val="center"/>
          </w:tcPr>
          <w:p w14:paraId="1C6C3AE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Y＜500</w:t>
            </w:r>
          </w:p>
        </w:tc>
      </w:tr>
      <w:tr w14:paraId="1650C2C3">
        <w:tblPrEx>
          <w:tblCellMar>
            <w:top w:w="0" w:type="dxa"/>
            <w:left w:w="108" w:type="dxa"/>
            <w:bottom w:w="0" w:type="dxa"/>
            <w:right w:w="108" w:type="dxa"/>
          </w:tblCellMar>
        </w:tblPrEx>
        <w:trPr>
          <w:trHeight w:val="270" w:hRule="atLeast"/>
        </w:trPr>
        <w:tc>
          <w:tcPr>
            <w:tcW w:w="1837" w:type="dxa"/>
            <w:vMerge w:val="restart"/>
            <w:tcBorders>
              <w:top w:val="nil"/>
              <w:left w:val="single" w:color="auto" w:sz="4" w:space="0"/>
              <w:bottom w:val="single" w:color="auto" w:sz="4" w:space="0"/>
              <w:right w:val="single" w:color="auto" w:sz="4" w:space="0"/>
            </w:tcBorders>
            <w:noWrap w:val="0"/>
            <w:vAlign w:val="bottom"/>
          </w:tcPr>
          <w:p w14:paraId="4475D273">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租赁和商务服务业</w:t>
            </w:r>
          </w:p>
        </w:tc>
        <w:tc>
          <w:tcPr>
            <w:tcW w:w="1494" w:type="dxa"/>
            <w:tcBorders>
              <w:top w:val="nil"/>
              <w:left w:val="nil"/>
              <w:bottom w:val="single" w:color="auto" w:sz="4" w:space="0"/>
              <w:right w:val="single" w:color="auto" w:sz="4" w:space="0"/>
            </w:tcBorders>
            <w:noWrap w:val="0"/>
            <w:vAlign w:val="center"/>
          </w:tcPr>
          <w:p w14:paraId="4B57E36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2FD31E00">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2A9C5AA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noWrap w:val="0"/>
            <w:vAlign w:val="center"/>
          </w:tcPr>
          <w:p w14:paraId="445A82EB">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4BB24FF7">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r w14:paraId="72277662">
        <w:tblPrEx>
          <w:tblCellMar>
            <w:top w:w="0" w:type="dxa"/>
            <w:left w:w="108" w:type="dxa"/>
            <w:bottom w:w="0" w:type="dxa"/>
            <w:right w:w="108" w:type="dxa"/>
          </w:tblCellMar>
        </w:tblPrEx>
        <w:trPr>
          <w:trHeight w:val="270" w:hRule="atLeast"/>
        </w:trPr>
        <w:tc>
          <w:tcPr>
            <w:tcW w:w="1837" w:type="dxa"/>
            <w:vMerge w:val="continue"/>
            <w:tcBorders>
              <w:top w:val="nil"/>
              <w:left w:val="single" w:color="auto" w:sz="4" w:space="0"/>
              <w:bottom w:val="single" w:color="auto" w:sz="4" w:space="0"/>
              <w:right w:val="single" w:color="auto" w:sz="4" w:space="0"/>
            </w:tcBorders>
            <w:noWrap w:val="0"/>
            <w:vAlign w:val="center"/>
          </w:tcPr>
          <w:p w14:paraId="2354FE10">
            <w:pPr>
              <w:keepNext w:val="0"/>
              <w:keepLines w:val="0"/>
              <w:widowControl/>
              <w:suppressLineNumbers w:val="0"/>
              <w:spacing w:before="0" w:beforeAutospacing="0" w:after="0" w:afterAutospacing="0"/>
              <w:ind w:left="0" w:right="0"/>
              <w:jc w:val="left"/>
              <w:rPr>
                <w:rFonts w:hint="default" w:ascii="宋体" w:hAnsi="宋体" w:eastAsia="宋体" w:cs="宋体"/>
                <w:b/>
                <w:bCs/>
                <w:color w:val="auto"/>
                <w:kern w:val="0"/>
                <w:sz w:val="18"/>
                <w:szCs w:val="18"/>
                <w:highlight w:val="none"/>
              </w:rPr>
            </w:pPr>
          </w:p>
        </w:tc>
        <w:tc>
          <w:tcPr>
            <w:tcW w:w="1494" w:type="dxa"/>
            <w:tcBorders>
              <w:top w:val="nil"/>
              <w:left w:val="nil"/>
              <w:bottom w:val="single" w:color="auto" w:sz="4" w:space="0"/>
              <w:right w:val="single" w:color="auto" w:sz="4" w:space="0"/>
            </w:tcBorders>
            <w:noWrap w:val="0"/>
            <w:vAlign w:val="center"/>
          </w:tcPr>
          <w:p w14:paraId="6FA5D3FA">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资产总额（Z）</w:t>
            </w:r>
          </w:p>
        </w:tc>
        <w:tc>
          <w:tcPr>
            <w:tcW w:w="986" w:type="dxa"/>
            <w:tcBorders>
              <w:top w:val="nil"/>
              <w:left w:val="nil"/>
              <w:bottom w:val="single" w:color="auto" w:sz="4" w:space="0"/>
              <w:right w:val="single" w:color="auto" w:sz="4" w:space="0"/>
            </w:tcBorders>
            <w:noWrap w:val="0"/>
            <w:vAlign w:val="center"/>
          </w:tcPr>
          <w:p w14:paraId="31DA7632">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万元</w:t>
            </w:r>
          </w:p>
        </w:tc>
        <w:tc>
          <w:tcPr>
            <w:tcW w:w="1748" w:type="dxa"/>
            <w:tcBorders>
              <w:top w:val="nil"/>
              <w:left w:val="nil"/>
              <w:bottom w:val="single" w:color="auto" w:sz="4" w:space="0"/>
              <w:right w:val="single" w:color="auto" w:sz="4" w:space="0"/>
            </w:tcBorders>
            <w:noWrap w:val="0"/>
            <w:vAlign w:val="center"/>
          </w:tcPr>
          <w:p w14:paraId="02253473">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8000≤Z＜120000</w:t>
            </w:r>
          </w:p>
        </w:tc>
        <w:tc>
          <w:tcPr>
            <w:tcW w:w="1554" w:type="dxa"/>
            <w:tcBorders>
              <w:top w:val="nil"/>
              <w:left w:val="nil"/>
              <w:bottom w:val="single" w:color="auto" w:sz="4" w:space="0"/>
              <w:right w:val="single" w:color="auto" w:sz="4" w:space="0"/>
            </w:tcBorders>
            <w:noWrap w:val="0"/>
            <w:vAlign w:val="center"/>
          </w:tcPr>
          <w:p w14:paraId="2BEE0C6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100≤Z＜8000</w:t>
            </w:r>
          </w:p>
        </w:tc>
        <w:tc>
          <w:tcPr>
            <w:tcW w:w="999" w:type="dxa"/>
            <w:tcBorders>
              <w:top w:val="nil"/>
              <w:left w:val="nil"/>
              <w:bottom w:val="single" w:color="auto" w:sz="4" w:space="0"/>
              <w:right w:val="single" w:color="auto" w:sz="4" w:space="0"/>
            </w:tcBorders>
            <w:noWrap w:val="0"/>
            <w:vAlign w:val="center"/>
          </w:tcPr>
          <w:p w14:paraId="727377C9">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Y＜100</w:t>
            </w:r>
          </w:p>
        </w:tc>
      </w:tr>
      <w:tr w14:paraId="466A9913">
        <w:tblPrEx>
          <w:tblCellMar>
            <w:top w:w="0" w:type="dxa"/>
            <w:left w:w="108" w:type="dxa"/>
            <w:bottom w:w="0" w:type="dxa"/>
            <w:right w:w="108" w:type="dxa"/>
          </w:tblCellMar>
        </w:tblPrEx>
        <w:trPr>
          <w:trHeight w:val="281" w:hRule="atLeast"/>
        </w:trPr>
        <w:tc>
          <w:tcPr>
            <w:tcW w:w="1837" w:type="dxa"/>
            <w:tcBorders>
              <w:top w:val="nil"/>
              <w:left w:val="single" w:color="auto" w:sz="4" w:space="0"/>
              <w:bottom w:val="single" w:color="auto" w:sz="4" w:space="0"/>
              <w:right w:val="single" w:color="auto" w:sz="4" w:space="0"/>
            </w:tcBorders>
            <w:noWrap w:val="0"/>
            <w:vAlign w:val="bottom"/>
          </w:tcPr>
          <w:p w14:paraId="2A569529">
            <w:pPr>
              <w:keepNext w:val="0"/>
              <w:keepLines w:val="0"/>
              <w:widowControl/>
              <w:suppressLineNumbers w:val="0"/>
              <w:spacing w:before="0" w:beforeAutospacing="0" w:after="0" w:afterAutospacing="0"/>
              <w:ind w:left="0" w:right="0"/>
              <w:jc w:val="center"/>
              <w:rPr>
                <w:rFonts w:hint="eastAsia" w:ascii="宋体" w:hAnsi="宋体" w:eastAsia="宋体" w:cs="宋体"/>
                <w:b/>
                <w:bCs/>
                <w:color w:val="auto"/>
                <w:kern w:val="0"/>
                <w:sz w:val="18"/>
                <w:szCs w:val="18"/>
                <w:highlight w:val="none"/>
              </w:rPr>
            </w:pPr>
            <w:r>
              <w:rPr>
                <w:rFonts w:hint="eastAsia" w:ascii="宋体" w:hAnsi="宋体" w:eastAsia="宋体" w:cs="宋体"/>
                <w:b/>
                <w:bCs/>
                <w:color w:val="auto"/>
                <w:kern w:val="0"/>
                <w:sz w:val="18"/>
                <w:szCs w:val="18"/>
                <w:highlight w:val="none"/>
              </w:rPr>
              <w:t>其他未列明行业</w:t>
            </w:r>
          </w:p>
        </w:tc>
        <w:tc>
          <w:tcPr>
            <w:tcW w:w="1494" w:type="dxa"/>
            <w:tcBorders>
              <w:top w:val="nil"/>
              <w:left w:val="nil"/>
              <w:bottom w:val="single" w:color="auto" w:sz="4" w:space="0"/>
              <w:right w:val="single" w:color="auto" w:sz="4" w:space="0"/>
            </w:tcBorders>
            <w:noWrap w:val="0"/>
            <w:vAlign w:val="center"/>
          </w:tcPr>
          <w:p w14:paraId="05AA682E">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从业人员（X）</w:t>
            </w:r>
          </w:p>
        </w:tc>
        <w:tc>
          <w:tcPr>
            <w:tcW w:w="986" w:type="dxa"/>
            <w:tcBorders>
              <w:top w:val="nil"/>
              <w:left w:val="nil"/>
              <w:bottom w:val="single" w:color="auto" w:sz="4" w:space="0"/>
              <w:right w:val="single" w:color="auto" w:sz="4" w:space="0"/>
            </w:tcBorders>
            <w:noWrap w:val="0"/>
            <w:vAlign w:val="center"/>
          </w:tcPr>
          <w:p w14:paraId="5AE1746F">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人</w:t>
            </w:r>
          </w:p>
        </w:tc>
        <w:tc>
          <w:tcPr>
            <w:tcW w:w="1748" w:type="dxa"/>
            <w:tcBorders>
              <w:top w:val="nil"/>
              <w:left w:val="nil"/>
              <w:bottom w:val="single" w:color="auto" w:sz="4" w:space="0"/>
              <w:right w:val="single" w:color="auto" w:sz="4" w:space="0"/>
            </w:tcBorders>
            <w:noWrap w:val="0"/>
            <w:vAlign w:val="center"/>
          </w:tcPr>
          <w:p w14:paraId="214B75D6">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100≤X＜300</w:t>
            </w:r>
          </w:p>
        </w:tc>
        <w:tc>
          <w:tcPr>
            <w:tcW w:w="1554" w:type="dxa"/>
            <w:tcBorders>
              <w:top w:val="nil"/>
              <w:left w:val="nil"/>
              <w:bottom w:val="single" w:color="auto" w:sz="4" w:space="0"/>
              <w:right w:val="single" w:color="auto" w:sz="4" w:space="0"/>
            </w:tcBorders>
            <w:noWrap w:val="0"/>
            <w:vAlign w:val="center"/>
          </w:tcPr>
          <w:p w14:paraId="50ED5DAC">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10≤X＜100</w:t>
            </w:r>
          </w:p>
        </w:tc>
        <w:tc>
          <w:tcPr>
            <w:tcW w:w="999" w:type="dxa"/>
            <w:tcBorders>
              <w:top w:val="nil"/>
              <w:left w:val="nil"/>
              <w:bottom w:val="single" w:color="auto" w:sz="4" w:space="0"/>
              <w:right w:val="single" w:color="auto" w:sz="4" w:space="0"/>
            </w:tcBorders>
            <w:noWrap w:val="0"/>
            <w:vAlign w:val="center"/>
          </w:tcPr>
          <w:p w14:paraId="25192F91">
            <w:pPr>
              <w:keepNext w:val="0"/>
              <w:keepLines w:val="0"/>
              <w:widowControl/>
              <w:suppressLineNumbers w:val="0"/>
              <w:spacing w:before="0" w:beforeAutospacing="0" w:after="0" w:afterAutospacing="0"/>
              <w:ind w:left="0" w:right="0"/>
              <w:jc w:val="left"/>
              <w:rPr>
                <w:rFonts w:hint="eastAsia" w:ascii="宋体" w:hAnsi="宋体" w:eastAsia="宋体" w:cs="宋体"/>
                <w:color w:val="auto"/>
                <w:kern w:val="0"/>
                <w:sz w:val="18"/>
                <w:szCs w:val="18"/>
                <w:highlight w:val="none"/>
              </w:rPr>
            </w:pPr>
            <w:r>
              <w:rPr>
                <w:rFonts w:hint="eastAsia" w:ascii="宋体" w:hAnsi="宋体" w:eastAsia="宋体" w:cs="宋体"/>
                <w:color w:val="auto"/>
                <w:kern w:val="0"/>
                <w:sz w:val="18"/>
                <w:szCs w:val="18"/>
                <w:highlight w:val="none"/>
              </w:rPr>
              <w:t>X＜10</w:t>
            </w:r>
          </w:p>
        </w:tc>
      </w:tr>
    </w:tbl>
    <w:p w14:paraId="1A3A192F">
      <w:pPr>
        <w:widowControl w:val="0"/>
        <w:spacing w:line="500" w:lineRule="exact"/>
        <w:ind w:firstLine="420" w:firstLineChars="200"/>
        <w:jc w:val="left"/>
        <w:rPr>
          <w:rFonts w:hint="eastAsia" w:ascii="宋体" w:hAnsi="Courier New" w:eastAsia="宋体" w:cs="Courier New"/>
          <w:color w:val="auto"/>
          <w:kern w:val="2"/>
          <w:sz w:val="18"/>
          <w:szCs w:val="18"/>
          <w:highlight w:val="none"/>
          <w:lang w:val="en-US" w:eastAsia="zh-CN" w:bidi="ar-SA"/>
        </w:rPr>
      </w:pPr>
      <w:r>
        <w:rPr>
          <w:rFonts w:hint="eastAsia" w:ascii="宋体" w:hAnsi="宋体" w:eastAsia="宋体" w:cs="Times New Roman"/>
          <w:color w:val="auto"/>
          <w:kern w:val="2"/>
          <w:sz w:val="21"/>
          <w:szCs w:val="21"/>
          <w:highlight w:val="none"/>
          <w:lang w:val="en-US" w:eastAsia="zh-CN" w:bidi="ar-SA"/>
        </w:rPr>
        <w:t>说明：上述标准参照《关于印发中小企业划型标准规定的通知》（工信部联企业[2011]300号），大型、中型和小型企业须同时满足所列指标的下限，否则下划一档；微型企业只须满足所列指标中的一项即可。</w:t>
      </w:r>
    </w:p>
    <w:p w14:paraId="437E15D1">
      <w:pPr>
        <w:spacing w:line="500" w:lineRule="exact"/>
        <w:rPr>
          <w:rFonts w:ascii="Times New Roman" w:hAnsi="Times New Roman" w:eastAsia="宋体" w:cs="Times New Roman"/>
          <w:color w:val="auto"/>
          <w:kern w:val="0"/>
          <w:highlight w:val="none"/>
        </w:rPr>
      </w:pPr>
    </w:p>
    <w:p w14:paraId="14E2C917">
      <w:pPr>
        <w:widowControl/>
        <w:jc w:val="left"/>
        <w:rPr>
          <w:rFonts w:hint="eastAsia" w:ascii="仿宋_GB2312" w:hAnsi="仿宋" w:eastAsia="仿宋_GB2312" w:cs="仿宋_GB2312"/>
          <w:color w:val="auto"/>
          <w:kern w:val="0"/>
          <w:sz w:val="24"/>
          <w:szCs w:val="21"/>
          <w:highlight w:val="none"/>
          <w:lang w:val="zh-CN"/>
        </w:rPr>
        <w:sectPr>
          <w:pgSz w:w="11910" w:h="16840"/>
          <w:pgMar w:top="1340" w:right="1500" w:bottom="280" w:left="1680" w:header="720" w:footer="720" w:gutter="0"/>
          <w:cols w:space="720" w:num="1"/>
        </w:sectPr>
      </w:pPr>
    </w:p>
    <w:p w14:paraId="21755BD8">
      <w:pPr>
        <w:pStyle w:val="3"/>
        <w:jc w:val="center"/>
        <w:rPr>
          <w:rFonts w:hint="eastAsia" w:ascii="宋体" w:hAnsi="宋体"/>
          <w:color w:val="auto"/>
          <w:kern w:val="44"/>
          <w:sz w:val="24"/>
          <w:szCs w:val="44"/>
          <w:highlight w:val="none"/>
        </w:rPr>
      </w:pPr>
      <w:bookmarkStart w:id="69" w:name="_Toc44229899"/>
      <w:bookmarkEnd w:id="69"/>
      <w:bookmarkStart w:id="70" w:name="_Toc35611438"/>
      <w:bookmarkEnd w:id="70"/>
      <w:bookmarkStart w:id="71" w:name="_Toc31723070"/>
      <w:bookmarkEnd w:id="71"/>
      <w:bookmarkStart w:id="72" w:name="_Toc31728084"/>
      <w:bookmarkEnd w:id="72"/>
      <w:bookmarkStart w:id="73" w:name="_Toc35611516"/>
      <w:bookmarkEnd w:id="73"/>
      <w:bookmarkStart w:id="74" w:name="_Toc80205942"/>
      <w:bookmarkStart w:id="75" w:name="_Toc32519"/>
      <w:r>
        <w:rPr>
          <w:rFonts w:hint="eastAsia" w:ascii="宋体" w:hAnsi="宋体"/>
          <w:color w:val="auto"/>
          <w:kern w:val="44"/>
          <w:sz w:val="24"/>
          <w:szCs w:val="44"/>
          <w:highlight w:val="none"/>
        </w:rPr>
        <w:t>第五节 其他文书、文件格式</w:t>
      </w:r>
      <w:bookmarkEnd w:id="74"/>
      <w:bookmarkEnd w:id="75"/>
    </w:p>
    <w:p w14:paraId="24D5AF7D">
      <w:pPr>
        <w:jc w:val="center"/>
        <w:rPr>
          <w:rFonts w:hint="eastAsia" w:ascii="宋体" w:hAnsi="宋体" w:cs="宋体"/>
          <w:b/>
          <w:bCs/>
          <w:color w:val="auto"/>
          <w:sz w:val="21"/>
          <w:szCs w:val="21"/>
          <w:highlight w:val="none"/>
        </w:rPr>
      </w:pPr>
      <w:r>
        <w:rPr>
          <w:rFonts w:hint="eastAsia" w:ascii="宋体" w:hAnsi="宋体" w:cs="宋体"/>
          <w:b/>
          <w:bCs/>
          <w:color w:val="auto"/>
          <w:sz w:val="21"/>
          <w:szCs w:val="21"/>
          <w:highlight w:val="none"/>
        </w:rPr>
        <w:t>知识产权合规性声明</w:t>
      </w:r>
    </w:p>
    <w:p w14:paraId="278B1390">
      <w:pPr>
        <w:rPr>
          <w:rFonts w:hint="eastAsia" w:ascii="仿宋_GB2312" w:hAnsi="仿宋_GB2312" w:eastAsia="仿宋_GB2312" w:cs="仿宋_GB2312"/>
          <w:color w:val="auto"/>
          <w:sz w:val="30"/>
          <w:szCs w:val="30"/>
          <w:highlight w:val="none"/>
        </w:rPr>
      </w:pPr>
    </w:p>
    <w:p w14:paraId="055AF6A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仿宋_GB2312" w:hAnsi="仿宋_GB2312" w:eastAsia="仿宋_GB2312" w:cs="仿宋_GB2312"/>
          <w:color w:val="auto"/>
          <w:sz w:val="30"/>
          <w:szCs w:val="30"/>
          <w:highlight w:val="none"/>
        </w:rPr>
      </w:pPr>
      <w:r>
        <w:rPr>
          <w:rFonts w:hint="eastAsia" w:ascii="仿宋_GB2312" w:hAnsi="仿宋_GB2312" w:eastAsia="仿宋_GB2312" w:cs="仿宋_GB2312"/>
          <w:color w:val="auto"/>
          <w:sz w:val="30"/>
          <w:szCs w:val="30"/>
          <w:highlight w:val="none"/>
        </w:rPr>
        <w:t xml:space="preserve">   </w:t>
      </w:r>
      <w:r>
        <w:rPr>
          <w:rFonts w:hint="eastAsia" w:ascii="仿宋_GB2312" w:hAnsi="仿宋_GB2312" w:eastAsia="仿宋_GB2312" w:cs="仿宋_GB2312"/>
          <w:color w:val="auto"/>
          <w:sz w:val="21"/>
          <w:szCs w:val="21"/>
          <w:highlight w:val="none"/>
        </w:rPr>
        <w:t xml:space="preserve"> 本企业（单位）自愿参与政府投资政府采购的</w:t>
      </w:r>
      <w:r>
        <w:rPr>
          <w:rFonts w:hint="eastAsia" w:ascii="仿宋_GB2312" w:hAnsi="仿宋_GB2312" w:eastAsia="仿宋_GB2312" w:cs="仿宋_GB2312"/>
          <w:color w:val="auto"/>
          <w:sz w:val="21"/>
          <w:szCs w:val="21"/>
          <w:highlight w:val="none"/>
          <w:u w:val="single"/>
          <w:lang w:eastAsia="zh-CN"/>
        </w:rPr>
        <w:t>扶绥县就业公共服务能力提升项目—线上人力资源数据运营服务</w:t>
      </w:r>
      <w:r>
        <w:rPr>
          <w:rFonts w:hint="eastAsia" w:ascii="仿宋_GB2312" w:hAnsi="仿宋_GB2312" w:eastAsia="仿宋_GB2312" w:cs="仿宋_GB2312"/>
          <w:color w:val="auto"/>
          <w:sz w:val="21"/>
          <w:szCs w:val="21"/>
          <w:highlight w:val="none"/>
        </w:rPr>
        <w:t>项目，</w:t>
      </w:r>
      <w:r>
        <w:rPr>
          <w:rFonts w:hint="eastAsia" w:ascii="仿宋_GB2312" w:hAnsi="仿宋_GB2312" w:eastAsia="仿宋_GB2312" w:cs="仿宋_GB2312"/>
          <w:b/>
          <w:bCs/>
          <w:color w:val="auto"/>
          <w:sz w:val="21"/>
          <w:szCs w:val="21"/>
          <w:highlight w:val="none"/>
        </w:rPr>
        <w:t>在此郑重承诺：</w:t>
      </w:r>
      <w:r>
        <w:rPr>
          <w:rFonts w:hint="eastAsia" w:ascii="仿宋_GB2312" w:hAnsi="仿宋_GB2312" w:eastAsia="仿宋_GB2312" w:cs="仿宋_GB2312"/>
          <w:color w:val="auto"/>
          <w:sz w:val="21"/>
          <w:szCs w:val="21"/>
          <w:highlight w:val="none"/>
        </w:rPr>
        <w:t>遵守中国知识产权法律、法规、规章、规范性文件及在中国适用的与知识产权有关的国际公约，所参与项目的知识产权明晰无争议，归属或技术来源正当合法。近三年在知识产权领域不存在违反法律、法规、规章及其他规范性文件的失信行为。所参与的项目不对其他单位及个人的知识产权构成侵权。如经核查确有违反上述承诺应遵守的行为，本企业（单位）将承担由此产生的全部责任。</w:t>
      </w:r>
    </w:p>
    <w:p w14:paraId="0AAEF695">
      <w:pPr>
        <w:snapToGrid w:val="0"/>
        <w:spacing w:line="360" w:lineRule="auto"/>
        <w:ind w:left="5137" w:leftChars="1736" w:hanging="1491" w:hangingChars="825"/>
        <w:rPr>
          <w:b/>
          <w:color w:val="auto"/>
          <w:sz w:val="18"/>
          <w:szCs w:val="18"/>
          <w:highlight w:val="none"/>
        </w:rPr>
      </w:pPr>
    </w:p>
    <w:p w14:paraId="5B432329">
      <w:pPr>
        <w:snapToGrid w:val="0"/>
        <w:spacing w:line="360" w:lineRule="auto"/>
        <w:ind w:left="5137" w:leftChars="1736" w:hanging="1491" w:hangingChars="825"/>
        <w:rPr>
          <w:b/>
          <w:color w:val="auto"/>
          <w:sz w:val="18"/>
          <w:szCs w:val="18"/>
          <w:highlight w:val="none"/>
        </w:rPr>
      </w:pPr>
    </w:p>
    <w:p w14:paraId="26DA142C">
      <w:pPr>
        <w:snapToGrid w:val="0"/>
        <w:spacing w:line="360" w:lineRule="auto"/>
        <w:ind w:left="5137" w:leftChars="1736" w:hanging="1491" w:hangingChars="825"/>
        <w:rPr>
          <w:b/>
          <w:color w:val="auto"/>
          <w:sz w:val="18"/>
          <w:szCs w:val="18"/>
          <w:highlight w:val="none"/>
        </w:rPr>
      </w:pPr>
    </w:p>
    <w:p w14:paraId="05242031">
      <w:pPr>
        <w:snapToGrid w:val="0"/>
        <w:spacing w:line="360" w:lineRule="auto"/>
        <w:ind w:left="5137" w:leftChars="1736" w:hanging="1491" w:hangingChars="825"/>
        <w:rPr>
          <w:b/>
          <w:color w:val="auto"/>
          <w:sz w:val="18"/>
          <w:szCs w:val="18"/>
          <w:highlight w:val="none"/>
        </w:rPr>
      </w:pPr>
    </w:p>
    <w:p w14:paraId="3E22661E">
      <w:pPr>
        <w:autoSpaceDE w:val="0"/>
        <w:autoSpaceDN w:val="0"/>
        <w:spacing w:line="380" w:lineRule="exact"/>
        <w:ind w:firstLine="4200" w:firstLineChars="2000"/>
        <w:rPr>
          <w:rFonts w:hint="eastAsia" w:ascii="宋体" w:hAnsi="宋体" w:cs="宋体"/>
          <w:color w:val="auto"/>
          <w:kern w:val="0"/>
          <w:szCs w:val="21"/>
          <w:highlight w:val="none"/>
        </w:rPr>
      </w:pPr>
      <w:r>
        <w:rPr>
          <w:rFonts w:hint="eastAsia" w:ascii="宋体" w:hAnsi="宋体" w:cs="宋体"/>
          <w:color w:val="auto"/>
          <w:kern w:val="0"/>
          <w:szCs w:val="21"/>
          <w:highlight w:val="none"/>
        </w:rPr>
        <w:t>供应商名称（电子签章）：</w:t>
      </w:r>
    </w:p>
    <w:p w14:paraId="7DB89168">
      <w:pPr>
        <w:widowControl/>
        <w:ind w:firstLine="6090" w:firstLineChars="2900"/>
        <w:jc w:val="left"/>
        <w:rPr>
          <w:rFonts w:hint="eastAsia" w:ascii="宋体" w:hAnsi="宋体" w:cs="仿宋_GB2312"/>
          <w:color w:val="auto"/>
          <w:sz w:val="24"/>
          <w:highlight w:val="none"/>
        </w:rPr>
        <w:sectPr>
          <w:pgSz w:w="11906" w:h="16838"/>
          <w:pgMar w:top="1134" w:right="1134" w:bottom="1134" w:left="1134" w:header="720" w:footer="720" w:gutter="0"/>
          <w:cols w:space="720" w:num="1"/>
          <w:docGrid w:type="lines" w:linePitch="331" w:charSpace="0"/>
        </w:sectPr>
      </w:pPr>
      <w:r>
        <w:rPr>
          <w:rFonts w:hint="eastAsia" w:hAnsi="宋体" w:cs="宋体"/>
          <w:color w:val="auto"/>
          <w:sz w:val="21"/>
          <w:highlight w:val="none"/>
          <w:lang w:val="zh-CN"/>
        </w:rPr>
        <w:t>日期：  年  月   日</w:t>
      </w:r>
    </w:p>
    <w:p w14:paraId="3D28DEB8">
      <w:pPr>
        <w:spacing w:line="520" w:lineRule="exact"/>
        <w:rPr>
          <w:rFonts w:hint="eastAsia" w:ascii="宋体" w:hAnsi="宋体" w:cs="仿宋_GB2312"/>
          <w:color w:val="auto"/>
          <w:sz w:val="24"/>
          <w:highlight w:val="none"/>
        </w:rPr>
      </w:pPr>
    </w:p>
    <w:p w14:paraId="4907134F">
      <w:pPr>
        <w:keepNext w:val="0"/>
        <w:keepLines w:val="0"/>
        <w:pageBreakBefore w:val="0"/>
        <w:widowControl w:val="0"/>
        <w:kinsoku/>
        <w:wordWrap/>
        <w:overflowPunct/>
        <w:topLinePunct w:val="0"/>
        <w:autoSpaceDE/>
        <w:autoSpaceDN/>
        <w:bidi w:val="0"/>
        <w:adjustRightInd/>
        <w:snapToGrid/>
        <w:spacing w:line="380" w:lineRule="exact"/>
        <w:jc w:val="center"/>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残疾人福利性单位声明函</w:t>
      </w:r>
    </w:p>
    <w:p w14:paraId="7194A9E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3D7678BE">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本单位郑重声明，根据《财政部 民政部 中国残疾人联合会关于促进残疾人就业政府采购政策的通知》（财库〔2017〕141号）的规定，本单位为符合条件的残疾人福利性单位，且本单位参加</w:t>
      </w:r>
      <w:r>
        <w:rPr>
          <w:rFonts w:hint="eastAsia" w:ascii="宋体" w:hAnsi="宋体" w:cs="宋体"/>
          <w:color w:val="auto"/>
          <w:sz w:val="21"/>
          <w:szCs w:val="21"/>
          <w:highlight w:val="none"/>
          <w:u w:val="single"/>
          <w:lang w:eastAsia="zh-CN"/>
        </w:rPr>
        <w:t>扶绥县人力资源和社会保障局</w:t>
      </w:r>
      <w:r>
        <w:rPr>
          <w:rFonts w:hint="eastAsia" w:ascii="宋体" w:hAnsi="宋体" w:eastAsia="宋体" w:cs="宋体"/>
          <w:color w:val="auto"/>
          <w:sz w:val="21"/>
          <w:szCs w:val="21"/>
          <w:highlight w:val="none"/>
          <w:u w:val="single"/>
        </w:rPr>
        <w:t xml:space="preserve"> </w:t>
      </w:r>
      <w:r>
        <w:rPr>
          <w:rFonts w:hint="eastAsia" w:ascii="宋体" w:hAnsi="宋体" w:eastAsia="宋体" w:cs="宋体"/>
          <w:color w:val="auto"/>
          <w:sz w:val="21"/>
          <w:szCs w:val="21"/>
          <w:highlight w:val="none"/>
        </w:rPr>
        <w:t>单位的</w:t>
      </w:r>
      <w:r>
        <w:rPr>
          <w:rFonts w:hint="eastAsia" w:ascii="宋体" w:hAnsi="宋体" w:cs="宋体"/>
          <w:color w:val="auto"/>
          <w:sz w:val="21"/>
          <w:szCs w:val="21"/>
          <w:highlight w:val="none"/>
          <w:u w:val="single"/>
          <w:lang w:eastAsia="zh-CN"/>
        </w:rPr>
        <w:t>扶绥县就业公共服务能力提升项目—线上人力资源数据运营服务</w:t>
      </w:r>
      <w:r>
        <w:rPr>
          <w:rFonts w:hint="eastAsia" w:ascii="宋体" w:hAnsi="宋体" w:eastAsia="宋体" w:cs="宋体"/>
          <w:color w:val="auto"/>
          <w:sz w:val="21"/>
          <w:szCs w:val="21"/>
          <w:highlight w:val="none"/>
        </w:rPr>
        <w:t>项目采购活动由本单位提供服务。</w:t>
      </w:r>
    </w:p>
    <w:p w14:paraId="50946B12">
      <w:pPr>
        <w:keepNext w:val="0"/>
        <w:keepLines w:val="0"/>
        <w:pageBreakBefore w:val="0"/>
        <w:widowControl w:val="0"/>
        <w:kinsoku/>
        <w:wordWrap/>
        <w:overflowPunct/>
        <w:topLinePunct w:val="0"/>
        <w:autoSpaceDE/>
        <w:autoSpaceDN/>
        <w:bidi w:val="0"/>
        <w:adjustRightInd/>
        <w:snapToGrid/>
        <w:spacing w:line="38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本单位对上述声明的真实性负责。如有虚假，将依法承担相应责任。</w:t>
      </w:r>
    </w:p>
    <w:p w14:paraId="0DBEBA8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3A592A1F">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1E0E39B7">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202F8FF7">
      <w:pPr>
        <w:keepNext w:val="0"/>
        <w:keepLines w:val="0"/>
        <w:pageBreakBefore w:val="0"/>
        <w:widowControl w:val="0"/>
        <w:kinsoku/>
        <w:wordWrap/>
        <w:overflowPunct/>
        <w:topLinePunct w:val="0"/>
        <w:autoSpaceDE/>
        <w:autoSpaceDN/>
        <w:bidi w:val="0"/>
        <w:adjustRightInd/>
        <w:snapToGrid/>
        <w:spacing w:line="380" w:lineRule="exact"/>
        <w:ind w:firstLine="3990" w:firstLineChars="19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供应商名称（电子签章）：</w:t>
      </w:r>
    </w:p>
    <w:p w14:paraId="7089CF63">
      <w:pPr>
        <w:keepNext w:val="0"/>
        <w:keepLines w:val="0"/>
        <w:pageBreakBefore w:val="0"/>
        <w:widowControl w:val="0"/>
        <w:kinsoku/>
        <w:wordWrap/>
        <w:overflowPunct/>
        <w:topLinePunct w:val="0"/>
        <w:autoSpaceDE/>
        <w:autoSpaceDN/>
        <w:bidi w:val="0"/>
        <w:adjustRightInd/>
        <w:snapToGrid/>
        <w:spacing w:line="380" w:lineRule="exact"/>
        <w:ind w:firstLine="3780" w:firstLineChars="18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日  期：     年   月   日</w:t>
      </w:r>
    </w:p>
    <w:p w14:paraId="44E88CB2">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3F53F78E">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01D7455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p>
    <w:p w14:paraId="25104D43">
      <w:pPr>
        <w:keepNext w:val="0"/>
        <w:keepLines w:val="0"/>
        <w:pageBreakBefore w:val="0"/>
        <w:widowControl w:val="0"/>
        <w:kinsoku/>
        <w:wordWrap/>
        <w:overflowPunct/>
        <w:topLinePunct w:val="0"/>
        <w:autoSpaceDE/>
        <w:autoSpaceDN/>
        <w:bidi w:val="0"/>
        <w:adjustRightInd/>
        <w:snapToGrid/>
        <w:spacing w:line="380" w:lineRule="exact"/>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注：请根据自己的真实情况出具《残疾人福利性单位声明函》。依法享受中小企业优惠政策的，采购人或者采购代理机构在公告中标结果时，同时公告其《残疾人福利性单位声明函》，接受社会监督；根据《关于政府采购支持监狱企业发展有关问题的通知》（财库</w:t>
      </w:r>
      <w:r>
        <w:rPr>
          <w:rFonts w:hint="eastAsia" w:ascii="宋体" w:hAnsi="宋体" w:eastAsia="宋体" w:cs="宋体"/>
          <w:color w:val="auto"/>
          <w:sz w:val="21"/>
          <w:szCs w:val="21"/>
          <w:highlight w:val="none"/>
          <w:lang w:eastAsia="zh-CN"/>
        </w:rPr>
        <w:t>〔2014〕68号</w:t>
      </w:r>
      <w:r>
        <w:rPr>
          <w:rFonts w:hint="eastAsia" w:ascii="宋体" w:hAnsi="宋体" w:eastAsia="宋体" w:cs="宋体"/>
          <w:color w:val="auto"/>
          <w:sz w:val="21"/>
          <w:szCs w:val="21"/>
          <w:highlight w:val="none"/>
        </w:rPr>
        <w:t>）的规定，投标人提供由省级以上监狱管理局、戒毒管理局（含新疆生产建设兵团）出具的属于监狱企业证明文件的，视同为小型和微型企业。</w:t>
      </w:r>
    </w:p>
    <w:p w14:paraId="05B4A4DF">
      <w:pPr>
        <w:spacing w:line="520" w:lineRule="exact"/>
        <w:jc w:val="center"/>
        <w:rPr>
          <w:rFonts w:hint="eastAsia" w:ascii="宋体" w:hAnsi="宋体"/>
          <w:color w:val="auto"/>
          <w:sz w:val="24"/>
          <w:highlight w:val="none"/>
        </w:rPr>
      </w:pPr>
    </w:p>
    <w:p w14:paraId="02A4FA14">
      <w:pPr>
        <w:spacing w:line="520" w:lineRule="exact"/>
        <w:jc w:val="center"/>
        <w:rPr>
          <w:rFonts w:hint="eastAsia" w:ascii="宋体" w:hAnsi="宋体"/>
          <w:color w:val="auto"/>
          <w:sz w:val="24"/>
          <w:highlight w:val="none"/>
        </w:rPr>
      </w:pPr>
    </w:p>
    <w:p w14:paraId="26201C7D">
      <w:pPr>
        <w:spacing w:line="520" w:lineRule="exact"/>
        <w:jc w:val="center"/>
        <w:rPr>
          <w:rFonts w:hint="eastAsia" w:ascii="宋体" w:hAnsi="宋体"/>
          <w:color w:val="auto"/>
          <w:sz w:val="24"/>
          <w:highlight w:val="none"/>
        </w:rPr>
      </w:pPr>
    </w:p>
    <w:p w14:paraId="2F8C44A6">
      <w:pPr>
        <w:spacing w:line="520" w:lineRule="exact"/>
        <w:jc w:val="center"/>
        <w:rPr>
          <w:rFonts w:hint="eastAsia" w:ascii="宋体" w:hAnsi="宋体"/>
          <w:color w:val="auto"/>
          <w:sz w:val="24"/>
          <w:highlight w:val="none"/>
        </w:rPr>
      </w:pPr>
    </w:p>
    <w:p w14:paraId="675227E8">
      <w:pPr>
        <w:spacing w:line="520" w:lineRule="exact"/>
        <w:jc w:val="center"/>
        <w:rPr>
          <w:rFonts w:hint="eastAsia" w:ascii="宋体" w:hAnsi="宋体"/>
          <w:color w:val="auto"/>
          <w:sz w:val="24"/>
          <w:highlight w:val="none"/>
        </w:rPr>
      </w:pPr>
    </w:p>
    <w:p w14:paraId="2207C9C3">
      <w:pPr>
        <w:rPr>
          <w:rFonts w:hint="eastAsia" w:ascii="宋体" w:hAnsi="宋体"/>
          <w:color w:val="auto"/>
          <w:sz w:val="24"/>
          <w:highlight w:val="none"/>
        </w:rPr>
      </w:pPr>
      <w:r>
        <w:rPr>
          <w:rFonts w:hint="eastAsia" w:ascii="宋体" w:hAnsi="宋体"/>
          <w:color w:val="auto"/>
          <w:sz w:val="24"/>
          <w:highlight w:val="none"/>
        </w:rPr>
        <w:br w:type="page"/>
      </w:r>
    </w:p>
    <w:p w14:paraId="2DF78843">
      <w:pPr>
        <w:pStyle w:val="31"/>
        <w:rPr>
          <w:rFonts w:hint="eastAsia"/>
          <w:color w:val="auto"/>
          <w:highlight w:val="none"/>
        </w:rPr>
      </w:pPr>
    </w:p>
    <w:p w14:paraId="766A97E3">
      <w:pPr>
        <w:pStyle w:val="2"/>
        <w:spacing w:before="0" w:after="90" w:line="240" w:lineRule="auto"/>
        <w:jc w:val="center"/>
        <w:rPr>
          <w:rFonts w:hint="eastAsia" w:ascii="宋体" w:hAnsi="宋体" w:eastAsia="宋体" w:cs="宋体"/>
          <w:color w:val="auto"/>
          <w:highlight w:val="none"/>
        </w:rPr>
      </w:pPr>
      <w:bookmarkStart w:id="76" w:name="_Toc20948"/>
      <w:r>
        <w:rPr>
          <w:rFonts w:hint="eastAsia" w:ascii="宋体" w:hAnsi="宋体" w:eastAsia="宋体" w:cs="宋体"/>
          <w:color w:val="auto"/>
          <w:highlight w:val="none"/>
        </w:rPr>
        <w:t>第六章  合同文本</w:t>
      </w:r>
      <w:bookmarkEnd w:id="76"/>
    </w:p>
    <w:p w14:paraId="4EFFA969">
      <w:pPr>
        <w:rPr>
          <w:rFonts w:hint="eastAsia" w:ascii="宋体" w:hAnsi="宋体" w:eastAsia="宋体" w:cs="宋体"/>
          <w:b/>
          <w:bCs/>
          <w:color w:val="auto"/>
          <w:highlight w:val="none"/>
        </w:rPr>
      </w:pPr>
      <w:r>
        <w:rPr>
          <w:rFonts w:hint="eastAsia" w:ascii="宋体" w:hAnsi="宋体" w:eastAsia="宋体" w:cs="宋体"/>
          <w:color w:val="auto"/>
          <w:sz w:val="24"/>
          <w:highlight w:val="none"/>
        </w:rPr>
        <w:t>广西政府采购云平台合同编号：</w:t>
      </w:r>
    </w:p>
    <w:p w14:paraId="0A5BE96E">
      <w:pPr>
        <w:spacing w:line="360" w:lineRule="auto"/>
        <w:jc w:val="center"/>
        <w:rPr>
          <w:rFonts w:hint="eastAsia" w:ascii="宋体" w:hAnsi="宋体" w:eastAsia="宋体" w:cs="宋体"/>
          <w:b/>
          <w:bCs/>
          <w:color w:val="auto"/>
          <w:sz w:val="52"/>
          <w:highlight w:val="none"/>
        </w:rPr>
      </w:pPr>
      <w:r>
        <w:rPr>
          <w:rFonts w:hint="eastAsia" w:ascii="宋体" w:hAnsi="宋体" w:eastAsia="宋体" w:cs="宋体"/>
          <w:b/>
          <w:bCs/>
          <w:color w:val="auto"/>
          <w:sz w:val="52"/>
          <w:highlight w:val="none"/>
        </w:rPr>
        <w:t>政 府 采 购</w:t>
      </w:r>
    </w:p>
    <w:p w14:paraId="5EA5B922">
      <w:pPr>
        <w:spacing w:line="360" w:lineRule="auto"/>
        <w:ind w:firstLine="640" w:firstLineChars="200"/>
        <w:rPr>
          <w:rFonts w:hint="eastAsia" w:ascii="宋体" w:hAnsi="宋体" w:eastAsia="宋体" w:cs="宋体"/>
          <w:color w:val="auto"/>
          <w:sz w:val="32"/>
          <w:szCs w:val="32"/>
          <w:highlight w:val="none"/>
        </w:rPr>
      </w:pPr>
    </w:p>
    <w:p w14:paraId="338538AD">
      <w:pPr>
        <w:spacing w:line="360" w:lineRule="auto"/>
        <w:ind w:firstLine="640" w:firstLineChars="200"/>
        <w:rPr>
          <w:rFonts w:hint="eastAsia" w:ascii="宋体" w:hAnsi="宋体" w:eastAsia="宋体" w:cs="宋体"/>
          <w:color w:val="auto"/>
          <w:sz w:val="32"/>
          <w:szCs w:val="32"/>
          <w:highlight w:val="none"/>
        </w:rPr>
      </w:pPr>
    </w:p>
    <w:p w14:paraId="2A6AC090">
      <w:pPr>
        <w:spacing w:line="360" w:lineRule="auto"/>
        <w:jc w:val="center"/>
        <w:rPr>
          <w:rFonts w:hint="eastAsia" w:ascii="宋体" w:hAnsi="宋体" w:eastAsia="宋体" w:cs="宋体"/>
          <w:b/>
          <w:bCs/>
          <w:color w:val="auto"/>
          <w:sz w:val="32"/>
          <w:szCs w:val="32"/>
          <w:highlight w:val="none"/>
        </w:rPr>
      </w:pPr>
      <w:r>
        <w:rPr>
          <w:rFonts w:hint="eastAsia" w:ascii="宋体" w:hAnsi="宋体" w:eastAsia="宋体" w:cs="宋体"/>
          <w:b/>
          <w:bCs/>
          <w:color w:val="auto"/>
          <w:sz w:val="32"/>
          <w:szCs w:val="32"/>
          <w:highlight w:val="none"/>
          <w:u w:val="single"/>
          <w:lang w:eastAsia="zh-CN"/>
        </w:rPr>
        <w:t>扶绥县就业公共服务能力提升项目—线上人力资源数据运营服务</w:t>
      </w:r>
      <w:r>
        <w:rPr>
          <w:rFonts w:hint="eastAsia" w:ascii="宋体" w:hAnsi="宋体" w:eastAsia="宋体" w:cs="宋体"/>
          <w:b/>
          <w:bCs/>
          <w:color w:val="auto"/>
          <w:sz w:val="32"/>
          <w:szCs w:val="32"/>
          <w:highlight w:val="none"/>
        </w:rPr>
        <w:t>合同</w:t>
      </w:r>
    </w:p>
    <w:p w14:paraId="65278C3F">
      <w:pPr>
        <w:spacing w:line="360" w:lineRule="auto"/>
        <w:jc w:val="center"/>
        <w:rPr>
          <w:rFonts w:hint="eastAsia" w:ascii="宋体" w:hAnsi="宋体" w:eastAsia="宋体" w:cs="宋体"/>
          <w:b/>
          <w:bCs/>
          <w:color w:val="auto"/>
          <w:sz w:val="32"/>
          <w:szCs w:val="32"/>
          <w:highlight w:val="none"/>
        </w:rPr>
      </w:pPr>
    </w:p>
    <w:p w14:paraId="39A8E9E9">
      <w:pPr>
        <w:spacing w:line="360" w:lineRule="auto"/>
        <w:ind w:firstLine="2551" w:firstLineChars="794"/>
        <w:rPr>
          <w:rFonts w:hint="eastAsia" w:ascii="宋体" w:hAnsi="宋体" w:eastAsia="宋体" w:cs="宋体"/>
          <w:b/>
          <w:bCs/>
          <w:color w:val="auto"/>
          <w:sz w:val="32"/>
          <w:szCs w:val="32"/>
          <w:highlight w:val="none"/>
        </w:rPr>
      </w:pPr>
    </w:p>
    <w:p w14:paraId="187D066B">
      <w:pPr>
        <w:spacing w:line="360" w:lineRule="auto"/>
        <w:ind w:firstLine="2551" w:firstLineChars="794"/>
        <w:rPr>
          <w:rFonts w:hint="eastAsia" w:ascii="宋体" w:hAnsi="宋体" w:eastAsia="宋体" w:cs="宋体"/>
          <w:b/>
          <w:bCs/>
          <w:color w:val="auto"/>
          <w:sz w:val="32"/>
          <w:szCs w:val="32"/>
          <w:highlight w:val="none"/>
        </w:rPr>
      </w:pPr>
    </w:p>
    <w:p w14:paraId="2F6F8F2D">
      <w:pPr>
        <w:ind w:firstLine="1773" w:firstLineChars="552"/>
        <w:rPr>
          <w:rFonts w:hint="eastAsia" w:ascii="宋体" w:hAnsi="宋体" w:eastAsia="宋体" w:cs="宋体"/>
          <w:b/>
          <w:color w:val="auto"/>
          <w:sz w:val="32"/>
          <w:szCs w:val="32"/>
          <w:highlight w:val="none"/>
          <w:lang w:eastAsia="zh-CN"/>
        </w:rPr>
      </w:pPr>
      <w:r>
        <w:rPr>
          <w:rFonts w:hint="eastAsia" w:ascii="宋体" w:hAnsi="宋体" w:eastAsia="宋体" w:cs="宋体"/>
          <w:b/>
          <w:color w:val="auto"/>
          <w:sz w:val="32"/>
          <w:szCs w:val="32"/>
          <w:highlight w:val="none"/>
        </w:rPr>
        <w:t>采购项目编号：</w:t>
      </w:r>
      <w:r>
        <w:rPr>
          <w:rFonts w:hint="eastAsia" w:ascii="宋体" w:hAnsi="宋体" w:cs="宋体"/>
          <w:b/>
          <w:color w:val="auto"/>
          <w:sz w:val="32"/>
          <w:szCs w:val="32"/>
          <w:highlight w:val="none"/>
          <w:u w:val="single"/>
          <w:lang w:eastAsia="zh-CN"/>
        </w:rPr>
        <w:t>CZZC2025-C3-210076-GLZB</w:t>
      </w:r>
    </w:p>
    <w:p w14:paraId="4DAC0274">
      <w:pPr>
        <w:ind w:firstLine="1773" w:firstLineChars="552"/>
        <w:rPr>
          <w:rFonts w:hint="eastAsia" w:ascii="宋体" w:hAnsi="宋体" w:eastAsia="宋体" w:cs="宋体"/>
          <w:b/>
          <w:color w:val="auto"/>
          <w:sz w:val="32"/>
          <w:szCs w:val="32"/>
          <w:highlight w:val="none"/>
        </w:rPr>
      </w:pPr>
      <w:r>
        <w:rPr>
          <w:rFonts w:hint="eastAsia" w:ascii="宋体" w:hAnsi="宋体" w:eastAsia="宋体" w:cs="宋体"/>
          <w:b/>
          <w:color w:val="auto"/>
          <w:sz w:val="32"/>
          <w:szCs w:val="32"/>
          <w:highlight w:val="none"/>
        </w:rPr>
        <w:t>采购计划编号：</w:t>
      </w:r>
    </w:p>
    <w:p w14:paraId="46477A4F">
      <w:pPr>
        <w:ind w:firstLine="1744" w:firstLineChars="545"/>
        <w:rPr>
          <w:rFonts w:hint="eastAsia" w:ascii="宋体" w:hAnsi="宋体" w:eastAsia="宋体" w:cs="宋体"/>
          <w:color w:val="auto"/>
          <w:sz w:val="32"/>
          <w:szCs w:val="32"/>
          <w:highlight w:val="none"/>
        </w:rPr>
      </w:pPr>
    </w:p>
    <w:p w14:paraId="48022E9A">
      <w:pPr>
        <w:ind w:firstLine="1773" w:firstLineChars="552"/>
        <w:rPr>
          <w:rFonts w:hint="eastAsia" w:ascii="宋体" w:hAnsi="宋体" w:eastAsia="宋体" w:cs="宋体"/>
          <w:b/>
          <w:color w:val="auto"/>
          <w:sz w:val="32"/>
          <w:szCs w:val="32"/>
          <w:highlight w:val="none"/>
          <w:u w:val="single"/>
        </w:rPr>
      </w:pPr>
    </w:p>
    <w:p w14:paraId="43619DF3">
      <w:pPr>
        <w:ind w:firstLine="1773" w:firstLineChars="552"/>
        <w:rPr>
          <w:rFonts w:hint="eastAsia" w:ascii="宋体" w:hAnsi="宋体" w:eastAsia="宋体" w:cs="宋体"/>
          <w:b/>
          <w:color w:val="auto"/>
          <w:sz w:val="32"/>
          <w:szCs w:val="32"/>
          <w:highlight w:val="none"/>
          <w:u w:val="single"/>
        </w:rPr>
      </w:pPr>
    </w:p>
    <w:p w14:paraId="0107CDE3">
      <w:pPr>
        <w:tabs>
          <w:tab w:val="left" w:pos="7200"/>
        </w:tabs>
        <w:spacing w:line="360" w:lineRule="auto"/>
        <w:ind w:firstLine="1773" w:firstLineChars="552"/>
        <w:rPr>
          <w:rFonts w:hint="eastAsia" w:ascii="宋体" w:hAnsi="宋体" w:eastAsia="宋体" w:cs="宋体"/>
          <w:b/>
          <w:color w:val="auto"/>
          <w:sz w:val="32"/>
          <w:szCs w:val="32"/>
          <w:highlight w:val="none"/>
          <w:u w:val="single"/>
        </w:rPr>
      </w:pPr>
      <w:r>
        <w:rPr>
          <w:rFonts w:hint="eastAsia" w:ascii="宋体" w:hAnsi="宋体" w:eastAsia="宋体" w:cs="宋体"/>
          <w:b/>
          <w:color w:val="auto"/>
          <w:sz w:val="32"/>
          <w:szCs w:val="32"/>
          <w:highlight w:val="none"/>
        </w:rPr>
        <w:t>采购人：</w:t>
      </w:r>
      <w:r>
        <w:rPr>
          <w:rFonts w:hint="eastAsia" w:ascii="宋体" w:hAnsi="宋体" w:eastAsia="宋体" w:cs="宋体"/>
          <w:b/>
          <w:color w:val="auto"/>
          <w:sz w:val="32"/>
          <w:szCs w:val="32"/>
          <w:highlight w:val="none"/>
          <w:u w:val="single"/>
          <w:lang w:eastAsia="zh-CN"/>
        </w:rPr>
        <w:t>扶绥县人力资源和社会保障局</w:t>
      </w:r>
      <w:r>
        <w:rPr>
          <w:rFonts w:hint="eastAsia" w:ascii="宋体" w:hAnsi="宋体" w:eastAsia="宋体" w:cs="宋体"/>
          <w:b/>
          <w:color w:val="auto"/>
          <w:sz w:val="32"/>
          <w:szCs w:val="32"/>
          <w:highlight w:val="none"/>
          <w:u w:val="single"/>
        </w:rPr>
        <w:t xml:space="preserve"> </w:t>
      </w:r>
    </w:p>
    <w:p w14:paraId="22E572A0">
      <w:pPr>
        <w:tabs>
          <w:tab w:val="left" w:pos="7380"/>
        </w:tabs>
        <w:spacing w:line="360" w:lineRule="auto"/>
        <w:ind w:firstLine="1773" w:firstLineChars="552"/>
        <w:rPr>
          <w:rFonts w:hint="eastAsia" w:ascii="宋体" w:hAnsi="宋体" w:eastAsia="宋体" w:cs="宋体"/>
          <w:b/>
          <w:bCs/>
          <w:color w:val="auto"/>
          <w:sz w:val="32"/>
          <w:szCs w:val="32"/>
          <w:highlight w:val="none"/>
        </w:rPr>
      </w:pPr>
      <w:r>
        <w:rPr>
          <w:rFonts w:hint="eastAsia" w:ascii="宋体" w:hAnsi="宋体" w:eastAsia="宋体" w:cs="宋体"/>
          <w:b/>
          <w:color w:val="auto"/>
          <w:sz w:val="32"/>
          <w:szCs w:val="32"/>
          <w:highlight w:val="none"/>
        </w:rPr>
        <w:t>成交供应商：</w:t>
      </w:r>
      <w:r>
        <w:rPr>
          <w:rFonts w:hint="eastAsia" w:ascii="宋体" w:hAnsi="宋体" w:eastAsia="宋体" w:cs="宋体"/>
          <w:b/>
          <w:color w:val="auto"/>
          <w:sz w:val="32"/>
          <w:szCs w:val="32"/>
          <w:highlight w:val="none"/>
          <w:u w:val="single"/>
        </w:rPr>
        <w:t xml:space="preserve">             </w:t>
      </w:r>
      <w:r>
        <w:rPr>
          <w:rFonts w:hint="eastAsia" w:ascii="宋体" w:hAnsi="宋体" w:eastAsia="宋体" w:cs="宋体"/>
          <w:b/>
          <w:color w:val="auto"/>
          <w:sz w:val="32"/>
          <w:szCs w:val="32"/>
          <w:highlight w:val="none"/>
        </w:rPr>
        <w:t xml:space="preserve"> </w:t>
      </w:r>
    </w:p>
    <w:p w14:paraId="2CF0D410">
      <w:pPr>
        <w:tabs>
          <w:tab w:val="left" w:pos="7380"/>
        </w:tabs>
        <w:spacing w:line="360" w:lineRule="auto"/>
        <w:rPr>
          <w:rFonts w:hint="eastAsia" w:ascii="宋体" w:hAnsi="宋体" w:eastAsia="宋体" w:cs="宋体"/>
          <w:b/>
          <w:bCs/>
          <w:color w:val="auto"/>
          <w:sz w:val="32"/>
          <w:szCs w:val="32"/>
          <w:highlight w:val="none"/>
        </w:rPr>
      </w:pPr>
    </w:p>
    <w:p w14:paraId="700B6E6F">
      <w:pPr>
        <w:tabs>
          <w:tab w:val="left" w:pos="7380"/>
        </w:tabs>
        <w:spacing w:line="360" w:lineRule="auto"/>
        <w:ind w:firstLine="1773" w:firstLineChars="552"/>
        <w:rPr>
          <w:rFonts w:hint="eastAsia" w:ascii="宋体" w:hAnsi="宋体" w:eastAsia="宋体" w:cs="宋体"/>
          <w:b/>
          <w:color w:val="auto"/>
          <w:sz w:val="32"/>
          <w:szCs w:val="32"/>
          <w:highlight w:val="none"/>
          <w:lang w:val="zh-CN"/>
        </w:rPr>
      </w:pPr>
      <w:r>
        <w:rPr>
          <w:rFonts w:hint="eastAsia" w:ascii="宋体" w:hAnsi="宋体" w:eastAsia="宋体" w:cs="宋体"/>
          <w:b/>
          <w:color w:val="auto"/>
          <w:sz w:val="32"/>
          <w:szCs w:val="32"/>
          <w:highlight w:val="none"/>
          <w:lang w:val="zh-CN"/>
        </w:rPr>
        <w:t>签订时间：</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zh-CN"/>
        </w:rPr>
        <w:t>年</w:t>
      </w: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lang w:val="zh-CN"/>
        </w:rPr>
        <w:t>月</w:t>
      </w:r>
      <w:r>
        <w:rPr>
          <w:rFonts w:hint="eastAsia" w:ascii="宋体" w:hAnsi="宋体" w:eastAsia="宋体" w:cs="宋体"/>
          <w:b/>
          <w:color w:val="auto"/>
          <w:sz w:val="32"/>
          <w:szCs w:val="32"/>
          <w:highlight w:val="none"/>
        </w:rPr>
        <w:t xml:space="preserve">   </w:t>
      </w:r>
      <w:r>
        <w:rPr>
          <w:rFonts w:hint="eastAsia" w:ascii="宋体" w:hAnsi="宋体" w:eastAsia="宋体" w:cs="宋体"/>
          <w:b/>
          <w:color w:val="auto"/>
          <w:sz w:val="32"/>
          <w:szCs w:val="32"/>
          <w:highlight w:val="none"/>
          <w:lang w:val="zh-CN"/>
        </w:rPr>
        <w:t>日</w:t>
      </w:r>
    </w:p>
    <w:p w14:paraId="081C0983">
      <w:pPr>
        <w:snapToGrid w:val="0"/>
        <w:spacing w:line="360" w:lineRule="auto"/>
        <w:jc w:val="center"/>
        <w:rPr>
          <w:rFonts w:hint="eastAsia" w:ascii="宋体" w:hAnsi="宋体" w:eastAsia="宋体" w:cs="宋体"/>
          <w:b/>
          <w:color w:val="auto"/>
          <w:sz w:val="24"/>
          <w:highlight w:val="none"/>
        </w:rPr>
      </w:pPr>
      <w:r>
        <w:rPr>
          <w:rFonts w:hint="eastAsia" w:ascii="宋体" w:hAnsi="宋体" w:eastAsia="宋体" w:cs="宋体"/>
          <w:b/>
          <w:bCs/>
          <w:color w:val="auto"/>
          <w:sz w:val="44"/>
          <w:highlight w:val="none"/>
        </w:rPr>
        <w:br w:type="page"/>
      </w:r>
      <w:r>
        <w:rPr>
          <w:rFonts w:hint="eastAsia" w:ascii="宋体" w:hAnsi="宋体" w:eastAsia="宋体" w:cs="宋体"/>
          <w:b/>
          <w:color w:val="auto"/>
          <w:sz w:val="24"/>
          <w:highlight w:val="none"/>
        </w:rPr>
        <w:t>合同目录</w:t>
      </w:r>
    </w:p>
    <w:p w14:paraId="66C89206">
      <w:pPr>
        <w:snapToGrid w:val="0"/>
        <w:spacing w:line="360" w:lineRule="auto"/>
        <w:jc w:val="center"/>
        <w:rPr>
          <w:rFonts w:hint="eastAsia" w:ascii="宋体" w:hAnsi="宋体" w:eastAsia="宋体" w:cs="宋体"/>
          <w:b/>
          <w:bCs/>
          <w:color w:val="auto"/>
          <w:sz w:val="44"/>
          <w:highlight w:val="none"/>
        </w:rPr>
      </w:pPr>
    </w:p>
    <w:p w14:paraId="44C41B3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一、</w:t>
      </w:r>
      <w:r>
        <w:rPr>
          <w:rFonts w:hint="eastAsia" w:ascii="宋体" w:hAnsi="宋体" w:eastAsia="宋体" w:cs="宋体"/>
          <w:color w:val="auto"/>
          <w:sz w:val="24"/>
          <w:highlight w:val="none"/>
        </w:rPr>
        <w:t>第一部分 合同书</w:t>
      </w:r>
      <w:r>
        <w:rPr>
          <w:rFonts w:hint="eastAsia" w:ascii="宋体" w:hAnsi="宋体" w:eastAsia="宋体" w:cs="宋体"/>
          <w:color w:val="auto"/>
          <w:kern w:val="0"/>
          <w:sz w:val="24"/>
          <w:highlight w:val="none"/>
        </w:rPr>
        <w:t>……………………………………………………………（页码）</w:t>
      </w:r>
    </w:p>
    <w:p w14:paraId="1209450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二、第二部分 合同一般条款……………………………………………………（页码）</w:t>
      </w:r>
    </w:p>
    <w:p w14:paraId="27D11A15">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三、第三部分 合同专用条款……………………………………………………（页码）</w:t>
      </w:r>
    </w:p>
    <w:p w14:paraId="79592BB1">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四、</w:t>
      </w:r>
      <w:r>
        <w:rPr>
          <w:rFonts w:hint="eastAsia" w:ascii="宋体" w:hAnsi="宋体" w:eastAsia="宋体" w:cs="宋体"/>
          <w:color w:val="auto"/>
          <w:sz w:val="24"/>
          <w:highlight w:val="none"/>
        </w:rPr>
        <w:t>第四部分 合同附件</w:t>
      </w:r>
      <w:r>
        <w:rPr>
          <w:rFonts w:hint="eastAsia" w:ascii="宋体" w:hAnsi="宋体" w:eastAsia="宋体" w:cs="宋体"/>
          <w:color w:val="auto"/>
          <w:kern w:val="0"/>
          <w:sz w:val="24"/>
          <w:highlight w:val="none"/>
        </w:rPr>
        <w:t>…………………………………………………………（页码）</w:t>
      </w:r>
    </w:p>
    <w:p w14:paraId="2B5D255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4.1成交通知书 …………………………………………………………………（页码）</w:t>
      </w:r>
    </w:p>
    <w:p w14:paraId="7FF536CE">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4.2采购文件服务需求一览表 …………………………………………………（页码）</w:t>
      </w:r>
    </w:p>
    <w:p w14:paraId="53D3DFD3">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4.3采购文件的更改通知（如有） ……………………………………………（页码）</w:t>
      </w:r>
    </w:p>
    <w:p w14:paraId="44F8617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4.4响应函 ………………………………………………………………………（页码）</w:t>
      </w:r>
    </w:p>
    <w:p w14:paraId="29679DA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4.5响应报价表 …………………………………………………………………（页码）</w:t>
      </w:r>
    </w:p>
    <w:p w14:paraId="3A6E1272">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4.6响应服务技术资料表 ………………………………………………………（页码）</w:t>
      </w:r>
    </w:p>
    <w:p w14:paraId="22068D9D">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4.7商务条款偏离表 ……………………………………………………………（页码）</w:t>
      </w:r>
    </w:p>
    <w:p w14:paraId="2513DFC8">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4.8成交供应商澄清函（如有请提供） ………………………………………（页码）</w:t>
      </w:r>
    </w:p>
    <w:p w14:paraId="0CB9457A">
      <w:pPr>
        <w:snapToGrid w:val="0"/>
        <w:spacing w:line="360" w:lineRule="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4.9其他与本合同相关的资料（如有请提供） ………………………………（页码）</w:t>
      </w:r>
    </w:p>
    <w:p w14:paraId="2276636A">
      <w:pPr>
        <w:snapToGrid w:val="0"/>
        <w:spacing w:line="360" w:lineRule="auto"/>
        <w:rPr>
          <w:rFonts w:hint="eastAsia" w:ascii="宋体" w:hAnsi="宋体" w:eastAsia="宋体" w:cs="宋体"/>
          <w:color w:val="auto"/>
          <w:kern w:val="0"/>
          <w:sz w:val="24"/>
          <w:highlight w:val="none"/>
        </w:rPr>
      </w:pPr>
    </w:p>
    <w:p w14:paraId="493D38D7">
      <w:pPr>
        <w:widowControl/>
        <w:jc w:val="left"/>
        <w:rPr>
          <w:rFonts w:hint="eastAsia" w:ascii="宋体" w:hAnsi="宋体" w:eastAsia="宋体" w:cs="宋体"/>
          <w:color w:val="auto"/>
          <w:kern w:val="0"/>
          <w:sz w:val="32"/>
          <w:szCs w:val="20"/>
          <w:highlight w:val="none"/>
        </w:rPr>
        <w:sectPr>
          <w:pgSz w:w="11906" w:h="16838"/>
          <w:pgMar w:top="1134" w:right="1134" w:bottom="1134" w:left="1134" w:header="720" w:footer="720" w:gutter="0"/>
          <w:cols w:space="720" w:num="1"/>
          <w:docGrid w:type="lines" w:linePitch="331" w:charSpace="0"/>
        </w:sectPr>
      </w:pPr>
    </w:p>
    <w:p w14:paraId="36087FF2">
      <w:pPr>
        <w:widowControl w:val="0"/>
        <w:autoSpaceDE w:val="0"/>
        <w:autoSpaceDN w:val="0"/>
        <w:adjustRightInd w:val="0"/>
        <w:snapToGrid w:val="0"/>
        <w:spacing w:after="120" w:line="360" w:lineRule="auto"/>
        <w:ind w:left="420" w:leftChars="200" w:firstLine="562" w:firstLineChars="200"/>
        <w:jc w:val="center"/>
        <w:rPr>
          <w:rFonts w:hint="eastAsia" w:ascii="宋体" w:hAnsi="宋体" w:eastAsia="宋体" w:cs="宋体"/>
          <w:b/>
          <w:color w:val="auto"/>
          <w:kern w:val="2"/>
          <w:sz w:val="28"/>
          <w:szCs w:val="28"/>
          <w:highlight w:val="none"/>
          <w:lang w:val="en-US" w:eastAsia="zh-CN" w:bidi="ar-SA"/>
        </w:rPr>
      </w:pPr>
      <w:r>
        <w:rPr>
          <w:rFonts w:hint="eastAsia" w:ascii="宋体" w:hAnsi="宋体" w:eastAsia="宋体" w:cs="宋体"/>
          <w:b/>
          <w:color w:val="auto"/>
          <w:kern w:val="2"/>
          <w:sz w:val="28"/>
          <w:szCs w:val="28"/>
          <w:highlight w:val="none"/>
          <w:lang w:val="en-US" w:eastAsia="zh-CN" w:bidi="ar-SA"/>
        </w:rPr>
        <w:t>第一部分 合同书</w:t>
      </w:r>
    </w:p>
    <w:p w14:paraId="5D843C7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采购单位名称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竞争性磋商采购方式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lang w:eastAsia="zh-CN"/>
        </w:rPr>
        <w:t>扶绥县就业公共服务能力提升项目—线上人力资源数据运营服务</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磋商小组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成交人</w:t>
      </w:r>
      <w:r>
        <w:rPr>
          <w:rFonts w:hint="eastAsia" w:ascii="宋体" w:hAnsi="宋体" w:eastAsia="宋体" w:cs="宋体"/>
          <w:color w:val="auto"/>
          <w:sz w:val="24"/>
          <w:highlight w:val="none"/>
          <w:u w:val="single"/>
        </w:rPr>
        <w:t>名称）</w:t>
      </w:r>
      <w:r>
        <w:rPr>
          <w:rFonts w:hint="eastAsia" w:ascii="宋体" w:hAnsi="宋体" w:eastAsia="宋体" w:cs="宋体"/>
          <w:color w:val="auto"/>
          <w:sz w:val="24"/>
          <w:highlight w:val="none"/>
        </w:rPr>
        <w:t>为该项目</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。现于</w:t>
      </w:r>
      <w:r>
        <w:rPr>
          <w:rFonts w:hint="eastAsia" w:ascii="宋体" w:hAnsi="宋体" w:eastAsia="宋体" w:cs="宋体"/>
          <w:color w:val="auto"/>
          <w:sz w:val="24"/>
          <w:highlight w:val="none"/>
          <w:lang w:val="en-US" w:eastAsia="zh-CN"/>
        </w:rPr>
        <w:t>成交</w:t>
      </w:r>
      <w:r>
        <w:rPr>
          <w:rFonts w:hint="eastAsia" w:ascii="宋体" w:hAnsi="宋体" w:eastAsia="宋体" w:cs="宋体"/>
          <w:color w:val="auto"/>
          <w:sz w:val="24"/>
          <w:highlight w:val="none"/>
        </w:rPr>
        <w:t>通知书发出之日起</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日内，按照采购文件确定的事项签订本合同。</w:t>
      </w:r>
    </w:p>
    <w:p w14:paraId="6C293B7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采购单位名称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成交人</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1A99A72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77" w:name="_Toc3029"/>
      <w:bookmarkStart w:id="78" w:name="_Toc2232"/>
      <w:bookmarkStart w:id="79" w:name="_Toc24059"/>
      <w:r>
        <w:rPr>
          <w:rFonts w:hint="eastAsia" w:ascii="宋体" w:hAnsi="宋体" w:eastAsia="宋体" w:cs="宋体"/>
          <w:b/>
          <w:color w:val="auto"/>
          <w:sz w:val="24"/>
          <w:highlight w:val="none"/>
        </w:rPr>
        <w:t>1.1 合同组成部分</w:t>
      </w:r>
      <w:bookmarkEnd w:id="77"/>
      <w:bookmarkEnd w:id="78"/>
      <w:bookmarkEnd w:id="79"/>
    </w:p>
    <w:p w14:paraId="1140E24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下列文件为本合同的组成部分，并构成一个整体，需综合解释、相互补充。如果下列文件内容出现不一致的情形，在保证按照采购文件确定的事项的前提下，组成本合同的多个文件的优先适用顺序如下：</w:t>
      </w:r>
    </w:p>
    <w:p w14:paraId="7B33D05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5147602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1.1.2 </w:t>
      </w:r>
      <w:r>
        <w:rPr>
          <w:rFonts w:hint="eastAsia" w:ascii="宋体" w:hAnsi="宋体" w:eastAsia="宋体" w:cs="宋体"/>
          <w:color w:val="auto"/>
          <w:sz w:val="24"/>
          <w:highlight w:val="none"/>
          <w:lang w:val="en-US" w:eastAsia="zh-CN"/>
        </w:rPr>
        <w:t>成交</w:t>
      </w:r>
      <w:r>
        <w:rPr>
          <w:rFonts w:hint="eastAsia" w:ascii="宋体" w:hAnsi="宋体" w:eastAsia="宋体" w:cs="宋体"/>
          <w:color w:val="auto"/>
          <w:sz w:val="24"/>
          <w:highlight w:val="none"/>
        </w:rPr>
        <w:t>通知书；</w:t>
      </w:r>
    </w:p>
    <w:p w14:paraId="7CECA11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1.1.3 </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文件及“</w:t>
      </w:r>
      <w:r>
        <w:rPr>
          <w:rFonts w:hint="eastAsia" w:ascii="宋体" w:hAnsi="宋体" w:eastAsia="宋体" w:cs="宋体"/>
          <w:color w:val="auto"/>
          <w:sz w:val="24"/>
          <w:highlight w:val="none"/>
          <w:lang w:val="en-US" w:eastAsia="zh-CN"/>
        </w:rPr>
        <w:t>竞标</w:t>
      </w:r>
      <w:r>
        <w:rPr>
          <w:rFonts w:hint="eastAsia" w:ascii="宋体" w:hAnsi="宋体" w:eastAsia="宋体" w:cs="宋体"/>
          <w:color w:val="auto"/>
          <w:sz w:val="24"/>
          <w:highlight w:val="none"/>
        </w:rPr>
        <w:t>报价”（含澄清或者说明文件）；</w:t>
      </w:r>
    </w:p>
    <w:p w14:paraId="1BE4792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1.1.4 </w:t>
      </w:r>
      <w:r>
        <w:rPr>
          <w:rFonts w:hint="eastAsia" w:ascii="宋体" w:hAnsi="宋体" w:eastAsia="宋体" w:cs="宋体"/>
          <w:color w:val="auto"/>
          <w:sz w:val="24"/>
          <w:highlight w:val="none"/>
          <w:lang w:val="en-US" w:eastAsia="zh-CN"/>
        </w:rPr>
        <w:t>采购</w:t>
      </w:r>
      <w:r>
        <w:rPr>
          <w:rFonts w:hint="eastAsia" w:ascii="宋体" w:hAnsi="宋体" w:eastAsia="宋体" w:cs="宋体"/>
          <w:color w:val="auto"/>
          <w:sz w:val="24"/>
          <w:highlight w:val="none"/>
        </w:rPr>
        <w:t>文件（含澄清或者修改文件）；</w:t>
      </w:r>
    </w:p>
    <w:p w14:paraId="74D57C7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6B6F2DCB">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80" w:name="_Toc24300"/>
      <w:bookmarkStart w:id="81" w:name="_Toc21295"/>
      <w:bookmarkStart w:id="82" w:name="_Toc27126"/>
      <w:r>
        <w:rPr>
          <w:rFonts w:hint="eastAsia" w:ascii="宋体" w:hAnsi="宋体" w:eastAsia="宋体" w:cs="宋体"/>
          <w:b/>
          <w:color w:val="auto"/>
          <w:sz w:val="24"/>
          <w:highlight w:val="none"/>
        </w:rPr>
        <w:t>1.2 标的物</w:t>
      </w:r>
      <w:bookmarkEnd w:id="80"/>
      <w:bookmarkEnd w:id="81"/>
      <w:bookmarkEnd w:id="82"/>
    </w:p>
    <w:p w14:paraId="4F2E807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1.2.1 标的物1信息</w:t>
      </w:r>
    </w:p>
    <w:p w14:paraId="49AD435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1.2.1.1名称：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34AA12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1.2.1.2数量：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8B1828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1.2.1.3质量：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46755FF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w:t>
      </w:r>
    </w:p>
    <w:p w14:paraId="60E5DB9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83" w:name="_Toc21551"/>
      <w:bookmarkStart w:id="84" w:name="_Toc21631"/>
      <w:bookmarkStart w:id="85" w:name="_Toc23292"/>
      <w:r>
        <w:rPr>
          <w:rFonts w:hint="eastAsia" w:ascii="宋体" w:hAnsi="宋体" w:eastAsia="宋体" w:cs="宋体"/>
          <w:b/>
          <w:color w:val="auto"/>
          <w:sz w:val="24"/>
          <w:highlight w:val="none"/>
        </w:rPr>
        <w:t>1.3 价款</w:t>
      </w:r>
      <w:bookmarkEnd w:id="83"/>
      <w:bookmarkEnd w:id="84"/>
      <w:bookmarkEnd w:id="85"/>
    </w:p>
    <w:p w14:paraId="5964B8B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本合同总价为：人民币</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元人民币，含税）。</w:t>
      </w:r>
    </w:p>
    <w:p w14:paraId="636E6B0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6"/>
        <w:gridCol w:w="3813"/>
        <w:gridCol w:w="2860"/>
      </w:tblGrid>
      <w:tr w14:paraId="7F50A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noWrap w:val="0"/>
            <w:vAlign w:val="center"/>
          </w:tcPr>
          <w:p w14:paraId="4CBA3A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813" w:type="dxa"/>
            <w:tcBorders>
              <w:top w:val="single" w:color="auto" w:sz="4" w:space="0"/>
              <w:left w:val="single" w:color="auto" w:sz="4" w:space="0"/>
              <w:bottom w:val="single" w:color="auto" w:sz="4" w:space="0"/>
              <w:right w:val="single" w:color="auto" w:sz="4" w:space="0"/>
            </w:tcBorders>
            <w:noWrap w:val="0"/>
            <w:vAlign w:val="center"/>
          </w:tcPr>
          <w:p w14:paraId="02EF55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分项名称</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1B7005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分项价格</w:t>
            </w:r>
          </w:p>
        </w:tc>
      </w:tr>
      <w:tr w14:paraId="32AFC0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noWrap w:val="0"/>
            <w:vAlign w:val="center"/>
          </w:tcPr>
          <w:p w14:paraId="6A84B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c>
          <w:tcPr>
            <w:tcW w:w="3813" w:type="dxa"/>
            <w:tcBorders>
              <w:top w:val="single" w:color="auto" w:sz="4" w:space="0"/>
              <w:left w:val="single" w:color="auto" w:sz="4" w:space="0"/>
              <w:bottom w:val="single" w:color="auto" w:sz="4" w:space="0"/>
              <w:right w:val="single" w:color="auto" w:sz="4" w:space="0"/>
            </w:tcBorders>
            <w:noWrap w:val="0"/>
            <w:vAlign w:val="center"/>
          </w:tcPr>
          <w:p w14:paraId="3BA6E1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c>
          <w:tcPr>
            <w:tcW w:w="2860" w:type="dxa"/>
            <w:tcBorders>
              <w:top w:val="single" w:color="auto" w:sz="4" w:space="0"/>
              <w:left w:val="single" w:color="auto" w:sz="4" w:space="0"/>
              <w:bottom w:val="single" w:color="auto" w:sz="4" w:space="0"/>
              <w:right w:val="single" w:color="auto" w:sz="4" w:space="0"/>
            </w:tcBorders>
            <w:noWrap w:val="0"/>
            <w:vAlign w:val="center"/>
          </w:tcPr>
          <w:p w14:paraId="0FC037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r w14:paraId="6EF3E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 w:hRule="atLeast"/>
          <w:jc w:val="center"/>
        </w:trPr>
        <w:tc>
          <w:tcPr>
            <w:tcW w:w="1346" w:type="dxa"/>
            <w:tcBorders>
              <w:top w:val="single" w:color="auto" w:sz="4" w:space="0"/>
              <w:left w:val="single" w:color="auto" w:sz="4" w:space="0"/>
              <w:bottom w:val="single" w:color="auto" w:sz="4" w:space="0"/>
              <w:right w:val="single" w:color="auto" w:sz="4" w:space="0"/>
            </w:tcBorders>
            <w:noWrap w:val="0"/>
            <w:vAlign w:val="center"/>
          </w:tcPr>
          <w:p w14:paraId="3222B2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c>
          <w:tcPr>
            <w:tcW w:w="3813" w:type="dxa"/>
            <w:tcBorders>
              <w:top w:val="single" w:color="auto" w:sz="4" w:space="0"/>
              <w:left w:val="single" w:color="auto" w:sz="4" w:space="0"/>
              <w:bottom w:val="single" w:color="auto" w:sz="4" w:space="0"/>
              <w:right w:val="single" w:color="auto" w:sz="4" w:space="0"/>
            </w:tcBorders>
            <w:noWrap w:val="0"/>
            <w:vAlign w:val="center"/>
          </w:tcPr>
          <w:p w14:paraId="5CB92F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c>
          <w:tcPr>
            <w:tcW w:w="2860" w:type="dxa"/>
            <w:tcBorders>
              <w:top w:val="single" w:color="auto" w:sz="4" w:space="0"/>
              <w:left w:val="single" w:color="auto" w:sz="4" w:space="0"/>
              <w:bottom w:val="single" w:color="auto" w:sz="4" w:space="0"/>
              <w:right w:val="single" w:color="auto" w:sz="4" w:space="0"/>
            </w:tcBorders>
            <w:noWrap w:val="0"/>
            <w:vAlign w:val="center"/>
          </w:tcPr>
          <w:p w14:paraId="0B844F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r w14:paraId="12100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0" w:hRule="atLeast"/>
          <w:jc w:val="center"/>
        </w:trPr>
        <w:tc>
          <w:tcPr>
            <w:tcW w:w="5159" w:type="dxa"/>
            <w:gridSpan w:val="2"/>
            <w:tcBorders>
              <w:top w:val="single" w:color="auto" w:sz="4" w:space="0"/>
              <w:left w:val="single" w:color="auto" w:sz="4" w:space="0"/>
              <w:bottom w:val="single" w:color="auto" w:sz="4" w:space="0"/>
              <w:right w:val="single" w:color="auto" w:sz="4" w:space="0"/>
            </w:tcBorders>
            <w:noWrap w:val="0"/>
            <w:vAlign w:val="center"/>
          </w:tcPr>
          <w:p w14:paraId="4A1EAF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总价</w:t>
            </w:r>
          </w:p>
        </w:tc>
        <w:tc>
          <w:tcPr>
            <w:tcW w:w="2860" w:type="dxa"/>
            <w:tcBorders>
              <w:top w:val="single" w:color="auto" w:sz="4" w:space="0"/>
              <w:left w:val="single" w:color="auto" w:sz="4" w:space="0"/>
              <w:bottom w:val="single" w:color="auto" w:sz="4" w:space="0"/>
              <w:right w:val="single" w:color="auto" w:sz="4" w:space="0"/>
            </w:tcBorders>
            <w:noWrap w:val="0"/>
            <w:vAlign w:val="center"/>
          </w:tcPr>
          <w:p w14:paraId="60DD4C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bl>
    <w:p w14:paraId="5378EA9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86" w:name="_Toc22618"/>
      <w:bookmarkStart w:id="87" w:name="_Toc10340"/>
      <w:bookmarkStart w:id="88" w:name="_Toc1814"/>
      <w:r>
        <w:rPr>
          <w:rFonts w:hint="eastAsia" w:ascii="宋体" w:hAnsi="宋体" w:eastAsia="宋体" w:cs="宋体"/>
          <w:b/>
          <w:color w:val="auto"/>
          <w:sz w:val="24"/>
          <w:highlight w:val="none"/>
        </w:rPr>
        <w:t>1.4 付款方式和发票开具方式</w:t>
      </w:r>
      <w:bookmarkEnd w:id="86"/>
      <w:bookmarkEnd w:id="87"/>
      <w:bookmarkEnd w:id="88"/>
    </w:p>
    <w:p w14:paraId="17B3F96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1.4.1 付款方式：</w:t>
      </w:r>
      <w:r>
        <w:rPr>
          <w:rFonts w:hint="eastAsia" w:ascii="宋体" w:hAnsi="宋体" w:eastAsia="宋体" w:cs="宋体"/>
          <w:color w:val="auto"/>
          <w:sz w:val="24"/>
          <w:highlight w:val="none"/>
          <w:u w:val="single"/>
          <w:lang w:val="en-US" w:eastAsia="zh-CN"/>
        </w:rPr>
        <w:t xml:space="preserve">     </w:t>
      </w:r>
    </w:p>
    <w:p w14:paraId="621EDA4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 发票开具方式：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68C5B6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89" w:name="_Toc32071"/>
      <w:bookmarkStart w:id="90" w:name="_Toc2846"/>
      <w:bookmarkStart w:id="91" w:name="_Toc19304"/>
      <w:r>
        <w:rPr>
          <w:rFonts w:hint="eastAsia" w:ascii="宋体" w:hAnsi="宋体" w:eastAsia="宋体" w:cs="宋体"/>
          <w:b/>
          <w:color w:val="auto"/>
          <w:sz w:val="24"/>
          <w:highlight w:val="none"/>
        </w:rPr>
        <w:t xml:space="preserve">1.5 </w:t>
      </w:r>
      <w:r>
        <w:rPr>
          <w:rFonts w:hint="eastAsia" w:ascii="宋体" w:hAnsi="宋体" w:eastAsia="宋体" w:cs="宋体"/>
          <w:b/>
          <w:color w:val="auto"/>
          <w:sz w:val="24"/>
          <w:highlight w:val="none"/>
          <w:lang w:val="en-US" w:eastAsia="zh-CN"/>
        </w:rPr>
        <w:t>服务</w:t>
      </w:r>
      <w:r>
        <w:rPr>
          <w:rFonts w:hint="eastAsia" w:ascii="宋体" w:hAnsi="宋体" w:eastAsia="宋体" w:cs="宋体"/>
          <w:b/>
          <w:color w:val="auto"/>
          <w:sz w:val="24"/>
          <w:highlight w:val="none"/>
        </w:rPr>
        <w:t>地点</w:t>
      </w:r>
      <w:bookmarkEnd w:id="89"/>
      <w:bookmarkEnd w:id="90"/>
      <w:bookmarkEnd w:id="91"/>
      <w:r>
        <w:rPr>
          <w:rFonts w:hint="eastAsia" w:ascii="宋体" w:hAnsi="宋体" w:eastAsia="宋体" w:cs="宋体"/>
          <w:b/>
          <w:color w:val="auto"/>
          <w:sz w:val="24"/>
          <w:highlight w:val="none"/>
        </w:rPr>
        <w:t>和服务期限</w:t>
      </w:r>
    </w:p>
    <w:p w14:paraId="4510829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 xml:space="preserve">1.5.1 </w:t>
      </w:r>
      <w:r>
        <w:rPr>
          <w:rFonts w:hint="eastAsia" w:ascii="宋体" w:hAnsi="宋体" w:eastAsia="宋体" w:cs="宋体"/>
          <w:color w:val="auto"/>
          <w:sz w:val="24"/>
          <w:highlight w:val="none"/>
          <w:lang w:val="en-US" w:eastAsia="zh-CN"/>
        </w:rPr>
        <w:t>服务期</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p>
    <w:p w14:paraId="167CE29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1.5.2 </w:t>
      </w:r>
      <w:r>
        <w:rPr>
          <w:rFonts w:hint="eastAsia" w:ascii="宋体" w:hAnsi="宋体" w:eastAsia="宋体" w:cs="宋体"/>
          <w:color w:val="auto"/>
          <w:sz w:val="24"/>
          <w:highlight w:val="none"/>
          <w:lang w:val="en-US" w:eastAsia="zh-CN"/>
        </w:rPr>
        <w:t>服务</w:t>
      </w:r>
      <w:r>
        <w:rPr>
          <w:rFonts w:hint="eastAsia" w:ascii="宋体" w:hAnsi="宋体" w:eastAsia="宋体" w:cs="宋体"/>
          <w:color w:val="auto"/>
          <w:sz w:val="24"/>
          <w:highlight w:val="none"/>
        </w:rPr>
        <w:t>地点：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eastAsia="zh-CN"/>
        </w:rPr>
        <w:t>。</w:t>
      </w:r>
    </w:p>
    <w:p w14:paraId="645E7F3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92" w:name="_Toc19554"/>
      <w:bookmarkStart w:id="93" w:name="_Toc21423"/>
      <w:bookmarkStart w:id="94" w:name="_Toc27250"/>
      <w:r>
        <w:rPr>
          <w:rFonts w:hint="eastAsia" w:ascii="宋体" w:hAnsi="宋体" w:eastAsia="宋体" w:cs="宋体"/>
          <w:b/>
          <w:color w:val="auto"/>
          <w:sz w:val="24"/>
          <w:highlight w:val="none"/>
        </w:rPr>
        <w:t>1.6 违约责任</w:t>
      </w:r>
      <w:bookmarkEnd w:id="92"/>
      <w:bookmarkEnd w:id="93"/>
      <w:bookmarkEnd w:id="94"/>
    </w:p>
    <w:p w14:paraId="2FFC047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1.6.1 除不可抗力外，如果乙方没有按照本合同约定的期限、地点和方式交付标的物，甲方可要求乙方支付违约金，违约金按每迟延交付标的物一日的应交付而未交付标的物价格的</w:t>
      </w:r>
      <w:r>
        <w:rPr>
          <w:rFonts w:hint="eastAsia" w:ascii="宋体" w:hAnsi="宋体" w:eastAsia="宋体" w:cs="宋体"/>
          <w:color w:val="auto"/>
          <w:sz w:val="24"/>
          <w:highlight w:val="none"/>
          <w:u w:val="single"/>
        </w:rPr>
        <w:t xml:space="preserve"> 万分之五</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%；迟延超过【</w:t>
      </w:r>
      <w:r>
        <w:rPr>
          <w:rFonts w:hint="eastAsia" w:ascii="宋体" w:hAnsi="宋体" w:eastAsia="宋体" w:cs="宋体"/>
          <w:color w:val="auto"/>
          <w:sz w:val="24"/>
          <w:highlight w:val="none"/>
          <w:lang w:val="en-US" w:eastAsia="zh-CN"/>
        </w:rPr>
        <w:t>15</w:t>
      </w:r>
      <w:r>
        <w:rPr>
          <w:rFonts w:hint="eastAsia" w:ascii="宋体" w:hAnsi="宋体" w:eastAsia="宋体" w:cs="宋体"/>
          <w:color w:val="auto"/>
          <w:sz w:val="24"/>
          <w:highlight w:val="none"/>
        </w:rPr>
        <w:t>】日的，甲方有权在要求乙方支付违约金的同时，书面通知乙方解除本合同，乙方应退回全部已收取的合同价款并按合同总金额的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向甲方支付违约金</w:t>
      </w:r>
      <w:r>
        <w:rPr>
          <w:rFonts w:hint="eastAsia" w:ascii="宋体" w:hAnsi="宋体" w:eastAsia="宋体" w:cs="宋体"/>
          <w:color w:val="auto"/>
          <w:sz w:val="24"/>
          <w:highlight w:val="none"/>
          <w:lang w:eastAsia="zh-CN"/>
        </w:rPr>
        <w:t>。</w:t>
      </w:r>
    </w:p>
    <w:p w14:paraId="55353B7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乙方应按合同、</w:t>
      </w:r>
      <w:r>
        <w:rPr>
          <w:rFonts w:hint="eastAsia" w:ascii="宋体" w:hAnsi="宋体" w:eastAsia="宋体" w:cs="宋体"/>
          <w:color w:val="auto"/>
          <w:sz w:val="24"/>
          <w:highlight w:val="none"/>
          <w:lang w:val="en-US" w:eastAsia="zh-CN"/>
        </w:rPr>
        <w:t>磋商</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文件及承诺向甲方提供相应的服务，并提供服务质量和服务内容的相关技术资料</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乙方所提供的服务、服务质量、服务内容等不符合合同、磋商</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val="en-US" w:eastAsia="zh-CN"/>
        </w:rPr>
        <w:t>响应</w:t>
      </w:r>
      <w:r>
        <w:rPr>
          <w:rFonts w:hint="eastAsia" w:ascii="宋体" w:hAnsi="宋体" w:eastAsia="宋体" w:cs="宋体"/>
          <w:color w:val="auto"/>
          <w:sz w:val="24"/>
          <w:highlight w:val="none"/>
        </w:rPr>
        <w:t>文件</w:t>
      </w:r>
      <w:r>
        <w:rPr>
          <w:rFonts w:hint="eastAsia" w:ascii="宋体" w:hAnsi="宋体" w:eastAsia="宋体" w:cs="宋体"/>
          <w:color w:val="auto"/>
          <w:sz w:val="24"/>
          <w:highlight w:val="none"/>
          <w:lang w:val="en-US" w:eastAsia="zh-CN"/>
        </w:rPr>
        <w:t>规定的要求的，</w:t>
      </w:r>
      <w:r>
        <w:rPr>
          <w:rFonts w:hint="eastAsia" w:ascii="宋体" w:hAnsi="宋体" w:eastAsia="宋体" w:cs="宋体"/>
          <w:color w:val="auto"/>
          <w:sz w:val="24"/>
          <w:highlight w:val="none"/>
        </w:rPr>
        <w:t>甲方有权拒绝接受</w:t>
      </w:r>
      <w:r>
        <w:rPr>
          <w:rFonts w:hint="eastAsia" w:ascii="宋体" w:hAnsi="宋体" w:eastAsia="宋体" w:cs="宋体"/>
          <w:color w:val="auto"/>
          <w:sz w:val="24"/>
          <w:highlight w:val="none"/>
          <w:lang w:eastAsia="zh-CN"/>
        </w:rPr>
        <w:t>，乙方</w:t>
      </w:r>
      <w:r>
        <w:rPr>
          <w:rFonts w:hint="eastAsia" w:ascii="宋体" w:hAnsi="宋体" w:eastAsia="宋体" w:cs="宋体"/>
          <w:color w:val="auto"/>
          <w:sz w:val="24"/>
          <w:highlight w:val="none"/>
          <w:lang w:val="en-US" w:eastAsia="zh-CN"/>
        </w:rPr>
        <w:t>应按甲方的要求、在甲方指定的期限内予以更换或改进，未在甲方指定的期限内更换或改进的，按乙方逾期提供服务承担违约责任。</w:t>
      </w:r>
      <w:r>
        <w:rPr>
          <w:rFonts w:hint="eastAsia" w:ascii="宋体" w:hAnsi="宋体" w:eastAsia="宋体" w:cs="宋体"/>
          <w:color w:val="auto"/>
          <w:sz w:val="24"/>
          <w:highlight w:val="none"/>
        </w:rPr>
        <w:t>乙方在完成服务前应对服务作出全面检查和对验收文件进行整理，并列出清单，作为甲方服务验收的技术依据清单应随提交的服务成果交给甲方。</w:t>
      </w:r>
    </w:p>
    <w:p w14:paraId="082C6EF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1.6.2 除不可抗力外，如果甲方没有按照本合同约定的付款方式付款，乙方可要求甲方支付违约金，违约金按每迟延付款一日的应付而未付款的</w:t>
      </w:r>
      <w:r>
        <w:rPr>
          <w:rFonts w:hint="eastAsia" w:ascii="宋体" w:hAnsi="宋体" w:eastAsia="宋体" w:cs="宋体"/>
          <w:color w:val="auto"/>
          <w:sz w:val="24"/>
          <w:highlight w:val="none"/>
          <w:u w:val="single"/>
        </w:rPr>
        <w:t xml:space="preserve"> 万分之五</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rPr>
        <w:t>计算，最高限额为欠付金额的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r>
        <w:rPr>
          <w:rFonts w:hint="eastAsia" w:ascii="宋体" w:hAnsi="宋体" w:eastAsia="宋体" w:cs="宋体"/>
          <w:color w:val="auto"/>
          <w:sz w:val="24"/>
          <w:highlight w:val="none"/>
          <w:lang w:eastAsia="zh-CN"/>
        </w:rPr>
        <w:t>。</w:t>
      </w:r>
    </w:p>
    <w:p w14:paraId="60ADFD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1.6.3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r>
        <w:rPr>
          <w:rFonts w:hint="eastAsia" w:ascii="宋体" w:hAnsi="宋体" w:eastAsia="宋体" w:cs="宋体"/>
          <w:color w:val="auto"/>
          <w:sz w:val="24"/>
          <w:highlight w:val="none"/>
          <w:lang w:eastAsia="zh-CN"/>
        </w:rPr>
        <w:t>。</w:t>
      </w:r>
    </w:p>
    <w:p w14:paraId="19E2476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1.6.4乙方在质保期内未按承诺提供售后等服务的，每发生一次向甲方支付</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5000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元的违约金。</w:t>
      </w:r>
    </w:p>
    <w:p w14:paraId="34861B2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95" w:name="_Toc28375"/>
      <w:bookmarkStart w:id="96" w:name="_Toc15583"/>
      <w:bookmarkStart w:id="97" w:name="_Toc16021"/>
      <w:r>
        <w:rPr>
          <w:rFonts w:hint="eastAsia" w:ascii="宋体" w:hAnsi="宋体" w:eastAsia="宋体" w:cs="宋体"/>
          <w:color w:val="auto"/>
          <w:sz w:val="24"/>
          <w:highlight w:val="none"/>
        </w:rPr>
        <w:t>1.6.5 乙方提供的服务如侵犯了第三方合法权益而引发的任何纠纷或者诉讼，均由乙方负责交涉并承担全部责任</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如甲方</w:t>
      </w:r>
      <w:r>
        <w:rPr>
          <w:rFonts w:hint="eastAsia" w:ascii="宋体" w:hAnsi="宋体" w:eastAsia="宋体" w:cs="宋体"/>
          <w:color w:val="auto"/>
          <w:sz w:val="24"/>
          <w:highlight w:val="none"/>
          <w:lang w:val="en-US" w:eastAsia="zh-CN"/>
        </w:rPr>
        <w:t>因此需承担责任的，甲方承担责任后，有权向乙方追偿</w:t>
      </w:r>
      <w:r>
        <w:rPr>
          <w:rFonts w:hint="eastAsia" w:ascii="宋体" w:hAnsi="宋体" w:eastAsia="宋体" w:cs="宋体"/>
          <w:color w:val="auto"/>
          <w:sz w:val="24"/>
          <w:highlight w:val="none"/>
        </w:rPr>
        <w:t>。</w:t>
      </w:r>
    </w:p>
    <w:p w14:paraId="54443AE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1.6.6</w:t>
      </w:r>
      <w:r>
        <w:rPr>
          <w:rFonts w:hint="eastAsia" w:ascii="宋体" w:hAnsi="宋体" w:eastAsia="宋体" w:cs="宋体"/>
          <w:color w:val="auto"/>
          <w:sz w:val="24"/>
          <w:highlight w:val="none"/>
        </w:rPr>
        <w:t>乙方因履行合同所发生的其他违约行为，每违约一次，应按合同合计金额的5%向甲方支付违约金，并赔偿甲方因此所造成全部损失。</w:t>
      </w:r>
    </w:p>
    <w:p w14:paraId="727CEC3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en-US" w:eastAsia="zh-CN"/>
        </w:rPr>
        <w:t>1.6.7</w:t>
      </w:r>
      <w:r>
        <w:rPr>
          <w:rFonts w:hint="eastAsia" w:ascii="宋体" w:hAnsi="宋体" w:eastAsia="宋体" w:cs="宋体"/>
          <w:color w:val="auto"/>
          <w:sz w:val="24"/>
          <w:highlight w:val="none"/>
        </w:rPr>
        <w:t>乙方支付的违约金不足以弥补甲方损失的，应承担赔偿责任，甲方有权继续向乙方追偿。乙方应支付给甲方的任何款项，甲方有权从任何应支付未支付给乙方的款项中直接抵扣。</w:t>
      </w:r>
    </w:p>
    <w:p w14:paraId="7497449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本合同所称的甲方经济损失或者甲方损失，包括甲方遭受的全部直接经济损失及为此支出的合理费用(包括但不限于为此支出的调查费、诉讼费、保全费、律师费、差旅费等)</w:t>
      </w:r>
      <w:r>
        <w:rPr>
          <w:rFonts w:hint="eastAsia" w:ascii="宋体" w:hAnsi="宋体" w:eastAsia="宋体" w:cs="宋体"/>
          <w:color w:val="auto"/>
          <w:sz w:val="24"/>
          <w:highlight w:val="none"/>
          <w:lang w:eastAsia="zh-CN"/>
        </w:rPr>
        <w:t>。</w:t>
      </w:r>
    </w:p>
    <w:p w14:paraId="2BF8370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0825A9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如果出现政府采购监督管理部门在处理投诉事项期间，书面通知甲方暂停采购活动的情形，或者询问或质疑事项可能影响中标结果的，导致甲方中止履行合同的情形，均不视为甲方违约。</w:t>
      </w:r>
    </w:p>
    <w:p w14:paraId="7CF0FEC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合同争议的解决</w:t>
      </w:r>
      <w:bookmarkEnd w:id="95"/>
      <w:bookmarkEnd w:id="96"/>
      <w:bookmarkEnd w:id="97"/>
    </w:p>
    <w:p w14:paraId="5196ACC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本合同履行过程中发生的任何争议，双方当事人均应通过友好协商的方式和解或者调解解决；不愿和解、调解或者和解、调解不成的，可以选择下列第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1.7.2</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种方式解决：</w:t>
      </w:r>
    </w:p>
    <w:p w14:paraId="44898C7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 将争议提交</w:t>
      </w:r>
      <w:r>
        <w:rPr>
          <w:rFonts w:hint="eastAsia" w:ascii="宋体" w:hAnsi="宋体" w:cs="宋体"/>
          <w:color w:val="auto"/>
          <w:sz w:val="24"/>
          <w:highlight w:val="none"/>
          <w:u w:val="single"/>
          <w:lang w:val="en-US" w:eastAsia="zh-CN"/>
        </w:rPr>
        <w:t>崇左</w:t>
      </w:r>
      <w:r>
        <w:rPr>
          <w:rFonts w:hint="eastAsia" w:ascii="宋体" w:hAnsi="宋体" w:eastAsia="宋体" w:cs="宋体"/>
          <w:color w:val="auto"/>
          <w:sz w:val="24"/>
          <w:highlight w:val="none"/>
          <w:u w:val="single"/>
        </w:rPr>
        <w:t>市</w:t>
      </w:r>
      <w:r>
        <w:rPr>
          <w:rFonts w:hint="eastAsia" w:ascii="宋体" w:hAnsi="宋体" w:eastAsia="宋体" w:cs="宋体"/>
          <w:color w:val="auto"/>
          <w:sz w:val="24"/>
          <w:highlight w:val="none"/>
        </w:rPr>
        <w:t>仲裁委员会依申请仲裁时其现行有效的仲裁规则裁决；</w:t>
      </w:r>
    </w:p>
    <w:p w14:paraId="60C4FA8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向</w:t>
      </w:r>
      <w:r>
        <w:rPr>
          <w:rFonts w:hint="eastAsia" w:ascii="宋体" w:hAnsi="宋体" w:eastAsia="宋体" w:cs="宋体"/>
          <w:color w:val="auto"/>
          <w:sz w:val="24"/>
          <w:highlight w:val="none"/>
          <w:u w:val="single"/>
        </w:rPr>
        <w:t xml:space="preserve">   甲方所在地    有管辖权的</w:t>
      </w:r>
      <w:r>
        <w:rPr>
          <w:rFonts w:hint="eastAsia" w:ascii="宋体" w:hAnsi="宋体" w:eastAsia="宋体" w:cs="宋体"/>
          <w:color w:val="auto"/>
          <w:sz w:val="24"/>
          <w:highlight w:val="none"/>
        </w:rPr>
        <w:t>人民法院起诉。</w:t>
      </w:r>
    </w:p>
    <w:p w14:paraId="466D7B8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98" w:name="_Toc7245"/>
      <w:bookmarkStart w:id="99" w:name="_Toc11173"/>
      <w:bookmarkStart w:id="100" w:name="_Toc15322"/>
      <w:r>
        <w:rPr>
          <w:rFonts w:hint="eastAsia" w:ascii="宋体" w:hAnsi="宋体" w:eastAsia="宋体" w:cs="宋体"/>
          <w:b/>
          <w:color w:val="auto"/>
          <w:sz w:val="24"/>
          <w:highlight w:val="none"/>
        </w:rPr>
        <w:t>1.8 合同生效</w:t>
      </w:r>
      <w:bookmarkEnd w:id="98"/>
      <w:bookmarkEnd w:id="99"/>
      <w:bookmarkEnd w:id="100"/>
    </w:p>
    <w:p w14:paraId="5DEF1CC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本合同自双方当事人加盖有效公章时生效。</w:t>
      </w:r>
    </w:p>
    <w:p w14:paraId="2EBCCFB1">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p>
    <w:p w14:paraId="0DF12487">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甲方：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乙方：</w:t>
      </w:r>
    </w:p>
    <w:p w14:paraId="6AA04E31">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34D699E4">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住所：                                   住所：</w:t>
      </w:r>
    </w:p>
    <w:p w14:paraId="0F4EED47">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w:t>
      </w:r>
    </w:p>
    <w:p w14:paraId="668A7715">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授权代表（签字或盖章）：                  或授权代表（签字或盖章）： </w:t>
      </w:r>
    </w:p>
    <w:p w14:paraId="31E7C6EF">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2CF016E7">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53FAAEBB">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邮政编码：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lang w:val="zh-CN"/>
        </w:rPr>
        <w:t>邮政编码：</w:t>
      </w:r>
    </w:p>
    <w:p w14:paraId="23CE86CA">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3CB013D8">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6250E352">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09EED217">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开户银行： </w:t>
      </w:r>
    </w:p>
    <w:p w14:paraId="73D56577">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 xml:space="preserve">开户名称： </w:t>
      </w:r>
    </w:p>
    <w:p w14:paraId="6F6456D2">
      <w:pPr>
        <w:keepNext w:val="0"/>
        <w:keepLines w:val="0"/>
        <w:pageBreakBefore w:val="0"/>
        <w:widowControl w:val="0"/>
        <w:kinsoku/>
        <w:wordWrap/>
        <w:overflowPunct/>
        <w:topLinePunct w:val="0"/>
        <w:autoSpaceDE/>
        <w:autoSpaceDN/>
        <w:bidi w:val="0"/>
        <w:adjustRightInd/>
        <w:snapToGrid/>
        <w:spacing w:line="380" w:lineRule="exact"/>
        <w:ind w:firstLine="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lang w:val="en-US" w:eastAsia="zh-CN"/>
        </w:rPr>
        <w:t xml:space="preserve">                        </w:t>
      </w:r>
      <w:r>
        <w:rPr>
          <w:rFonts w:hint="eastAsia" w:ascii="宋体" w:hAnsi="宋体" w:eastAsia="宋体" w:cs="宋体"/>
          <w:color w:val="auto"/>
          <w:sz w:val="24"/>
          <w:highlight w:val="none"/>
        </w:rPr>
        <w:t>开户账号：</w:t>
      </w:r>
    </w:p>
    <w:p w14:paraId="2C2FE8F4">
      <w:pPr>
        <w:spacing w:line="360" w:lineRule="auto"/>
        <w:ind w:firstLine="200"/>
        <w:jc w:val="center"/>
        <w:rPr>
          <w:rFonts w:hint="eastAsia" w:ascii="仿宋_GB2312" w:hAnsi="楷体" w:eastAsia="仿宋_GB2312" w:cs="Times New Roman"/>
          <w:b/>
          <w:color w:val="auto"/>
          <w:sz w:val="28"/>
          <w:szCs w:val="28"/>
          <w:highlight w:val="none"/>
        </w:rPr>
      </w:pPr>
      <w:r>
        <w:rPr>
          <w:rFonts w:hint="eastAsia" w:ascii="仿宋_GB2312" w:hAnsi="楷体" w:eastAsia="仿宋_GB2312" w:cs="Times New Roman"/>
          <w:b/>
          <w:color w:val="auto"/>
          <w:highlight w:val="none"/>
        </w:rPr>
        <w:br w:type="page"/>
      </w:r>
      <w:bookmarkStart w:id="101" w:name="_Toc331685783"/>
      <w:r>
        <w:rPr>
          <w:rFonts w:hint="eastAsia" w:ascii="仿宋_GB2312" w:hAnsi="楷体" w:eastAsia="仿宋_GB2312" w:cs="Times New Roman"/>
          <w:b/>
          <w:color w:val="auto"/>
          <w:sz w:val="28"/>
          <w:szCs w:val="28"/>
          <w:highlight w:val="none"/>
        </w:rPr>
        <w:t>第二部分 合同一般条款</w:t>
      </w:r>
      <w:bookmarkEnd w:id="101"/>
    </w:p>
    <w:p w14:paraId="42489F1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02" w:name="_Toc16917"/>
      <w:bookmarkStart w:id="103" w:name="_Ref467379205"/>
      <w:bookmarkStart w:id="104" w:name="_Ref467379101"/>
      <w:bookmarkStart w:id="105" w:name="_Ref467379225"/>
      <w:bookmarkStart w:id="106" w:name="_Ref467378499"/>
      <w:bookmarkStart w:id="107" w:name="_Toc259093669"/>
      <w:bookmarkStart w:id="108" w:name="_Ref467378463"/>
      <w:bookmarkStart w:id="109" w:name="_Ref467379094"/>
      <w:bookmarkStart w:id="110" w:name="_Toc28763"/>
      <w:bookmarkStart w:id="111" w:name="_Ref467378404"/>
      <w:bookmarkStart w:id="112" w:name="_Toc487900349"/>
      <w:bookmarkStart w:id="113" w:name="_Ref467379214"/>
      <w:bookmarkStart w:id="114" w:name="_Toc279701240"/>
      <w:bookmarkStart w:id="115" w:name="_Toc19614"/>
      <w:bookmarkStart w:id="116" w:name="_Ref467379195"/>
      <w:bookmarkStart w:id="117" w:name="_Ref467379109"/>
      <w:r>
        <w:rPr>
          <w:rFonts w:hint="eastAsia" w:ascii="宋体" w:hAnsi="宋体" w:eastAsia="宋体" w:cs="宋体"/>
          <w:b/>
          <w:color w:val="auto"/>
          <w:sz w:val="24"/>
          <w:highlight w:val="none"/>
        </w:rPr>
        <w:t>2.1 定义</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4C5AD11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54F1D64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签订的载明双方当事人所达成的协议，并包括所有的附件、附录和构成合同的其他文件。</w:t>
      </w:r>
    </w:p>
    <w:p w14:paraId="1159366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在完全履行合同义务后，采购人应支付给</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的价格。</w:t>
      </w:r>
    </w:p>
    <w:p w14:paraId="0D07D2E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“标的物”系指</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根据合同约定应向采购人交付的一切各种形态和种类的货物、服务和工程，包括但不限于原材料、燃料、设备、机械、仪表、备件、计算机软件、信息化系统、信息化维保、物业服务、产品等，并包括工具、手册等其他相关资料。</w:t>
      </w:r>
    </w:p>
    <w:p w14:paraId="06D33A6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118" w:name="_Ref467378840"/>
      <w:r>
        <w:rPr>
          <w:rFonts w:hint="eastAsia" w:ascii="宋体" w:hAnsi="宋体" w:eastAsia="宋体" w:cs="宋体"/>
          <w:color w:val="auto"/>
          <w:sz w:val="24"/>
          <w:highlight w:val="none"/>
        </w:rPr>
        <w:t>2.1.4 “甲方”系指与</w:t>
      </w:r>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签署合同的采购人</w:t>
      </w:r>
      <w:bookmarkEnd w:id="118"/>
      <w:r>
        <w:rPr>
          <w:rFonts w:hint="eastAsia" w:ascii="宋体" w:hAnsi="宋体" w:eastAsia="宋体" w:cs="宋体"/>
          <w:color w:val="auto"/>
          <w:sz w:val="24"/>
          <w:highlight w:val="none"/>
        </w:rPr>
        <w:t>；采购人委托采购机构代表其与乙方签订合同的，采购人的授权委托书作为合同附件。</w:t>
      </w:r>
    </w:p>
    <w:p w14:paraId="1AB4183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119" w:name="_Ref467379400"/>
      <w:r>
        <w:rPr>
          <w:rFonts w:hint="eastAsia" w:ascii="宋体" w:hAnsi="宋体" w:eastAsia="宋体" w:cs="宋体"/>
          <w:color w:val="auto"/>
          <w:sz w:val="24"/>
          <w:highlight w:val="none"/>
        </w:rPr>
        <w:t>2.1.5 “乙方”系指根据合同约定交付标的物的</w:t>
      </w:r>
      <w:bookmarkEnd w:id="119"/>
      <w:r>
        <w:rPr>
          <w:rFonts w:hint="eastAsia" w:ascii="宋体" w:hAnsi="宋体" w:eastAsia="宋体" w:cs="宋体"/>
          <w:color w:val="auto"/>
          <w:sz w:val="24"/>
          <w:highlight w:val="none"/>
          <w:lang w:eastAsia="zh-CN"/>
        </w:rPr>
        <w:t>成交人</w:t>
      </w:r>
      <w:r>
        <w:rPr>
          <w:rFonts w:hint="eastAsia" w:ascii="宋体" w:hAnsi="宋体" w:eastAsia="宋体" w:cs="宋体"/>
          <w:color w:val="auto"/>
          <w:sz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273C3B4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120" w:name="_Ref467379436"/>
      <w:r>
        <w:rPr>
          <w:rFonts w:hint="eastAsia" w:ascii="宋体" w:hAnsi="宋体" w:eastAsia="宋体" w:cs="宋体"/>
          <w:color w:val="auto"/>
          <w:sz w:val="24"/>
          <w:highlight w:val="none"/>
        </w:rPr>
        <w:t>2.1.6 “现场”系指合同约定标的物将要运至或者实施或者安装的地点。</w:t>
      </w:r>
      <w:bookmarkEnd w:id="120"/>
    </w:p>
    <w:p w14:paraId="3CDBBC9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21" w:name="_Toc27635"/>
      <w:bookmarkStart w:id="122" w:name="_Toc13336"/>
      <w:bookmarkStart w:id="123" w:name="_Toc32504"/>
      <w:bookmarkStart w:id="124" w:name="_Toc487900350"/>
      <w:bookmarkStart w:id="125" w:name="_Toc259093670"/>
      <w:bookmarkStart w:id="126" w:name="_Toc279701241"/>
      <w:r>
        <w:rPr>
          <w:rFonts w:hint="eastAsia" w:ascii="宋体" w:hAnsi="宋体" w:eastAsia="宋体" w:cs="宋体"/>
          <w:b/>
          <w:color w:val="auto"/>
          <w:sz w:val="24"/>
          <w:highlight w:val="none"/>
        </w:rPr>
        <w:t>2.2 技术规范</w:t>
      </w:r>
      <w:bookmarkEnd w:id="121"/>
      <w:bookmarkEnd w:id="122"/>
      <w:bookmarkEnd w:id="123"/>
      <w:bookmarkEnd w:id="124"/>
      <w:bookmarkEnd w:id="125"/>
      <w:bookmarkEnd w:id="126"/>
    </w:p>
    <w:p w14:paraId="191CF5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所应遵守的技术规范应与采购文件规定的技术规范和技术规范附件(如果有的话)及其技术规范偏差表(如果被甲方接受的话)相一致；如果采购文件中没有技术规范的相应说明，应以国家有关部门最新颁布的相应标准和规范为准。</w:t>
      </w:r>
    </w:p>
    <w:p w14:paraId="24B890D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27" w:name="_Toc487900351"/>
      <w:bookmarkStart w:id="128" w:name="_Toc279701242"/>
      <w:bookmarkStart w:id="129" w:name="_Toc27853"/>
      <w:bookmarkStart w:id="130" w:name="_Toc259093671"/>
      <w:bookmarkStart w:id="131" w:name="_Toc9829"/>
      <w:bookmarkStart w:id="132" w:name="_Toc31634"/>
      <w:r>
        <w:rPr>
          <w:rFonts w:hint="eastAsia" w:ascii="宋体" w:hAnsi="宋体" w:eastAsia="宋体" w:cs="宋体"/>
          <w:b/>
          <w:color w:val="auto"/>
          <w:sz w:val="24"/>
          <w:highlight w:val="none"/>
        </w:rPr>
        <w:t>2.3 知识产权</w:t>
      </w:r>
      <w:bookmarkEnd w:id="127"/>
      <w:bookmarkEnd w:id="128"/>
      <w:bookmarkEnd w:id="129"/>
      <w:bookmarkEnd w:id="130"/>
      <w:bookmarkEnd w:id="131"/>
      <w:bookmarkEnd w:id="132"/>
    </w:p>
    <w:p w14:paraId="3A0979A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甲方在使用该标的物或其任何一部分时不受任何第三方提出的侵犯其著作权、商标权、专利权等知识产权方面的起诉；如果任何第三方提出侵权指控，乙方须与该第三方交涉并承担由此发生的一切责任、费用和赔偿；</w:t>
      </w:r>
    </w:p>
    <w:p w14:paraId="28F7DBB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2.3.2具有知识产权的计算机软件等标的物的知识产权归属，详见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67D816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33" w:name="_Toc4194"/>
      <w:bookmarkStart w:id="134" w:name="_Toc29149"/>
      <w:bookmarkStart w:id="135" w:name="_Toc11932"/>
      <w:r>
        <w:rPr>
          <w:rFonts w:hint="eastAsia" w:ascii="宋体" w:hAnsi="宋体" w:eastAsia="宋体" w:cs="宋体"/>
          <w:b/>
          <w:color w:val="auto"/>
          <w:sz w:val="24"/>
          <w:highlight w:val="none"/>
        </w:rPr>
        <w:t>2.4 包装和装运</w:t>
      </w:r>
      <w:bookmarkEnd w:id="133"/>
      <w:bookmarkEnd w:id="134"/>
      <w:bookmarkEnd w:id="135"/>
    </w:p>
    <w:p w14:paraId="2524F65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外,乙方交付的全部标的物,均应采用本行业通用的方式进行包装，没有通用方式的，应当采取足以保护标的物的包装方式，且该包装应符合国家有关包装的法律、法规的规定。如有必要，包装应适用于远距离运输、防潮、防震、防锈和防粗暴装卸，确保标的物安全无损地运抵现场。由于包装不善所引起的标的物锈蚀、损坏和损失等一切风险均由乙方承担。</w:t>
      </w:r>
    </w:p>
    <w:p w14:paraId="60DD475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装运标的物的要求和通知，详见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E45316C">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36" w:name="_Toc487900354"/>
      <w:bookmarkStart w:id="137" w:name="_Ref467379527"/>
      <w:bookmarkStart w:id="138" w:name="_Ref467379542"/>
      <w:bookmarkStart w:id="139" w:name="_Ref467378541"/>
      <w:bookmarkStart w:id="140" w:name="_Toc259093674"/>
      <w:bookmarkStart w:id="141" w:name="_Ref467379536"/>
      <w:bookmarkStart w:id="142" w:name="_Toc279701245"/>
      <w:bookmarkStart w:id="143" w:name="_Ref467378591"/>
      <w:bookmarkStart w:id="144" w:name="_Toc19074"/>
      <w:bookmarkStart w:id="145" w:name="_Toc26182"/>
      <w:bookmarkStart w:id="146" w:name="_Toc30272"/>
      <w:r>
        <w:rPr>
          <w:rFonts w:hint="eastAsia" w:ascii="宋体" w:hAnsi="宋体" w:eastAsia="宋体" w:cs="宋体"/>
          <w:b/>
          <w:color w:val="auto"/>
          <w:sz w:val="24"/>
          <w:highlight w:val="none"/>
        </w:rPr>
        <w:t>2.</w:t>
      </w:r>
      <w:bookmarkEnd w:id="136"/>
      <w:bookmarkEnd w:id="137"/>
      <w:bookmarkEnd w:id="138"/>
      <w:bookmarkEnd w:id="139"/>
      <w:bookmarkEnd w:id="140"/>
      <w:bookmarkEnd w:id="141"/>
      <w:bookmarkEnd w:id="142"/>
      <w:bookmarkEnd w:id="143"/>
      <w:r>
        <w:rPr>
          <w:rFonts w:hint="eastAsia" w:ascii="宋体" w:hAnsi="宋体" w:eastAsia="宋体" w:cs="宋体"/>
          <w:b/>
          <w:color w:val="auto"/>
          <w:sz w:val="24"/>
          <w:highlight w:val="none"/>
        </w:rPr>
        <w:t>5 履约检查和问题反馈</w:t>
      </w:r>
      <w:bookmarkEnd w:id="144"/>
      <w:bookmarkEnd w:id="145"/>
      <w:bookmarkEnd w:id="146"/>
    </w:p>
    <w:p w14:paraId="1AC940D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147" w:name="_Ref467379657"/>
      <w:r>
        <w:rPr>
          <w:rFonts w:hint="eastAsia" w:ascii="宋体" w:hAnsi="宋体" w:eastAsia="宋体" w:cs="宋体"/>
          <w:color w:val="auto"/>
          <w:sz w:val="24"/>
          <w:highlight w:val="none"/>
        </w:rPr>
        <w:t>2.5.1</w:t>
      </w:r>
      <w:bookmarkEnd w:id="147"/>
      <w:bookmarkStart w:id="148" w:name="_Toc186431854"/>
      <w:bookmarkStart w:id="149" w:name="_Ref467379807"/>
      <w:bookmarkStart w:id="150" w:name="_Toc279701247"/>
      <w:bookmarkStart w:id="151" w:name="_Toc487900357"/>
      <w:bookmarkStart w:id="152" w:name="_Toc259093676"/>
      <w:bookmarkStart w:id="153" w:name="_Ref467379793"/>
      <w:r>
        <w:rPr>
          <w:rFonts w:hint="eastAsia" w:ascii="宋体" w:hAnsi="宋体" w:eastAsia="宋体" w:cs="宋体"/>
          <w:color w:val="auto"/>
          <w:sz w:val="24"/>
          <w:highlight w:val="none"/>
        </w:rPr>
        <w:t>甲方有权在其认为必要时，对乙方是否能够按照合同约定交付标的物进行履约检查，以确保乙方所交付的标的物能够依约满足甲方之项目需求，但不得因履约检查妨碍乙方的正常工作，乙方应予积极配合；</w:t>
      </w:r>
    </w:p>
    <w:p w14:paraId="7221AE3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2.5.2 合同履行期间，甲方有权将履行过程中出现的问题反馈给乙方，双方当事人应以书面形式约定需要完善和改进的内容</w:t>
      </w:r>
      <w:bookmarkEnd w:id="148"/>
      <w:bookmarkStart w:id="154" w:name="_Toc186431855"/>
      <w:r>
        <w:rPr>
          <w:rFonts w:hint="eastAsia" w:ascii="宋体" w:hAnsi="宋体" w:eastAsia="宋体" w:cs="宋体"/>
          <w:color w:val="auto"/>
          <w:sz w:val="24"/>
          <w:highlight w:val="none"/>
        </w:rPr>
        <w:t>。</w:t>
      </w:r>
    </w:p>
    <w:bookmarkEnd w:id="154"/>
    <w:p w14:paraId="0A8CF6ED">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55" w:name="_Toc19219"/>
      <w:bookmarkStart w:id="156" w:name="_Toc28451"/>
      <w:bookmarkStart w:id="157" w:name="_Toc7836"/>
      <w:r>
        <w:rPr>
          <w:rFonts w:hint="eastAsia" w:ascii="宋体" w:hAnsi="宋体" w:eastAsia="宋体" w:cs="宋体"/>
          <w:b/>
          <w:color w:val="auto"/>
          <w:sz w:val="24"/>
          <w:highlight w:val="none"/>
        </w:rPr>
        <w:t>2.6 结算方式和付款条件</w:t>
      </w:r>
      <w:bookmarkEnd w:id="149"/>
      <w:bookmarkEnd w:id="150"/>
      <w:bookmarkEnd w:id="151"/>
      <w:bookmarkEnd w:id="152"/>
      <w:bookmarkEnd w:id="153"/>
      <w:bookmarkEnd w:id="155"/>
      <w:bookmarkEnd w:id="156"/>
      <w:bookmarkEnd w:id="157"/>
    </w:p>
    <w:p w14:paraId="0BBC8C38">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DC452B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58" w:name="_Toc487900358"/>
      <w:bookmarkStart w:id="159" w:name="_Ref467379863"/>
      <w:bookmarkStart w:id="160" w:name="_Ref467379923"/>
      <w:bookmarkStart w:id="161" w:name="_Ref467379852"/>
      <w:bookmarkStart w:id="162" w:name="_Toc259093677"/>
      <w:bookmarkStart w:id="163" w:name="_Toc279701248"/>
      <w:bookmarkStart w:id="164" w:name="_Toc3225"/>
      <w:bookmarkStart w:id="165" w:name="_Toc16110"/>
      <w:bookmarkStart w:id="166" w:name="_Toc774"/>
      <w:r>
        <w:rPr>
          <w:rFonts w:hint="eastAsia" w:ascii="宋体" w:hAnsi="宋体" w:eastAsia="宋体" w:cs="宋体"/>
          <w:b/>
          <w:color w:val="auto"/>
          <w:sz w:val="24"/>
          <w:highlight w:val="none"/>
        </w:rPr>
        <w:t>2.7 技术资料</w:t>
      </w:r>
      <w:bookmarkEnd w:id="158"/>
      <w:bookmarkEnd w:id="159"/>
      <w:bookmarkEnd w:id="160"/>
      <w:bookmarkEnd w:id="161"/>
      <w:bookmarkEnd w:id="162"/>
      <w:bookmarkEnd w:id="163"/>
      <w:r>
        <w:rPr>
          <w:rFonts w:hint="eastAsia" w:ascii="宋体" w:hAnsi="宋体" w:eastAsia="宋体" w:cs="宋体"/>
          <w:b/>
          <w:color w:val="auto"/>
          <w:sz w:val="24"/>
          <w:highlight w:val="none"/>
        </w:rPr>
        <w:t>和保密义务</w:t>
      </w:r>
      <w:bookmarkEnd w:id="164"/>
      <w:bookmarkEnd w:id="165"/>
      <w:bookmarkEnd w:id="166"/>
    </w:p>
    <w:p w14:paraId="56AA886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乙方有权依据合同约定和项目需要，向甲方了解有关情况，调阅有关资料等，甲方应予积极配合；</w:t>
      </w:r>
    </w:p>
    <w:p w14:paraId="71F76E4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乙方有义务妥善保管和保护由甲方提供的前款信息和资料等；</w:t>
      </w:r>
    </w:p>
    <w:p w14:paraId="2770148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及方式防止任何第三方接触到对方当事人的上述保密信息和资料。</w:t>
      </w:r>
    </w:p>
    <w:p w14:paraId="0624D903">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67" w:name="_Toc7860"/>
      <w:r>
        <w:rPr>
          <w:rFonts w:hint="eastAsia" w:ascii="宋体" w:hAnsi="宋体" w:eastAsia="宋体" w:cs="宋体"/>
          <w:b/>
          <w:color w:val="auto"/>
          <w:sz w:val="24"/>
          <w:highlight w:val="none"/>
        </w:rPr>
        <w:t>2.8 质量保证</w:t>
      </w:r>
      <w:bookmarkEnd w:id="167"/>
    </w:p>
    <w:p w14:paraId="1852182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2.8.1 乙方应建立和完善履行合同的内部质量保证体系，并提供相关内部规章制度给甲方，以便甲方进行监督检查；</w:t>
      </w:r>
    </w:p>
    <w:p w14:paraId="75BDB68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2.8.2 乙方应保证履行合同的人员数量和素质、软件和硬件设备的配置、场地、环境和设施等满足全面履行合同的要求，并应接受甲方的监督检查。</w:t>
      </w:r>
    </w:p>
    <w:p w14:paraId="27CB5C3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sz w:val="24"/>
          <w:highlight w:val="none"/>
        </w:rPr>
        <w:t>2.8.3乙方应确保项目技术人员的数量和水平与投标文件一致。未经甲方书面同意，乙方不得擅自更换投标文件中注明的项目经理和技术负责人。否则</w:t>
      </w:r>
      <w:r>
        <w:rPr>
          <w:rFonts w:hint="eastAsia" w:ascii="宋体" w:hAnsi="宋体" w:eastAsia="宋体" w:cs="宋体"/>
          <w:color w:val="auto"/>
          <w:kern w:val="0"/>
          <w:sz w:val="24"/>
          <w:highlight w:val="none"/>
        </w:rPr>
        <w:t>甲方有权放弃或终止合同，并没收履约保证金。</w:t>
      </w:r>
    </w:p>
    <w:p w14:paraId="743300B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2.8.4因乙方原因造成甲方其他系统不能正常运行，酿成重大事故（工作日系统中断一天以上）的，乙方应承担全部法律责任，并赔偿经济损失，赔偿金额为项目总价的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30</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A0BDE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68" w:name="_Toc17244"/>
      <w:bookmarkStart w:id="169" w:name="_Toc487900362"/>
      <w:bookmarkStart w:id="170" w:name="_Toc279701252"/>
      <w:bookmarkStart w:id="171" w:name="_Toc259093681"/>
      <w:r>
        <w:rPr>
          <w:rFonts w:hint="eastAsia" w:ascii="宋体" w:hAnsi="宋体" w:eastAsia="宋体" w:cs="宋体"/>
          <w:b/>
          <w:color w:val="auto"/>
          <w:sz w:val="24"/>
          <w:highlight w:val="none"/>
        </w:rPr>
        <w:t>2.9 标的物的风险负担</w:t>
      </w:r>
      <w:bookmarkEnd w:id="168"/>
    </w:p>
    <w:p w14:paraId="425D900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289BE02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72" w:name="_Toc14055"/>
      <w:r>
        <w:rPr>
          <w:rFonts w:hint="eastAsia" w:ascii="宋体" w:hAnsi="宋体" w:eastAsia="宋体" w:cs="宋体"/>
          <w:b/>
          <w:color w:val="auto"/>
          <w:sz w:val="24"/>
          <w:highlight w:val="none"/>
        </w:rPr>
        <w:t>2.10 延迟交货</w:t>
      </w:r>
      <w:bookmarkEnd w:id="169"/>
      <w:bookmarkEnd w:id="170"/>
      <w:bookmarkEnd w:id="171"/>
      <w:bookmarkEnd w:id="172"/>
      <w:r>
        <w:rPr>
          <w:rFonts w:hint="eastAsia" w:ascii="宋体" w:hAnsi="宋体" w:eastAsia="宋体" w:cs="宋体"/>
          <w:b/>
          <w:color w:val="auto"/>
          <w:sz w:val="24"/>
          <w:highlight w:val="none"/>
        </w:rPr>
        <w:t>/交付</w:t>
      </w:r>
    </w:p>
    <w:p w14:paraId="72DE50D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履行过程中，如果乙方遇到不能按时交付标的物的情况，应及时以书面形式将不能按时交付标的物的理由、预期延误时间通知甲方；甲方收到乙方通知后，认为其理由正当的，可以书面形式酌情同意乙方可以延长交货的具体时间。</w:t>
      </w:r>
    </w:p>
    <w:p w14:paraId="02370FC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73" w:name="_Toc7502"/>
      <w:bookmarkStart w:id="174" w:name="_Toc487900364"/>
      <w:bookmarkStart w:id="175" w:name="_Ref467378121"/>
      <w:bookmarkStart w:id="176" w:name="_Toc259093683"/>
      <w:bookmarkStart w:id="177" w:name="_Toc279701254"/>
      <w:r>
        <w:rPr>
          <w:rFonts w:hint="eastAsia" w:ascii="宋体" w:hAnsi="宋体" w:eastAsia="宋体" w:cs="宋体"/>
          <w:b/>
          <w:color w:val="auto"/>
          <w:sz w:val="24"/>
          <w:highlight w:val="none"/>
        </w:rPr>
        <w:t>2.11 合同变更</w:t>
      </w:r>
      <w:bookmarkEnd w:id="173"/>
    </w:p>
    <w:p w14:paraId="07C06D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双方当事人协商一致，可以签订书面补充合同的形式变更合同，但不得违背采购文件确定的事项。如果系追加与合同标的相同的标的物的，那么需经采购监督管理部门同意，且所有补充合同的采购金额不得超过原合同价的10%；</w:t>
      </w:r>
    </w:p>
    <w:p w14:paraId="1F21853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合同继续履行将损害国家利益和社会公共利益的，双方当事人应当以书面形式变更合同。有过错的一方应当承担赔偿责任，双方当事人都有过错的，各自承担相应的责任。</w:t>
      </w:r>
      <w:bookmarkStart w:id="178" w:name="_Toc487900369"/>
      <w:bookmarkStart w:id="179" w:name="_Toc259093688"/>
      <w:bookmarkStart w:id="180" w:name="_Toc279701259"/>
    </w:p>
    <w:p w14:paraId="43ABEAA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81" w:name="_Toc10366"/>
      <w:bookmarkStart w:id="182" w:name="_Toc15237"/>
      <w:bookmarkStart w:id="183" w:name="_Toc22955"/>
      <w:r>
        <w:rPr>
          <w:rFonts w:hint="eastAsia" w:ascii="宋体" w:hAnsi="宋体" w:eastAsia="宋体" w:cs="宋体"/>
          <w:b/>
          <w:color w:val="auto"/>
          <w:sz w:val="24"/>
          <w:highlight w:val="none"/>
        </w:rPr>
        <w:t>2.12 合同转让</w:t>
      </w:r>
      <w:bookmarkEnd w:id="178"/>
      <w:bookmarkEnd w:id="179"/>
      <w:bookmarkEnd w:id="180"/>
      <w:r>
        <w:rPr>
          <w:rFonts w:hint="eastAsia" w:ascii="宋体" w:hAnsi="宋体" w:eastAsia="宋体" w:cs="宋体"/>
          <w:b/>
          <w:color w:val="auto"/>
          <w:sz w:val="24"/>
          <w:highlight w:val="none"/>
        </w:rPr>
        <w:t>和分包</w:t>
      </w:r>
      <w:bookmarkEnd w:id="181"/>
      <w:bookmarkEnd w:id="182"/>
      <w:bookmarkEnd w:id="183"/>
    </w:p>
    <w:p w14:paraId="0C2A02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书面同意，乙方可以依法采取分包方式履行合同，即：依法可以将合同项下的部分非主体、非关键性工作分包给他人完成，接受分包的供应商应当具备相应的资格条件，并不得再次分包，且乙方应就分包项目向甲方负责，并与分包供应商就分包项目向甲方承担连带责任。</w:t>
      </w:r>
    </w:p>
    <w:p w14:paraId="19C37E37">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84" w:name="_Toc14066"/>
      <w:bookmarkStart w:id="185" w:name="_Toc13566"/>
      <w:bookmarkStart w:id="186" w:name="_Toc16508"/>
      <w:r>
        <w:rPr>
          <w:rFonts w:hint="eastAsia" w:ascii="宋体" w:hAnsi="宋体" w:eastAsia="宋体" w:cs="宋体"/>
          <w:b/>
          <w:color w:val="auto"/>
          <w:sz w:val="24"/>
          <w:highlight w:val="none"/>
        </w:rPr>
        <w:t>2.13 不可抗力</w:t>
      </w:r>
      <w:bookmarkEnd w:id="184"/>
      <w:bookmarkEnd w:id="185"/>
      <w:bookmarkEnd w:id="186"/>
    </w:p>
    <w:p w14:paraId="7FBAFAD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2.13.1如果任何一方遭遇法律规定的不可抗力，致使合同履行受阻时，履行合同的期限应予延长，延长的期限应相当于不可抗力所影响的时间；</w:t>
      </w:r>
    </w:p>
    <w:p w14:paraId="09EEF12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2.13.2受不可抗力影响的一方在不可抗力发生后，应在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2C7650D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2.13.3 因不可抗力致使不能实现合同目的的，当事人可以解除合同；</w:t>
      </w:r>
    </w:p>
    <w:p w14:paraId="5A57FCD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2.13.4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004B620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87" w:name="_Toc279701255"/>
      <w:bookmarkStart w:id="188" w:name="_Toc487900365"/>
      <w:bookmarkStart w:id="189" w:name="_Toc6969"/>
      <w:bookmarkStart w:id="190" w:name="_Toc30676"/>
      <w:bookmarkStart w:id="191" w:name="_Toc689"/>
      <w:bookmarkStart w:id="192" w:name="_Toc259093684"/>
      <w:r>
        <w:rPr>
          <w:rFonts w:hint="eastAsia" w:ascii="宋体" w:hAnsi="宋体" w:eastAsia="宋体" w:cs="宋体"/>
          <w:b/>
          <w:color w:val="auto"/>
          <w:sz w:val="24"/>
          <w:highlight w:val="none"/>
        </w:rPr>
        <w:t>2.14 税费</w:t>
      </w:r>
      <w:bookmarkEnd w:id="187"/>
      <w:bookmarkEnd w:id="188"/>
      <w:bookmarkEnd w:id="189"/>
      <w:bookmarkEnd w:id="190"/>
      <w:bookmarkEnd w:id="191"/>
      <w:bookmarkEnd w:id="192"/>
    </w:p>
    <w:p w14:paraId="000C3E0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与合同有关的一切税费，均按照中华人民共和国法律的相关规定执行。</w:t>
      </w:r>
    </w:p>
    <w:p w14:paraId="1EFC4EC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93" w:name="_Toc487900368"/>
      <w:bookmarkStart w:id="194" w:name="_Toc259093687"/>
      <w:bookmarkStart w:id="195" w:name="_Toc279701258"/>
      <w:bookmarkStart w:id="196" w:name="_Toc8298"/>
      <w:bookmarkStart w:id="197" w:name="_Toc7102"/>
      <w:bookmarkStart w:id="198" w:name="_Toc16959"/>
      <w:r>
        <w:rPr>
          <w:rFonts w:hint="eastAsia" w:ascii="宋体" w:hAnsi="宋体" w:eastAsia="宋体" w:cs="宋体"/>
          <w:b/>
          <w:color w:val="auto"/>
          <w:sz w:val="24"/>
          <w:highlight w:val="none"/>
        </w:rPr>
        <w:t>2.15 乙方破产</w:t>
      </w:r>
      <w:bookmarkEnd w:id="193"/>
      <w:bookmarkEnd w:id="194"/>
      <w:bookmarkEnd w:id="195"/>
      <w:bookmarkEnd w:id="196"/>
      <w:bookmarkEnd w:id="197"/>
      <w:bookmarkEnd w:id="198"/>
    </w:p>
    <w:p w14:paraId="70418C0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4068912">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199" w:name="_Toc29333"/>
      <w:bookmarkStart w:id="200" w:name="_Toc6134"/>
      <w:bookmarkStart w:id="201" w:name="_Toc15387"/>
      <w:r>
        <w:rPr>
          <w:rFonts w:hint="eastAsia" w:ascii="宋体" w:hAnsi="宋体" w:eastAsia="宋体" w:cs="宋体"/>
          <w:b/>
          <w:color w:val="auto"/>
          <w:sz w:val="24"/>
          <w:highlight w:val="none"/>
        </w:rPr>
        <w:t>2.16 合同中止、终止</w:t>
      </w:r>
      <w:bookmarkEnd w:id="199"/>
      <w:bookmarkEnd w:id="200"/>
      <w:bookmarkEnd w:id="201"/>
    </w:p>
    <w:p w14:paraId="6EFCCAD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2.16.1 双方当事人不得擅自中止或者终止合同；</w:t>
      </w:r>
    </w:p>
    <w:p w14:paraId="6ACD061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2.16.2合同继续履行将损害国家利益和社会公共利益的，双方当事人应当中止或者终止合同。有过错的一方应当承担赔偿责任，双方当事人都有过错的，各自承担相应的责任。</w:t>
      </w:r>
    </w:p>
    <w:p w14:paraId="6D3DA025">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02" w:name="_Toc6596"/>
      <w:bookmarkStart w:id="203" w:name="_Toc14563"/>
      <w:bookmarkStart w:id="204" w:name="_Toc1125"/>
      <w:r>
        <w:rPr>
          <w:rFonts w:hint="eastAsia" w:ascii="宋体" w:hAnsi="宋体" w:eastAsia="宋体" w:cs="宋体"/>
          <w:b/>
          <w:color w:val="auto"/>
          <w:sz w:val="24"/>
          <w:highlight w:val="none"/>
        </w:rPr>
        <w:t>2.17 检验和验收</w:t>
      </w:r>
      <w:bookmarkEnd w:id="202"/>
      <w:bookmarkEnd w:id="203"/>
      <w:bookmarkEnd w:id="204"/>
    </w:p>
    <w:p w14:paraId="730E153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2.17.1标的物交付前，乙方应对标的物的质量、数量等方面进行详细、全面的检验，并向甲方出具证明标的物符合合同约定的文件；标的物交付时，乙方在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约定时间内组织验收，并可依法邀请相关方参加，验收应出具验收书。</w:t>
      </w:r>
    </w:p>
    <w:p w14:paraId="06494E7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合同期满或者履行完毕后，甲方有权组织（包括依法邀请国家认可的质量检测机构参加）对乙方履约的验收，即：按照合同约定的技术、服务、安全标准，组织对每一项技术、服务、安全标准的履约情况的验收，并出具验收书。</w:t>
      </w:r>
    </w:p>
    <w:p w14:paraId="35B967E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bookmarkEnd w:id="174"/>
    <w:bookmarkEnd w:id="175"/>
    <w:bookmarkEnd w:id="176"/>
    <w:bookmarkEnd w:id="177"/>
    <w:p w14:paraId="1C5702A8">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05" w:name="_Toc487900371"/>
      <w:bookmarkStart w:id="206" w:name="_Toc279701261"/>
      <w:bookmarkStart w:id="207" w:name="_Toc259093690"/>
      <w:bookmarkStart w:id="208" w:name="_Toc19604"/>
      <w:bookmarkStart w:id="209" w:name="_Toc25182"/>
      <w:bookmarkStart w:id="210" w:name="_Toc11284"/>
      <w:r>
        <w:rPr>
          <w:rFonts w:hint="eastAsia" w:ascii="宋体" w:hAnsi="宋体" w:eastAsia="宋体" w:cs="宋体"/>
          <w:b/>
          <w:color w:val="auto"/>
          <w:sz w:val="24"/>
          <w:highlight w:val="none"/>
        </w:rPr>
        <w:t>2.18 通知</w:t>
      </w:r>
      <w:bookmarkEnd w:id="205"/>
      <w:bookmarkEnd w:id="206"/>
      <w:bookmarkEnd w:id="207"/>
      <w:r>
        <w:rPr>
          <w:rFonts w:hint="eastAsia" w:ascii="宋体" w:hAnsi="宋体" w:eastAsia="宋体" w:cs="宋体"/>
          <w:b/>
          <w:color w:val="auto"/>
          <w:sz w:val="24"/>
          <w:highlight w:val="none"/>
        </w:rPr>
        <w:t>和送达</w:t>
      </w:r>
      <w:bookmarkEnd w:id="208"/>
      <w:bookmarkEnd w:id="209"/>
      <w:bookmarkEnd w:id="210"/>
    </w:p>
    <w:p w14:paraId="2C32C77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211" w:name="_Toc3135"/>
      <w:bookmarkStart w:id="212" w:name="_Toc6698"/>
      <w:bookmarkStart w:id="213" w:name="_Toc259093691"/>
      <w:bookmarkStart w:id="214" w:name="_Toc487900372"/>
      <w:bookmarkStart w:id="215" w:name="_Toc279701262"/>
      <w:r>
        <w:rPr>
          <w:rFonts w:hint="eastAsia" w:ascii="宋体" w:hAnsi="宋体" w:eastAsia="宋体" w:cs="宋体"/>
          <w:color w:val="auto"/>
          <w:sz w:val="24"/>
          <w:highlight w:val="none"/>
        </w:rPr>
        <w:t>2.18.1 任何一方因履行合同而以合同第一部分尾部所列明的</w:t>
      </w:r>
      <w:r>
        <w:rPr>
          <w:rFonts w:hint="eastAsia" w:ascii="宋体" w:hAnsi="宋体" w:eastAsia="宋体" w:cs="宋体"/>
          <w:color w:val="auto"/>
          <w:sz w:val="24"/>
          <w:highlight w:val="none"/>
          <w:u w:val="single"/>
        </w:rPr>
        <w:t>“约定送达地址”</w:t>
      </w:r>
      <w:r>
        <w:rPr>
          <w:rFonts w:hint="eastAsia" w:ascii="宋体" w:hAnsi="宋体" w:eastAsia="宋体" w:cs="宋体"/>
          <w:color w:val="auto"/>
          <w:sz w:val="24"/>
          <w:highlight w:val="none"/>
        </w:rPr>
        <w:t>为收件地址的所有通知、文件、材料，均视为已向对方当事人送达；任何一方变更上述送达方式或者地址的，应于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bookmarkEnd w:id="211"/>
      <w:bookmarkEnd w:id="212"/>
    </w:p>
    <w:p w14:paraId="0898245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bookmarkStart w:id="216" w:name="_Toc23294"/>
      <w:bookmarkStart w:id="217" w:name="_Toc23128"/>
      <w:r>
        <w:rPr>
          <w:rFonts w:hint="eastAsia" w:ascii="宋体" w:hAnsi="宋体" w:eastAsia="宋体" w:cs="宋体"/>
          <w:color w:val="auto"/>
          <w:sz w:val="24"/>
          <w:highlight w:val="none"/>
        </w:rPr>
        <w:t>2.18.2以当面交付方式送达的，交付之时视为送达；以电子邮件方式送达的，发出电子邮件之时视为送达；以传真方式送达的，发出传真之时视为送达；以邮寄方式送达的，邮件挂号寄出或者交邮之日之次日视为送达。</w:t>
      </w:r>
      <w:bookmarkEnd w:id="216"/>
      <w:bookmarkEnd w:id="217"/>
    </w:p>
    <w:p w14:paraId="6FA36DE4">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18" w:name="_Toc18540"/>
      <w:bookmarkStart w:id="219" w:name="_Toc30599"/>
      <w:bookmarkStart w:id="220" w:name="_Toc4355"/>
      <w:r>
        <w:rPr>
          <w:rFonts w:hint="eastAsia" w:ascii="宋体" w:hAnsi="宋体" w:eastAsia="宋体" w:cs="宋体"/>
          <w:b/>
          <w:color w:val="auto"/>
          <w:sz w:val="24"/>
          <w:highlight w:val="none"/>
        </w:rPr>
        <w:t>2.19 计量单位</w:t>
      </w:r>
      <w:bookmarkEnd w:id="213"/>
      <w:bookmarkEnd w:id="214"/>
      <w:bookmarkEnd w:id="215"/>
      <w:bookmarkEnd w:id="218"/>
      <w:bookmarkEnd w:id="219"/>
      <w:bookmarkEnd w:id="220"/>
    </w:p>
    <w:p w14:paraId="325FF64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424B603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21" w:name="_Toc487900373"/>
      <w:bookmarkStart w:id="222" w:name="_Toc259093692"/>
      <w:bookmarkStart w:id="223" w:name="_Toc12773"/>
      <w:bookmarkStart w:id="224" w:name="_Toc18567"/>
      <w:bookmarkStart w:id="225" w:name="_Toc10330"/>
      <w:bookmarkStart w:id="226" w:name="_Toc279701263"/>
      <w:r>
        <w:rPr>
          <w:rFonts w:hint="eastAsia" w:ascii="宋体" w:hAnsi="宋体" w:eastAsia="宋体" w:cs="宋体"/>
          <w:b/>
          <w:color w:val="auto"/>
          <w:sz w:val="24"/>
          <w:highlight w:val="none"/>
        </w:rPr>
        <w:t>2.20 合同使用的文字和适用的法律</w:t>
      </w:r>
      <w:bookmarkEnd w:id="221"/>
      <w:bookmarkEnd w:id="222"/>
      <w:bookmarkEnd w:id="223"/>
      <w:bookmarkEnd w:id="224"/>
      <w:bookmarkEnd w:id="225"/>
      <w:bookmarkEnd w:id="226"/>
    </w:p>
    <w:p w14:paraId="5AEA74D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2.20.1 合同使用汉语书就、变更和解释；</w:t>
      </w:r>
    </w:p>
    <w:p w14:paraId="54C736C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2.20.2 合同适用中华人民共和国法律。</w:t>
      </w:r>
    </w:p>
    <w:p w14:paraId="26E88D6F">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27" w:name="_Toc3148"/>
      <w:bookmarkStart w:id="228" w:name="_Toc12004"/>
      <w:bookmarkStart w:id="229" w:name="_Toc259093693"/>
      <w:bookmarkStart w:id="230" w:name="_Toc16673"/>
      <w:bookmarkStart w:id="231" w:name="_Toc279701264"/>
      <w:bookmarkStart w:id="232" w:name="_Toc487900374"/>
      <w:r>
        <w:rPr>
          <w:rFonts w:hint="eastAsia" w:ascii="宋体" w:hAnsi="宋体" w:eastAsia="宋体" w:cs="宋体"/>
          <w:b/>
          <w:color w:val="auto"/>
          <w:sz w:val="24"/>
          <w:highlight w:val="none"/>
        </w:rPr>
        <w:t>2.21 履约保证金</w:t>
      </w:r>
      <w:bookmarkEnd w:id="227"/>
      <w:bookmarkEnd w:id="228"/>
      <w:bookmarkEnd w:id="229"/>
      <w:bookmarkEnd w:id="230"/>
      <w:bookmarkEnd w:id="231"/>
    </w:p>
    <w:p w14:paraId="754EAE4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snapToGrid w:val="0"/>
          <w:color w:val="auto"/>
          <w:kern w:val="0"/>
          <w:sz w:val="24"/>
          <w:highlight w:val="none"/>
        </w:rPr>
      </w:pPr>
      <w:r>
        <w:rPr>
          <w:rFonts w:hint="eastAsia" w:ascii="宋体" w:hAnsi="宋体" w:eastAsia="宋体" w:cs="宋体"/>
          <w:color w:val="auto"/>
          <w:sz w:val="24"/>
          <w:highlight w:val="none"/>
        </w:rPr>
        <w:t>本项目不收取履约保证金</w:t>
      </w:r>
    </w:p>
    <w:p w14:paraId="698C37C6">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b/>
          <w:color w:val="auto"/>
          <w:sz w:val="24"/>
          <w:highlight w:val="none"/>
        </w:rPr>
        <w:t>2.22 中小企业政策</w:t>
      </w:r>
    </w:p>
    <w:p w14:paraId="62CDD04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2.22.1本合同（□是  □否）为中小企业“政采贷”可融资合同，关于中小企业信用融资事项见采购文件“投标人须知正文”。</w:t>
      </w:r>
    </w:p>
    <w:p w14:paraId="7F931EF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2.22.2本合同（□是  □否）为中小企业预留合同。</w:t>
      </w:r>
    </w:p>
    <w:bookmarkEnd w:id="232"/>
    <w:p w14:paraId="7BAF8E2A">
      <w:pPr>
        <w:keepNext w:val="0"/>
        <w:keepLines w:val="0"/>
        <w:pageBreakBefore w:val="0"/>
        <w:widowControl w:val="0"/>
        <w:kinsoku/>
        <w:wordWrap/>
        <w:overflowPunct/>
        <w:topLinePunct w:val="0"/>
        <w:autoSpaceDE/>
        <w:autoSpaceDN/>
        <w:bidi w:val="0"/>
        <w:adjustRightInd/>
        <w:snapToGrid/>
        <w:spacing w:line="380" w:lineRule="exact"/>
        <w:ind w:firstLine="482" w:firstLineChars="200"/>
        <w:textAlignment w:val="auto"/>
        <w:rPr>
          <w:rFonts w:hint="eastAsia" w:ascii="宋体" w:hAnsi="宋体" w:eastAsia="宋体" w:cs="宋体"/>
          <w:b/>
          <w:color w:val="auto"/>
          <w:sz w:val="24"/>
          <w:highlight w:val="none"/>
        </w:rPr>
      </w:pPr>
      <w:bookmarkStart w:id="233" w:name="_Toc14001"/>
      <w:bookmarkStart w:id="234" w:name="_Toc6885"/>
      <w:bookmarkStart w:id="235" w:name="_Toc19890"/>
      <w:r>
        <w:rPr>
          <w:rFonts w:hint="eastAsia" w:ascii="宋体" w:hAnsi="宋体" w:eastAsia="宋体" w:cs="宋体"/>
          <w:b/>
          <w:color w:val="auto"/>
          <w:sz w:val="24"/>
          <w:highlight w:val="none"/>
        </w:rPr>
        <w:t>2.23 合同份数</w:t>
      </w:r>
      <w:bookmarkEnd w:id="233"/>
      <w:bookmarkEnd w:id="234"/>
      <w:bookmarkEnd w:id="235"/>
    </w:p>
    <w:p w14:paraId="61B3147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本合同壹式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份，甲方执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份，乙方执</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份。每份均具有同等法律效力。</w:t>
      </w:r>
    </w:p>
    <w:p w14:paraId="5113C4B6">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color w:val="auto"/>
          <w:sz w:val="28"/>
          <w:szCs w:val="28"/>
          <w:highlight w:val="none"/>
        </w:rPr>
      </w:pPr>
      <w:r>
        <w:rPr>
          <w:rFonts w:hint="eastAsia" w:ascii="宋体" w:hAnsi="宋体" w:eastAsia="宋体" w:cs="宋体"/>
          <w:color w:val="auto"/>
          <w:highlight w:val="none"/>
        </w:rPr>
        <w:br w:type="page"/>
      </w:r>
      <w:bookmarkStart w:id="236" w:name="_Toc331685784"/>
      <w:r>
        <w:rPr>
          <w:rFonts w:hint="eastAsia" w:ascii="宋体" w:hAnsi="宋体" w:eastAsia="宋体" w:cs="宋体"/>
          <w:b/>
          <w:color w:val="auto"/>
          <w:sz w:val="28"/>
          <w:szCs w:val="28"/>
          <w:highlight w:val="none"/>
        </w:rPr>
        <w:t>第三部分  合同专用条款</w:t>
      </w:r>
      <w:bookmarkEnd w:id="236"/>
    </w:p>
    <w:p w14:paraId="779C33F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p w14:paraId="5D3E447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3.1具有知识产权的标的物知识产权归属：</w:t>
      </w:r>
    </w:p>
    <w:p w14:paraId="22DD026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4A9C373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3.2包装和装运专用条款（如果有）：</w:t>
      </w:r>
    </w:p>
    <w:p w14:paraId="69238B9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56796DF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3.3装运标的物的要求和通知：</w:t>
      </w:r>
    </w:p>
    <w:p w14:paraId="4428087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2C4B9E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3.4</w:t>
      </w:r>
      <w:r>
        <w:rPr>
          <w:rFonts w:hint="eastAsia" w:ascii="宋体" w:hAnsi="宋体" w:eastAsia="宋体" w:cs="宋体"/>
          <w:b/>
          <w:color w:val="auto"/>
          <w:sz w:val="24"/>
          <w:highlight w:val="none"/>
        </w:rPr>
        <w:t>结算方式和付款条件</w:t>
      </w:r>
    </w:p>
    <w:p w14:paraId="460773F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本次项目合同总价为大写人民币</w:t>
      </w:r>
      <w:r>
        <w:rPr>
          <w:rFonts w:hint="eastAsia" w:ascii="宋体" w:hAnsi="宋体" w:eastAsia="宋体" w:cs="宋体"/>
          <w:color w:val="auto"/>
          <w:kern w:val="0"/>
          <w:sz w:val="24"/>
          <w:highlight w:val="none"/>
          <w:u w:val="single"/>
          <w:lang w:val="zh-CN"/>
        </w:rPr>
        <w:t xml:space="preserve">            （</w:t>
      </w:r>
      <w:r>
        <w:rPr>
          <w:rFonts w:hint="eastAsia" w:ascii="宋体" w:hAnsi="宋体" w:eastAsia="宋体" w:cs="宋体"/>
          <w:color w:val="auto"/>
          <w:kern w:val="0"/>
          <w:sz w:val="24"/>
          <w:highlight w:val="none"/>
          <w:lang w:val="zh-CN"/>
        </w:rPr>
        <w:t>￥    元）。本项目采用以下勾选结算方式进行支付：</w:t>
      </w:r>
    </w:p>
    <w:p w14:paraId="7FA24EC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lang w:val="zh-CN"/>
        </w:rPr>
      </w:pPr>
      <w:r>
        <w:rPr>
          <w:rFonts w:hint="eastAsia" w:ascii="宋体" w:hAnsi="宋体" w:eastAsia="宋体" w:cs="宋体"/>
          <w:color w:val="auto"/>
          <w:kern w:val="0"/>
          <w:sz w:val="24"/>
          <w:highlight w:val="none"/>
          <w:lang w:val="zh-CN"/>
        </w:rPr>
        <w:t>□采用一次性支付方式，付款条件为：</w:t>
      </w:r>
      <w:r>
        <w:rPr>
          <w:rFonts w:hint="eastAsia" w:ascii="宋体" w:hAnsi="宋体" w:eastAsia="宋体" w:cs="宋体"/>
          <w:color w:val="auto"/>
          <w:kern w:val="0"/>
          <w:sz w:val="24"/>
          <w:highlight w:val="none"/>
          <w:u w:val="single"/>
        </w:rPr>
        <w:t xml:space="preserve">           </w:t>
      </w:r>
    </w:p>
    <w:p w14:paraId="69ECCDC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□采用分期付款方式，付款条件为</w:t>
      </w:r>
      <w:r>
        <w:rPr>
          <w:rFonts w:hint="eastAsia" w:ascii="宋体" w:hAnsi="宋体" w:eastAsia="宋体" w:cs="宋体"/>
          <w:color w:val="auto"/>
          <w:kern w:val="0"/>
          <w:sz w:val="24"/>
          <w:highlight w:val="none"/>
        </w:rPr>
        <w:t>：</w:t>
      </w:r>
    </w:p>
    <w:p w14:paraId="226F081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lang w:val="zh-CN"/>
        </w:rPr>
        <w:t>第一期付款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1F6EB59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u w:val="single"/>
        </w:rPr>
      </w:pPr>
      <w:r>
        <w:rPr>
          <w:rFonts w:hint="eastAsia" w:ascii="宋体" w:hAnsi="宋体" w:eastAsia="宋体" w:cs="宋体"/>
          <w:color w:val="auto"/>
          <w:kern w:val="0"/>
          <w:sz w:val="24"/>
          <w:highlight w:val="none"/>
          <w:lang w:val="zh-CN"/>
        </w:rPr>
        <w:t>第</w:t>
      </w:r>
      <w:r>
        <w:rPr>
          <w:rFonts w:hint="eastAsia" w:ascii="宋体" w:hAnsi="宋体" w:eastAsia="宋体" w:cs="宋体"/>
          <w:color w:val="auto"/>
          <w:kern w:val="0"/>
          <w:sz w:val="24"/>
          <w:highlight w:val="none"/>
        </w:rPr>
        <w:t>二</w:t>
      </w:r>
      <w:r>
        <w:rPr>
          <w:rFonts w:hint="eastAsia" w:ascii="宋体" w:hAnsi="宋体" w:eastAsia="宋体" w:cs="宋体"/>
          <w:color w:val="auto"/>
          <w:kern w:val="0"/>
          <w:sz w:val="24"/>
          <w:highlight w:val="none"/>
          <w:lang w:val="zh-CN"/>
        </w:rPr>
        <w:t>期付款</w:t>
      </w:r>
      <w:r>
        <w:rPr>
          <w:rFonts w:hint="eastAsia" w:ascii="宋体" w:hAnsi="宋体" w:eastAsia="宋体" w:cs="宋体"/>
          <w:color w:val="auto"/>
          <w:kern w:val="0"/>
          <w:sz w:val="24"/>
          <w:highlight w:val="none"/>
        </w:rPr>
        <w:t>：</w:t>
      </w:r>
      <w:r>
        <w:rPr>
          <w:rFonts w:hint="eastAsia" w:ascii="宋体" w:hAnsi="宋体" w:eastAsia="宋体" w:cs="宋体"/>
          <w:color w:val="auto"/>
          <w:kern w:val="0"/>
          <w:sz w:val="24"/>
          <w:highlight w:val="none"/>
          <w:u w:val="single"/>
        </w:rPr>
        <w:t xml:space="preserve">                                        </w:t>
      </w:r>
    </w:p>
    <w:p w14:paraId="15684FA7">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w:t>
      </w:r>
    </w:p>
    <w:p w14:paraId="4EA209D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甲方无故逾期支付服务费用的，按照每逾期一日支付欠付服务费额度的</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万分之五 </w:t>
      </w:r>
      <w:r>
        <w:rPr>
          <w:rFonts w:hint="eastAsia" w:ascii="宋体" w:hAnsi="宋体" w:eastAsia="宋体" w:cs="宋体"/>
          <w:color w:val="auto"/>
          <w:sz w:val="24"/>
          <w:highlight w:val="none"/>
        </w:rPr>
        <w:t>承担违约责任，违约金上限按照《合同书》约定执行。</w:t>
      </w:r>
    </w:p>
    <w:p w14:paraId="53FF8F0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温馨提示：根据《广西壮族自治区财政厅关于进一步发挥政府采购政策功能促进企业发展的通知》（桂财采〔2022〕30号）及《2023年广西优化营商环境行动方案》等规定，政府采购货物和服务的采购人在政府采购合同中约定预付款比例的，采购合同履行期超过30天，对中小企业合同预付款比例应不低于合同金额的30％，不高于合同金额的50%；项目分年度安排预算的，每年预付款比例不低于项目年度计划支付金额的30％；采购项目以人工投入为主的，可降低预付款比例，但不得低于10%。采购文件和采购合同没有约定预付款的，经供应商申请采购人可支付预付款。对于未实行预付款的政府采购项目，鼓励采购人在合同中明确首付款支付比例。）</w:t>
      </w:r>
    </w:p>
    <w:p w14:paraId="1CAA9936">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3.5</w:t>
      </w:r>
      <w:r>
        <w:rPr>
          <w:rFonts w:hint="eastAsia" w:ascii="宋体" w:hAnsi="宋体" w:eastAsia="宋体" w:cs="宋体"/>
          <w:b/>
          <w:color w:val="auto"/>
          <w:sz w:val="24"/>
          <w:highlight w:val="none"/>
        </w:rPr>
        <w:t>标的物的风险负担</w:t>
      </w:r>
    </w:p>
    <w:p w14:paraId="473EC64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标的物或者在途标的物或者交付给第一承运人后的标的物毁损、灭失的风险负担：</w:t>
      </w:r>
    </w:p>
    <w:p w14:paraId="2217BF9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乙方                                                                       </w:t>
      </w:r>
    </w:p>
    <w:p w14:paraId="17215DBF">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3.5.1受不可抗力影响的一方在不可抗力发生后，应在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日内以书面形式通知对方当事人，并在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日内，将有关部门出具的证明文件送达对方当事人。</w:t>
      </w:r>
    </w:p>
    <w:p w14:paraId="756650F4">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3.5.2因不可抗力致使合同有变更必要的，双方当事人应在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7</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日内以书面形式变更合同；</w:t>
      </w:r>
    </w:p>
    <w:p w14:paraId="0A5540A1">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3.5.3标的物交付前，乙方应对标的物的质量、数量等方面进行详细、全面的检验，并向甲方出具证明标的物符合合同约定的文件；标的物交付时，乙方在</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日内发起验收，并可依法邀请相关方参加，验收应出具验收书。</w:t>
      </w:r>
    </w:p>
    <w:p w14:paraId="1EF64CCA">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3.5.4 检验和验收标准、程序等具体内容以及前述验收书的效力：</w:t>
      </w:r>
      <w:r>
        <w:rPr>
          <w:rFonts w:hint="eastAsia" w:ascii="宋体" w:hAnsi="宋体" w:eastAsia="宋体" w:cs="宋体"/>
          <w:color w:val="auto"/>
          <w:sz w:val="24"/>
          <w:highlight w:val="none"/>
          <w:u w:val="single"/>
        </w:rPr>
        <w:t xml:space="preserve">                                                                     </w:t>
      </w:r>
    </w:p>
    <w:p w14:paraId="21064FE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3.5.5 其他：</w:t>
      </w:r>
    </w:p>
    <w:p w14:paraId="7ADF0FB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3.6项目验收：</w:t>
      </w:r>
    </w:p>
    <w:p w14:paraId="7A3FD113">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3.6.1甲方参照《南宁市政府采购供应商履约验收评价管理办法》（南财采</w:t>
      </w:r>
      <w:r>
        <w:rPr>
          <w:rFonts w:hint="eastAsia" w:ascii="宋体" w:hAnsi="宋体" w:eastAsia="宋体" w:cs="宋体"/>
          <w:color w:val="auto"/>
          <w:sz w:val="24"/>
          <w:highlight w:val="none"/>
          <w:lang w:eastAsia="zh-CN"/>
        </w:rPr>
        <w:t>〔2019〕217号</w:t>
      </w:r>
      <w:r>
        <w:rPr>
          <w:rFonts w:hint="eastAsia" w:ascii="宋体" w:hAnsi="宋体" w:eastAsia="宋体" w:cs="宋体"/>
          <w:color w:val="auto"/>
          <w:sz w:val="24"/>
          <w:highlight w:val="none"/>
        </w:rPr>
        <w:t>）规定组织对乙方履约的验收。验收方成员应当在验收书上签字，并承担相应的法律责任。如果发现与合同中要求不符，乙方须承担由此发生的一切损失和费用，并接受相应的处理。</w:t>
      </w:r>
    </w:p>
    <w:p w14:paraId="2710F94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3.6.2严格按照采购合同开展履约验收。甲方成立验收小组，按照采购合同的约定对供应商履约情况进行验收，验收时，按照采购合同的约定对每一项技术、服务、安全标准的履约情况进行确认，出具验收报告并经验收小组全体成员签字。甲方根据验收报告形成验收意见并经甲方与乙方签字盖章生效。验收结果与采购合同约定的资金支付条件挂钩。履约验收的各项资料应当存档备查。</w:t>
      </w:r>
    </w:p>
    <w:p w14:paraId="1974FDF0">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3.6.3验收合格的项目，甲方将根据采购合同的约定及时向供应商支付采购资金。验收不合格的项目，甲方将依法及时处理。采购合同的履行、违约责任和解决争议的方式等适用《中华人民共和国民法典》，并按照《合同书》约定执行。</w:t>
      </w:r>
    </w:p>
    <w:p w14:paraId="488D1B9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3.6.4验收产生的费用首次验收费用由  承担，如首次验收不合格，后续验收费用由  支付。</w:t>
      </w:r>
    </w:p>
    <w:p w14:paraId="2A97FECE">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3.6.5验收内容及资料要求：</w:t>
      </w:r>
    </w:p>
    <w:p w14:paraId="12B1571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根据采购文件确定的技术指标或者服务要求确定验收指标和标准。未进行相应约定的，应当符合国家强制性规定、政策要求、安全标准、行业或企业有关标准等。</w:t>
      </w:r>
    </w:p>
    <w:p w14:paraId="0D3ABFB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3.6.6验收内容</w:t>
      </w:r>
    </w:p>
    <w:tbl>
      <w:tblPr>
        <w:tblStyle w:val="2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62"/>
        <w:gridCol w:w="3298"/>
        <w:gridCol w:w="4679"/>
      </w:tblGrid>
      <w:tr w14:paraId="06596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502848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序号</w:t>
            </w:r>
          </w:p>
        </w:tc>
        <w:tc>
          <w:tcPr>
            <w:tcW w:w="3298" w:type="dxa"/>
            <w:tcBorders>
              <w:top w:val="single" w:color="auto" w:sz="4" w:space="0"/>
              <w:left w:val="single" w:color="auto" w:sz="4" w:space="0"/>
              <w:bottom w:val="single" w:color="auto" w:sz="4" w:space="0"/>
              <w:right w:val="single" w:color="auto" w:sz="4" w:space="0"/>
            </w:tcBorders>
            <w:noWrap w:val="0"/>
            <w:vAlign w:val="center"/>
          </w:tcPr>
          <w:p w14:paraId="7DD0525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验收内容</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5F58393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验收标准</w:t>
            </w:r>
          </w:p>
        </w:tc>
      </w:tr>
      <w:tr w14:paraId="30401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11535DD6">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w:t>
            </w:r>
          </w:p>
        </w:tc>
        <w:tc>
          <w:tcPr>
            <w:tcW w:w="3298" w:type="dxa"/>
            <w:tcBorders>
              <w:top w:val="single" w:color="auto" w:sz="4" w:space="0"/>
              <w:left w:val="single" w:color="auto" w:sz="4" w:space="0"/>
              <w:bottom w:val="single" w:color="auto" w:sz="4" w:space="0"/>
              <w:right w:val="single" w:color="auto" w:sz="4" w:space="0"/>
            </w:tcBorders>
            <w:noWrap w:val="0"/>
            <w:vAlign w:val="bottom"/>
          </w:tcPr>
          <w:p w14:paraId="1DE26F4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交付标的物数量</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7772C2E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r w14:paraId="532A7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4"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0B79687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w:t>
            </w:r>
          </w:p>
        </w:tc>
        <w:tc>
          <w:tcPr>
            <w:tcW w:w="3298" w:type="dxa"/>
            <w:tcBorders>
              <w:top w:val="single" w:color="auto" w:sz="4" w:space="0"/>
              <w:left w:val="single" w:color="auto" w:sz="4" w:space="0"/>
              <w:bottom w:val="single" w:color="auto" w:sz="4" w:space="0"/>
              <w:right w:val="single" w:color="auto" w:sz="4" w:space="0"/>
            </w:tcBorders>
            <w:noWrap w:val="0"/>
            <w:vAlign w:val="bottom"/>
          </w:tcPr>
          <w:p w14:paraId="33122214">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交付标的物质量文件</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6A142D1F">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r w14:paraId="3C163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450B9CC3">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4</w:t>
            </w:r>
          </w:p>
        </w:tc>
        <w:tc>
          <w:tcPr>
            <w:tcW w:w="3298" w:type="dxa"/>
            <w:tcBorders>
              <w:top w:val="single" w:color="auto" w:sz="4" w:space="0"/>
              <w:left w:val="single" w:color="auto" w:sz="4" w:space="0"/>
              <w:bottom w:val="single" w:color="auto" w:sz="4" w:space="0"/>
              <w:right w:val="single" w:color="auto" w:sz="4" w:space="0"/>
            </w:tcBorders>
            <w:noWrap w:val="0"/>
            <w:vAlign w:val="bottom"/>
          </w:tcPr>
          <w:p w14:paraId="28AEB33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交付标的物技术、性能指标</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4F782F1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lang w:val="en-US" w:eastAsia="zh-CN"/>
              </w:rPr>
            </w:pPr>
          </w:p>
        </w:tc>
      </w:tr>
      <w:tr w14:paraId="7D183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617232F8">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5</w:t>
            </w:r>
          </w:p>
        </w:tc>
        <w:tc>
          <w:tcPr>
            <w:tcW w:w="3298" w:type="dxa"/>
            <w:tcBorders>
              <w:top w:val="single" w:color="auto" w:sz="4" w:space="0"/>
              <w:left w:val="single" w:color="auto" w:sz="4" w:space="0"/>
              <w:bottom w:val="single" w:color="auto" w:sz="4" w:space="0"/>
              <w:right w:val="single" w:color="auto" w:sz="4" w:space="0"/>
            </w:tcBorders>
            <w:noWrap w:val="0"/>
            <w:vAlign w:val="bottom"/>
          </w:tcPr>
          <w:p w14:paraId="09C9FC95">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售后服务承诺</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6538398B">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r w14:paraId="1427C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062" w:type="dxa"/>
            <w:tcBorders>
              <w:top w:val="single" w:color="auto" w:sz="4" w:space="0"/>
              <w:left w:val="single" w:color="auto" w:sz="4" w:space="0"/>
              <w:bottom w:val="single" w:color="auto" w:sz="4" w:space="0"/>
              <w:right w:val="single" w:color="auto" w:sz="4" w:space="0"/>
            </w:tcBorders>
            <w:noWrap w:val="0"/>
            <w:vAlign w:val="center"/>
          </w:tcPr>
          <w:p w14:paraId="2F385EE7">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jc w:val="center"/>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w:t>
            </w:r>
          </w:p>
        </w:tc>
        <w:tc>
          <w:tcPr>
            <w:tcW w:w="3298" w:type="dxa"/>
            <w:tcBorders>
              <w:top w:val="single" w:color="auto" w:sz="4" w:space="0"/>
              <w:left w:val="single" w:color="auto" w:sz="4" w:space="0"/>
              <w:bottom w:val="single" w:color="auto" w:sz="4" w:space="0"/>
              <w:right w:val="single" w:color="auto" w:sz="4" w:space="0"/>
            </w:tcBorders>
            <w:noWrap w:val="0"/>
            <w:vAlign w:val="bottom"/>
          </w:tcPr>
          <w:p w14:paraId="112B9542">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其他工作</w:t>
            </w:r>
          </w:p>
        </w:tc>
        <w:tc>
          <w:tcPr>
            <w:tcW w:w="4679" w:type="dxa"/>
            <w:tcBorders>
              <w:top w:val="single" w:color="auto" w:sz="4" w:space="0"/>
              <w:left w:val="single" w:color="auto" w:sz="4" w:space="0"/>
              <w:bottom w:val="single" w:color="auto" w:sz="4" w:space="0"/>
              <w:right w:val="single" w:color="auto" w:sz="4" w:space="0"/>
            </w:tcBorders>
            <w:noWrap w:val="0"/>
            <w:vAlign w:val="center"/>
          </w:tcPr>
          <w:p w14:paraId="58CFDF60">
            <w:pPr>
              <w:keepNext w:val="0"/>
              <w:keepLines w:val="0"/>
              <w:pageBreakBefore w:val="0"/>
              <w:widowControl w:val="0"/>
              <w:suppressLineNumbers w:val="0"/>
              <w:kinsoku/>
              <w:wordWrap/>
              <w:overflowPunct/>
              <w:topLinePunct w:val="0"/>
              <w:autoSpaceDE/>
              <w:autoSpaceDN/>
              <w:bidi w:val="0"/>
              <w:adjustRightInd/>
              <w:spacing w:before="0" w:beforeAutospacing="0" w:after="0" w:afterAutospacing="0" w:line="380" w:lineRule="exact"/>
              <w:ind w:left="0" w:right="0" w:firstLine="480" w:firstLineChars="200"/>
              <w:textAlignment w:val="auto"/>
              <w:rPr>
                <w:rFonts w:hint="eastAsia" w:ascii="宋体" w:hAnsi="宋体" w:eastAsia="宋体" w:cs="宋体"/>
                <w:color w:val="auto"/>
                <w:sz w:val="24"/>
                <w:highlight w:val="none"/>
              </w:rPr>
            </w:pPr>
          </w:p>
        </w:tc>
      </w:tr>
    </w:tbl>
    <w:p w14:paraId="031435E9">
      <w:pPr>
        <w:keepNext w:val="0"/>
        <w:keepLines w:val="0"/>
        <w:pageBreakBefore w:val="0"/>
        <w:widowControl w:val="0"/>
        <w:tabs>
          <w:tab w:val="left" w:pos="904"/>
        </w:tabs>
        <w:kinsoku/>
        <w:wordWrap/>
        <w:overflowPunct/>
        <w:topLinePunct w:val="0"/>
        <w:autoSpaceDE/>
        <w:autoSpaceDN/>
        <w:bidi w:val="0"/>
        <w:adjustRightInd/>
        <w:snapToGrid w:val="0"/>
        <w:spacing w:line="380" w:lineRule="exact"/>
        <w:ind w:firstLine="480" w:firstLineChars="200"/>
        <w:jc w:val="left"/>
        <w:textAlignment w:val="auto"/>
        <w:rPr>
          <w:rFonts w:hint="eastAsia" w:ascii="宋体" w:hAnsi="宋体" w:eastAsia="宋体" w:cs="宋体"/>
          <w:color w:val="auto"/>
          <w:sz w:val="24"/>
          <w:highlight w:val="none"/>
        </w:rPr>
      </w:pPr>
    </w:p>
    <w:p w14:paraId="2DC2735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温馨提示：根据《广西壮族自治区财政厅关于进一步发挥政府采购政策功能促进企业发展的通知》（桂财采〔2022〕30号）规定，采购人应当在项目完成且收到供应商验收申请后5个工作日内组织开展履约验收；对于满足合同约定支付条件的项目，应在收到发票后30日内将资金支付到合同约定的供应商账户，不得以进行审计作为支付供应商款项的条件。加快采购资金支付进度，对于200万元以下的货物和服务项目，鼓励采购人一次性全额支付给供应商。采购人不得以机构变动、人员更替、政策调整、履行内部付款流程等为由延迟付款。）</w:t>
      </w:r>
    </w:p>
    <w:p w14:paraId="642A8C25">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3.6.7验收资料要求</w:t>
      </w:r>
    </w:p>
    <w:p w14:paraId="6AD06CFC">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验收资料要求包括（不限于）以下内容：</w:t>
      </w:r>
    </w:p>
    <w:p w14:paraId="5D84350B">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（1）采购文件；</w:t>
      </w:r>
    </w:p>
    <w:p w14:paraId="7BA00A12">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（2）投标文件；</w:t>
      </w:r>
    </w:p>
    <w:p w14:paraId="4A1CE02D">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（3）采购合同；</w:t>
      </w:r>
    </w:p>
    <w:p w14:paraId="6FED9EB9">
      <w:pPr>
        <w:keepNext w:val="0"/>
        <w:keepLines w:val="0"/>
        <w:pageBreakBefore w:val="0"/>
        <w:widowControl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4"/>
          <w:highlight w:val="none"/>
        </w:rPr>
        <w:t>（4）其他需提供的相关材料：</w:t>
      </w:r>
      <w:r>
        <w:rPr>
          <w:rFonts w:hint="eastAsia" w:ascii="宋体" w:hAnsi="宋体" w:eastAsia="宋体" w:cs="宋体"/>
          <w:color w:val="auto"/>
          <w:sz w:val="24"/>
          <w:highlight w:val="none"/>
          <w:u w:val="single"/>
        </w:rPr>
        <w:t>（由采购人根据实际情况填写）</w:t>
      </w:r>
      <w:r>
        <w:rPr>
          <w:rFonts w:hint="eastAsia" w:ascii="宋体" w:hAnsi="宋体" w:eastAsia="宋体" w:cs="宋体"/>
          <w:color w:val="auto"/>
          <w:sz w:val="24"/>
          <w:highlight w:val="none"/>
        </w:rPr>
        <w:t xml:space="preserve"> 。</w:t>
      </w:r>
    </w:p>
    <w:p w14:paraId="09C06866">
      <w:pPr>
        <w:keepNext w:val="0"/>
        <w:keepLines w:val="0"/>
        <w:pageBreakBefore w:val="0"/>
        <w:widowControl/>
        <w:kinsoku/>
        <w:wordWrap/>
        <w:overflowPunct/>
        <w:topLinePunct w:val="0"/>
        <w:autoSpaceDE/>
        <w:autoSpaceDN/>
        <w:bidi w:val="0"/>
        <w:adjustRightInd/>
        <w:snapToGrid/>
        <w:spacing w:line="380" w:lineRule="exact"/>
        <w:ind w:firstLine="720" w:firstLineChars="300"/>
        <w:jc w:val="left"/>
        <w:textAlignment w:val="auto"/>
        <w:rPr>
          <w:rFonts w:hint="eastAsia" w:ascii="宋体" w:hAnsi="宋体" w:eastAsia="宋体" w:cs="宋体"/>
          <w:bCs/>
          <w:color w:val="auto"/>
          <w:sz w:val="24"/>
          <w:highlight w:val="none"/>
        </w:rPr>
      </w:pPr>
    </w:p>
    <w:p w14:paraId="334CC19B">
      <w:pPr>
        <w:keepNext w:val="0"/>
        <w:keepLines w:val="0"/>
        <w:pageBreakBefore w:val="0"/>
        <w:kinsoku/>
        <w:wordWrap/>
        <w:overflowPunct/>
        <w:topLinePunct w:val="0"/>
        <w:autoSpaceDE/>
        <w:autoSpaceDN/>
        <w:bidi w:val="0"/>
        <w:adjustRightInd/>
        <w:snapToGrid/>
        <w:spacing w:line="380" w:lineRule="exact"/>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u w:val="single"/>
        </w:rPr>
        <w:t xml:space="preserve">                                                                       </w:t>
      </w:r>
    </w:p>
    <w:p w14:paraId="6B223308">
      <w:pPr>
        <w:spacing w:line="380" w:lineRule="exac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D8C99B7">
      <w:pPr>
        <w:pStyle w:val="2"/>
        <w:spacing w:before="0" w:after="90" w:line="240" w:lineRule="auto"/>
        <w:jc w:val="center"/>
        <w:rPr>
          <w:rFonts w:hint="eastAsia"/>
          <w:color w:val="auto"/>
          <w:highlight w:val="none"/>
        </w:rPr>
      </w:pPr>
      <w:r>
        <w:rPr>
          <w:rFonts w:hint="eastAsia"/>
          <w:color w:val="auto"/>
          <w:highlight w:val="none"/>
        </w:rPr>
        <w:t xml:space="preserve"> </w:t>
      </w:r>
      <w:bookmarkStart w:id="237" w:name="_Toc10304"/>
      <w:r>
        <w:rPr>
          <w:rFonts w:hint="eastAsia"/>
          <w:color w:val="auto"/>
          <w:highlight w:val="none"/>
        </w:rPr>
        <w:t>第七章 质疑、投诉材料格</w:t>
      </w:r>
      <w:bookmarkEnd w:id="237"/>
    </w:p>
    <w:p w14:paraId="50933001">
      <w:pPr>
        <w:spacing w:line="440" w:lineRule="exact"/>
        <w:jc w:val="center"/>
        <w:rPr>
          <w:rFonts w:hint="eastAsia" w:ascii="宋体" w:hAnsi="宋体"/>
          <w:color w:val="auto"/>
          <w:szCs w:val="21"/>
          <w:highlight w:val="none"/>
        </w:rPr>
      </w:pPr>
      <w:r>
        <w:rPr>
          <w:rFonts w:hint="eastAsia" w:ascii="宋体" w:hAnsi="宋体"/>
          <w:color w:val="auto"/>
          <w:szCs w:val="21"/>
          <w:highlight w:val="none"/>
        </w:rPr>
        <w:t>质疑函（格式）</w:t>
      </w:r>
    </w:p>
    <w:p w14:paraId="311B67B0">
      <w:pPr>
        <w:keepNext w:val="0"/>
        <w:keepLines w:val="0"/>
        <w:pageBreakBefore w:val="0"/>
        <w:widowControl w:val="0"/>
        <w:kinsoku/>
        <w:wordWrap/>
        <w:overflowPunct/>
        <w:topLinePunct w:val="0"/>
        <w:autoSpaceDE/>
        <w:autoSpaceDN/>
        <w:bidi w:val="0"/>
        <w:adjustRightInd/>
        <w:spacing w:line="380" w:lineRule="exact"/>
        <w:ind w:firstLine="422" w:firstLineChars="200"/>
        <w:contextualSpacing/>
        <w:textAlignment w:val="auto"/>
        <w:rPr>
          <w:rFonts w:hint="eastAsia" w:ascii="宋体" w:hAnsi="宋体"/>
          <w:b/>
          <w:bCs/>
          <w:color w:val="auto"/>
          <w:highlight w:val="none"/>
        </w:rPr>
      </w:pPr>
      <w:r>
        <w:rPr>
          <w:rFonts w:hint="eastAsia" w:ascii="宋体" w:hAnsi="宋体"/>
          <w:b/>
          <w:bCs/>
          <w:color w:val="auto"/>
          <w:highlight w:val="none"/>
        </w:rPr>
        <w:t>一、质疑供应商基本信息：</w:t>
      </w:r>
    </w:p>
    <w:p w14:paraId="6B0B87CD">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u w:val="single"/>
        </w:rPr>
      </w:pPr>
      <w:r>
        <w:rPr>
          <w:rFonts w:hint="eastAsia" w:ascii="宋体" w:hAnsi="宋体"/>
          <w:bCs/>
          <w:color w:val="auto"/>
          <w:highlight w:val="none"/>
        </w:rPr>
        <w:t>质疑供应商：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397143DA">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3313C86A">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rPr>
      </w:pPr>
      <w:r>
        <w:rPr>
          <w:rFonts w:ascii="宋体" w:hAnsi="宋体"/>
          <w:bCs/>
          <w:color w:val="auto"/>
          <w:highlight w:val="none"/>
        </w:rPr>
        <w:t>联系人</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14:paraId="2A232A29">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rPr>
      </w:pPr>
      <w:r>
        <w:rPr>
          <w:rFonts w:hint="eastAsia" w:ascii="宋体" w:hAnsi="宋体"/>
          <w:bCs/>
          <w:color w:val="auto"/>
          <w:highlight w:val="none"/>
        </w:rPr>
        <w:t>授权代表：</w:t>
      </w:r>
      <w:r>
        <w:rPr>
          <w:rFonts w:hint="eastAsia" w:ascii="宋体" w:hAnsi="宋体"/>
          <w:bCs/>
          <w:color w:val="auto"/>
          <w:highlight w:val="none"/>
          <w:u w:val="single"/>
        </w:rPr>
        <w:t xml:space="preserve">                      </w:t>
      </w:r>
    </w:p>
    <w:p w14:paraId="7E9044EE">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u w:val="single"/>
        </w:rPr>
      </w:pP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6B1BE2D8">
      <w:pPr>
        <w:keepNext w:val="0"/>
        <w:keepLines w:val="0"/>
        <w:pageBreakBefore w:val="0"/>
        <w:widowControl w:val="0"/>
        <w:kinsoku/>
        <w:wordWrap/>
        <w:overflowPunct/>
        <w:topLinePunct w:val="0"/>
        <w:autoSpaceDE/>
        <w:autoSpaceDN/>
        <w:bidi w:val="0"/>
        <w:adjustRightInd/>
        <w:spacing w:line="380" w:lineRule="exact"/>
        <w:ind w:firstLine="420" w:firstLineChars="200"/>
        <w:contextualSpacing/>
        <w:textAlignment w:val="auto"/>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1EB3826D">
      <w:pPr>
        <w:keepNext w:val="0"/>
        <w:keepLines w:val="0"/>
        <w:pageBreakBefore w:val="0"/>
        <w:widowControl w:val="0"/>
        <w:kinsoku/>
        <w:wordWrap/>
        <w:overflowPunct/>
        <w:topLinePunct w:val="0"/>
        <w:autoSpaceDE/>
        <w:autoSpaceDN/>
        <w:bidi w:val="0"/>
        <w:adjustRightInd/>
        <w:spacing w:line="380" w:lineRule="exact"/>
        <w:ind w:firstLine="422" w:firstLineChars="200"/>
        <w:contextualSpacing/>
        <w:textAlignment w:val="auto"/>
        <w:rPr>
          <w:rFonts w:hint="eastAsia" w:ascii="宋体" w:hAnsi="宋体"/>
          <w:b/>
          <w:bCs/>
          <w:color w:val="auto"/>
          <w:highlight w:val="none"/>
        </w:rPr>
      </w:pPr>
      <w:r>
        <w:rPr>
          <w:rFonts w:hint="eastAsia" w:ascii="宋体" w:hAnsi="宋体"/>
          <w:b/>
          <w:bCs/>
          <w:color w:val="auto"/>
          <w:highlight w:val="none"/>
        </w:rPr>
        <w:t>二、质疑项目基本情况：</w:t>
      </w:r>
    </w:p>
    <w:p w14:paraId="1583AE7A">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项目的名称：</w:t>
      </w:r>
      <w:r>
        <w:rPr>
          <w:rFonts w:hint="eastAsia" w:ascii="宋体" w:hAnsi="宋体"/>
          <w:bCs/>
          <w:color w:val="auto"/>
          <w:highlight w:val="none"/>
          <w:u w:val="single"/>
        </w:rPr>
        <w:t xml:space="preserve">                                     </w:t>
      </w:r>
    </w:p>
    <w:p w14:paraId="1C0CA8FF">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bCs/>
          <w:color w:val="auto"/>
          <w:highlight w:val="none"/>
        </w:rPr>
        <w:t>质疑</w:t>
      </w:r>
      <w:r>
        <w:rPr>
          <w:rFonts w:hint="eastAsia" w:ascii="宋体" w:hAnsi="宋体"/>
          <w:color w:val="auto"/>
          <w:highlight w:val="none"/>
        </w:rPr>
        <w:t>项目的编号：</w:t>
      </w:r>
      <w:r>
        <w:rPr>
          <w:rFonts w:hint="eastAsia" w:ascii="宋体" w:hAnsi="宋体"/>
          <w:bCs/>
          <w:color w:val="auto"/>
          <w:highlight w:val="none"/>
          <w:u w:val="single"/>
        </w:rPr>
        <w:t xml:space="preserve">                                     </w:t>
      </w:r>
    </w:p>
    <w:p w14:paraId="419CD0F7">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14:paraId="4EAC9E14">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质疑事项：</w:t>
      </w:r>
    </w:p>
    <w:p w14:paraId="5C37B928">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contextualSpacing/>
        <w:textAlignment w:val="auto"/>
        <w:rPr>
          <w:rFonts w:hint="eastAsia" w:ascii="宋体" w:hAnsi="宋体"/>
          <w:color w:val="auto"/>
          <w:highlight w:val="none"/>
        </w:rPr>
      </w:pPr>
      <w:r>
        <w:rPr>
          <w:rFonts w:hint="eastAsia" w:ascii="宋体" w:hAnsi="宋体"/>
          <w:color w:val="auto"/>
          <w:highlight w:val="none"/>
        </w:rPr>
        <w:t>□采购文件   采购文件获取日期：</w:t>
      </w:r>
      <w:r>
        <w:rPr>
          <w:rFonts w:hint="eastAsia" w:ascii="宋体" w:hAnsi="宋体"/>
          <w:bCs/>
          <w:color w:val="auto"/>
          <w:highlight w:val="none"/>
          <w:u w:val="single"/>
        </w:rPr>
        <w:t xml:space="preserve">                                   </w:t>
      </w:r>
    </w:p>
    <w:p w14:paraId="59025877">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contextualSpacing/>
        <w:textAlignment w:val="auto"/>
        <w:rPr>
          <w:rFonts w:hint="eastAsia" w:ascii="宋体" w:hAnsi="宋体"/>
          <w:color w:val="auto"/>
          <w:highlight w:val="none"/>
        </w:rPr>
      </w:pPr>
      <w:r>
        <w:rPr>
          <w:rFonts w:hint="eastAsia" w:ascii="宋体" w:hAnsi="宋体"/>
          <w:color w:val="auto"/>
          <w:highlight w:val="none"/>
        </w:rPr>
        <w:t xml:space="preserve">□采购过程   </w:t>
      </w:r>
    </w:p>
    <w:p w14:paraId="3CAAC6ED">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contextualSpacing/>
        <w:textAlignment w:val="auto"/>
        <w:rPr>
          <w:rFonts w:hint="eastAsia" w:ascii="宋体" w:hAnsi="宋体"/>
          <w:bCs/>
          <w:color w:val="auto"/>
          <w:highlight w:val="none"/>
          <w:u w:val="single"/>
        </w:rPr>
      </w:pPr>
      <w:r>
        <w:rPr>
          <w:rFonts w:hint="eastAsia" w:ascii="宋体" w:hAnsi="宋体"/>
          <w:color w:val="auto"/>
          <w:highlight w:val="none"/>
        </w:rPr>
        <w:t xml:space="preserve">□成交结果   </w:t>
      </w:r>
    </w:p>
    <w:p w14:paraId="6EE9DB14">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6"/>
        <w:contextualSpacing/>
        <w:textAlignment w:val="auto"/>
        <w:rPr>
          <w:rFonts w:hint="eastAsia" w:ascii="宋体" w:hAnsi="宋体"/>
          <w:b/>
          <w:color w:val="auto"/>
          <w:highlight w:val="none"/>
        </w:rPr>
      </w:pPr>
      <w:r>
        <w:rPr>
          <w:rFonts w:hint="eastAsia" w:ascii="宋体" w:hAnsi="宋体"/>
          <w:b/>
          <w:color w:val="auto"/>
          <w:highlight w:val="none"/>
        </w:rPr>
        <w:t>三、质疑事项具体内容</w:t>
      </w:r>
    </w:p>
    <w:p w14:paraId="38A24D71">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质疑事项1：</w:t>
      </w:r>
      <w:r>
        <w:rPr>
          <w:rFonts w:hint="eastAsia" w:ascii="宋体" w:hAnsi="宋体"/>
          <w:bCs/>
          <w:color w:val="auto"/>
          <w:highlight w:val="none"/>
          <w:u w:val="single"/>
        </w:rPr>
        <w:t xml:space="preserve">                                                                    </w:t>
      </w:r>
    </w:p>
    <w:p w14:paraId="088075AE">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事实依据：</w:t>
      </w:r>
      <w:r>
        <w:rPr>
          <w:rFonts w:hint="eastAsia" w:ascii="宋体" w:hAnsi="宋体"/>
          <w:bCs/>
          <w:color w:val="auto"/>
          <w:highlight w:val="none"/>
          <w:u w:val="single"/>
        </w:rPr>
        <w:t xml:space="preserve">                                                                      </w:t>
      </w:r>
    </w:p>
    <w:p w14:paraId="6B2C494B">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法律依据：</w:t>
      </w:r>
      <w:r>
        <w:rPr>
          <w:rFonts w:hint="eastAsia" w:ascii="宋体" w:hAnsi="宋体"/>
          <w:color w:val="auto"/>
          <w:highlight w:val="none"/>
          <w:u w:val="single"/>
        </w:rPr>
        <w:t xml:space="preserve">                                                        </w:t>
      </w:r>
      <w:r>
        <w:rPr>
          <w:rFonts w:hint="eastAsia" w:ascii="宋体" w:hAnsi="宋体"/>
          <w:bCs/>
          <w:color w:val="auto"/>
          <w:highlight w:val="none"/>
          <w:u w:val="single"/>
        </w:rPr>
        <w:t xml:space="preserve">               </w:t>
      </w:r>
    </w:p>
    <w:p w14:paraId="34229D6F">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质疑事项2</w:t>
      </w:r>
    </w:p>
    <w:p w14:paraId="3312FC43">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ascii="宋体" w:hAnsi="宋体"/>
          <w:color w:val="auto"/>
          <w:highlight w:val="none"/>
        </w:rPr>
        <w:t>……</w:t>
      </w:r>
    </w:p>
    <w:p w14:paraId="7E4B74CE">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四、与质疑事项相关的质疑请求：</w:t>
      </w:r>
    </w:p>
    <w:p w14:paraId="7B1E2F1D">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14:paraId="2AE71ABE">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contextualSpacing/>
        <w:textAlignment w:val="auto"/>
        <w:rPr>
          <w:rFonts w:hint="eastAsia" w:ascii="宋体" w:hAnsi="宋体"/>
          <w:color w:val="auto"/>
          <w:highlight w:val="none"/>
        </w:rPr>
      </w:pPr>
    </w:p>
    <w:p w14:paraId="64F56577">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签字（签章）：                                       公章：</w:t>
      </w:r>
    </w:p>
    <w:p w14:paraId="76C19743">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contextualSpacing/>
        <w:textAlignment w:val="auto"/>
        <w:rPr>
          <w:rFonts w:hint="eastAsia" w:ascii="宋体" w:hAnsi="宋体"/>
          <w:color w:val="auto"/>
          <w:highlight w:val="none"/>
        </w:rPr>
      </w:pPr>
    </w:p>
    <w:p w14:paraId="3F5E7E3E">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contextualSpacing/>
        <w:textAlignment w:val="auto"/>
        <w:rPr>
          <w:rFonts w:hint="eastAsia" w:ascii="宋体" w:hAnsi="宋体"/>
          <w:color w:val="auto"/>
          <w:highlight w:val="none"/>
        </w:rPr>
      </w:pPr>
      <w:r>
        <w:rPr>
          <w:rFonts w:hint="eastAsia" w:ascii="宋体" w:hAnsi="宋体"/>
          <w:color w:val="auto"/>
          <w:highlight w:val="none"/>
        </w:rPr>
        <w:t>日期：</w:t>
      </w:r>
    </w:p>
    <w:p w14:paraId="76027464">
      <w:pPr>
        <w:keepNext w:val="0"/>
        <w:keepLines w:val="0"/>
        <w:pageBreakBefore w:val="0"/>
        <w:widowControl w:val="0"/>
        <w:kinsoku/>
        <w:wordWrap/>
        <w:overflowPunct/>
        <w:topLinePunct w:val="0"/>
        <w:autoSpaceDE/>
        <w:autoSpaceDN/>
        <w:bidi w:val="0"/>
        <w:adjustRightInd/>
        <w:spacing w:line="380" w:lineRule="exact"/>
        <w:contextualSpacing/>
        <w:textAlignment w:val="auto"/>
        <w:rPr>
          <w:rFonts w:hint="eastAsia" w:ascii="宋体" w:hAnsi="宋体"/>
          <w:b/>
          <w:color w:val="auto"/>
          <w:highlight w:val="none"/>
        </w:rPr>
      </w:pPr>
    </w:p>
    <w:p w14:paraId="205D49C2">
      <w:pPr>
        <w:keepNext w:val="0"/>
        <w:keepLines w:val="0"/>
        <w:pageBreakBefore w:val="0"/>
        <w:widowControl w:val="0"/>
        <w:kinsoku/>
        <w:wordWrap/>
        <w:overflowPunct/>
        <w:topLinePunct w:val="0"/>
        <w:autoSpaceDE/>
        <w:autoSpaceDN/>
        <w:bidi w:val="0"/>
        <w:adjustRightInd/>
        <w:spacing w:line="380" w:lineRule="exact"/>
        <w:contextualSpacing/>
        <w:textAlignment w:val="auto"/>
        <w:rPr>
          <w:rFonts w:hint="eastAsia" w:ascii="宋体" w:hAnsi="宋体"/>
          <w:b/>
          <w:color w:val="auto"/>
          <w:highlight w:val="none"/>
        </w:rPr>
      </w:pPr>
      <w:r>
        <w:rPr>
          <w:rFonts w:hint="eastAsia" w:ascii="宋体" w:hAnsi="宋体"/>
          <w:b/>
          <w:color w:val="auto"/>
          <w:highlight w:val="none"/>
        </w:rPr>
        <w:t>说明：</w:t>
      </w:r>
    </w:p>
    <w:p w14:paraId="412F492D">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contextualSpacing/>
        <w:textAlignment w:val="auto"/>
        <w:rPr>
          <w:rFonts w:hint="eastAsia" w:ascii="宋体" w:hAnsi="宋体"/>
          <w:b/>
          <w:bCs/>
          <w:color w:val="auto"/>
          <w:highlight w:val="none"/>
        </w:rPr>
      </w:pPr>
      <w:r>
        <w:rPr>
          <w:rFonts w:hint="eastAsia" w:ascii="宋体" w:hAnsi="宋体"/>
          <w:b/>
          <w:color w:val="auto"/>
          <w:highlight w:val="none"/>
        </w:rPr>
        <w:t>1.供应商提出质疑时，应提交质疑函和必要的证明材料</w:t>
      </w:r>
      <w:r>
        <w:rPr>
          <w:rFonts w:hint="eastAsia" w:ascii="宋体" w:hAnsi="宋体"/>
          <w:b/>
          <w:bCs/>
          <w:color w:val="auto"/>
          <w:highlight w:val="none"/>
        </w:rPr>
        <w:t>。</w:t>
      </w:r>
    </w:p>
    <w:p w14:paraId="40DC659C">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contextualSpacing/>
        <w:textAlignment w:val="auto"/>
        <w:rPr>
          <w:rFonts w:hint="eastAsia" w:ascii="宋体" w:hAnsi="宋体"/>
          <w:b/>
          <w:color w:val="auto"/>
          <w:highlight w:val="none"/>
        </w:rPr>
      </w:pPr>
      <w:r>
        <w:rPr>
          <w:rFonts w:hint="eastAsia" w:ascii="宋体" w:hAnsi="宋体"/>
          <w:b/>
          <w:color w:val="auto"/>
          <w:highlight w:val="none"/>
        </w:rPr>
        <w:t>2.质疑供应商若委托代理人进行质疑的，质疑函应按要求列明“授权代表”的有关内容，并在附件中提交由质疑供应商签署的授权委托书。授权委托书应载明代理人的姓名或者名称、代理事项、具体权限、期限和相关事项。</w:t>
      </w:r>
    </w:p>
    <w:p w14:paraId="4C154B82">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contextualSpacing/>
        <w:textAlignment w:val="auto"/>
        <w:rPr>
          <w:rFonts w:hint="eastAsia" w:ascii="宋体" w:hAnsi="宋体"/>
          <w:b/>
          <w:color w:val="auto"/>
          <w:highlight w:val="none"/>
        </w:rPr>
      </w:pPr>
      <w:r>
        <w:rPr>
          <w:rFonts w:hint="eastAsia" w:ascii="宋体" w:hAnsi="宋体"/>
          <w:b/>
          <w:color w:val="auto"/>
          <w:highlight w:val="none"/>
        </w:rPr>
        <w:t>3.质疑函的质疑事项应具体、明确，并有必要的事实依据和法律依据。</w:t>
      </w:r>
    </w:p>
    <w:p w14:paraId="68624879">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contextualSpacing/>
        <w:textAlignment w:val="auto"/>
        <w:rPr>
          <w:rFonts w:hint="eastAsia" w:ascii="宋体" w:hAnsi="宋体"/>
          <w:b/>
          <w:color w:val="auto"/>
          <w:highlight w:val="none"/>
        </w:rPr>
      </w:pPr>
      <w:r>
        <w:rPr>
          <w:rFonts w:hint="eastAsia" w:ascii="宋体" w:hAnsi="宋体"/>
          <w:b/>
          <w:color w:val="auto"/>
          <w:highlight w:val="none"/>
        </w:rPr>
        <w:t>4.质疑函的质疑请求应与质疑事项相关。</w:t>
      </w:r>
    </w:p>
    <w:p w14:paraId="1A185B42">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contextualSpacing/>
        <w:textAlignment w:val="auto"/>
        <w:rPr>
          <w:rFonts w:hint="eastAsia" w:ascii="宋体" w:hAnsi="宋体"/>
          <w:b/>
          <w:color w:val="auto"/>
          <w:highlight w:val="none"/>
        </w:rPr>
      </w:pPr>
      <w:r>
        <w:rPr>
          <w:rFonts w:hint="eastAsia" w:ascii="宋体" w:hAnsi="宋体"/>
          <w:b/>
          <w:color w:val="auto"/>
          <w:highlight w:val="none"/>
        </w:rPr>
        <w:t>5.质疑供应商为法人或者其他组织的，质疑函应由法定代表人、主要负责人，或者其授权代表签字或者盖章，并加盖公章。</w:t>
      </w:r>
    </w:p>
    <w:p w14:paraId="4742B914">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b/>
          <w:color w:val="auto"/>
          <w:highlight w:val="none"/>
        </w:rPr>
      </w:pPr>
    </w:p>
    <w:p w14:paraId="2B06C52C">
      <w:pPr>
        <w:keepNext w:val="0"/>
        <w:keepLines w:val="0"/>
        <w:pageBreakBefore w:val="0"/>
        <w:widowControl w:val="0"/>
        <w:kinsoku/>
        <w:wordWrap/>
        <w:overflowPunct/>
        <w:topLinePunct w:val="0"/>
        <w:autoSpaceDE/>
        <w:autoSpaceDN/>
        <w:bidi w:val="0"/>
        <w:adjustRightInd/>
        <w:spacing w:line="380" w:lineRule="exact"/>
        <w:jc w:val="center"/>
        <w:textAlignment w:val="auto"/>
        <w:rPr>
          <w:rFonts w:hint="eastAsia" w:ascii="宋体" w:hAnsi="宋体"/>
          <w:b/>
          <w:bCs/>
          <w:color w:val="auto"/>
          <w:szCs w:val="21"/>
          <w:highlight w:val="none"/>
        </w:rPr>
      </w:pPr>
      <w:r>
        <w:rPr>
          <w:rFonts w:ascii="宋体" w:hAnsi="宋体"/>
          <w:color w:val="auto"/>
          <w:szCs w:val="21"/>
          <w:highlight w:val="none"/>
        </w:rPr>
        <w:br w:type="page"/>
      </w:r>
      <w:r>
        <w:rPr>
          <w:rFonts w:hint="eastAsia" w:ascii="宋体" w:hAnsi="宋体"/>
          <w:b/>
          <w:bCs/>
          <w:color w:val="auto"/>
          <w:szCs w:val="21"/>
          <w:highlight w:val="none"/>
        </w:rPr>
        <w:t>投诉书（格式）</w:t>
      </w:r>
    </w:p>
    <w:p w14:paraId="586DC5AF">
      <w:pPr>
        <w:keepNext w:val="0"/>
        <w:keepLines w:val="0"/>
        <w:pageBreakBefore w:val="0"/>
        <w:widowControl w:val="0"/>
        <w:kinsoku/>
        <w:wordWrap/>
        <w:overflowPunct/>
        <w:topLinePunct w:val="0"/>
        <w:autoSpaceDE/>
        <w:autoSpaceDN/>
        <w:bidi w:val="0"/>
        <w:adjustRightInd/>
        <w:snapToGrid w:val="0"/>
        <w:spacing w:line="380" w:lineRule="exact"/>
        <w:ind w:firstLine="422" w:firstLineChars="200"/>
        <w:textAlignment w:val="auto"/>
        <w:rPr>
          <w:rFonts w:hint="eastAsia" w:ascii="宋体" w:hAnsi="宋体"/>
          <w:b/>
          <w:bCs/>
          <w:color w:val="auto"/>
          <w:highlight w:val="none"/>
        </w:rPr>
      </w:pPr>
      <w:r>
        <w:rPr>
          <w:rFonts w:hint="eastAsia" w:ascii="宋体" w:hAnsi="宋体"/>
          <w:b/>
          <w:bCs/>
          <w:color w:val="auto"/>
          <w:highlight w:val="none"/>
        </w:rPr>
        <w:t>一、投诉相关主体基本情况：</w:t>
      </w:r>
    </w:p>
    <w:p w14:paraId="4151ACD6">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供应商：</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4D4E7520">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3AD48FEC">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法定代表人/主要负责人：</w:t>
      </w:r>
      <w:r>
        <w:rPr>
          <w:rFonts w:hint="eastAsia" w:ascii="宋体" w:hAnsi="宋体"/>
          <w:bCs/>
          <w:color w:val="auto"/>
          <w:highlight w:val="none"/>
          <w:u w:val="single"/>
        </w:rPr>
        <w:t xml:space="preserve">                                                         </w:t>
      </w:r>
    </w:p>
    <w:p w14:paraId="1F301BC1">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ascii="宋体" w:hAnsi="宋体"/>
          <w:bCs/>
          <w:color w:val="auto"/>
          <w:highlight w:val="none"/>
        </w:rPr>
        <w:t>联系电话</w:t>
      </w:r>
      <w:r>
        <w:rPr>
          <w:rFonts w:hint="eastAsia" w:ascii="宋体" w:hAnsi="宋体"/>
          <w:bCs/>
          <w:color w:val="auto"/>
          <w:highlight w:val="none"/>
        </w:rPr>
        <w:t>：</w:t>
      </w:r>
      <w:r>
        <w:rPr>
          <w:rFonts w:hint="eastAsia" w:ascii="宋体" w:hAnsi="宋体"/>
          <w:bCs/>
          <w:color w:val="auto"/>
          <w:highlight w:val="none"/>
          <w:u w:val="single"/>
        </w:rPr>
        <w:t xml:space="preserve">                                         </w:t>
      </w:r>
    </w:p>
    <w:p w14:paraId="53C4C203">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授权代表：</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64BFC2C2">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p>
    <w:p w14:paraId="3A8AAFB9">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1692905D">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hint="eastAsia" w:ascii="宋体" w:hAnsi="宋体"/>
          <w:bCs/>
          <w:color w:val="auto"/>
          <w:highlight w:val="none"/>
        </w:rPr>
        <w:t>被投诉人1：</w:t>
      </w:r>
    </w:p>
    <w:p w14:paraId="23B5772F">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地址：</w:t>
      </w:r>
      <w:r>
        <w:rPr>
          <w:rFonts w:hint="eastAsia" w:ascii="宋体" w:hAnsi="宋体"/>
          <w:bCs/>
          <w:color w:val="auto"/>
          <w:highlight w:val="none"/>
          <w:u w:val="single"/>
        </w:rPr>
        <w:t xml:space="preserve">                                                            </w:t>
      </w:r>
    </w:p>
    <w:p w14:paraId="4BA5F6F3">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1792290C">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p>
    <w:p w14:paraId="0B073A4F">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hint="eastAsia" w:ascii="宋体" w:hAnsi="宋体"/>
          <w:bCs/>
          <w:color w:val="auto"/>
          <w:highlight w:val="none"/>
        </w:rPr>
        <w:t>被投诉人2：</w:t>
      </w:r>
    </w:p>
    <w:p w14:paraId="4AF31163">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ascii="宋体" w:hAnsi="宋体"/>
          <w:bCs/>
          <w:color w:val="auto"/>
          <w:highlight w:val="none"/>
        </w:rPr>
        <w:t>……</w:t>
      </w:r>
    </w:p>
    <w:p w14:paraId="4953FF45">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相关供应商：</w:t>
      </w:r>
      <w:r>
        <w:rPr>
          <w:rFonts w:hint="eastAsia" w:ascii="宋体" w:hAnsi="宋体"/>
          <w:bCs/>
          <w:color w:val="auto"/>
          <w:highlight w:val="none"/>
          <w:u w:val="single"/>
        </w:rPr>
        <w:t xml:space="preserve">                                                                       </w:t>
      </w:r>
    </w:p>
    <w:p w14:paraId="6BE77E6E">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u w:val="single"/>
        </w:rPr>
      </w:pPr>
      <w:r>
        <w:rPr>
          <w:rFonts w:ascii="宋体" w:hAnsi="宋体"/>
          <w:bCs/>
          <w:color w:val="auto"/>
          <w:highlight w:val="none"/>
        </w:rPr>
        <w:t>地址</w:t>
      </w:r>
      <w:r>
        <w:rPr>
          <w:rFonts w:hint="eastAsia" w:ascii="宋体" w:hAnsi="宋体"/>
          <w:bCs/>
          <w:color w:val="auto"/>
          <w:highlight w:val="none"/>
        </w:rPr>
        <w:t>：</w:t>
      </w:r>
      <w:r>
        <w:rPr>
          <w:rFonts w:hint="eastAsia" w:ascii="宋体" w:hAnsi="宋体"/>
          <w:bCs/>
          <w:color w:val="auto"/>
          <w:highlight w:val="none"/>
          <w:u w:val="single"/>
        </w:rPr>
        <w:t xml:space="preserve">                                              </w:t>
      </w:r>
      <w:r>
        <w:rPr>
          <w:rFonts w:ascii="宋体" w:hAnsi="宋体"/>
          <w:bCs/>
          <w:color w:val="auto"/>
          <w:highlight w:val="none"/>
        </w:rPr>
        <w:t>邮编</w:t>
      </w:r>
      <w:r>
        <w:rPr>
          <w:rFonts w:hint="eastAsia" w:ascii="宋体" w:hAnsi="宋体"/>
          <w:bCs/>
          <w:color w:val="auto"/>
          <w:highlight w:val="none"/>
        </w:rPr>
        <w:t>：</w:t>
      </w:r>
      <w:r>
        <w:rPr>
          <w:rFonts w:hint="eastAsia" w:ascii="宋体" w:hAnsi="宋体"/>
          <w:bCs/>
          <w:color w:val="auto"/>
          <w:highlight w:val="none"/>
          <w:u w:val="single"/>
        </w:rPr>
        <w:t xml:space="preserve">                         </w:t>
      </w:r>
    </w:p>
    <w:p w14:paraId="2A178D94">
      <w:pPr>
        <w:keepNext w:val="0"/>
        <w:keepLines w:val="0"/>
        <w:pageBreakBefore w:val="0"/>
        <w:widowControl w:val="0"/>
        <w:kinsoku/>
        <w:wordWrap/>
        <w:overflowPunct/>
        <w:topLinePunct w:val="0"/>
        <w:autoSpaceDE/>
        <w:autoSpaceDN/>
        <w:bidi w:val="0"/>
        <w:adjustRightInd/>
        <w:snapToGrid w:val="0"/>
        <w:spacing w:line="380" w:lineRule="exact"/>
        <w:ind w:firstLine="420" w:firstLineChars="200"/>
        <w:textAlignment w:val="auto"/>
        <w:rPr>
          <w:rFonts w:hint="eastAsia" w:ascii="宋体" w:hAnsi="宋体"/>
          <w:bCs/>
          <w:color w:val="auto"/>
          <w:highlight w:val="none"/>
        </w:rPr>
      </w:pPr>
      <w:r>
        <w:rPr>
          <w:rFonts w:hint="eastAsia" w:ascii="宋体" w:hAnsi="宋体"/>
          <w:bCs/>
          <w:color w:val="auto"/>
          <w:highlight w:val="none"/>
        </w:rPr>
        <w:t>联系人：</w:t>
      </w:r>
      <w:r>
        <w:rPr>
          <w:rFonts w:hint="eastAsia" w:ascii="宋体" w:hAnsi="宋体"/>
          <w:bCs/>
          <w:color w:val="auto"/>
          <w:highlight w:val="none"/>
          <w:u w:val="single"/>
        </w:rPr>
        <w:t xml:space="preserve">                                            </w:t>
      </w:r>
      <w:r>
        <w:rPr>
          <w:rFonts w:ascii="宋体" w:hAnsi="宋体"/>
          <w:bCs/>
          <w:color w:val="auto"/>
          <w:highlight w:val="none"/>
        </w:rPr>
        <w:t>联系</w:t>
      </w:r>
      <w:r>
        <w:rPr>
          <w:rFonts w:hint="eastAsia" w:ascii="宋体" w:hAnsi="宋体"/>
          <w:bCs/>
          <w:color w:val="auto"/>
          <w:highlight w:val="none"/>
        </w:rPr>
        <w:t>电话：</w:t>
      </w:r>
      <w:r>
        <w:rPr>
          <w:rFonts w:hint="eastAsia" w:ascii="宋体" w:hAnsi="宋体"/>
          <w:bCs/>
          <w:color w:val="auto"/>
          <w:highlight w:val="none"/>
          <w:u w:val="single"/>
        </w:rPr>
        <w:t xml:space="preserve">                     </w:t>
      </w:r>
      <w:r>
        <w:rPr>
          <w:rFonts w:hint="eastAsia" w:ascii="宋体" w:hAnsi="宋体"/>
          <w:bCs/>
          <w:color w:val="auto"/>
          <w:highlight w:val="none"/>
        </w:rPr>
        <w:t xml:space="preserve">                </w:t>
      </w:r>
    </w:p>
    <w:p w14:paraId="290E9516">
      <w:pPr>
        <w:keepNext w:val="0"/>
        <w:keepLines w:val="0"/>
        <w:pageBreakBefore w:val="0"/>
        <w:widowControl w:val="0"/>
        <w:kinsoku/>
        <w:wordWrap/>
        <w:overflowPunct/>
        <w:topLinePunct w:val="0"/>
        <w:autoSpaceDE/>
        <w:autoSpaceDN/>
        <w:bidi w:val="0"/>
        <w:adjustRightInd/>
        <w:snapToGrid w:val="0"/>
        <w:spacing w:line="380" w:lineRule="exact"/>
        <w:ind w:firstLine="422" w:firstLineChars="200"/>
        <w:textAlignment w:val="auto"/>
        <w:rPr>
          <w:rFonts w:hint="eastAsia" w:ascii="宋体" w:hAnsi="宋体"/>
          <w:b/>
          <w:bCs/>
          <w:color w:val="auto"/>
          <w:highlight w:val="none"/>
        </w:rPr>
      </w:pPr>
      <w:r>
        <w:rPr>
          <w:rFonts w:hint="eastAsia" w:ascii="宋体" w:hAnsi="宋体"/>
          <w:b/>
          <w:bCs/>
          <w:color w:val="auto"/>
          <w:highlight w:val="none"/>
        </w:rPr>
        <w:t>二、投诉项目基本情况：</w:t>
      </w:r>
    </w:p>
    <w:p w14:paraId="3CA61C4F">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项目的名称：</w:t>
      </w:r>
      <w:r>
        <w:rPr>
          <w:rFonts w:hint="eastAsia" w:ascii="宋体" w:hAnsi="宋体"/>
          <w:bCs/>
          <w:color w:val="auto"/>
          <w:highlight w:val="none"/>
          <w:u w:val="single"/>
        </w:rPr>
        <w:t xml:space="preserve">                                                                   </w:t>
      </w:r>
    </w:p>
    <w:p w14:paraId="0A46CBC5">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bCs/>
          <w:color w:val="auto"/>
          <w:highlight w:val="none"/>
        </w:rPr>
        <w:t>采购</w:t>
      </w:r>
      <w:r>
        <w:rPr>
          <w:rFonts w:hint="eastAsia" w:ascii="宋体" w:hAnsi="宋体"/>
          <w:color w:val="auto"/>
          <w:highlight w:val="none"/>
        </w:rPr>
        <w:t>项目的编号：</w:t>
      </w:r>
      <w:r>
        <w:rPr>
          <w:rFonts w:hint="eastAsia" w:ascii="宋体" w:hAnsi="宋体"/>
          <w:bCs/>
          <w:color w:val="auto"/>
          <w:highlight w:val="none"/>
          <w:u w:val="single"/>
        </w:rPr>
        <w:t xml:space="preserve">                                          </w:t>
      </w:r>
    </w:p>
    <w:p w14:paraId="7E5231F8">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u w:val="single"/>
        </w:rPr>
      </w:pPr>
      <w:r>
        <w:rPr>
          <w:rFonts w:hint="eastAsia" w:ascii="宋体" w:hAnsi="宋体"/>
          <w:color w:val="auto"/>
          <w:highlight w:val="none"/>
        </w:rPr>
        <w:t>采购人名称：</w:t>
      </w:r>
      <w:r>
        <w:rPr>
          <w:rFonts w:hint="eastAsia" w:ascii="宋体" w:hAnsi="宋体"/>
          <w:bCs/>
          <w:color w:val="auto"/>
          <w:highlight w:val="none"/>
          <w:u w:val="single"/>
        </w:rPr>
        <w:t xml:space="preserve">                                                                        </w:t>
      </w:r>
    </w:p>
    <w:p w14:paraId="4C3B64C5">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u w:val="single"/>
        </w:rPr>
      </w:pPr>
      <w:r>
        <w:rPr>
          <w:rFonts w:hint="eastAsia" w:ascii="宋体" w:hAnsi="宋体"/>
          <w:color w:val="auto"/>
          <w:highlight w:val="none"/>
        </w:rPr>
        <w:t>代理机构名称：</w:t>
      </w:r>
      <w:r>
        <w:rPr>
          <w:rFonts w:hint="eastAsia" w:ascii="宋体" w:hAnsi="宋体"/>
          <w:bCs/>
          <w:color w:val="auto"/>
          <w:highlight w:val="none"/>
          <w:u w:val="single"/>
        </w:rPr>
        <w:t xml:space="preserve">                                                                      </w:t>
      </w:r>
    </w:p>
    <w:p w14:paraId="76372A28">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u w:val="single"/>
        </w:rPr>
      </w:pPr>
      <w:r>
        <w:rPr>
          <w:rFonts w:hint="eastAsia" w:ascii="宋体" w:hAnsi="宋体"/>
          <w:bCs/>
          <w:color w:val="auto"/>
          <w:highlight w:val="none"/>
        </w:rPr>
        <w:t>采购文件公告：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14:paraId="610D577C">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
          <w:color w:val="auto"/>
          <w:highlight w:val="none"/>
        </w:rPr>
      </w:pPr>
      <w:r>
        <w:rPr>
          <w:rFonts w:hint="eastAsia" w:ascii="宋体" w:hAnsi="宋体"/>
          <w:bCs/>
          <w:color w:val="auto"/>
          <w:highlight w:val="none"/>
        </w:rPr>
        <w:t>采购结果公告：</w:t>
      </w:r>
      <w:r>
        <w:rPr>
          <w:rFonts w:hint="eastAsia" w:ascii="宋体" w:hAnsi="宋体"/>
          <w:bCs/>
          <w:color w:val="auto"/>
          <w:highlight w:val="none"/>
          <w:u w:val="single"/>
        </w:rPr>
        <w:t>是/否</w:t>
      </w:r>
      <w:r>
        <w:rPr>
          <w:rFonts w:hint="eastAsia" w:ascii="宋体" w:hAnsi="宋体"/>
          <w:bCs/>
          <w:color w:val="auto"/>
          <w:highlight w:val="none"/>
        </w:rPr>
        <w:t>公告期限：</w:t>
      </w:r>
      <w:r>
        <w:rPr>
          <w:rFonts w:hint="eastAsia" w:ascii="宋体" w:hAnsi="宋体"/>
          <w:bCs/>
          <w:color w:val="auto"/>
          <w:highlight w:val="none"/>
          <w:u w:val="single"/>
        </w:rPr>
        <w:t xml:space="preserve">                                                       </w:t>
      </w:r>
    </w:p>
    <w:p w14:paraId="2B4760ED">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6"/>
        <w:textAlignment w:val="auto"/>
        <w:rPr>
          <w:rFonts w:hint="eastAsia" w:ascii="宋体" w:hAnsi="宋体"/>
          <w:b/>
          <w:color w:val="auto"/>
          <w:highlight w:val="none"/>
        </w:rPr>
      </w:pPr>
      <w:r>
        <w:rPr>
          <w:rFonts w:hint="eastAsia" w:ascii="宋体" w:hAnsi="宋体"/>
          <w:b/>
          <w:color w:val="auto"/>
          <w:highlight w:val="none"/>
        </w:rPr>
        <w:t>三、质疑基本情况</w:t>
      </w:r>
    </w:p>
    <w:p w14:paraId="60FD3020">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rPr>
      </w:pPr>
      <w:r>
        <w:rPr>
          <w:rFonts w:hint="eastAsia" w:ascii="宋体" w:hAnsi="宋体"/>
          <w:color w:val="auto"/>
          <w:highlight w:val="none"/>
        </w:rPr>
        <w:t>投诉人于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日，向</w:t>
      </w:r>
      <w:r>
        <w:rPr>
          <w:rFonts w:hint="eastAsia" w:ascii="宋体" w:hAnsi="宋体"/>
          <w:color w:val="auto"/>
          <w:highlight w:val="none"/>
          <w:u w:val="single"/>
        </w:rPr>
        <w:t xml:space="preserve">                                </w:t>
      </w:r>
      <w:r>
        <w:rPr>
          <w:rFonts w:hint="eastAsia" w:ascii="宋体" w:hAnsi="宋体"/>
          <w:color w:val="auto"/>
          <w:highlight w:val="none"/>
        </w:rPr>
        <w:t>提出质疑，质疑事项为：</w:t>
      </w:r>
    </w:p>
    <w:p w14:paraId="3BCB73CC">
      <w:pPr>
        <w:keepNext w:val="0"/>
        <w:keepLines w:val="0"/>
        <w:pageBreakBefore w:val="0"/>
        <w:widowControl w:val="0"/>
        <w:kinsoku/>
        <w:wordWrap/>
        <w:overflowPunct/>
        <w:topLinePunct w:val="0"/>
        <w:autoSpaceDE/>
        <w:autoSpaceDN/>
        <w:bidi w:val="0"/>
        <w:adjustRightInd/>
        <w:spacing w:line="380" w:lineRule="exact"/>
        <w:ind w:firstLine="241"/>
        <w:textAlignment w:val="auto"/>
        <w:rPr>
          <w:rFonts w:hint="eastAsia" w:ascii="宋体" w:hAnsi="宋体"/>
          <w:bCs/>
          <w:color w:val="auto"/>
          <w:highlight w:val="none"/>
          <w:u w:val="single"/>
        </w:rPr>
      </w:pP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40C4D353">
      <w:pPr>
        <w:keepNext w:val="0"/>
        <w:keepLines w:val="0"/>
        <w:pageBreakBefore w:val="0"/>
        <w:widowControl w:val="0"/>
        <w:kinsoku/>
        <w:wordWrap/>
        <w:overflowPunct/>
        <w:topLinePunct w:val="0"/>
        <w:autoSpaceDE/>
        <w:autoSpaceDN/>
        <w:bidi w:val="0"/>
        <w:adjustRightInd/>
        <w:spacing w:line="380" w:lineRule="exact"/>
        <w:ind w:firstLine="241"/>
        <w:textAlignment w:val="auto"/>
        <w:rPr>
          <w:rFonts w:hint="eastAsia"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14:paraId="6DA88BC8">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color w:val="auto"/>
          <w:highlight w:val="none"/>
        </w:rPr>
      </w:pPr>
      <w:r>
        <w:rPr>
          <w:rFonts w:hint="eastAsia" w:ascii="宋体" w:hAnsi="宋体"/>
          <w:bCs/>
          <w:color w:val="auto"/>
          <w:highlight w:val="none"/>
          <w:u w:val="single"/>
        </w:rPr>
        <w:t>采购人/代理机构</w:t>
      </w:r>
      <w:r>
        <w:rPr>
          <w:rFonts w:hint="eastAsia" w:ascii="宋体" w:hAnsi="宋体"/>
          <w:bCs/>
          <w:color w:val="auto"/>
          <w:highlight w:val="none"/>
        </w:rPr>
        <w:t>于</w:t>
      </w:r>
      <w:r>
        <w:rPr>
          <w:rFonts w:hint="eastAsia" w:ascii="宋体" w:hAnsi="宋体"/>
          <w:color w:val="auto"/>
          <w:highlight w:val="none"/>
          <w:u w:val="single"/>
        </w:rPr>
        <w:t xml:space="preserve">      </w:t>
      </w:r>
      <w:r>
        <w:rPr>
          <w:rFonts w:hint="eastAsia" w:ascii="宋体" w:hAnsi="宋体"/>
          <w:color w:val="auto"/>
          <w:highlight w:val="none"/>
        </w:rPr>
        <w:t>年</w:t>
      </w:r>
      <w:r>
        <w:rPr>
          <w:rFonts w:hint="eastAsia" w:ascii="宋体" w:hAnsi="宋体"/>
          <w:color w:val="auto"/>
          <w:highlight w:val="none"/>
          <w:u w:val="single"/>
        </w:rPr>
        <w:t xml:space="preserve">   </w:t>
      </w:r>
      <w:r>
        <w:rPr>
          <w:rFonts w:hint="eastAsia" w:ascii="宋体" w:hAnsi="宋体"/>
          <w:color w:val="auto"/>
          <w:highlight w:val="none"/>
        </w:rPr>
        <w:t>月</w:t>
      </w:r>
      <w:r>
        <w:rPr>
          <w:rFonts w:hint="eastAsia" w:ascii="宋体" w:hAnsi="宋体"/>
          <w:color w:val="auto"/>
          <w:highlight w:val="none"/>
          <w:u w:val="single"/>
        </w:rPr>
        <w:t xml:space="preserve">   </w:t>
      </w:r>
      <w:r>
        <w:rPr>
          <w:rFonts w:hint="eastAsia" w:ascii="宋体" w:hAnsi="宋体"/>
          <w:color w:val="auto"/>
          <w:highlight w:val="none"/>
        </w:rPr>
        <w:t>日，</w:t>
      </w:r>
      <w:r>
        <w:rPr>
          <w:rFonts w:hint="eastAsia" w:ascii="宋体" w:hAnsi="宋体"/>
          <w:bCs/>
          <w:color w:val="auto"/>
          <w:highlight w:val="none"/>
        </w:rPr>
        <w:t xml:space="preserve">就质疑事项作出了答复/没有在法定期限内作出答复。                                                                                             </w:t>
      </w:r>
    </w:p>
    <w:p w14:paraId="7F8F63E2">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6"/>
        <w:textAlignment w:val="auto"/>
        <w:rPr>
          <w:rFonts w:hint="eastAsia" w:ascii="宋体" w:hAnsi="宋体"/>
          <w:b/>
          <w:color w:val="auto"/>
          <w:highlight w:val="none"/>
        </w:rPr>
      </w:pPr>
      <w:r>
        <w:rPr>
          <w:rFonts w:hint="eastAsia" w:ascii="宋体" w:hAnsi="宋体"/>
          <w:b/>
          <w:color w:val="auto"/>
          <w:highlight w:val="none"/>
        </w:rPr>
        <w:t>四、投诉事项具体内容</w:t>
      </w:r>
    </w:p>
    <w:p w14:paraId="0C0C65D6">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u w:val="single"/>
        </w:rPr>
      </w:pPr>
      <w:r>
        <w:rPr>
          <w:rFonts w:hint="eastAsia" w:ascii="宋体" w:hAnsi="宋体"/>
          <w:color w:val="auto"/>
          <w:highlight w:val="none"/>
        </w:rPr>
        <w:t>投诉事项1：</w:t>
      </w:r>
      <w:r>
        <w:rPr>
          <w:rFonts w:hint="eastAsia" w:ascii="宋体" w:hAnsi="宋体"/>
          <w:bCs/>
          <w:color w:val="auto"/>
          <w:highlight w:val="none"/>
          <w:u w:val="single"/>
        </w:rPr>
        <w:t xml:space="preserve">                                                                           </w:t>
      </w:r>
    </w:p>
    <w:p w14:paraId="040B7DB4">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事实依据：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243FC04F">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bCs/>
          <w:color w:val="auto"/>
          <w:highlight w:val="none"/>
          <w:u w:val="single"/>
        </w:rPr>
        <w:t xml:space="preserve">                                                                                        </w:t>
      </w:r>
    </w:p>
    <w:p w14:paraId="324E6656">
      <w:pPr>
        <w:keepNext w:val="0"/>
        <w:keepLines w:val="0"/>
        <w:pageBreakBefore w:val="0"/>
        <w:widowControl w:val="0"/>
        <w:kinsoku/>
        <w:wordWrap/>
        <w:overflowPunct/>
        <w:topLinePunct w:val="0"/>
        <w:autoSpaceDE/>
        <w:autoSpaceDN/>
        <w:bidi w:val="0"/>
        <w:adjustRightInd/>
        <w:spacing w:line="380" w:lineRule="exact"/>
        <w:ind w:firstLine="420" w:firstLineChars="200"/>
        <w:textAlignment w:val="auto"/>
        <w:rPr>
          <w:rFonts w:hint="eastAsia" w:ascii="宋体" w:hAnsi="宋体"/>
          <w:bCs/>
          <w:color w:val="auto"/>
          <w:highlight w:val="none"/>
          <w:u w:val="single"/>
        </w:rPr>
      </w:pPr>
      <w:r>
        <w:rPr>
          <w:rFonts w:hint="eastAsia" w:ascii="宋体" w:hAnsi="宋体"/>
          <w:bCs/>
          <w:color w:val="auto"/>
          <w:highlight w:val="none"/>
        </w:rPr>
        <w:t>法律依据：</w:t>
      </w:r>
      <w:r>
        <w:rPr>
          <w:rFonts w:hint="eastAsia" w:ascii="宋体" w:hAnsi="宋体"/>
          <w:color w:val="auto"/>
          <w:highlight w:val="none"/>
        </w:rPr>
        <w:t xml:space="preserve"> </w:t>
      </w:r>
      <w:r>
        <w:rPr>
          <w:rFonts w:hint="eastAsia" w:ascii="宋体" w:hAnsi="宋体"/>
          <w:bCs/>
          <w:color w:val="auto"/>
          <w:highlight w:val="none"/>
          <w:u w:val="single"/>
        </w:rPr>
        <w:t xml:space="preserve">                                                                                      </w:t>
      </w:r>
    </w:p>
    <w:p w14:paraId="70236345">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textAlignment w:val="auto"/>
        <w:rPr>
          <w:rFonts w:hint="eastAsia" w:ascii="宋体" w:hAnsi="宋体"/>
          <w:bCs/>
          <w:color w:val="auto"/>
          <w:highlight w:val="none"/>
          <w:u w:val="single"/>
        </w:rPr>
      </w:pPr>
      <w:r>
        <w:rPr>
          <w:rFonts w:hint="eastAsia" w:ascii="宋体" w:hAnsi="宋体"/>
          <w:bCs/>
          <w:color w:val="auto"/>
          <w:highlight w:val="none"/>
        </w:rPr>
        <w:t xml:space="preserve"> </w:t>
      </w:r>
      <w:r>
        <w:rPr>
          <w:rFonts w:hint="eastAsia" w:ascii="宋体" w:hAnsi="宋体"/>
          <w:bCs/>
          <w:color w:val="auto"/>
          <w:highlight w:val="none"/>
          <w:u w:val="single"/>
        </w:rPr>
        <w:t xml:space="preserve">                                                                                        </w:t>
      </w:r>
    </w:p>
    <w:p w14:paraId="4D510A96">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rPr>
      </w:pPr>
      <w:r>
        <w:rPr>
          <w:rFonts w:hint="eastAsia" w:ascii="宋体" w:hAnsi="宋体"/>
          <w:color w:val="auto"/>
          <w:highlight w:val="none"/>
        </w:rPr>
        <w:t xml:space="preserve">投诉事项2  </w:t>
      </w:r>
      <w:r>
        <w:rPr>
          <w:rFonts w:hint="eastAsia" w:ascii="宋体" w:hAnsi="宋体"/>
          <w:bCs/>
          <w:color w:val="auto"/>
          <w:highlight w:val="none"/>
        </w:rPr>
        <w:t xml:space="preserve">   </w:t>
      </w:r>
    </w:p>
    <w:p w14:paraId="70AA3186">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bCs/>
          <w:color w:val="auto"/>
          <w:highlight w:val="none"/>
        </w:rPr>
      </w:pPr>
      <w:r>
        <w:rPr>
          <w:rFonts w:ascii="宋体" w:hAnsi="宋体"/>
          <w:bCs/>
          <w:color w:val="auto"/>
          <w:highlight w:val="none"/>
        </w:rPr>
        <w:t>……</w:t>
      </w:r>
    </w:p>
    <w:p w14:paraId="3E347F0E">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6"/>
        <w:textAlignment w:val="auto"/>
        <w:rPr>
          <w:rFonts w:hint="eastAsia" w:ascii="宋体" w:hAnsi="宋体"/>
          <w:b/>
          <w:color w:val="auto"/>
          <w:highlight w:val="none"/>
        </w:rPr>
      </w:pPr>
      <w:r>
        <w:rPr>
          <w:rFonts w:hint="eastAsia" w:ascii="宋体" w:hAnsi="宋体"/>
          <w:b/>
          <w:color w:val="auto"/>
          <w:highlight w:val="none"/>
        </w:rPr>
        <w:t>五、与投诉事项相关的投诉请求：</w:t>
      </w:r>
    </w:p>
    <w:p w14:paraId="14E934DC">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color w:val="auto"/>
          <w:highlight w:val="none"/>
        </w:rPr>
        <w:t>请求：</w:t>
      </w:r>
      <w:r>
        <w:rPr>
          <w:rFonts w:hint="eastAsia" w:ascii="宋体" w:hAnsi="宋体"/>
          <w:bCs/>
          <w:color w:val="auto"/>
          <w:highlight w:val="none"/>
          <w:u w:val="single"/>
        </w:rPr>
        <w:t xml:space="preserve">                                                                                 </w:t>
      </w:r>
    </w:p>
    <w:p w14:paraId="24E9139E">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textAlignment w:val="auto"/>
        <w:rPr>
          <w:rFonts w:hint="eastAsia" w:ascii="宋体" w:hAnsi="宋体"/>
          <w:color w:val="auto"/>
          <w:highlight w:val="none"/>
        </w:rPr>
      </w:pPr>
    </w:p>
    <w:p w14:paraId="64C3CEA7">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color w:val="auto"/>
          <w:highlight w:val="none"/>
        </w:rPr>
        <w:t>签字（签章）：                                       公章：</w:t>
      </w:r>
    </w:p>
    <w:p w14:paraId="02C3D8F1">
      <w:pPr>
        <w:keepNext w:val="0"/>
        <w:keepLines w:val="0"/>
        <w:pageBreakBefore w:val="0"/>
        <w:widowControl w:val="0"/>
        <w:kinsoku/>
        <w:wordWrap/>
        <w:overflowPunct/>
        <w:topLinePunct w:val="0"/>
        <w:autoSpaceDE/>
        <w:autoSpaceDN/>
        <w:bidi w:val="0"/>
        <w:adjustRightInd/>
        <w:spacing w:line="380" w:lineRule="exact"/>
        <w:ind w:left="25" w:leftChars="12" w:firstLine="308" w:firstLineChars="147"/>
        <w:textAlignment w:val="auto"/>
        <w:rPr>
          <w:rFonts w:hint="eastAsia" w:ascii="宋体" w:hAnsi="宋体"/>
          <w:color w:val="auto"/>
          <w:highlight w:val="none"/>
        </w:rPr>
      </w:pPr>
    </w:p>
    <w:p w14:paraId="2C81261E">
      <w:pPr>
        <w:keepNext w:val="0"/>
        <w:keepLines w:val="0"/>
        <w:pageBreakBefore w:val="0"/>
        <w:widowControl w:val="0"/>
        <w:kinsoku/>
        <w:wordWrap/>
        <w:overflowPunct/>
        <w:topLinePunct w:val="0"/>
        <w:autoSpaceDE/>
        <w:autoSpaceDN/>
        <w:bidi w:val="0"/>
        <w:adjustRightInd/>
        <w:spacing w:line="380" w:lineRule="exact"/>
        <w:ind w:left="25" w:leftChars="12" w:firstLine="413" w:firstLineChars="197"/>
        <w:textAlignment w:val="auto"/>
        <w:rPr>
          <w:rFonts w:hint="eastAsia" w:ascii="宋体" w:hAnsi="宋体"/>
          <w:color w:val="auto"/>
          <w:highlight w:val="none"/>
        </w:rPr>
      </w:pPr>
      <w:r>
        <w:rPr>
          <w:rFonts w:hint="eastAsia" w:ascii="宋体" w:hAnsi="宋体"/>
          <w:color w:val="auto"/>
          <w:highlight w:val="none"/>
        </w:rPr>
        <w:t>日期：</w:t>
      </w:r>
    </w:p>
    <w:p w14:paraId="34FB5369">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b/>
          <w:color w:val="auto"/>
          <w:highlight w:val="none"/>
        </w:rPr>
      </w:pPr>
    </w:p>
    <w:p w14:paraId="6681C0C6">
      <w:pPr>
        <w:keepNext w:val="0"/>
        <w:keepLines w:val="0"/>
        <w:pageBreakBefore w:val="0"/>
        <w:widowControl w:val="0"/>
        <w:kinsoku/>
        <w:wordWrap/>
        <w:overflowPunct/>
        <w:topLinePunct w:val="0"/>
        <w:autoSpaceDE/>
        <w:autoSpaceDN/>
        <w:bidi w:val="0"/>
        <w:adjustRightInd/>
        <w:snapToGrid w:val="0"/>
        <w:spacing w:line="380" w:lineRule="exact"/>
        <w:textAlignment w:val="auto"/>
        <w:rPr>
          <w:rFonts w:hint="eastAsia" w:ascii="宋体" w:hAnsi="宋体"/>
          <w:b/>
          <w:color w:val="auto"/>
          <w:highlight w:val="none"/>
        </w:rPr>
      </w:pPr>
      <w:r>
        <w:rPr>
          <w:rFonts w:hint="eastAsia" w:ascii="宋体" w:hAnsi="宋体"/>
          <w:b/>
          <w:color w:val="auto"/>
          <w:highlight w:val="none"/>
        </w:rPr>
        <w:t>说明：</w:t>
      </w:r>
    </w:p>
    <w:p w14:paraId="1FF95952">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bCs/>
          <w:color w:val="auto"/>
          <w:highlight w:val="none"/>
        </w:rPr>
      </w:pPr>
      <w:r>
        <w:rPr>
          <w:rFonts w:hint="eastAsia" w:ascii="宋体" w:hAnsi="宋体"/>
          <w:b/>
          <w:color w:val="auto"/>
          <w:highlight w:val="none"/>
        </w:rPr>
        <w:t>1.投诉人提起投诉时，应当提交投诉书和必要的证明材料，并按照被投诉人和与投诉事项有关的供应商数量提供投诉书副本</w:t>
      </w:r>
      <w:r>
        <w:rPr>
          <w:rFonts w:hint="eastAsia" w:ascii="宋体" w:hAnsi="宋体"/>
          <w:b/>
          <w:bCs/>
          <w:color w:val="auto"/>
          <w:highlight w:val="none"/>
        </w:rPr>
        <w:t>。</w:t>
      </w:r>
    </w:p>
    <w:p w14:paraId="4858C3EB">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color w:val="auto"/>
          <w:highlight w:val="none"/>
        </w:rPr>
      </w:pPr>
      <w:r>
        <w:rPr>
          <w:rFonts w:hint="eastAsia" w:ascii="宋体" w:hAnsi="宋体"/>
          <w:b/>
          <w:color w:val="auto"/>
          <w:highlight w:val="none"/>
        </w:rPr>
        <w:t>2.投诉人若委托代理人进行投诉的，投诉书应按要求列明“授权代表”的有关内容，并在附件中提交由投诉人签署的授权委托书。授权委托书应当载明代理人的姓名或者名称、代理事项、具体权限、期限和相关事项。</w:t>
      </w:r>
    </w:p>
    <w:p w14:paraId="249E62F4">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color w:val="auto"/>
          <w:highlight w:val="none"/>
        </w:rPr>
      </w:pPr>
      <w:r>
        <w:rPr>
          <w:rFonts w:hint="eastAsia" w:ascii="宋体" w:hAnsi="宋体"/>
          <w:b/>
          <w:color w:val="auto"/>
          <w:highlight w:val="none"/>
        </w:rPr>
        <w:t>3.投诉书应简要列明质疑事项，质疑函、质疑答复等作为附件材料提供。</w:t>
      </w:r>
    </w:p>
    <w:p w14:paraId="6A97F3E3">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color w:val="auto"/>
          <w:highlight w:val="none"/>
        </w:rPr>
      </w:pPr>
      <w:r>
        <w:rPr>
          <w:rFonts w:hint="eastAsia" w:ascii="宋体" w:hAnsi="宋体"/>
          <w:b/>
          <w:color w:val="auto"/>
          <w:highlight w:val="none"/>
        </w:rPr>
        <w:t>4.投诉书的投诉事项应具体、明确，并有必要的事实依据和法律依据。</w:t>
      </w:r>
    </w:p>
    <w:p w14:paraId="502D86EA">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color w:val="auto"/>
          <w:highlight w:val="none"/>
        </w:rPr>
      </w:pPr>
      <w:r>
        <w:rPr>
          <w:rFonts w:hint="eastAsia" w:ascii="宋体" w:hAnsi="宋体"/>
          <w:b/>
          <w:color w:val="auto"/>
          <w:highlight w:val="none"/>
        </w:rPr>
        <w:t>5.投诉书的投诉请求应与投诉事项相关。</w:t>
      </w:r>
    </w:p>
    <w:p w14:paraId="0B09A426">
      <w:pPr>
        <w:keepNext w:val="0"/>
        <w:keepLines w:val="0"/>
        <w:pageBreakBefore w:val="0"/>
        <w:widowControl w:val="0"/>
        <w:kinsoku/>
        <w:wordWrap/>
        <w:overflowPunct/>
        <w:topLinePunct w:val="0"/>
        <w:autoSpaceDE/>
        <w:autoSpaceDN/>
        <w:bidi w:val="0"/>
        <w:adjustRightInd/>
        <w:spacing w:line="380" w:lineRule="exact"/>
        <w:ind w:left="25" w:leftChars="12" w:firstLine="310" w:firstLineChars="147"/>
        <w:textAlignment w:val="auto"/>
        <w:rPr>
          <w:rFonts w:hint="eastAsia" w:ascii="宋体" w:hAnsi="宋体"/>
          <w:b/>
          <w:color w:val="auto"/>
          <w:highlight w:val="none"/>
        </w:rPr>
      </w:pPr>
      <w:r>
        <w:rPr>
          <w:rFonts w:hint="eastAsia" w:ascii="宋体" w:hAnsi="宋体"/>
          <w:b/>
          <w:color w:val="auto"/>
          <w:highlight w:val="none"/>
        </w:rPr>
        <w:t>6.投诉人为法人或者其他组织的，投诉书应由法定代表人、主要负责人，或者其授权代表签字或者盖章，并加盖公章。</w:t>
      </w:r>
    </w:p>
    <w:p w14:paraId="6C57111A">
      <w:pPr>
        <w:spacing w:line="400" w:lineRule="exact"/>
        <w:ind w:left="25" w:leftChars="12" w:firstLine="310" w:firstLineChars="147"/>
        <w:rPr>
          <w:rFonts w:hint="eastAsia" w:ascii="宋体" w:hAnsi="宋体"/>
          <w:b/>
          <w:color w:val="auto"/>
          <w:highlight w:val="none"/>
        </w:rPr>
      </w:pPr>
    </w:p>
    <w:p w14:paraId="4BB59DEB">
      <w:pPr>
        <w:rPr>
          <w:rFonts w:hint="eastAsia" w:ascii="宋体" w:hAnsi="宋体"/>
          <w:color w:val="auto"/>
          <w:highlight w:val="none"/>
        </w:rPr>
      </w:pPr>
    </w:p>
    <w:p w14:paraId="382259FA">
      <w:pPr>
        <w:rPr>
          <w:rFonts w:hint="eastAsia" w:ascii="宋体" w:hAnsi="宋体"/>
          <w:color w:val="auto"/>
          <w:highlight w:val="none"/>
        </w:rPr>
      </w:pPr>
    </w:p>
    <w:p w14:paraId="640B3CCB">
      <w:pPr>
        <w:rPr>
          <w:color w:val="auto"/>
          <w:highlight w:val="none"/>
        </w:rPr>
      </w:pPr>
    </w:p>
    <w:p w14:paraId="2EA4C797">
      <w:pPr>
        <w:rPr>
          <w:rFonts w:hint="eastAsia" w:ascii="宋体" w:hAnsi="宋体" w:cs="宋体"/>
          <w:b/>
          <w:bCs/>
          <w:color w:val="auto"/>
          <w:sz w:val="32"/>
          <w:szCs w:val="32"/>
          <w:highlight w:val="none"/>
        </w:rPr>
      </w:pPr>
    </w:p>
    <w:sectPr>
      <w:footerReference r:id="rId7" w:type="first"/>
      <w:headerReference r:id="rId5" w:type="default"/>
      <w:footerReference r:id="rId6" w:type="default"/>
      <w:pgSz w:w="11910" w:h="16840"/>
      <w:pgMar w:top="1340" w:right="570" w:bottom="280" w:left="1680" w:header="720" w:footer="720"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1178F869-47FC-4CBB-80EB-F48D71D6BE23}"/>
  </w:font>
  <w:font w:name="Arial">
    <w:panose1 w:val="020B0604020202020204"/>
    <w:charset w:val="01"/>
    <w:family w:val="swiss"/>
    <w:pitch w:val="default"/>
    <w:sig w:usb0="E0002EFF" w:usb1="C000785B" w:usb2="00000009" w:usb3="00000000" w:csb0="400001FF" w:csb1="FFFF0000"/>
    <w:embedRegular r:id="rId2" w:fontKey="{BD650CDF-2EC9-48D9-BC20-4301D8673719}"/>
  </w:font>
  <w:font w:name="黑体">
    <w:panose1 w:val="02010609060101010101"/>
    <w:charset w:val="86"/>
    <w:family w:val="auto"/>
    <w:pitch w:val="default"/>
    <w:sig w:usb0="800002BF" w:usb1="38CF7CFA" w:usb2="00000016" w:usb3="00000000" w:csb0="00040001" w:csb1="00000000"/>
    <w:embedRegular r:id="rId3" w:fontKey="{20774AF0-3CA0-47CF-A5A2-D6FE4E24290C}"/>
  </w:font>
  <w:font w:name="Courier New">
    <w:panose1 w:val="02070309020205020404"/>
    <w:charset w:val="01"/>
    <w:family w:val="modern"/>
    <w:pitch w:val="default"/>
    <w:sig w:usb0="E0002EFF" w:usb1="C0007843" w:usb2="00000009" w:usb3="00000000" w:csb0="400001FF" w:csb1="FFFF0000"/>
    <w:embedRegular r:id="rId4" w:fontKey="{41C2C0CF-EEBD-4DDF-866C-E30A925907B7}"/>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5" w:fontKey="{CF45C43C-BF32-4DCA-8E1E-7ECE9EB8DD67}"/>
  </w:font>
  <w:font w:name="Cambria">
    <w:panose1 w:val="02040503050406030204"/>
    <w:charset w:val="00"/>
    <w:family w:val="roman"/>
    <w:pitch w:val="default"/>
    <w:sig w:usb0="E00006FF" w:usb1="420024FF" w:usb2="02000000" w:usb3="00000000" w:csb0="2000019F" w:csb1="00000000"/>
    <w:embedRegular r:id="rId6" w:fontKey="{3C3DDED9-E839-4D4C-B121-B08CF10ACF79}"/>
  </w:font>
  <w:font w:name="仿宋_GB2312">
    <w:panose1 w:val="02010609030101010101"/>
    <w:charset w:val="86"/>
    <w:family w:val="auto"/>
    <w:pitch w:val="default"/>
    <w:sig w:usb0="00000001" w:usb1="080E0000" w:usb2="00000000" w:usb3="00000000" w:csb0="00040000" w:csb1="00000000"/>
    <w:embedRegular r:id="rId7" w:fontKey="{420DB926-9203-4FCE-B926-C24F58D00497}"/>
  </w:font>
  <w:font w:name="新宋体′....">
    <w:altName w:val="宋体"/>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embedRegular r:id="rId8" w:fontKey="{79AF2C99-1B33-4797-8BC4-01A4313B2E58}"/>
  </w:font>
  <w:font w:name="方正小标宋简体">
    <w:panose1 w:val="02000000000000000000"/>
    <w:charset w:val="86"/>
    <w:family w:val="auto"/>
    <w:pitch w:val="default"/>
    <w:sig w:usb0="00000001" w:usb1="08000000" w:usb2="00000000" w:usb3="00000000" w:csb0="00040000" w:csb1="00000000"/>
    <w:embedRegular r:id="rId9" w:fontKey="{92BE5EC6-C6B5-4884-B66B-54808E1AFC09}"/>
  </w:font>
  <w:font w:name="华文新魏">
    <w:panose1 w:val="02010800040101010101"/>
    <w:charset w:val="86"/>
    <w:family w:val="auto"/>
    <w:pitch w:val="default"/>
    <w:sig w:usb0="00000001" w:usb1="080F0000" w:usb2="00000000" w:usb3="00000000" w:csb0="00040000" w:csb1="00000000"/>
    <w:embedRegular r:id="rId10" w:fontKey="{8AFC355B-67F6-436B-8064-5CC1F32DA883}"/>
  </w:font>
  <w:font w:name="Wingdings 2">
    <w:panose1 w:val="05020102010507070707"/>
    <w:charset w:val="02"/>
    <w:family w:val="roman"/>
    <w:pitch w:val="default"/>
    <w:sig w:usb0="00000000" w:usb1="00000000" w:usb2="00000000" w:usb3="00000000" w:csb0="80000000" w:csb1="00000000"/>
    <w:embedRegular r:id="rId11" w:fontKey="{E9859EF5-3129-43E6-8213-1048B7CE7E0E}"/>
  </w:font>
  <w:font w:name="微软雅黑">
    <w:panose1 w:val="020B0503020204020204"/>
    <w:charset w:val="86"/>
    <w:family w:val="swiss"/>
    <w:pitch w:val="default"/>
    <w:sig w:usb0="80000287" w:usb1="2ACF3C50" w:usb2="00000016" w:usb3="00000000" w:csb0="0004001F" w:csb1="00000000"/>
    <w:embedRegular r:id="rId12" w:fontKey="{A6FF8F15-8AAD-4CDC-A8F8-81C110D56B0A}"/>
  </w:font>
  <w:font w:name="Helvetica">
    <w:altName w:val="Arial"/>
    <w:panose1 w:val="020B0504020202030204"/>
    <w:charset w:val="00"/>
    <w:family w:val="swiss"/>
    <w:pitch w:val="default"/>
    <w:sig w:usb0="00000000" w:usb1="00000000" w:usb2="00000000" w:usb3="00000000" w:csb0="00000093" w:csb1="00000000"/>
    <w:embedRegular r:id="rId13" w:fontKey="{3662A413-7C1E-48B1-87E2-334D083112D9}"/>
  </w:font>
  <w:font w:name="Verdana">
    <w:panose1 w:val="020B0604030504040204"/>
    <w:charset w:val="00"/>
    <w:family w:val="swiss"/>
    <w:pitch w:val="default"/>
    <w:sig w:usb0="A00006FF" w:usb1="4000205B" w:usb2="00000010" w:usb3="00000000" w:csb0="2000019F" w:csb1="00000000"/>
    <w:embedRegular r:id="rId14" w:fontKey="{0F5FD5AD-F2B0-4388-B339-05CF903A5B12}"/>
  </w:font>
  <w:font w:name="方正小标宋_GBK">
    <w:panose1 w:val="02000000000000000000"/>
    <w:charset w:val="86"/>
    <w:family w:val="script"/>
    <w:pitch w:val="default"/>
    <w:sig w:usb0="A00002BF" w:usb1="38CF7CFA" w:usb2="00082016" w:usb3="00000000" w:csb0="00040001" w:csb1="00000000"/>
    <w:embedRegular r:id="rId15" w:fontKey="{AE226A7C-8001-471C-955E-AE3072FD1C98}"/>
  </w:font>
  <w:font w:name="Arial Unicode MS">
    <w:panose1 w:val="020B0604020202020204"/>
    <w:charset w:val="86"/>
    <w:family w:val="swiss"/>
    <w:pitch w:val="default"/>
    <w:sig w:usb0="FFFFFFFF" w:usb1="E9FFFFFF" w:usb2="0000003F" w:usb3="00000000" w:csb0="603F01FF" w:csb1="FFFF0000"/>
    <w:embedRegular r:id="rId16" w:fontKey="{919A2031-F60F-4C21-BD42-40413BE582D6}"/>
  </w:font>
  <w:font w:name="楷体">
    <w:panose1 w:val="02010609060101010101"/>
    <w:charset w:val="86"/>
    <w:family w:val="modern"/>
    <w:pitch w:val="default"/>
    <w:sig w:usb0="800002BF" w:usb1="38CF7CFA" w:usb2="00000016" w:usb3="00000000" w:csb0="00040001" w:csb1="00000000"/>
    <w:embedRegular r:id="rId17" w:fontKey="{61E45C18-A365-4C16-963C-186E33B0DC19}"/>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BF2E88">
    <w:pPr>
      <w:pStyle w:val="16"/>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5E6CA330">
                          <w:pPr>
                            <w:pStyle w:val="16"/>
                          </w:pPr>
                          <w:r>
                            <w:fldChar w:fldCharType="begin"/>
                          </w:r>
                          <w:r>
                            <w:instrText xml:space="preserve"> PAGE  \* MERGEFORMAT </w:instrText>
                          </w:r>
                          <w:r>
                            <w:fldChar w:fldCharType="separate"/>
                          </w:r>
                          <w:r>
                            <w:t>54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AbBWKtxgEAAJsDAAAOAAAAAAAAAAEAIAAAAB4BAABkcnMvZTJvRG9jLnht&#10;bFBLBQYAAAAABgAGAFkBAABWBQAAAAA=&#10;">
              <v:fill on="f" focussize="0,0"/>
              <v:stroke on="f"/>
              <v:imagedata o:title=""/>
              <o:lock v:ext="edit" aspectratio="f"/>
              <v:textbox inset="0mm,0mm,0mm,0mm" style="mso-fit-shape-to-text:t;">
                <w:txbxContent>
                  <w:p w14:paraId="5E6CA330">
                    <w:pPr>
                      <w:pStyle w:val="16"/>
                    </w:pPr>
                    <w:r>
                      <w:fldChar w:fldCharType="begin"/>
                    </w:r>
                    <w:r>
                      <w:instrText xml:space="preserve"> PAGE  \* MERGEFORMAT </w:instrText>
                    </w:r>
                    <w:r>
                      <w:fldChar w:fldCharType="separate"/>
                    </w:r>
                    <w:r>
                      <w:t>54</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D0F7C8">
    <w:pPr>
      <w:pStyle w:val="16"/>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C1CF996">
                          <w:pPr>
                            <w:pStyle w:val="16"/>
                            <w:jc w:val="center"/>
                          </w:pPr>
                          <w:r>
                            <w:fldChar w:fldCharType="begin"/>
                          </w:r>
                          <w:r>
                            <w:instrText xml:space="preserve"> PAGE  \* MERGEFORMAT </w:instrText>
                          </w:r>
                          <w:r>
                            <w:fldChar w:fldCharType="separate"/>
                          </w:r>
                          <w:r>
                            <w:t>94</w:t>
                          </w:r>
                          <w: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M6pebnPAAAABQEAAA8AAAAAAAAAAQAgAAAAIgAAAGRycy9kb3ducmV2LnhtbFBL&#10;AQIUABQAAAAIAIdO4kCUJ8kWxgEAAJsDAAAOAAAAAAAAAAEAIAAAAB4BAABkcnMvZTJvRG9jLnht&#10;bFBLBQYAAAAABgAGAFkBAABWBQAAAAA=&#10;">
              <v:fill on="f" focussize="0,0"/>
              <v:stroke on="f"/>
              <v:imagedata o:title=""/>
              <o:lock v:ext="edit" aspectratio="f"/>
              <v:textbox inset="0mm,0mm,0mm,0mm" style="mso-fit-shape-to-text:t;">
                <w:txbxContent>
                  <w:p w14:paraId="1C1CF996">
                    <w:pPr>
                      <w:pStyle w:val="16"/>
                      <w:jc w:val="center"/>
                    </w:pPr>
                    <w:r>
                      <w:fldChar w:fldCharType="begin"/>
                    </w:r>
                    <w:r>
                      <w:instrText xml:space="preserve"> PAGE  \* MERGEFORMAT </w:instrText>
                    </w:r>
                    <w:r>
                      <w:fldChar w:fldCharType="separate"/>
                    </w:r>
                    <w:r>
                      <w:t>94</w:t>
                    </w:r>
                    <w:r>
                      <w:fldChar w:fldCharType="end"/>
                    </w:r>
                  </w:p>
                </w:txbxContent>
              </v:textbox>
            </v:shape>
          </w:pict>
        </mc:Fallback>
      </mc:AlternateContent>
    </w:r>
  </w:p>
  <w:p w14:paraId="2D5687DF">
    <w:pPr>
      <w:pStyle w:val="1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997355">
    <w:pPr>
      <w:pStyle w:val="1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106EA836">
                          <w:pPr>
                            <w:pStyle w:val="16"/>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wps:txbx>
                    <wps:bodyPr wrap="none" lIns="0" tIns="0" rIns="0" bIns="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zql5uc8AAAAFAQAADwAAAAAAAAABACAAAAAiAAAAZHJzL2Rvd25yZXYueG1sUEsB&#10;AhQAFAAAAAgAh07iQHwXDx3FAQAAmwMAAA4AAAAAAAAAAQAgAAAAHgEAAGRycy9lMm9Eb2MueG1s&#10;UEsFBgAAAAAGAAYAWQEAAFUFAAAAAA==&#10;">
              <v:fill on="f" focussize="0,0"/>
              <v:stroke on="f"/>
              <v:imagedata o:title=""/>
              <o:lock v:ext="edit" aspectratio="f"/>
              <v:textbox inset="0mm,0mm,0mm,0mm" style="mso-fit-shape-to-text:t;">
                <w:txbxContent>
                  <w:p w14:paraId="106EA836">
                    <w:pPr>
                      <w:pStyle w:val="16"/>
                    </w:pPr>
                    <w:r>
                      <w:rPr>
                        <w:rFonts w:hint="eastAsia"/>
                      </w:rPr>
                      <w:fldChar w:fldCharType="begin"/>
                    </w:r>
                    <w:r>
                      <w:rPr>
                        <w:rFonts w:hint="eastAsia"/>
                      </w:rPr>
                      <w:instrText xml:space="preserve"> PAGE  \* MERGEFORMAT </w:instrText>
                    </w:r>
                    <w:r>
                      <w:rPr>
                        <w:rFonts w:hint="eastAsia"/>
                      </w:rPr>
                      <w:fldChar w:fldCharType="separate"/>
                    </w:r>
                    <w:r>
                      <w:t>63</w:t>
                    </w:r>
                    <w:r>
                      <w:rPr>
                        <w:rFonts w:hint="eastAsia"/>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611CFD">
    <w:pPr>
      <w:pStyle w:val="17"/>
    </w:pPr>
    <w:r>
      <w:rPr>
        <w:rFonts w:hint="eastAsia"/>
      </w:rPr>
      <w:t xml:space="preserve">      </w:t>
    </w:r>
    <w:r>
      <w:rPr>
        <w:rFonts w:hint="eastAsia"/>
        <w:lang w:eastAsia="zh-CN"/>
      </w:rPr>
      <w:t>扶绥县就业公共服务能力提升项目—线上人力资源数据运营服务</w:t>
    </w:r>
    <w:r>
      <w:rPr>
        <w:rFonts w:hint="eastAsia"/>
      </w:rPr>
      <w:t>（</w:t>
    </w:r>
    <w:r>
      <w:rPr>
        <w:rFonts w:hint="eastAsia"/>
        <w:color w:val="auto"/>
      </w:rPr>
      <w:t>项目编号：</w:t>
    </w:r>
    <w:r>
      <w:rPr>
        <w:rFonts w:hint="eastAsia"/>
        <w:color w:val="auto"/>
      </w:rPr>
      <w:fldChar w:fldCharType="begin"/>
    </w:r>
    <w:r>
      <w:rPr>
        <w:rFonts w:hint="eastAsia"/>
        <w:color w:val="auto"/>
      </w:rPr>
      <w:instrText xml:space="preserve"> HYPERLINK "https://www.gcy.zfcg.gxzf.gov.cn/gaea/api/project/flow/redirect?projectId=7212457702349078532&amp;newUrl=https://www.gcy.zfcg.gxzf.gov.cn/micro-app-back-index/blank?_flow_type_=agency&amp;_flow_projectId_=7212457702349078532&amp;_jump_page_type_=project_procurement_management_flow&amp;_app_=zcy.procurement&amp;oldUrl=https://www.gcy.zfcg.gxzf.gov.cn/project-center/_procurement_/project-result-detail/7212457702349078532" \t "https://www.gcy.zfcg.gxzf.gov.cn/project-center/_procurement_/self-project/_blank" </w:instrText>
    </w:r>
    <w:r>
      <w:rPr>
        <w:rFonts w:hint="eastAsia"/>
        <w:color w:val="auto"/>
      </w:rPr>
      <w:fldChar w:fldCharType="separate"/>
    </w:r>
    <w:r>
      <w:rPr>
        <w:rFonts w:hint="eastAsia"/>
        <w:color w:val="auto"/>
        <w:lang w:eastAsia="zh-CN"/>
      </w:rPr>
      <w:t>CZZC2025-C3-210076-GLZB</w:t>
    </w:r>
    <w:r>
      <w:rPr>
        <w:rFonts w:hint="eastAsia"/>
        <w:color w:val="auto"/>
      </w:rPr>
      <w:fldChar w:fldCharType="end"/>
    </w:r>
    <w:r>
      <w:rPr>
        <w:rFonts w:hint="eastAsia"/>
        <w:color w:val="auto"/>
      </w:rPr>
      <w: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57BEAD">
    <w:pPr>
      <w:pStyle w:val="17"/>
      <w:rPr>
        <w:rFonts w:hint="eastAsia"/>
      </w:rPr>
    </w:pPr>
    <w:r>
      <w:rPr>
        <w:rFonts w:hint="eastAsia"/>
      </w:rPr>
      <w:t xml:space="preserve"> 扶绥县就业公共服务能力提升项目—线上人力资源数据运营服务（项目编号：</w:t>
    </w:r>
    <w:r>
      <w:rPr>
        <w:rFonts w:hint="eastAsia"/>
        <w:lang w:eastAsia="zh-CN"/>
      </w:rPr>
      <w:t>CZZC2025-C3-210076-GLZB</w:t>
    </w:r>
    <w:r>
      <w:rPr>
        <w:rFonts w:hint="eastAsia"/>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B"/>
    <w:multiLevelType w:val="multilevel"/>
    <w:tmpl w:val="0000000B"/>
    <w:lvl w:ilvl="0" w:tentative="0">
      <w:start w:val="1"/>
      <w:numFmt w:val="decimal"/>
      <w:lvlText w:val="（%1）"/>
      <w:lvlJc w:val="left"/>
      <w:pPr>
        <w:tabs>
          <w:tab w:val="left" w:pos="1140"/>
        </w:tabs>
        <w:ind w:left="1140" w:hanging="720"/>
      </w:pPr>
      <w:rPr>
        <w:rFonts w:ascii="宋体" w:hAnsi="宋体" w:eastAsia="宋体" w:cs="Times New Roman"/>
      </w:rPr>
    </w:lvl>
    <w:lvl w:ilvl="1" w:tentative="0">
      <w:start w:val="1"/>
      <w:numFmt w:val="lowerLetter"/>
      <w:lvlText w:val="%2)"/>
      <w:lvlJc w:val="left"/>
      <w:pPr>
        <w:tabs>
          <w:tab w:val="left" w:pos="1260"/>
        </w:tabs>
        <w:ind w:left="1260" w:hanging="420"/>
      </w:pPr>
    </w:lvl>
    <w:lvl w:ilvl="2" w:tentative="0">
      <w:start w:val="1"/>
      <w:numFmt w:val="lowerRoman"/>
      <w:lvlText w:val="%3."/>
      <w:lvlJc w:val="right"/>
      <w:pPr>
        <w:tabs>
          <w:tab w:val="left" w:pos="1680"/>
        </w:tabs>
        <w:ind w:left="1680" w:hanging="420"/>
      </w:pPr>
    </w:lvl>
    <w:lvl w:ilvl="3" w:tentative="0">
      <w:start w:val="1"/>
      <w:numFmt w:val="decimal"/>
      <w:lvlText w:val="%4."/>
      <w:lvlJc w:val="left"/>
      <w:pPr>
        <w:tabs>
          <w:tab w:val="left" w:pos="2100"/>
        </w:tabs>
        <w:ind w:left="2100" w:hanging="420"/>
      </w:pPr>
    </w:lvl>
    <w:lvl w:ilvl="4" w:tentative="0">
      <w:start w:val="1"/>
      <w:numFmt w:val="lowerLetter"/>
      <w:lvlText w:val="%5)"/>
      <w:lvlJc w:val="left"/>
      <w:pPr>
        <w:tabs>
          <w:tab w:val="left" w:pos="2520"/>
        </w:tabs>
        <w:ind w:left="2520" w:hanging="420"/>
      </w:pPr>
    </w:lvl>
    <w:lvl w:ilvl="5" w:tentative="0">
      <w:start w:val="1"/>
      <w:numFmt w:val="lowerRoman"/>
      <w:lvlText w:val="%6."/>
      <w:lvlJc w:val="right"/>
      <w:pPr>
        <w:tabs>
          <w:tab w:val="left" w:pos="2940"/>
        </w:tabs>
        <w:ind w:left="2940" w:hanging="420"/>
      </w:pPr>
    </w:lvl>
    <w:lvl w:ilvl="6" w:tentative="0">
      <w:start w:val="1"/>
      <w:numFmt w:val="decimal"/>
      <w:lvlText w:val="%7."/>
      <w:lvlJc w:val="left"/>
      <w:pPr>
        <w:tabs>
          <w:tab w:val="left" w:pos="3360"/>
        </w:tabs>
        <w:ind w:left="3360" w:hanging="420"/>
      </w:pPr>
    </w:lvl>
    <w:lvl w:ilvl="7" w:tentative="0">
      <w:start w:val="1"/>
      <w:numFmt w:val="lowerLetter"/>
      <w:lvlText w:val="%8)"/>
      <w:lvlJc w:val="left"/>
      <w:pPr>
        <w:tabs>
          <w:tab w:val="left" w:pos="3780"/>
        </w:tabs>
        <w:ind w:left="3780" w:hanging="420"/>
      </w:pPr>
    </w:lvl>
    <w:lvl w:ilvl="8" w:tentative="0">
      <w:start w:val="1"/>
      <w:numFmt w:val="lowerRoman"/>
      <w:lvlText w:val="%9."/>
      <w:lvlJc w:val="right"/>
      <w:pPr>
        <w:tabs>
          <w:tab w:val="left" w:pos="4200"/>
        </w:tabs>
        <w:ind w:left="4200" w:hanging="420"/>
      </w:pPr>
    </w:lvl>
  </w:abstractNum>
  <w:abstractNum w:abstractNumId="1">
    <w:nsid w:val="0A3721E8"/>
    <w:multiLevelType w:val="singleLevel"/>
    <w:tmpl w:val="0A3721E8"/>
    <w:lvl w:ilvl="0" w:tentative="0">
      <w:start w:val="1"/>
      <w:numFmt w:val="chineseCounting"/>
      <w:suff w:val="space"/>
      <w:lvlText w:val="%1、"/>
      <w:lvlJc w:val="left"/>
      <w:rPr>
        <w:rFonts w:hint="eastAsia"/>
      </w:rPr>
    </w:lvl>
  </w:abstractNum>
  <w:abstractNum w:abstractNumId="2">
    <w:nsid w:val="1F07201D"/>
    <w:multiLevelType w:val="singleLevel"/>
    <w:tmpl w:val="1F07201D"/>
    <w:lvl w:ilvl="0" w:tentative="0">
      <w:start w:val="1"/>
      <w:numFmt w:val="decimal"/>
      <w:pStyle w:val="6"/>
      <w:lvlText w:val="%1."/>
      <w:lvlJc w:val="left"/>
      <w:pPr>
        <w:tabs>
          <w:tab w:val="left" w:pos="360"/>
        </w:tabs>
        <w:ind w:left="360" w:hanging="360"/>
      </w:pPr>
    </w:lvl>
  </w:abstractNum>
  <w:abstractNum w:abstractNumId="3">
    <w:nsid w:val="4019004E"/>
    <w:multiLevelType w:val="singleLevel"/>
    <w:tmpl w:val="4019004E"/>
    <w:lvl w:ilvl="0" w:tentative="0">
      <w:start w:val="1"/>
      <w:numFmt w:val="decimal"/>
      <w:suff w:val="space"/>
      <w:lvlText w:val="%1."/>
      <w:lvlJc w:val="left"/>
    </w:lvl>
  </w:abstractNum>
  <w:abstractNum w:abstractNumId="4">
    <w:nsid w:val="6CA6C13A"/>
    <w:multiLevelType w:val="singleLevel"/>
    <w:tmpl w:val="6CA6C13A"/>
    <w:lvl w:ilvl="0" w:tentative="0">
      <w:start w:val="2"/>
      <w:numFmt w:val="decimal"/>
      <w:suff w:val="nothing"/>
      <w:lvlText w:val="%1、"/>
      <w:lvlJc w:val="left"/>
    </w:lvl>
  </w:abstractNum>
  <w:num w:numId="1">
    <w:abstractNumId w:val="2"/>
  </w:num>
  <w:num w:numId="2">
    <w:abstractNumId w:val="1"/>
  </w:num>
  <w:num w:numId="3">
    <w:abstractNumId w:val="4"/>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U0OWE4NTA2YzBhYTlhOTQ2ODFkZTBiZmMyMmZjNTUifQ=="/>
  </w:docVars>
  <w:rsids>
    <w:rsidRoot w:val="393932E5"/>
    <w:rsid w:val="00163790"/>
    <w:rsid w:val="005B0875"/>
    <w:rsid w:val="005E4F86"/>
    <w:rsid w:val="006A1CEB"/>
    <w:rsid w:val="0072077A"/>
    <w:rsid w:val="00BE589F"/>
    <w:rsid w:val="00C52A8C"/>
    <w:rsid w:val="00C5765C"/>
    <w:rsid w:val="00CD3547"/>
    <w:rsid w:val="00CD6D82"/>
    <w:rsid w:val="00CF6CAD"/>
    <w:rsid w:val="00D50136"/>
    <w:rsid w:val="00F8575E"/>
    <w:rsid w:val="02272D62"/>
    <w:rsid w:val="03EA390D"/>
    <w:rsid w:val="06216D20"/>
    <w:rsid w:val="066C5598"/>
    <w:rsid w:val="0BDE2A9B"/>
    <w:rsid w:val="0C9E6017"/>
    <w:rsid w:val="0D9779A5"/>
    <w:rsid w:val="0DA10224"/>
    <w:rsid w:val="0ED70E85"/>
    <w:rsid w:val="1194485D"/>
    <w:rsid w:val="11C60C1D"/>
    <w:rsid w:val="12B819AA"/>
    <w:rsid w:val="15FC1FCB"/>
    <w:rsid w:val="16953091"/>
    <w:rsid w:val="169E318D"/>
    <w:rsid w:val="17207E30"/>
    <w:rsid w:val="183A356E"/>
    <w:rsid w:val="18422604"/>
    <w:rsid w:val="18640FFF"/>
    <w:rsid w:val="18EA53C9"/>
    <w:rsid w:val="1A0B1CDB"/>
    <w:rsid w:val="1A3945D2"/>
    <w:rsid w:val="1E0C3498"/>
    <w:rsid w:val="1E170E52"/>
    <w:rsid w:val="1EDE6861"/>
    <w:rsid w:val="1EFD121E"/>
    <w:rsid w:val="223905D4"/>
    <w:rsid w:val="23137077"/>
    <w:rsid w:val="2374510F"/>
    <w:rsid w:val="257E13BD"/>
    <w:rsid w:val="2A674CFE"/>
    <w:rsid w:val="2AA504FA"/>
    <w:rsid w:val="2B5D3B67"/>
    <w:rsid w:val="2B950609"/>
    <w:rsid w:val="2BA009D4"/>
    <w:rsid w:val="2C06126B"/>
    <w:rsid w:val="2C1C7E41"/>
    <w:rsid w:val="2C4213F5"/>
    <w:rsid w:val="2D9A4A31"/>
    <w:rsid w:val="2DB7195A"/>
    <w:rsid w:val="31217D02"/>
    <w:rsid w:val="327A0EC0"/>
    <w:rsid w:val="33696C94"/>
    <w:rsid w:val="33CD6DCE"/>
    <w:rsid w:val="370E607B"/>
    <w:rsid w:val="37ED5C91"/>
    <w:rsid w:val="38AC1A48"/>
    <w:rsid w:val="38B918EC"/>
    <w:rsid w:val="38DB01DF"/>
    <w:rsid w:val="393932E5"/>
    <w:rsid w:val="3AA36ADA"/>
    <w:rsid w:val="3AEA1A5A"/>
    <w:rsid w:val="3C8D426C"/>
    <w:rsid w:val="3E146205"/>
    <w:rsid w:val="3F514D11"/>
    <w:rsid w:val="3F5B01CB"/>
    <w:rsid w:val="3FA62B83"/>
    <w:rsid w:val="40665D70"/>
    <w:rsid w:val="439873F8"/>
    <w:rsid w:val="442B201A"/>
    <w:rsid w:val="451C2B8E"/>
    <w:rsid w:val="461F2B07"/>
    <w:rsid w:val="464C6EFC"/>
    <w:rsid w:val="47242D51"/>
    <w:rsid w:val="477C7503"/>
    <w:rsid w:val="47F35946"/>
    <w:rsid w:val="4844212A"/>
    <w:rsid w:val="4857149A"/>
    <w:rsid w:val="48E62580"/>
    <w:rsid w:val="4A620EE0"/>
    <w:rsid w:val="4B323DCB"/>
    <w:rsid w:val="4C1E7CDB"/>
    <w:rsid w:val="4DEC27B3"/>
    <w:rsid w:val="4E59194A"/>
    <w:rsid w:val="4EF971F9"/>
    <w:rsid w:val="4FA057CF"/>
    <w:rsid w:val="504D3319"/>
    <w:rsid w:val="510050B0"/>
    <w:rsid w:val="522923E9"/>
    <w:rsid w:val="523C2B75"/>
    <w:rsid w:val="535C42D4"/>
    <w:rsid w:val="540725A0"/>
    <w:rsid w:val="54757872"/>
    <w:rsid w:val="566651C1"/>
    <w:rsid w:val="56C569B5"/>
    <w:rsid w:val="56D54068"/>
    <w:rsid w:val="581633EA"/>
    <w:rsid w:val="58AD19A8"/>
    <w:rsid w:val="59B80C9B"/>
    <w:rsid w:val="5B1F3B03"/>
    <w:rsid w:val="5B4E146B"/>
    <w:rsid w:val="5B607CF8"/>
    <w:rsid w:val="5B7410BD"/>
    <w:rsid w:val="5B896C23"/>
    <w:rsid w:val="5BBE19FB"/>
    <w:rsid w:val="5E650182"/>
    <w:rsid w:val="60B40345"/>
    <w:rsid w:val="62A51693"/>
    <w:rsid w:val="640A5FFA"/>
    <w:rsid w:val="647A2800"/>
    <w:rsid w:val="650429E9"/>
    <w:rsid w:val="6507042F"/>
    <w:rsid w:val="65082815"/>
    <w:rsid w:val="65492763"/>
    <w:rsid w:val="668B34A3"/>
    <w:rsid w:val="66DA54BE"/>
    <w:rsid w:val="66E9316E"/>
    <w:rsid w:val="671D539B"/>
    <w:rsid w:val="679E555A"/>
    <w:rsid w:val="67CD63BE"/>
    <w:rsid w:val="68E7510D"/>
    <w:rsid w:val="69E714CB"/>
    <w:rsid w:val="6BF44794"/>
    <w:rsid w:val="6D5E54DF"/>
    <w:rsid w:val="6DD16EDF"/>
    <w:rsid w:val="6F2179F2"/>
    <w:rsid w:val="6F4C1996"/>
    <w:rsid w:val="705D0DCD"/>
    <w:rsid w:val="70712D87"/>
    <w:rsid w:val="70AB0725"/>
    <w:rsid w:val="713E488C"/>
    <w:rsid w:val="716B764B"/>
    <w:rsid w:val="72143A0C"/>
    <w:rsid w:val="74D360C3"/>
    <w:rsid w:val="75141FA2"/>
    <w:rsid w:val="7655330B"/>
    <w:rsid w:val="783C7125"/>
    <w:rsid w:val="792C3161"/>
    <w:rsid w:val="7B65510B"/>
    <w:rsid w:val="7B8D5DC4"/>
    <w:rsid w:val="7BFE7181"/>
    <w:rsid w:val="7CD03BAC"/>
    <w:rsid w:val="7D41594E"/>
    <w:rsid w:val="7E1150D6"/>
    <w:rsid w:val="7ECA4370"/>
    <w:rsid w:val="7F27799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unhideWhenUsed/>
    <w:qFormat/>
    <w:uiPriority w:val="0"/>
    <w:pPr>
      <w:keepNext/>
      <w:keepLines/>
      <w:spacing w:before="260" w:after="260" w:line="416" w:lineRule="auto"/>
      <w:outlineLvl w:val="2"/>
    </w:pPr>
    <w:rPr>
      <w:b/>
      <w:bCs/>
      <w:sz w:val="32"/>
      <w:szCs w:val="32"/>
    </w:rPr>
  </w:style>
  <w:style w:type="paragraph" w:styleId="5">
    <w:name w:val="heading 4"/>
    <w:basedOn w:val="1"/>
    <w:next w:val="1"/>
    <w:unhideWhenUsed/>
    <w:qFormat/>
    <w:uiPriority w:val="0"/>
    <w:pPr>
      <w:keepNext/>
      <w:keepLines/>
      <w:spacing w:line="372" w:lineRule="auto"/>
      <w:outlineLvl w:val="3"/>
    </w:pPr>
    <w:rPr>
      <w:rFonts w:ascii="Arial" w:hAnsi="Arial" w:eastAsia="黑体"/>
      <w:b/>
      <w:sz w:val="28"/>
    </w:rPr>
  </w:style>
  <w:style w:type="character" w:default="1" w:styleId="26">
    <w:name w:val="Default Paragraph Font"/>
    <w:semiHidden/>
    <w:unhideWhenUsed/>
    <w:qFormat/>
    <w:uiPriority w:val="1"/>
  </w:style>
  <w:style w:type="table" w:default="1" w:styleId="24">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List Number"/>
    <w:basedOn w:val="1"/>
    <w:qFormat/>
    <w:uiPriority w:val="0"/>
    <w:pPr>
      <w:numPr>
        <w:ilvl w:val="0"/>
        <w:numId w:val="1"/>
      </w:numPr>
    </w:pPr>
  </w:style>
  <w:style w:type="paragraph" w:styleId="7">
    <w:name w:val="Normal Indent"/>
    <w:basedOn w:val="1"/>
    <w:qFormat/>
    <w:uiPriority w:val="0"/>
    <w:pPr>
      <w:ind w:firstLine="420"/>
    </w:pPr>
    <w:rPr>
      <w:szCs w:val="20"/>
    </w:rPr>
  </w:style>
  <w:style w:type="paragraph" w:styleId="8">
    <w:name w:val="annotation text"/>
    <w:basedOn w:val="1"/>
    <w:link w:val="39"/>
    <w:qFormat/>
    <w:uiPriority w:val="0"/>
    <w:pPr>
      <w:jc w:val="left"/>
    </w:pPr>
  </w:style>
  <w:style w:type="paragraph" w:styleId="9">
    <w:name w:val="Body Text 3"/>
    <w:basedOn w:val="1"/>
    <w:qFormat/>
    <w:uiPriority w:val="0"/>
    <w:pPr>
      <w:spacing w:after="120"/>
    </w:pPr>
    <w:rPr>
      <w:sz w:val="16"/>
      <w:szCs w:val="16"/>
    </w:rPr>
  </w:style>
  <w:style w:type="paragraph" w:styleId="10">
    <w:name w:val="Body Text"/>
    <w:basedOn w:val="1"/>
    <w:next w:val="1"/>
    <w:qFormat/>
    <w:uiPriority w:val="0"/>
    <w:pPr>
      <w:spacing w:after="120"/>
    </w:pPr>
  </w:style>
  <w:style w:type="paragraph" w:styleId="11">
    <w:name w:val="Body Text Indent"/>
    <w:basedOn w:val="1"/>
    <w:next w:val="12"/>
    <w:qFormat/>
    <w:uiPriority w:val="0"/>
    <w:pPr>
      <w:ind w:firstLine="830" w:firstLineChars="352"/>
    </w:pPr>
    <w:rPr>
      <w:rFonts w:ascii="仿宋_GB2312" w:eastAsia="仿宋_GB2312"/>
      <w:kern w:val="0"/>
      <w:sz w:val="32"/>
      <w:szCs w:val="20"/>
    </w:rPr>
  </w:style>
  <w:style w:type="paragraph" w:styleId="12">
    <w:name w:val="envelope return"/>
    <w:qFormat/>
    <w:uiPriority w:val="0"/>
    <w:pPr>
      <w:adjustRightInd w:val="0"/>
      <w:snapToGrid w:val="0"/>
      <w:spacing w:after="200"/>
    </w:pPr>
    <w:rPr>
      <w:rFonts w:ascii="Arial" w:hAnsi="Arial" w:eastAsia="宋体" w:cs="Times New Roman"/>
      <w:sz w:val="22"/>
      <w:szCs w:val="22"/>
      <w:lang w:val="en-US" w:eastAsia="zh-CN" w:bidi="ar-SA"/>
    </w:rPr>
  </w:style>
  <w:style w:type="paragraph" w:styleId="13">
    <w:name w:val="List 2"/>
    <w:basedOn w:val="1"/>
    <w:qFormat/>
    <w:uiPriority w:val="0"/>
    <w:pPr>
      <w:ind w:left="100" w:leftChars="200" w:hanging="200" w:hangingChars="200"/>
      <w:contextualSpacing/>
    </w:pPr>
  </w:style>
  <w:style w:type="paragraph" w:styleId="14">
    <w:name w:val="toc 3"/>
    <w:basedOn w:val="1"/>
    <w:next w:val="1"/>
    <w:qFormat/>
    <w:uiPriority w:val="0"/>
    <w:pPr>
      <w:ind w:left="840" w:leftChars="400"/>
    </w:pPr>
  </w:style>
  <w:style w:type="paragraph" w:styleId="15">
    <w:name w:val="Plain Text"/>
    <w:basedOn w:val="1"/>
    <w:qFormat/>
    <w:uiPriority w:val="0"/>
    <w:rPr>
      <w:rFonts w:ascii="宋体" w:hAnsi="Courier New"/>
      <w:kern w:val="0"/>
      <w:sz w:val="20"/>
      <w:szCs w:val="21"/>
    </w:rPr>
  </w:style>
  <w:style w:type="paragraph" w:styleId="16">
    <w:name w:val="footer"/>
    <w:basedOn w:val="1"/>
    <w:qFormat/>
    <w:uiPriority w:val="0"/>
    <w:pPr>
      <w:tabs>
        <w:tab w:val="center" w:pos="4153"/>
        <w:tab w:val="right" w:pos="8306"/>
      </w:tabs>
      <w:snapToGrid w:val="0"/>
      <w:jc w:val="left"/>
    </w:pPr>
    <w:rPr>
      <w:kern w:val="0"/>
      <w:sz w:val="18"/>
      <w:szCs w:val="18"/>
    </w:rPr>
  </w:style>
  <w:style w:type="paragraph" w:styleId="17">
    <w:name w:val="header"/>
    <w:basedOn w:val="1"/>
    <w:qFormat/>
    <w:uiPriority w:val="0"/>
    <w:pPr>
      <w:pBdr>
        <w:bottom w:val="single" w:color="auto" w:sz="6" w:space="1"/>
      </w:pBdr>
      <w:tabs>
        <w:tab w:val="center" w:pos="4153"/>
        <w:tab w:val="right" w:pos="8306"/>
      </w:tabs>
      <w:snapToGrid w:val="0"/>
      <w:jc w:val="center"/>
    </w:pPr>
    <w:rPr>
      <w:kern w:val="0"/>
      <w:sz w:val="18"/>
      <w:szCs w:val="18"/>
    </w:rPr>
  </w:style>
  <w:style w:type="paragraph" w:styleId="18">
    <w:name w:val="toc 1"/>
    <w:basedOn w:val="1"/>
    <w:next w:val="1"/>
    <w:qFormat/>
    <w:uiPriority w:val="0"/>
  </w:style>
  <w:style w:type="paragraph" w:styleId="19">
    <w:name w:val="List"/>
    <w:basedOn w:val="1"/>
    <w:qFormat/>
    <w:uiPriority w:val="0"/>
    <w:pPr>
      <w:ind w:left="200" w:hanging="200" w:hangingChars="200"/>
      <w:contextualSpacing/>
    </w:pPr>
  </w:style>
  <w:style w:type="paragraph" w:styleId="20">
    <w:name w:val="toc 2"/>
    <w:basedOn w:val="1"/>
    <w:next w:val="1"/>
    <w:qFormat/>
    <w:uiPriority w:val="0"/>
    <w:pPr>
      <w:tabs>
        <w:tab w:val="right" w:leader="dot" w:pos="8296"/>
      </w:tabs>
      <w:ind w:left="420" w:leftChars="200"/>
    </w:pPr>
  </w:style>
  <w:style w:type="paragraph" w:styleId="21">
    <w:name w:val="Normal (Web)"/>
    <w:basedOn w:val="1"/>
    <w:qFormat/>
    <w:uiPriority w:val="0"/>
    <w:pPr>
      <w:spacing w:beforeAutospacing="1" w:afterAutospacing="1"/>
      <w:jc w:val="left"/>
    </w:pPr>
    <w:rPr>
      <w:kern w:val="0"/>
      <w:sz w:val="24"/>
    </w:rPr>
  </w:style>
  <w:style w:type="paragraph" w:styleId="22">
    <w:name w:val="annotation subject"/>
    <w:basedOn w:val="8"/>
    <w:next w:val="8"/>
    <w:link w:val="40"/>
    <w:qFormat/>
    <w:uiPriority w:val="0"/>
    <w:rPr>
      <w:b/>
      <w:bCs/>
    </w:rPr>
  </w:style>
  <w:style w:type="paragraph" w:styleId="23">
    <w:name w:val="Body Text First Indent 2"/>
    <w:qFormat/>
    <w:uiPriority w:val="0"/>
    <w:pPr>
      <w:keepNext w:val="0"/>
      <w:keepLines w:val="0"/>
      <w:widowControl w:val="0"/>
      <w:suppressLineNumbers w:val="0"/>
      <w:spacing w:before="0" w:beforeAutospacing="0" w:after="0" w:afterAutospacing="0"/>
      <w:ind w:left="0" w:right="0" w:firstLine="420" w:firstLineChars="352"/>
      <w:jc w:val="both"/>
    </w:pPr>
    <w:rPr>
      <w:rFonts w:hint="eastAsia" w:ascii="仿宋_GB2312" w:hAnsi="Times New Roman" w:eastAsia="仿宋_GB2312" w:cs="Times New Roman"/>
      <w:kern w:val="0"/>
      <w:sz w:val="32"/>
      <w:szCs w:val="32"/>
      <w:lang w:val="en-US" w:eastAsia="zh-CN" w:bidi="ar"/>
    </w:rPr>
  </w:style>
  <w:style w:type="table" w:styleId="25">
    <w:name w:val="Table Grid"/>
    <w:basedOn w:val="24"/>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7">
    <w:name w:val="Strong"/>
    <w:basedOn w:val="26"/>
    <w:qFormat/>
    <w:uiPriority w:val="0"/>
    <w:rPr>
      <w:b/>
    </w:rPr>
  </w:style>
  <w:style w:type="character" w:styleId="28">
    <w:name w:val="FollowedHyperlink"/>
    <w:qFormat/>
    <w:uiPriority w:val="0"/>
    <w:rPr>
      <w:color w:val="800080"/>
      <w:u w:val="single"/>
    </w:rPr>
  </w:style>
  <w:style w:type="character" w:styleId="29">
    <w:name w:val="Hyperlink"/>
    <w:qFormat/>
    <w:uiPriority w:val="0"/>
    <w:rPr>
      <w:color w:val="0000FF"/>
      <w:u w:val="single"/>
    </w:rPr>
  </w:style>
  <w:style w:type="character" w:styleId="30">
    <w:name w:val="annotation reference"/>
    <w:basedOn w:val="26"/>
    <w:qFormat/>
    <w:uiPriority w:val="0"/>
    <w:rPr>
      <w:sz w:val="21"/>
      <w:szCs w:val="21"/>
    </w:rPr>
  </w:style>
  <w:style w:type="paragraph" w:customStyle="1" w:styleId="31">
    <w:name w:val="正文 首行缩进:  2 字符"/>
    <w:qFormat/>
    <w:uiPriority w:val="99"/>
    <w:pPr>
      <w:widowControl w:val="0"/>
      <w:ind w:firstLine="200" w:firstLineChars="200"/>
      <w:jc w:val="both"/>
    </w:pPr>
    <w:rPr>
      <w:rFonts w:ascii="Calibri" w:hAnsi="Calibri" w:eastAsia="宋体" w:cs="Times New Roman"/>
      <w:kern w:val="2"/>
      <w:sz w:val="24"/>
      <w:szCs w:val="24"/>
      <w:lang w:val="en-US" w:eastAsia="zh-CN" w:bidi="ar-SA"/>
    </w:rPr>
  </w:style>
  <w:style w:type="paragraph" w:customStyle="1" w:styleId="32">
    <w:name w:val="Default"/>
    <w:qFormat/>
    <w:uiPriority w:val="99"/>
    <w:pPr>
      <w:widowControl w:val="0"/>
      <w:autoSpaceDE w:val="0"/>
      <w:autoSpaceDN w:val="0"/>
      <w:adjustRightInd w:val="0"/>
    </w:pPr>
    <w:rPr>
      <w:rFonts w:ascii="新宋体′...." w:hAnsi="Calibri" w:eastAsia="新宋体′...." w:cs="新宋体′...."/>
      <w:color w:val="000000"/>
      <w:sz w:val="24"/>
      <w:szCs w:val="24"/>
      <w:lang w:val="en-US" w:eastAsia="zh-CN" w:bidi="ar-SA"/>
    </w:rPr>
  </w:style>
  <w:style w:type="character" w:customStyle="1" w:styleId="33">
    <w:name w:val="15"/>
    <w:qFormat/>
    <w:uiPriority w:val="0"/>
    <w:rPr>
      <w:rFonts w:hint="default" w:ascii="Times New Roman" w:hAnsi="Times New Roman" w:cs="Times New Roman"/>
      <w:color w:val="0000FF"/>
      <w:u w:val="single"/>
    </w:rPr>
  </w:style>
  <w:style w:type="paragraph" w:customStyle="1" w:styleId="34">
    <w:name w:val="_Style 17"/>
    <w:basedOn w:val="1"/>
    <w:next w:val="35"/>
    <w:qFormat/>
    <w:uiPriority w:val="34"/>
    <w:pPr>
      <w:ind w:firstLine="420" w:firstLineChars="200"/>
    </w:pPr>
  </w:style>
  <w:style w:type="paragraph" w:styleId="35">
    <w:name w:val="List Paragraph"/>
    <w:basedOn w:val="1"/>
    <w:qFormat/>
    <w:uiPriority w:val="34"/>
    <w:pPr>
      <w:ind w:firstLine="420" w:firstLineChars="200"/>
    </w:pPr>
  </w:style>
  <w:style w:type="paragraph" w:customStyle="1" w:styleId="36">
    <w:name w:val="正文2"/>
    <w:basedOn w:val="1"/>
    <w:next w:val="1"/>
    <w:qFormat/>
    <w:uiPriority w:val="0"/>
    <w:pPr>
      <w:adjustRightInd w:val="0"/>
      <w:spacing w:before="156" w:line="360" w:lineRule="auto"/>
      <w:ind w:firstLine="510" w:firstLineChars="200"/>
    </w:pPr>
    <w:rPr>
      <w:kern w:val="0"/>
      <w:sz w:val="24"/>
      <w:szCs w:val="20"/>
    </w:rPr>
  </w:style>
  <w:style w:type="paragraph" w:customStyle="1" w:styleId="37">
    <w:name w:val="样式5"/>
    <w:basedOn w:val="1"/>
    <w:qFormat/>
    <w:uiPriority w:val="99"/>
    <w:pPr>
      <w:adjustRightInd w:val="0"/>
      <w:spacing w:line="440" w:lineRule="exact"/>
      <w:ind w:left="2" w:firstLine="480" w:firstLineChars="200"/>
    </w:pPr>
    <w:rPr>
      <w:rFonts w:ascii="仿宋_GB2312" w:hAnsi="仿宋" w:eastAsia="仿宋_GB2312"/>
      <w:sz w:val="24"/>
    </w:rPr>
  </w:style>
  <w:style w:type="paragraph" w:customStyle="1" w:styleId="38">
    <w:name w:val="正文缩进1"/>
    <w:basedOn w:val="1"/>
    <w:next w:val="11"/>
    <w:qFormat/>
    <w:uiPriority w:val="99"/>
    <w:pPr>
      <w:autoSpaceDE w:val="0"/>
      <w:autoSpaceDN w:val="0"/>
      <w:adjustRightInd w:val="0"/>
      <w:snapToGrid w:val="0"/>
      <w:spacing w:after="120" w:line="360" w:lineRule="auto"/>
      <w:ind w:left="420" w:leftChars="200" w:firstLine="480" w:firstLineChars="200"/>
    </w:pPr>
    <w:rPr>
      <w:sz w:val="24"/>
      <w:szCs w:val="21"/>
    </w:rPr>
  </w:style>
  <w:style w:type="character" w:customStyle="1" w:styleId="39">
    <w:name w:val="批注文字 字符"/>
    <w:basedOn w:val="26"/>
    <w:link w:val="8"/>
    <w:qFormat/>
    <w:uiPriority w:val="0"/>
    <w:rPr>
      <w:kern w:val="2"/>
      <w:sz w:val="21"/>
      <w:szCs w:val="24"/>
    </w:rPr>
  </w:style>
  <w:style w:type="character" w:customStyle="1" w:styleId="40">
    <w:name w:val="批注主题 字符"/>
    <w:basedOn w:val="39"/>
    <w:link w:val="22"/>
    <w:qFormat/>
    <w:uiPriority w:val="0"/>
    <w:rPr>
      <w:b/>
      <w:bCs/>
      <w:kern w:val="2"/>
      <w:sz w:val="21"/>
      <w:szCs w:val="24"/>
    </w:rPr>
  </w:style>
  <w:style w:type="paragraph" w:customStyle="1" w:styleId="41">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7" Type="http://schemas.openxmlformats.org/officeDocument/2006/relationships/font" Target="fonts/font17.odttf"/><Relationship Id="rId16" Type="http://schemas.openxmlformats.org/officeDocument/2006/relationships/font" Target="fonts/font16.odttf"/><Relationship Id="rId15" Type="http://schemas.openxmlformats.org/officeDocument/2006/relationships/font" Target="fonts/font15.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86</Pages>
  <Words>21218</Words>
  <Characters>22661</Characters>
  <Lines>1</Lines>
  <Paragraphs>1</Paragraphs>
  <TotalTime>3</TotalTime>
  <ScaleCrop>false</ScaleCrop>
  <LinksUpToDate>false</LinksUpToDate>
  <CharactersWithSpaces>22861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2024-08-16T07:43:00Z</dcterms:created>
  <dc:creator>办公小助手</dc:creator>
  <cp:lastModifiedBy>Administrator</cp:lastModifiedBy>
  <cp:lastPrinted>2025-05-13T02:53:00Z</cp:lastPrinted>
  <dcterms:modified xsi:type="dcterms:W3CDTF">2025-10-13T09:06:45Z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5145BF83301A4C82AD4DB2B42ACF504F_13</vt:lpwstr>
  </property>
  <property fmtid="{D5CDD505-2E9C-101B-9397-08002B2CF9AE}" pid="4" name="KSOTemplateDocerSaveRecord">
    <vt:lpwstr>eyJoZGlkIjoiNjY2NDIyY2NiN2UzNGEyNTU5NWM3OTZmYWFhYWQ2NTMiLCJ1c2VySWQiOiIxNjUxMjY0MDU4In0=</vt:lpwstr>
  </property>
</Properties>
</file>