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2531B">
      <w:pPr>
        <w:jc w:val="center"/>
        <w:outlineLvl w:val="9"/>
        <w:rPr>
          <w:rFonts w:hint="eastAsia" w:ascii="黑体" w:hAnsi="宋体" w:eastAsia="黑体" w:cs="宋体"/>
          <w:b/>
          <w:bCs/>
          <w:color w:val="auto"/>
          <w:kern w:val="0"/>
          <w:sz w:val="72"/>
          <w:szCs w:val="72"/>
          <w:highlight w:val="none"/>
          <w:lang w:eastAsia="zh-CN"/>
        </w:rPr>
      </w:pPr>
    </w:p>
    <w:p w14:paraId="158C287D">
      <w:pPr>
        <w:spacing w:line="720" w:lineRule="exact"/>
        <w:ind w:right="-147" w:rightChars="-70"/>
        <w:jc w:val="center"/>
        <w:rPr>
          <w:rFonts w:hint="eastAsia" w:ascii="宋体" w:hAnsi="宋体" w:eastAsia="宋体" w:cs="宋体"/>
          <w:b/>
          <w:color w:val="auto"/>
          <w:spacing w:val="90"/>
          <w:sz w:val="44"/>
          <w:szCs w:val="44"/>
          <w:highlight w:val="none"/>
          <w:lang w:eastAsia="zh-CN"/>
        </w:rPr>
      </w:pPr>
      <w:r>
        <w:rPr>
          <w:rFonts w:hint="eastAsia" w:ascii="宋体" w:hAnsi="宋体" w:cs="宋体"/>
          <w:b/>
          <w:color w:val="auto"/>
          <w:spacing w:val="90"/>
          <w:sz w:val="44"/>
          <w:szCs w:val="44"/>
          <w:highlight w:val="none"/>
          <w:lang w:eastAsia="zh-CN"/>
        </w:rPr>
        <w:t>广西德胜工程项目管理有限公司</w:t>
      </w:r>
    </w:p>
    <w:p w14:paraId="6F339763">
      <w:pPr>
        <w:ind w:right="-512" w:rightChars="-244"/>
        <w:rPr>
          <w:rFonts w:hint="eastAsia"/>
          <w:color w:val="auto"/>
          <w:sz w:val="32"/>
          <w:u w:val="single"/>
        </w:rPr>
      </w:pPr>
      <w:r>
        <w:rPr>
          <w:rFonts w:hint="eastAsia" w:ascii="宋体" w:hAnsi="宋体" w:cs="宋体"/>
          <w:b/>
          <w:color w:val="auto"/>
          <w:highlight w:val="none"/>
        </w:rPr>
        <w:t xml:space="preserve">     </w:t>
      </w:r>
      <w:r>
        <w:rPr>
          <w:rFonts w:hint="eastAsia" w:ascii="宋体" w:hAnsi="宋体" w:cs="宋体"/>
          <w:b/>
          <w:color w:val="auto"/>
          <w:sz w:val="24"/>
          <w:highlight w:val="none"/>
        </w:rPr>
        <w:t xml:space="preserve"> GUANGXI   DESHENG   GONGCHENG   XIANGMU   GUANLI   YOUXIAN   </w:t>
      </w:r>
      <w:r>
        <w:rPr>
          <w:rFonts w:hint="eastAsia" w:ascii="宋体" w:hAnsi="宋体" w:cs="宋体"/>
          <w:b/>
          <w:color w:val="auto"/>
          <w:sz w:val="24"/>
        </w:rPr>
        <w:t>GON</w:t>
      </w:r>
      <w:r>
        <w:rPr>
          <w:rFonts w:hint="eastAsia" w:ascii="宋体" w:hAnsi="宋体" w:cs="宋体"/>
          <w:b/>
          <w:color w:val="auto"/>
          <w:sz w:val="24"/>
          <w:lang w:val="en-US" w:eastAsia="zh-CN"/>
        </w:rPr>
        <w:t xml:space="preserve">GSI </w:t>
      </w:r>
    </w:p>
    <w:p w14:paraId="5892D4D5">
      <w:pPr>
        <w:rPr>
          <w:rFonts w:hint="eastAsia"/>
          <w:color w:val="auto"/>
          <w:sz w:val="84"/>
        </w:rPr>
      </w:pPr>
      <w:r>
        <w:rPr>
          <w:rFonts w:hint="eastAsia" w:ascii="宋体" w:hAnsi="宋体" w:cs="宋体"/>
          <w:color w:val="auto"/>
          <w:sz w:val="52"/>
          <w:highlight w:val="none"/>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97790</wp:posOffset>
                </wp:positionV>
                <wp:extent cx="56007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5pt;margin-top:7.7pt;height:0pt;width:441pt;z-index:251659264;mso-width-relative:page;mso-height-relative:page;" filled="f" stroked="t" coordsize="21600,21600" o:gfxdata="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dnsArYAAAACAEAAA8AAAAAAAAAAQAgAAAAIgAAAGRycy9kb3ducmV2Lnht&#10;bFBLAQIUABQAAAAIAIdO4kD/W5bj+QEAAOsDAAAOAAAAAAAAAAEAIAAAACcBAABkcnMvZTJvRG9j&#10;LnhtbFBLBQYAAAAABgAGAFkBAACSBQAAAAA=&#10;">
                <v:fill on="f" focussize="0,0"/>
                <v:stroke weight="4.5pt" color="#000000" linestyle="thinThick" joinstyle="round"/>
                <v:imagedata o:title=""/>
                <o:lock v:ext="edit" aspectratio="f"/>
              </v:line>
            </w:pict>
          </mc:Fallback>
        </mc:AlternateContent>
      </w:r>
    </w:p>
    <w:p w14:paraId="35D4FA94">
      <w:pPr>
        <w:pStyle w:val="10"/>
        <w:rPr>
          <w:rFonts w:hint="eastAsia"/>
          <w:color w:val="auto"/>
        </w:rPr>
      </w:pPr>
    </w:p>
    <w:p w14:paraId="11C4DF12">
      <w:pPr>
        <w:jc w:val="center"/>
        <w:rPr>
          <w:rFonts w:hint="eastAsia"/>
          <w:bCs/>
          <w:color w:val="auto"/>
          <w:sz w:val="84"/>
          <w:szCs w:val="56"/>
        </w:rPr>
      </w:pPr>
      <w:r>
        <w:rPr>
          <w:rFonts w:hint="eastAsia"/>
          <w:bCs/>
          <w:color w:val="auto"/>
          <w:sz w:val="96"/>
          <w:szCs w:val="144"/>
        </w:rPr>
        <w:t>竞争性磋商文件</w:t>
      </w:r>
    </w:p>
    <w:p w14:paraId="16A4FA15">
      <w:pPr>
        <w:spacing w:beforeLines="100" w:afterLines="50" w:line="600" w:lineRule="exact"/>
        <w:jc w:val="center"/>
        <w:outlineLvl w:val="9"/>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全流程电子化评标</w:t>
      </w:r>
      <w:r>
        <w:rPr>
          <w:rFonts w:hint="eastAsia" w:ascii="宋体" w:hAnsi="宋体" w:eastAsia="宋体" w:cs="宋体"/>
          <w:b w:val="0"/>
          <w:bCs/>
          <w:color w:val="auto"/>
          <w:sz w:val="28"/>
          <w:szCs w:val="28"/>
          <w:highlight w:val="none"/>
          <w:lang w:eastAsia="zh-CN"/>
        </w:rPr>
        <w:t>）</w:t>
      </w:r>
    </w:p>
    <w:p w14:paraId="1A96E022">
      <w:pPr>
        <w:spacing w:before="240" w:beforeLines="100" w:after="120" w:afterLines="50"/>
        <w:jc w:val="center"/>
        <w:outlineLvl w:val="9"/>
        <w:rPr>
          <w:rFonts w:hint="eastAsia" w:ascii="宋体" w:hAnsi="宋体" w:eastAsia="宋体" w:cs="宋体"/>
          <w:b/>
          <w:color w:val="auto"/>
          <w:sz w:val="72"/>
          <w:szCs w:val="72"/>
          <w:highlight w:val="none"/>
        </w:rPr>
      </w:pPr>
    </w:p>
    <w:p w14:paraId="67CBB759">
      <w:pPr>
        <w:outlineLvl w:val="9"/>
        <w:rPr>
          <w:rFonts w:hint="eastAsia" w:ascii="宋体" w:hAnsi="宋体" w:eastAsia="宋体" w:cs="宋体"/>
          <w:b/>
          <w:color w:val="auto"/>
          <w:sz w:val="32"/>
          <w:szCs w:val="32"/>
          <w:highlight w:val="none"/>
        </w:rPr>
      </w:pPr>
    </w:p>
    <w:p w14:paraId="6707EA74">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项目编号:FCZC2025-C2-020035-DSGS</w:t>
      </w:r>
    </w:p>
    <w:p w14:paraId="6959164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color w:val="auto"/>
          <w:sz w:val="32"/>
          <w:szCs w:val="32"/>
          <w:highlight w:val="none"/>
        </w:rPr>
      </w:pPr>
    </w:p>
    <w:p w14:paraId="5C169817">
      <w:pPr>
        <w:keepNext w:val="0"/>
        <w:keepLines w:val="0"/>
        <w:pageBreakBefore w:val="0"/>
        <w:widowControl w:val="0"/>
        <w:kinsoku/>
        <w:wordWrap/>
        <w:overflowPunct/>
        <w:topLinePunct w:val="0"/>
        <w:autoSpaceDE/>
        <w:autoSpaceDN/>
        <w:bidi w:val="0"/>
        <w:adjustRightInd/>
        <w:snapToGrid/>
        <w:spacing w:line="500" w:lineRule="exact"/>
        <w:ind w:left="1606" w:hanging="1606" w:hangingChars="500"/>
        <w:jc w:val="left"/>
        <w:textAlignment w:val="auto"/>
        <w:outlineLvl w:val="9"/>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项目名称:港口区王府街道中心幼儿园维修项目</w:t>
      </w:r>
      <w:r>
        <w:rPr>
          <w:rFonts w:hint="eastAsia" w:ascii="宋体" w:hAnsi="宋体" w:eastAsia="宋体" w:cs="宋体"/>
          <w:b/>
          <w:bCs w:val="0"/>
          <w:color w:val="auto"/>
          <w:sz w:val="32"/>
          <w:szCs w:val="32"/>
          <w:highlight w:val="none"/>
          <w:lang w:eastAsia="zh-CN"/>
        </w:rPr>
        <w:t xml:space="preserve"> </w:t>
      </w:r>
    </w:p>
    <w:p w14:paraId="54C2DAC1">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outlineLvl w:val="9"/>
        <w:rPr>
          <w:rFonts w:hint="eastAsia" w:ascii="宋体" w:hAnsi="宋体" w:eastAsia="宋体" w:cs="宋体"/>
          <w:b/>
          <w:bCs w:val="0"/>
          <w:color w:val="auto"/>
          <w:sz w:val="32"/>
          <w:szCs w:val="32"/>
          <w:highlight w:val="none"/>
        </w:rPr>
      </w:pPr>
    </w:p>
    <w:p w14:paraId="74DE588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采购单位:</w:t>
      </w:r>
      <w:r>
        <w:rPr>
          <w:rFonts w:hint="eastAsia" w:ascii="宋体" w:hAnsi="宋体" w:eastAsia="宋体" w:cs="宋体"/>
          <w:b/>
          <w:bCs w:val="0"/>
          <w:color w:val="auto"/>
          <w:sz w:val="32"/>
          <w:szCs w:val="32"/>
          <w:highlight w:val="none"/>
          <w:lang w:val="en-US" w:eastAsia="zh-CN"/>
        </w:rPr>
        <w:t>防城港市港口区教育局</w:t>
      </w:r>
    </w:p>
    <w:p w14:paraId="2EED465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color w:val="auto"/>
          <w:sz w:val="32"/>
          <w:szCs w:val="32"/>
          <w:highlight w:val="none"/>
        </w:rPr>
      </w:pPr>
    </w:p>
    <w:p w14:paraId="3AAC5AC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采购代理机构:</w:t>
      </w:r>
      <w:r>
        <w:rPr>
          <w:rFonts w:hint="eastAsia" w:ascii="宋体" w:hAnsi="宋体" w:eastAsia="宋体" w:cs="宋体"/>
          <w:b/>
          <w:bCs w:val="0"/>
          <w:color w:val="auto"/>
          <w:sz w:val="32"/>
          <w:szCs w:val="32"/>
          <w:highlight w:val="none"/>
          <w:lang w:eastAsia="zh-CN"/>
        </w:rPr>
        <w:t>广西德胜工程项目管理有限公司</w:t>
      </w:r>
    </w:p>
    <w:p w14:paraId="0AD76ED2">
      <w:pPr>
        <w:ind w:firstLine="1285" w:firstLineChars="400"/>
        <w:outlineLvl w:val="9"/>
        <w:rPr>
          <w:rFonts w:hint="eastAsia" w:ascii="宋体" w:hAnsi="宋体" w:eastAsia="宋体" w:cs="宋体"/>
          <w:b/>
          <w:bCs w:val="0"/>
          <w:color w:val="auto"/>
          <w:sz w:val="32"/>
          <w:szCs w:val="32"/>
          <w:highlight w:val="none"/>
        </w:rPr>
      </w:pPr>
    </w:p>
    <w:p w14:paraId="68187FD2">
      <w:pPr>
        <w:spacing w:line="407" w:lineRule="exact"/>
        <w:jc w:val="center"/>
        <w:outlineLvl w:val="9"/>
        <w:rPr>
          <w:rFonts w:hint="eastAsia" w:ascii="宋体" w:hAnsi="宋体" w:eastAsia="宋体" w:cs="宋体"/>
          <w:b/>
          <w:bCs w:val="0"/>
          <w:color w:val="auto"/>
          <w:sz w:val="36"/>
          <w:szCs w:val="36"/>
          <w:highlight w:val="none"/>
        </w:rPr>
      </w:pPr>
    </w:p>
    <w:p w14:paraId="3D364699">
      <w:pPr>
        <w:spacing w:line="407" w:lineRule="exact"/>
        <w:jc w:val="center"/>
        <w:outlineLvl w:val="9"/>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2025</w:t>
      </w:r>
      <w:r>
        <w:rPr>
          <w:rFonts w:hint="eastAsia" w:ascii="宋体" w:hAnsi="宋体" w:eastAsia="宋体" w:cs="宋体"/>
          <w:b/>
          <w:bCs w:val="0"/>
          <w:color w:val="auto"/>
          <w:sz w:val="36"/>
          <w:szCs w:val="36"/>
          <w:highlight w:val="none"/>
        </w:rPr>
        <w:t>年</w:t>
      </w:r>
      <w:r>
        <w:rPr>
          <w:rFonts w:hint="eastAsia" w:ascii="宋体" w:hAnsi="宋体" w:eastAsia="宋体" w:cs="宋体"/>
          <w:b/>
          <w:bCs w:val="0"/>
          <w:color w:val="auto"/>
          <w:sz w:val="36"/>
          <w:szCs w:val="36"/>
          <w:highlight w:val="none"/>
          <w:lang w:val="en-US" w:eastAsia="zh-CN"/>
        </w:rPr>
        <w:t>7月</w:t>
      </w:r>
    </w:p>
    <w:p w14:paraId="1999D008">
      <w:pPr>
        <w:pStyle w:val="13"/>
        <w:tabs>
          <w:tab w:val="left" w:pos="477"/>
          <w:tab w:val="center" w:pos="4470"/>
        </w:tabs>
        <w:spacing w:line="560" w:lineRule="exact"/>
        <w:jc w:val="center"/>
        <w:outlineLvl w:val="9"/>
        <w:rPr>
          <w:rFonts w:hint="eastAsia" w:ascii="宋体" w:hAnsi="宋体" w:eastAsia="宋体" w:cs="宋体"/>
          <w:b/>
          <w:bCs/>
          <w:color w:val="auto"/>
          <w:sz w:val="52"/>
          <w:szCs w:val="52"/>
          <w:highlight w:val="none"/>
        </w:rPr>
      </w:pPr>
    </w:p>
    <w:p w14:paraId="0DACEDC1">
      <w:pPr>
        <w:pStyle w:val="18"/>
        <w:shd w:val="clear" w:color="auto" w:fill="FFFFFF"/>
        <w:tabs>
          <w:tab w:val="right" w:leader="dot" w:pos="9298"/>
        </w:tabs>
        <w:jc w:val="center"/>
        <w:rPr>
          <w:rFonts w:hint="eastAsia" w:ascii="宋体" w:hAnsi="宋体" w:eastAsia="宋体" w:cs="宋体"/>
          <w:b/>
          <w:bCs/>
          <w:color w:val="auto"/>
          <w:sz w:val="44"/>
          <w:szCs w:val="44"/>
          <w:highlight w:val="none"/>
        </w:rPr>
        <w:sectPr>
          <w:pgSz w:w="11907" w:h="16840"/>
          <w:pgMar w:top="1440" w:right="1440" w:bottom="1440" w:left="1797" w:header="851" w:footer="851" w:gutter="0"/>
          <w:pgNumType w:fmt="decimal" w:start="1"/>
          <w:cols w:space="720" w:num="1"/>
          <w:docGrid w:linePitch="312" w:charSpace="0"/>
        </w:sectPr>
      </w:pPr>
    </w:p>
    <w:p w14:paraId="2B163017">
      <w:pPr>
        <w:pStyle w:val="18"/>
        <w:shd w:val="clear" w:color="auto" w:fill="FFFFFF"/>
        <w:tabs>
          <w:tab w:val="right" w:leader="dot" w:pos="9298"/>
        </w:tabs>
        <w:ind w:firstLine="883" w:firstLineChars="2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14:paraId="5C996376">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p>
    <w:p w14:paraId="381B5A04">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_Toc26559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第一章 竞争性</w:t>
      </w:r>
      <w:r>
        <w:rPr>
          <w:rFonts w:hint="eastAsia" w:ascii="宋体" w:hAnsi="宋体" w:eastAsia="宋体" w:cs="宋体"/>
          <w:bCs/>
          <w:color w:val="auto"/>
          <w:sz w:val="32"/>
          <w:szCs w:val="32"/>
          <w:highlight w:val="none"/>
          <w:lang w:eastAsia="zh-CN"/>
        </w:rPr>
        <w:t>磋商</w:t>
      </w:r>
      <w:r>
        <w:rPr>
          <w:rFonts w:hint="eastAsia" w:ascii="宋体" w:hAnsi="宋体" w:eastAsia="宋体" w:cs="宋体"/>
          <w:bCs/>
          <w:color w:val="auto"/>
          <w:sz w:val="32"/>
          <w:szCs w:val="32"/>
          <w:highlight w:val="none"/>
        </w:rPr>
        <w:t>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_Toc26559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4AEB74F">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_Toc22437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第二章</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_Toc22437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CBF2652">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_Toc12510 </w:instrText>
      </w:r>
      <w:r>
        <w:rPr>
          <w:rFonts w:hint="eastAsia" w:ascii="宋体" w:hAnsi="宋体" w:eastAsia="宋体" w:cs="宋体"/>
          <w:color w:val="auto"/>
          <w:sz w:val="32"/>
          <w:szCs w:val="32"/>
          <w:highlight w:val="none"/>
        </w:rPr>
        <w:fldChar w:fldCharType="separate"/>
      </w:r>
      <w:bookmarkStart w:id="0" w:name="OLE_LINK7"/>
      <w:r>
        <w:rPr>
          <w:rFonts w:hint="eastAsia" w:ascii="宋体" w:hAnsi="宋体" w:eastAsia="宋体" w:cs="宋体"/>
          <w:bCs/>
          <w:color w:val="auto"/>
          <w:sz w:val="32"/>
          <w:szCs w:val="32"/>
          <w:highlight w:val="none"/>
        </w:rPr>
        <w:t>第三章 项目需求和说明</w:t>
      </w:r>
      <w:bookmarkEnd w:id="0"/>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_Toc12510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28F2B46">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_Toc16101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_Toc16101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21F01B">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_Toc13291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第五章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_Toc13291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562856E">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工程量清单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C24214">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_Toc2377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图纸</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另附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_Toc2377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B637104">
      <w:pPr>
        <w:pStyle w:val="18"/>
        <w:tabs>
          <w:tab w:val="right" w:leader="dot" w:pos="8670"/>
        </w:tabs>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_Toc29181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章 评定标准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_Toc29181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109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3C40248">
      <w:pPr>
        <w:pStyle w:val="18"/>
        <w:tabs>
          <w:tab w:val="right" w:leader="dot" w:pos="8670"/>
        </w:tabs>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_Toc25850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九</w:t>
      </w:r>
      <w:r>
        <w:rPr>
          <w:rFonts w:hint="eastAsia" w:ascii="宋体" w:hAnsi="宋体" w:eastAsia="宋体" w:cs="宋体"/>
          <w:color w:val="auto"/>
          <w:sz w:val="32"/>
          <w:szCs w:val="32"/>
          <w:highlight w:val="none"/>
        </w:rPr>
        <w:t>章 质疑、投诉材料格式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_Toc25850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119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3994DC3">
      <w:pPr>
        <w:shd w:val="clear" w:color="auto" w:fill="FFFFFF"/>
        <w:tabs>
          <w:tab w:val="left" w:pos="5221"/>
        </w:tabs>
        <w:spacing w:line="360" w:lineRule="auto"/>
        <w:ind w:firstLine="64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28"/>
          <w:szCs w:val="28"/>
          <w:highlight w:val="none"/>
        </w:rPr>
        <w:tab/>
      </w:r>
    </w:p>
    <w:p w14:paraId="632BD7E1">
      <w:pPr>
        <w:shd w:val="clear" w:color="auto" w:fill="FFFFFF"/>
        <w:spacing w:line="600" w:lineRule="exact"/>
        <w:jc w:val="center"/>
        <w:outlineLvl w:val="0"/>
        <w:rPr>
          <w:rFonts w:hint="eastAsia" w:ascii="宋体" w:hAnsi="宋体" w:eastAsia="宋体" w:cs="宋体"/>
          <w:b/>
          <w:bCs/>
          <w:color w:val="auto"/>
          <w:sz w:val="36"/>
          <w:szCs w:val="36"/>
          <w:highlight w:val="none"/>
        </w:rPr>
        <w:sectPr>
          <w:footerReference r:id="rId3" w:type="default"/>
          <w:pgSz w:w="11907" w:h="16840"/>
          <w:pgMar w:top="1440" w:right="1440" w:bottom="1440" w:left="1797" w:header="851" w:footer="851" w:gutter="0"/>
          <w:pgNumType w:fmt="decimal" w:start="1"/>
          <w:cols w:space="720" w:num="1"/>
          <w:docGrid w:linePitch="312" w:charSpace="0"/>
        </w:sectPr>
      </w:pPr>
      <w:bookmarkStart w:id="1" w:name="_Toc13257"/>
    </w:p>
    <w:bookmarkEnd w:id="1"/>
    <w:p w14:paraId="549965E2">
      <w:pPr>
        <w:numPr>
          <w:ilvl w:val="0"/>
          <w:numId w:val="2"/>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2" w:name="_Toc26559"/>
      <w:r>
        <w:rPr>
          <w:rFonts w:hint="eastAsia" w:ascii="宋体" w:hAnsi="宋体" w:eastAsia="宋体" w:cs="宋体"/>
          <w:b/>
          <w:bCs/>
          <w:color w:val="auto"/>
          <w:sz w:val="36"/>
          <w:szCs w:val="36"/>
          <w:highlight w:val="none"/>
        </w:rPr>
        <w:t>竞争性</w:t>
      </w:r>
      <w:r>
        <w:rPr>
          <w:rFonts w:hint="eastAsia" w:ascii="宋体" w:hAnsi="宋体" w:eastAsia="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45BF1CA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3" w:name="_Toc424307741"/>
      <w:r>
        <w:rPr>
          <w:rFonts w:hint="eastAsia" w:ascii="宋体" w:hAnsi="宋体" w:eastAsia="宋体" w:cs="宋体"/>
          <w:color w:val="auto"/>
          <w:sz w:val="21"/>
          <w:szCs w:val="21"/>
          <w:highlight w:val="none"/>
        </w:rPr>
        <w:t>项目概况：</w:t>
      </w:r>
    </w:p>
    <w:p w14:paraId="69B1EA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港口区王府街道中心幼儿园维修项目</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的潜在供应商应在</w:t>
      </w:r>
      <w:r>
        <w:rPr>
          <w:rFonts w:hint="eastAsia" w:ascii="宋体" w:hAnsi="宋体"/>
          <w:color w:val="auto"/>
          <w:szCs w:val="21"/>
          <w:highlight w:val="none"/>
          <w:u w:val="single"/>
          <w:lang w:eastAsia="zh-CN"/>
        </w:rPr>
        <w:t>广西政府采购云平台</w:t>
      </w:r>
      <w:r>
        <w:rPr>
          <w:rFonts w:hint="eastAsia" w:ascii="宋体" w:hAnsi="宋体" w:eastAsia="宋体" w:cs="宋体"/>
          <w:color w:val="auto"/>
          <w:sz w:val="21"/>
          <w:szCs w:val="21"/>
          <w:highlight w:val="none"/>
        </w:rPr>
        <w:t>获</w:t>
      </w:r>
      <w:r>
        <w:rPr>
          <w:rFonts w:hint="eastAsia" w:ascii="宋体" w:hAnsi="宋体" w:cs="宋体"/>
          <w:color w:val="auto"/>
          <w:sz w:val="21"/>
          <w:szCs w:val="21"/>
          <w:highlight w:val="none"/>
          <w:lang w:val="en-US" w:eastAsia="zh-CN"/>
        </w:rPr>
        <w:t>取采购</w:t>
      </w:r>
      <w:r>
        <w:rPr>
          <w:rFonts w:hint="eastAsia" w:ascii="宋体" w:hAnsi="宋体" w:eastAsia="宋体" w:cs="宋体"/>
          <w:color w:val="auto"/>
          <w:sz w:val="21"/>
          <w:szCs w:val="21"/>
          <w:highlight w:val="none"/>
        </w:rPr>
        <w:t>文件，并于</w:t>
      </w:r>
      <w:r>
        <w:rPr>
          <w:rFonts w:hint="eastAsia" w:ascii="宋体" w:hAnsi="宋体" w:cs="宋体"/>
          <w:color w:val="auto"/>
          <w:kern w:val="0"/>
          <w:szCs w:val="21"/>
          <w:highlight w:val="none"/>
          <w:u w:val="single"/>
          <w:lang w:val="en-US" w:eastAsia="zh-CN"/>
        </w:rPr>
        <w:t>2025年7月18日13点30</w:t>
      </w:r>
      <w:r>
        <w:rPr>
          <w:rFonts w:hint="eastAsia" w:ascii="宋体" w:hAnsi="宋体" w:cs="宋体"/>
          <w:color w:val="auto"/>
          <w:kern w:val="0"/>
          <w:szCs w:val="21"/>
          <w:highlight w:val="none"/>
          <w:u w:val="single"/>
          <w:lang w:eastAsia="zh-CN"/>
        </w:rPr>
        <w:t>分（北京时间）</w:t>
      </w:r>
      <w:r>
        <w:rPr>
          <w:rFonts w:hint="eastAsia" w:ascii="宋体" w:hAnsi="宋体" w:eastAsia="宋体" w:cs="宋体"/>
          <w:bCs/>
          <w:color w:val="auto"/>
          <w:sz w:val="21"/>
          <w:szCs w:val="21"/>
          <w:highlight w:val="none"/>
        </w:rPr>
        <w:t>前</w:t>
      </w:r>
      <w:r>
        <w:rPr>
          <w:rFonts w:hint="eastAsia" w:ascii="宋体" w:hAnsi="宋体" w:cs="宋体"/>
          <w:bCs/>
          <w:color w:val="auto"/>
          <w:sz w:val="21"/>
          <w:szCs w:val="21"/>
          <w:highlight w:val="none"/>
          <w:lang w:val="en-US" w:eastAsia="zh-CN"/>
        </w:rPr>
        <w:t>提</w:t>
      </w:r>
      <w:r>
        <w:rPr>
          <w:rFonts w:hint="eastAsia" w:ascii="宋体" w:hAnsi="宋体" w:eastAsia="宋体" w:cs="宋体"/>
          <w:bCs/>
          <w:color w:val="auto"/>
          <w:sz w:val="21"/>
          <w:szCs w:val="21"/>
          <w:highlight w:val="none"/>
        </w:rPr>
        <w:t>交响应文件</w:t>
      </w:r>
      <w:r>
        <w:rPr>
          <w:rFonts w:hint="eastAsia" w:ascii="宋体" w:hAnsi="宋体" w:eastAsia="宋体" w:cs="宋体"/>
          <w:color w:val="auto"/>
          <w:sz w:val="21"/>
          <w:szCs w:val="21"/>
          <w:highlight w:val="none"/>
        </w:rPr>
        <w:t>。</w:t>
      </w:r>
    </w:p>
    <w:p w14:paraId="434A1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bookmarkStart w:id="4" w:name="_Toc28359079"/>
      <w:bookmarkStart w:id="5" w:name="_Toc28359002"/>
      <w:bookmarkStart w:id="6" w:name="_Toc35393621"/>
      <w:bookmarkStart w:id="7" w:name="_Toc35393790"/>
      <w:bookmarkStart w:id="8" w:name="_Hlk24379207"/>
      <w:r>
        <w:rPr>
          <w:rFonts w:hint="eastAsia" w:ascii="宋体" w:hAnsi="宋体" w:eastAsia="宋体" w:cs="宋体"/>
          <w:b/>
          <w:bCs/>
          <w:color w:val="auto"/>
          <w:sz w:val="21"/>
          <w:szCs w:val="21"/>
          <w:highlight w:val="none"/>
        </w:rPr>
        <w:t>一、项目基本情况</w:t>
      </w:r>
      <w:bookmarkEnd w:id="4"/>
      <w:bookmarkEnd w:id="5"/>
      <w:bookmarkEnd w:id="6"/>
      <w:bookmarkEnd w:id="7"/>
    </w:p>
    <w:p w14:paraId="194CDA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项目编号：FCZC2025-C2-020035-DSGS</w:t>
      </w:r>
    </w:p>
    <w:p w14:paraId="7E109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项目名称：</w:t>
      </w:r>
      <w:bookmarkEnd w:id="8"/>
      <w:r>
        <w:rPr>
          <w:rFonts w:hint="eastAsia" w:ascii="宋体" w:hAnsi="宋体" w:cs="宋体"/>
          <w:color w:val="auto"/>
          <w:sz w:val="21"/>
          <w:szCs w:val="21"/>
          <w:highlight w:val="none"/>
          <w:u w:val="none"/>
          <w:lang w:val="en-US" w:eastAsia="zh-CN"/>
        </w:rPr>
        <w:t>港口区王府街道中心幼儿园维修项目</w:t>
      </w:r>
    </w:p>
    <w:p w14:paraId="355F9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color="auto"/>
        </w:rPr>
        <w:t>采购方式：</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 xml:space="preserve"> 竞争性</w:t>
      </w:r>
      <w:r>
        <w:rPr>
          <w:rFonts w:hint="eastAsia" w:ascii="宋体" w:hAnsi="宋体" w:cs="宋体"/>
          <w:color w:val="auto"/>
          <w:sz w:val="21"/>
          <w:szCs w:val="21"/>
          <w:highlight w:val="none"/>
          <w:u w:val="none" w:color="auto"/>
          <w:lang w:val="en-US" w:eastAsia="zh-CN"/>
        </w:rPr>
        <w:t>谈判</w:t>
      </w:r>
      <w:r>
        <w:rPr>
          <w:rFonts w:hint="eastAsia" w:ascii="宋体" w:hAnsi="宋体" w:eastAsia="宋体" w:cs="宋体"/>
          <w:color w:val="auto"/>
          <w:sz w:val="21"/>
          <w:szCs w:val="21"/>
          <w:highlight w:val="none"/>
          <w:u w:val="none" w:color="auto"/>
        </w:rPr>
        <w:t xml:space="preserve"> </w:t>
      </w:r>
      <w:r>
        <w:rPr>
          <w:rFonts w:hint="eastAsia" w:ascii="宋体" w:hAnsi="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竞争性磋商 □询价</w:t>
      </w:r>
    </w:p>
    <w:p w14:paraId="22EE5416">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预算金额：</w:t>
      </w:r>
      <w:bookmarkStart w:id="9" w:name="OLE_LINK1"/>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贰佰陆拾伍万捌仟贰佰伍拾元贰角玖分（¥2658250.29）</w:t>
      </w:r>
      <w:bookmarkEnd w:id="9"/>
    </w:p>
    <w:p w14:paraId="164CFAD1">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u w:val="none" w:color="auto"/>
        </w:rPr>
        <w:t>最高限价</w:t>
      </w:r>
      <w:r>
        <w:rPr>
          <w:rFonts w:hint="eastAsia" w:ascii="宋体" w:hAnsi="宋体" w:eastAsia="宋体" w:cs="宋体"/>
          <w:color w:val="auto"/>
          <w:sz w:val="21"/>
          <w:szCs w:val="21"/>
          <w:highlight w:val="none"/>
          <w:u w:val="none" w:color="auto"/>
          <w:lang w:eastAsia="zh-CN"/>
        </w:rPr>
        <w:t>：</w:t>
      </w:r>
      <w:r>
        <w:rPr>
          <w:rFonts w:hint="eastAsia" w:ascii="宋体" w:hAnsi="宋体" w:cs="宋体"/>
          <w:color w:val="auto"/>
          <w:sz w:val="21"/>
          <w:szCs w:val="21"/>
          <w:highlight w:val="none"/>
          <w:u w:val="none" w:color="auto"/>
          <w:lang w:eastAsia="zh-CN"/>
        </w:rPr>
        <w:t>人民币</w:t>
      </w:r>
      <w:r>
        <w:rPr>
          <w:rFonts w:hint="eastAsia" w:ascii="宋体" w:hAnsi="宋体" w:cs="宋体"/>
          <w:color w:val="auto"/>
          <w:sz w:val="21"/>
          <w:szCs w:val="21"/>
          <w:highlight w:val="none"/>
          <w:u w:val="none" w:color="auto"/>
          <w:lang w:val="en-US" w:eastAsia="zh-CN"/>
        </w:rPr>
        <w:t>贰佰陆拾伍万捌仟贰佰伍拾元贰角玖分（¥2658250.29）</w:t>
      </w:r>
    </w:p>
    <w:p w14:paraId="72966B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采购需求：</w:t>
      </w:r>
    </w:p>
    <w:tbl>
      <w:tblPr>
        <w:tblStyle w:val="23"/>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715"/>
        <w:gridCol w:w="1035"/>
        <w:gridCol w:w="5496"/>
      </w:tblGrid>
      <w:tr w14:paraId="797F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2"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5DD4D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2576E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标的名称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118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数量及单位</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5A837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r>
              <w:rPr>
                <w:rFonts w:hint="eastAsia"/>
                <w:color w:val="auto"/>
                <w:highlight w:val="none"/>
              </w:rPr>
              <w:t>简要技术需求</w:t>
            </w:r>
          </w:p>
        </w:tc>
      </w:tr>
      <w:tr w14:paraId="110CC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21066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715" w:type="dxa"/>
            <w:tcBorders>
              <w:top w:val="single" w:color="auto" w:sz="4" w:space="0"/>
              <w:left w:val="single" w:color="auto" w:sz="4" w:space="0"/>
              <w:bottom w:val="single" w:color="auto" w:sz="4" w:space="0"/>
              <w:right w:val="single" w:color="auto" w:sz="4" w:space="0"/>
            </w:tcBorders>
            <w:noWrap w:val="0"/>
            <w:vAlign w:val="center"/>
          </w:tcPr>
          <w:p w14:paraId="64CE4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Cs w:val="21"/>
                <w:highlight w:val="none"/>
              </w:rPr>
            </w:pPr>
            <w:r>
              <w:rPr>
                <w:rFonts w:hint="eastAsia" w:ascii="宋体" w:hAnsi="宋体" w:cs="宋体"/>
                <w:color w:val="auto"/>
                <w:sz w:val="21"/>
                <w:szCs w:val="21"/>
                <w:highlight w:val="none"/>
                <w:u w:val="none"/>
                <w:lang w:val="en-US" w:eastAsia="zh-CN"/>
              </w:rPr>
              <w:t>港口区王府街道中心幼儿园维修项目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82CA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5496" w:type="dxa"/>
            <w:tcBorders>
              <w:top w:val="single" w:color="auto" w:sz="4" w:space="0"/>
              <w:left w:val="single" w:color="auto" w:sz="4" w:space="0"/>
              <w:bottom w:val="single" w:color="auto" w:sz="4" w:space="0"/>
              <w:right w:val="single" w:color="auto" w:sz="4" w:space="0"/>
            </w:tcBorders>
            <w:noWrap w:val="0"/>
            <w:vAlign w:val="center"/>
          </w:tcPr>
          <w:p w14:paraId="4B6CDA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 xml:space="preserve">    维修楼舍1栋，3层，建筑面积2370平方米，包括内外墙翻新、门窗更换、补漏、贴砖、室内各功能室改造等，以及室外活动场地及配套设施改造、围墙翻新、园舍文化建设等附属工程。如需进一步了解详细内容，详见竞争性磋商文件、施工图纸、工程量清单及相关说明。</w:t>
            </w:r>
          </w:p>
        </w:tc>
      </w:tr>
    </w:tbl>
    <w:p w14:paraId="09FB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工期要求</w:t>
      </w:r>
      <w:r>
        <w:rPr>
          <w:rFonts w:hint="eastAsia" w:ascii="宋体" w:hAnsi="宋体" w:cs="宋体"/>
          <w:b/>
          <w:bCs/>
          <w:color w:val="auto"/>
          <w:sz w:val="21"/>
          <w:szCs w:val="21"/>
          <w:highlight w:val="none"/>
          <w:u w:val="single"/>
          <w:lang w:val="en-US" w:eastAsia="zh-CN"/>
        </w:rPr>
        <w:t>60</w:t>
      </w:r>
      <w:r>
        <w:rPr>
          <w:rFonts w:hint="eastAsia" w:ascii="宋体" w:hAnsi="宋体" w:eastAsia="宋体" w:cs="宋体"/>
          <w:b/>
          <w:bCs/>
          <w:color w:val="auto"/>
          <w:sz w:val="21"/>
          <w:szCs w:val="21"/>
          <w:highlight w:val="none"/>
        </w:rPr>
        <w:t>日历天。</w:t>
      </w:r>
    </w:p>
    <w:p w14:paraId="62FC9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14:paraId="6DB22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3614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7A294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bookmarkStart w:id="10" w:name="OLE_LINK2"/>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bookmarkEnd w:id="10"/>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348DB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3C1F2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bookmarkStart w:id="11" w:name="OLE_LINK4"/>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bookmarkEnd w:id="1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6A49A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bookmarkStart w:id="12" w:name="OLE_LINK36"/>
      <w:r>
        <w:rPr>
          <w:rFonts w:hint="eastAsia" w:ascii="宋体" w:hAnsi="宋体" w:eastAsia="宋体" w:cs="宋体"/>
          <w:color w:val="auto"/>
          <w:szCs w:val="21"/>
          <w:highlight w:val="none"/>
        </w:rPr>
        <w:t>本单位的在岗人</w:t>
      </w:r>
      <w:bookmarkEnd w:id="12"/>
      <w:r>
        <w:rPr>
          <w:rFonts w:hint="eastAsia" w:ascii="宋体" w:hAnsi="宋体" w:eastAsia="宋体" w:cs="宋体"/>
          <w:color w:val="auto"/>
          <w:szCs w:val="21"/>
          <w:highlight w:val="none"/>
        </w:rPr>
        <w:t>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p w14:paraId="1309D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p>
    <w:p w14:paraId="4D58E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时间：</w:t>
      </w:r>
      <w:r>
        <w:rPr>
          <w:rFonts w:hint="eastAsia" w:ascii="宋体" w:hAnsi="宋体" w:cs="宋体"/>
          <w:color w:val="auto"/>
          <w:kern w:val="0"/>
          <w:szCs w:val="21"/>
          <w:highlight w:val="none"/>
          <w:u w:val="none"/>
          <w:lang w:val="en-US" w:eastAsia="zh-CN"/>
        </w:rPr>
        <w:t>2025年7月7日至2025年7月14日，</w:t>
      </w:r>
      <w:r>
        <w:rPr>
          <w:rFonts w:hint="eastAsia" w:ascii="宋体" w:hAnsi="宋体" w:eastAsia="宋体" w:cs="宋体"/>
          <w:bCs/>
          <w:color w:val="auto"/>
          <w:kern w:val="0"/>
          <w:szCs w:val="21"/>
          <w:highlight w:val="none"/>
        </w:rPr>
        <w:t>每天上午</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w:t>
      </w:r>
      <w:r>
        <w:rPr>
          <w:rFonts w:hint="eastAsia" w:ascii="宋体" w:hAnsi="宋体" w:cs="宋体"/>
          <w:color w:val="auto"/>
          <w:szCs w:val="21"/>
          <w:highlight w:val="none"/>
        </w:rPr>
        <w:t>下午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color w:val="auto"/>
          <w:kern w:val="0"/>
          <w:sz w:val="21"/>
          <w:szCs w:val="21"/>
          <w:highlight w:val="none"/>
          <w:lang w:eastAsia="zh-CN"/>
        </w:rPr>
        <w:t>；</w:t>
      </w:r>
    </w:p>
    <w:p w14:paraId="3D92D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地点：</w:t>
      </w:r>
      <w:r>
        <w:rPr>
          <w:rFonts w:hint="eastAsia" w:ascii="宋体" w:hAnsi="宋体"/>
          <w:color w:val="auto"/>
          <w:szCs w:val="21"/>
          <w:highlight w:val="none"/>
          <w:u w:val="none"/>
          <w:lang w:eastAsia="zh-CN"/>
        </w:rPr>
        <w:t>广西政府采购云平台</w:t>
      </w:r>
      <w:r>
        <w:rPr>
          <w:rFonts w:hint="eastAsia" w:ascii="宋体" w:hAnsi="宋体" w:eastAsia="宋体" w:cs="宋体"/>
          <w:color w:val="auto"/>
          <w:kern w:val="0"/>
          <w:sz w:val="21"/>
          <w:szCs w:val="21"/>
          <w:highlight w:val="none"/>
        </w:rPr>
        <w:t>；</w:t>
      </w:r>
    </w:p>
    <w:p w14:paraId="6F107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方式：网上下载。本项目不发放纸质采购文件，</w:t>
      </w:r>
      <w:r>
        <w:rPr>
          <w:rFonts w:hint="eastAsia" w:ascii="宋体" w:hAnsi="宋体" w:eastAsia="宋体" w:cs="宋体"/>
          <w:color w:val="auto"/>
          <w:kern w:val="0"/>
          <w:szCs w:val="21"/>
          <w:highlight w:val="none"/>
          <w:lang w:eastAsia="zh-CN"/>
        </w:rPr>
        <w:t>潜在</w:t>
      </w:r>
      <w:r>
        <w:rPr>
          <w:rFonts w:hint="eastAsia" w:ascii="宋体" w:hAnsi="宋体" w:eastAsia="宋体" w:cs="宋体"/>
          <w:color w:val="auto"/>
          <w:kern w:val="0"/>
          <w:szCs w:val="21"/>
          <w:highlight w:val="none"/>
        </w:rPr>
        <w:t>供应商可自行在</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下载采购文件（操作路径：登录</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-项目采购-获取采购文件-找到本项目-点击“申请获取采购文件”），电子响应文件制作需要基于</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获取的采购文件编制。</w:t>
      </w:r>
    </w:p>
    <w:p w14:paraId="3C54F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售价：人民币0元。 </w:t>
      </w:r>
    </w:p>
    <w:p w14:paraId="76B6CE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53077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首次响应文件提交截止时间</w:t>
      </w:r>
      <w:r>
        <w:rPr>
          <w:rFonts w:hint="eastAsia" w:ascii="宋体" w:hAnsi="宋体" w:cs="宋体"/>
          <w:color w:val="auto"/>
          <w:kern w:val="0"/>
          <w:szCs w:val="21"/>
          <w:highlight w:val="none"/>
          <w:u w:val="single"/>
          <w:lang w:val="en-US" w:eastAsia="zh-CN"/>
        </w:rPr>
        <w:t>：2025年7月18日13点30</w:t>
      </w:r>
      <w:r>
        <w:rPr>
          <w:rFonts w:hint="eastAsia" w:ascii="宋体" w:hAnsi="宋体" w:cs="宋体"/>
          <w:color w:val="auto"/>
          <w:kern w:val="0"/>
          <w:szCs w:val="21"/>
          <w:highlight w:val="none"/>
          <w:u w:val="single"/>
          <w:lang w:eastAsia="zh-CN"/>
        </w:rPr>
        <w:t>分</w:t>
      </w:r>
      <w:r>
        <w:rPr>
          <w:rFonts w:hint="eastAsia" w:ascii="宋体" w:hAnsi="宋体" w:cs="宋体"/>
          <w:color w:val="auto"/>
          <w:kern w:val="0"/>
          <w:szCs w:val="21"/>
          <w:highlight w:val="none"/>
          <w:u w:val="single"/>
          <w:lang w:val="en-US" w:eastAsia="zh-CN"/>
        </w:rPr>
        <w:t>（</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14:paraId="54F8DD7E">
      <w:pPr>
        <w:keepNext w:val="0"/>
        <w:keepLines w:val="0"/>
        <w:pageBreakBefore w:val="0"/>
        <w:widowControl w:val="0"/>
        <w:kinsoku/>
        <w:wordWrap/>
        <w:overflowPunct/>
        <w:topLinePunct w:val="0"/>
        <w:autoSpaceDE/>
        <w:autoSpaceDN/>
        <w:bidi w:val="0"/>
        <w:adjustRightInd/>
        <w:snapToGrid/>
        <w:spacing w:line="360" w:lineRule="auto"/>
        <w:ind w:right="15" w:rightChars="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首次响应文件提交地点：</w:t>
      </w:r>
      <w:r>
        <w:rPr>
          <w:rFonts w:hint="eastAsia" w:ascii="宋体" w:hAnsi="宋体" w:eastAsia="宋体" w:cs="宋体"/>
          <w:color w:val="auto"/>
          <w:sz w:val="21"/>
          <w:szCs w:val="21"/>
          <w:highlight w:val="none"/>
          <w:u w:val="single"/>
        </w:rPr>
        <w:t>通过</w:t>
      </w:r>
      <w:r>
        <w:rPr>
          <w:rFonts w:hint="eastAsia" w:ascii="宋体" w:hAnsi="宋体" w:cs="宋体"/>
          <w:color w:val="auto"/>
          <w:sz w:val="21"/>
          <w:szCs w:val="21"/>
          <w:highlight w:val="none"/>
          <w:u w:val="single"/>
          <w:lang w:val="en-US" w:eastAsia="zh-CN"/>
        </w:rPr>
        <w:t>广西政府采购云平台</w:t>
      </w:r>
      <w:r>
        <w:rPr>
          <w:rFonts w:hint="eastAsia" w:ascii="宋体" w:hAnsi="宋体" w:eastAsia="宋体" w:cs="宋体"/>
          <w:color w:val="auto"/>
          <w:sz w:val="21"/>
          <w:szCs w:val="21"/>
          <w:highlight w:val="none"/>
          <w:u w:val="single"/>
        </w:rPr>
        <w:t>在线提交</w:t>
      </w:r>
      <w:r>
        <w:rPr>
          <w:rFonts w:hint="eastAsia" w:ascii="宋体" w:hAnsi="宋体" w:eastAsia="宋体" w:cs="宋体"/>
          <w:color w:val="auto"/>
          <w:sz w:val="21"/>
          <w:szCs w:val="21"/>
          <w:highlight w:val="none"/>
        </w:rPr>
        <w:t>。</w:t>
      </w:r>
    </w:p>
    <w:p w14:paraId="6FB9B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13" w:name="_Toc28359093"/>
      <w:bookmarkStart w:id="14" w:name="_Toc35393802"/>
      <w:bookmarkStart w:id="15" w:name="_Toc28359016"/>
      <w:bookmarkStart w:id="16" w:name="_Toc35393633"/>
      <w:r>
        <w:rPr>
          <w:rFonts w:hint="eastAsia" w:ascii="宋体" w:hAnsi="宋体" w:eastAsia="宋体" w:cs="宋体"/>
          <w:b/>
          <w:bCs/>
          <w:color w:val="auto"/>
          <w:sz w:val="21"/>
          <w:szCs w:val="21"/>
          <w:highlight w:val="none"/>
        </w:rPr>
        <w:t>五、开启</w:t>
      </w:r>
      <w:bookmarkEnd w:id="13"/>
      <w:bookmarkEnd w:id="14"/>
      <w:bookmarkEnd w:id="15"/>
      <w:bookmarkEnd w:id="16"/>
    </w:p>
    <w:p w14:paraId="20F4A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bookmarkStart w:id="17" w:name="_Toc35393803"/>
      <w:bookmarkStart w:id="18" w:name="_Toc28359017"/>
      <w:bookmarkStart w:id="19" w:name="_Toc35393634"/>
      <w:bookmarkStart w:id="20" w:name="_Toc28359094"/>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s="宋体"/>
          <w:color w:val="auto"/>
          <w:kern w:val="0"/>
          <w:szCs w:val="21"/>
          <w:highlight w:val="none"/>
          <w:u w:val="single"/>
          <w:lang w:val="en-US" w:eastAsia="zh-CN"/>
        </w:rPr>
        <w:t>2025年7月18日13点30</w:t>
      </w:r>
      <w:r>
        <w:rPr>
          <w:rFonts w:hint="eastAsia" w:ascii="宋体" w:hAnsi="宋体" w:cs="宋体"/>
          <w:color w:val="auto"/>
          <w:kern w:val="0"/>
          <w:szCs w:val="21"/>
          <w:highlight w:val="none"/>
          <w:u w:val="single"/>
          <w:lang w:eastAsia="zh-CN"/>
        </w:rPr>
        <w:t>分</w:t>
      </w:r>
      <w:r>
        <w:rPr>
          <w:rFonts w:hint="eastAsia" w:ascii="宋体" w:hAnsi="宋体" w:eastAsia="宋体" w:cs="宋体"/>
          <w:color w:val="auto"/>
          <w:kern w:val="0"/>
          <w:sz w:val="21"/>
          <w:szCs w:val="21"/>
          <w:highlight w:val="none"/>
          <w:u w:val="single"/>
        </w:rPr>
        <w:t>（北京时间）</w:t>
      </w:r>
      <w:r>
        <w:rPr>
          <w:rFonts w:hint="eastAsia" w:ascii="宋体" w:hAnsi="宋体"/>
          <w:color w:val="auto"/>
          <w:szCs w:val="21"/>
          <w:highlight w:val="none"/>
          <w:lang w:eastAsia="zh-CN"/>
        </w:rPr>
        <w:t>；</w:t>
      </w:r>
    </w:p>
    <w:p w14:paraId="20846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地点：广西壮族自治区防城港市开标室</w:t>
      </w:r>
      <w:r>
        <w:rPr>
          <w:rFonts w:hint="eastAsia" w:ascii="宋体" w:hAnsi="宋体"/>
          <w:color w:val="auto"/>
          <w:szCs w:val="21"/>
          <w:highlight w:val="none"/>
          <w:lang w:val="en-US" w:eastAsia="zh-CN"/>
        </w:rPr>
        <w:t>3</w:t>
      </w:r>
      <w:r>
        <w:rPr>
          <w:rFonts w:hint="eastAsia" w:ascii="宋体" w:hAnsi="宋体"/>
          <w:color w:val="auto"/>
          <w:szCs w:val="21"/>
          <w:highlight w:val="none"/>
        </w:rPr>
        <w:t>政府采购开标室</w:t>
      </w:r>
      <w:r>
        <w:rPr>
          <w:rFonts w:hint="eastAsia" w:ascii="宋体" w:hAnsi="宋体"/>
          <w:color w:val="auto"/>
          <w:szCs w:val="21"/>
          <w:highlight w:val="none"/>
          <w:lang w:val="en-US" w:eastAsia="zh-CN"/>
        </w:rPr>
        <w:t>3</w:t>
      </w:r>
    </w:p>
    <w:p w14:paraId="53EC56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bookmarkEnd w:id="17"/>
      <w:bookmarkEnd w:id="18"/>
      <w:bookmarkEnd w:id="19"/>
      <w:bookmarkEnd w:id="20"/>
    </w:p>
    <w:p w14:paraId="4FAE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1B1F83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bookmarkStart w:id="21" w:name="_Toc35393635"/>
      <w:bookmarkStart w:id="22" w:name="_Toc35393804"/>
      <w:r>
        <w:rPr>
          <w:rFonts w:hint="eastAsia" w:ascii="宋体" w:hAnsi="宋体" w:eastAsia="宋体" w:cs="宋体"/>
          <w:b/>
          <w:bCs/>
          <w:color w:val="auto"/>
          <w:sz w:val="21"/>
          <w:szCs w:val="21"/>
          <w:highlight w:val="none"/>
        </w:rPr>
        <w:t>七、其他补充事宜</w:t>
      </w:r>
      <w:bookmarkEnd w:id="21"/>
      <w:bookmarkEnd w:id="22"/>
    </w:p>
    <w:p w14:paraId="346932D7">
      <w:pPr>
        <w:spacing w:line="360" w:lineRule="auto"/>
        <w:ind w:firstLine="420" w:firstLineChars="200"/>
        <w:rPr>
          <w:rFonts w:hint="eastAsia" w:ascii="宋体" w:hAnsi="宋体" w:eastAsia="宋体" w:cs="宋体"/>
          <w:color w:val="auto"/>
          <w:kern w:val="0"/>
          <w:szCs w:val="21"/>
          <w:highlight w:val="none"/>
        </w:rPr>
      </w:pPr>
      <w:bookmarkStart w:id="23" w:name="_Toc28359095"/>
      <w:bookmarkStart w:id="24" w:name="_Toc28359018"/>
      <w:bookmarkStart w:id="25" w:name="_Toc35393805"/>
      <w:bookmarkStart w:id="26" w:name="_Toc35393636"/>
      <w:r>
        <w:rPr>
          <w:rFonts w:hint="eastAsia" w:ascii="宋体" w:hAnsi="宋体" w:eastAsia="宋体" w:cs="宋体"/>
          <w:color w:val="auto"/>
          <w:kern w:val="0"/>
          <w:szCs w:val="21"/>
          <w:highlight w:val="none"/>
        </w:rPr>
        <w:t>1.磋商保证金：</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lang w:val="en-US" w:eastAsia="zh-CN"/>
        </w:rPr>
        <w:t>。</w:t>
      </w:r>
    </w:p>
    <w:p w14:paraId="3E716C74">
      <w:pPr>
        <w:spacing w:line="360" w:lineRule="auto"/>
        <w:ind w:firstLine="420" w:firstLineChars="200"/>
        <w:rPr>
          <w:rFonts w:hint="eastAsia" w:ascii="宋体" w:hAnsi="宋体" w:eastAsia="宋体" w:cs="宋体"/>
          <w:color w:val="auto"/>
          <w:kern w:val="0"/>
          <w:szCs w:val="21"/>
          <w:highlight w:val="none"/>
          <w:lang w:eastAsia="zh-CN"/>
        </w:rPr>
      </w:pPr>
      <w:bookmarkStart w:id="27"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28" w:name="_Hlk37429595"/>
      <w:r>
        <w:rPr>
          <w:rFonts w:hint="eastAsia" w:ascii="宋体" w:hAnsi="宋体" w:eastAsia="宋体" w:cs="宋体"/>
          <w:color w:val="auto"/>
          <w:kern w:val="0"/>
          <w:szCs w:val="21"/>
          <w:highlight w:val="none"/>
        </w:rPr>
        <w:t>网上查询地址</w:t>
      </w:r>
      <w:r>
        <w:rPr>
          <w:rFonts w:hint="eastAsia" w:ascii="宋体" w:hAnsi="宋体" w:eastAsia="宋体" w:cs="宋体"/>
          <w:color w:val="auto"/>
          <w:kern w:val="0"/>
          <w:szCs w:val="21"/>
          <w:highlight w:val="none"/>
          <w:lang w:eastAsia="zh-CN"/>
        </w:rPr>
        <w:t>：</w:t>
      </w:r>
    </w:p>
    <w:bookmarkEnd w:id="27"/>
    <w:bookmarkEnd w:id="28"/>
    <w:p w14:paraId="1EF4F9B5">
      <w:pPr>
        <w:spacing w:line="360" w:lineRule="auto"/>
        <w:ind w:firstLine="420" w:firstLineChars="200"/>
        <w:rPr>
          <w:rFonts w:hint="eastAsia" w:ascii="宋体" w:hAnsi="宋体" w:eastAsia="宋体" w:cs="宋体"/>
          <w:color w:val="auto"/>
          <w:kern w:val="0"/>
          <w:szCs w:val="21"/>
          <w:highlight w:val="none"/>
        </w:rPr>
      </w:pPr>
      <w:bookmarkStart w:id="29" w:name="_Hlk37429674"/>
      <w:r>
        <w:rPr>
          <w:rFonts w:hint="eastAsia" w:ascii="宋体" w:hAnsi="宋体" w:eastAsia="宋体" w:cs="宋体"/>
          <w:color w:val="auto"/>
          <w:kern w:val="0"/>
          <w:szCs w:val="21"/>
          <w:highlight w:val="none"/>
        </w:rPr>
        <w:t>中国政府采购网、广西壮族自治区政府采购网、广西防城港港口区人民政府门户网站、全国公共资源交易平台（广西•防城港）。</w:t>
      </w:r>
    </w:p>
    <w:p w14:paraId="1AB9E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p w14:paraId="1F2CB9A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13E532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654D3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3346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C0104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29"/>
    </w:p>
    <w:p w14:paraId="109385F7">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C0F77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.对在“信用中国”网站、中国政府采购网被列入失信被执行人、</w:t>
      </w:r>
      <w:r>
        <w:rPr>
          <w:rFonts w:hint="eastAsia" w:ascii="宋体" w:hAnsi="宋体" w:eastAsia="宋体" w:cs="宋体"/>
          <w:color w:val="auto"/>
          <w:szCs w:val="21"/>
          <w:highlight w:val="none"/>
          <w:lang w:eastAsia="zh-CN"/>
        </w:rPr>
        <w:t>重大税收违法</w:t>
      </w:r>
      <w:bookmarkStart w:id="30" w:name="OLE_LINK8"/>
      <w:r>
        <w:rPr>
          <w:rFonts w:hint="eastAsia" w:ascii="宋体" w:hAnsi="宋体" w:eastAsia="宋体" w:cs="宋体"/>
          <w:color w:val="auto"/>
          <w:szCs w:val="21"/>
          <w:highlight w:val="none"/>
          <w:lang w:eastAsia="zh-CN"/>
        </w:rPr>
        <w:t>失信主体</w:t>
      </w:r>
      <w:bookmarkEnd w:id="30"/>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27B19DCF">
      <w:pPr>
        <w:spacing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0932304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提交电子版响应文件时，请填写参加远程开标活动经办人联系方式</w:t>
      </w:r>
      <w:r>
        <w:rPr>
          <w:rFonts w:hint="eastAsia" w:ascii="宋体" w:hAnsi="宋体" w:eastAsia="宋体" w:cs="宋体"/>
          <w:color w:val="auto"/>
          <w:szCs w:val="21"/>
          <w:highlight w:val="none"/>
        </w:rPr>
        <w:t>。</w:t>
      </w:r>
    </w:p>
    <w:p w14:paraId="48EAC48E">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（2）未进行网上注册并办理数字证书（CA认证）的供应商将无法参与本项目政府采购活动，潜在供应商应当在首次响应文件提交截止时间前，完成电子交易平台上的CA数字证书办理及响应文件的提交。        </w:t>
      </w:r>
    </w:p>
    <w:p w14:paraId="22611598">
      <w:pPr>
        <w:widowControl/>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p>
    <w:p w14:paraId="49C5E9A0">
      <w:pPr>
        <w:spacing w:line="360" w:lineRule="auto"/>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bookmarkStart w:id="31" w:name="OLE_LINK9"/>
      <w:r>
        <w:rPr>
          <w:rFonts w:hint="eastAsia" w:ascii="宋体" w:hAnsi="宋体" w:eastAsia="宋体" w:cs="宋体"/>
          <w:b/>
          <w:bCs w:val="0"/>
          <w:color w:val="auto"/>
          <w:sz w:val="21"/>
          <w:szCs w:val="21"/>
          <w:highlight w:val="none"/>
          <w:u w:val="single"/>
          <w:lang w:val="en-US" w:eastAsia="zh-CN"/>
        </w:rPr>
        <w:t>广西</w:t>
      </w:r>
      <w:bookmarkEnd w:id="31"/>
      <w:r>
        <w:rPr>
          <w:rFonts w:hint="eastAsia" w:ascii="宋体" w:hAnsi="宋体" w:eastAsia="宋体" w:cs="宋体"/>
          <w:b/>
          <w:bCs w:val="0"/>
          <w:color w:val="auto"/>
          <w:sz w:val="21"/>
          <w:szCs w:val="21"/>
          <w:highlight w:val="none"/>
          <w:u w:val="single"/>
          <w:lang w:val="en-US" w:eastAsia="zh-CN"/>
        </w:rPr>
        <w:t>政府采购云平台</w:t>
      </w:r>
      <w:r>
        <w:rPr>
          <w:rFonts w:hint="eastAsia" w:ascii="宋体" w:hAnsi="宋体" w:eastAsia="宋体" w:cs="宋体"/>
          <w:b/>
          <w:bCs w:val="0"/>
          <w:color w:val="auto"/>
          <w:szCs w:val="21"/>
          <w:highlight w:val="none"/>
          <w:u w:val="single"/>
        </w:rPr>
        <w:t>将予以拒收。</w:t>
      </w:r>
    </w:p>
    <w:p w14:paraId="0B73B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CA证书在线解密：首次响应文件开启时，需要供应商携带制作响应文件时用来加密的有效数字证书（CA认证）登录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w:t>
      </w:r>
    </w:p>
    <w:p w14:paraId="57920D7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3A1DF6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4A680FA9">
      <w:pPr>
        <w:spacing w:line="360" w:lineRule="auto"/>
        <w:ind w:firstLine="420" w:firstLineChars="200"/>
        <w:rPr>
          <w:rFonts w:hint="eastAsia" w:ascii="宋体" w:hAnsi="宋体"/>
          <w:color w:val="auto"/>
          <w:kern w:val="0"/>
          <w:szCs w:val="21"/>
        </w:rPr>
      </w:pPr>
      <w:r>
        <w:rPr>
          <w:rFonts w:hint="eastAsia" w:ascii="宋体" w:hAnsi="宋体" w:cs="宋体"/>
          <w:color w:val="auto"/>
          <w:kern w:val="0"/>
          <w:szCs w:val="21"/>
          <w:highlight w:val="none"/>
          <w:lang w:val="en-US" w:eastAsia="zh-CN"/>
        </w:rPr>
        <w:t>8.</w:t>
      </w:r>
      <w:r>
        <w:rPr>
          <w:rFonts w:hint="eastAsia" w:ascii="宋体" w:hAnsi="宋体"/>
          <w:color w:val="auto"/>
          <w:kern w:val="0"/>
          <w:szCs w:val="21"/>
        </w:rPr>
        <w:t>监督部门</w:t>
      </w:r>
    </w:p>
    <w:p w14:paraId="0D2092E2">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名 称：</w:t>
      </w:r>
      <w:bookmarkStart w:id="32" w:name="OLE_LINK15"/>
      <w:r>
        <w:rPr>
          <w:rFonts w:hint="eastAsia" w:ascii="宋体" w:hAnsi="宋体"/>
          <w:color w:val="auto"/>
          <w:kern w:val="0"/>
          <w:szCs w:val="21"/>
        </w:rPr>
        <w:t>防城港市港口区政府采购管理办公室</w:t>
      </w:r>
      <w:bookmarkEnd w:id="32"/>
    </w:p>
    <w:p w14:paraId="13B312FF">
      <w:pPr>
        <w:snapToGrid/>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olor w:val="auto"/>
          <w:kern w:val="0"/>
          <w:szCs w:val="21"/>
        </w:rPr>
        <w:t>电 话：0770-6106362</w:t>
      </w:r>
    </w:p>
    <w:p w14:paraId="63D207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八、凡对本次采购提出询问，请按以下方式联系。</w:t>
      </w:r>
      <w:bookmarkEnd w:id="23"/>
      <w:bookmarkEnd w:id="24"/>
      <w:bookmarkEnd w:id="25"/>
      <w:bookmarkEnd w:id="26"/>
    </w:p>
    <w:p w14:paraId="6EC5C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185D26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bookmarkStart w:id="33" w:name="OLE_LINK17"/>
      <w:r>
        <w:rPr>
          <w:rFonts w:hint="eastAsia" w:ascii="宋体" w:hAnsi="宋体" w:cs="宋体"/>
          <w:color w:val="auto"/>
          <w:kern w:val="0"/>
          <w:sz w:val="21"/>
          <w:szCs w:val="21"/>
          <w:highlight w:val="none"/>
          <w:lang w:eastAsia="zh-CN"/>
        </w:rPr>
        <w:t>防城港市港口区教育局</w:t>
      </w:r>
      <w:bookmarkEnd w:id="33"/>
      <w:r>
        <w:rPr>
          <w:rFonts w:hint="eastAsia" w:ascii="宋体" w:hAnsi="宋体" w:eastAsia="宋体" w:cs="宋体"/>
          <w:color w:val="auto"/>
          <w:sz w:val="21"/>
          <w:szCs w:val="21"/>
          <w:highlight w:val="none"/>
          <w:lang w:eastAsia="zh-CN"/>
        </w:rPr>
        <w:t>　</w:t>
      </w:r>
    </w:p>
    <w:p w14:paraId="4D14E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    址：</w:t>
      </w:r>
      <w:r>
        <w:rPr>
          <w:rFonts w:hint="eastAsia" w:ascii="宋体" w:hAnsi="宋体"/>
          <w:color w:val="auto"/>
          <w:szCs w:val="21"/>
        </w:rPr>
        <w:t>广西防城港市港口区兴教路88号</w:t>
      </w:r>
    </w:p>
    <w:p w14:paraId="78C42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olor w:val="auto"/>
          <w:szCs w:val="21"/>
          <w:lang w:val="en-US" w:eastAsia="zh-CN"/>
        </w:rPr>
        <w:t>李强；0770-2810070；</w:t>
      </w:r>
    </w:p>
    <w:p w14:paraId="2A182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4" w:name="_Toc35393638"/>
      <w:bookmarkStart w:id="35" w:name="_Toc28359097"/>
      <w:bookmarkStart w:id="36" w:name="_Toc35393807"/>
      <w:bookmarkStart w:id="37" w:name="_Toc28359020"/>
      <w:r>
        <w:rPr>
          <w:rFonts w:hint="eastAsia" w:ascii="宋体" w:hAnsi="宋体" w:eastAsia="宋体" w:cs="宋体"/>
          <w:color w:val="auto"/>
          <w:sz w:val="21"/>
          <w:szCs w:val="21"/>
          <w:highlight w:val="none"/>
        </w:rPr>
        <w:t>2.采购代理机构信息</w:t>
      </w:r>
      <w:bookmarkEnd w:id="34"/>
      <w:bookmarkEnd w:id="35"/>
      <w:bookmarkEnd w:id="36"/>
      <w:bookmarkEnd w:id="37"/>
    </w:p>
    <w:p w14:paraId="323D91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Cs w:val="21"/>
          <w:highlight w:val="none"/>
          <w:lang w:eastAsia="zh-CN"/>
        </w:rPr>
        <w:t>广西德胜工程项目管理有限公司</w:t>
      </w:r>
    </w:p>
    <w:p w14:paraId="5E54D6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Cs w:val="21"/>
          <w:highlight w:val="none"/>
          <w:lang w:eastAsia="zh-CN"/>
        </w:rPr>
        <w:t>防城港市港口区西湾广场越秀小区B35号三楼</w:t>
      </w:r>
    </w:p>
    <w:p w14:paraId="64A672E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Cs w:val="21"/>
          <w:highlight w:val="none"/>
          <w:lang w:val="en-US" w:eastAsia="zh-CN"/>
        </w:rPr>
        <w:t>何婕</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15277196081</w:t>
      </w:r>
    </w:p>
    <w:p w14:paraId="7CF62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38" w:name="_Toc28359021"/>
      <w:bookmarkStart w:id="39" w:name="_Toc35393639"/>
      <w:bookmarkStart w:id="40" w:name="_Toc35393808"/>
      <w:bookmarkStart w:id="41" w:name="_Toc28359098"/>
      <w:r>
        <w:rPr>
          <w:rFonts w:hint="eastAsia" w:ascii="宋体" w:hAnsi="宋体" w:eastAsia="宋体" w:cs="宋体"/>
          <w:color w:val="auto"/>
          <w:sz w:val="21"/>
          <w:szCs w:val="21"/>
          <w:highlight w:val="none"/>
        </w:rPr>
        <w:t>3.项目联系方式</w:t>
      </w:r>
      <w:bookmarkEnd w:id="38"/>
      <w:bookmarkEnd w:id="39"/>
      <w:bookmarkEnd w:id="40"/>
      <w:bookmarkEnd w:id="41"/>
    </w:p>
    <w:p w14:paraId="7811A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Cs w:val="21"/>
          <w:highlight w:val="none"/>
          <w:lang w:val="en-US" w:eastAsia="zh-CN"/>
        </w:rPr>
        <w:t>何婕</w:t>
      </w:r>
    </w:p>
    <w:p w14:paraId="2212CDB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val="en-US"/>
        </w:rPr>
      </w:pPr>
      <w:r>
        <w:rPr>
          <w:rFonts w:hint="eastAsia" w:ascii="宋体" w:hAnsi="宋体" w:eastAsia="宋体" w:cs="宋体"/>
          <w:color w:val="auto"/>
          <w:sz w:val="21"/>
          <w:szCs w:val="21"/>
          <w:highlight w:val="none"/>
        </w:rPr>
        <w:t>电　　话：</w:t>
      </w:r>
      <w:r>
        <w:rPr>
          <w:rFonts w:hint="eastAsia" w:ascii="宋体" w:hAnsi="宋体" w:eastAsia="宋体" w:cs="宋体"/>
          <w:color w:val="auto"/>
          <w:szCs w:val="21"/>
          <w:highlight w:val="none"/>
          <w:lang w:val="en-US" w:eastAsia="zh-CN"/>
        </w:rPr>
        <w:t>15277196081</w:t>
      </w:r>
    </w:p>
    <w:p w14:paraId="3E51921F">
      <w:pPr>
        <w:spacing w:line="360" w:lineRule="auto"/>
        <w:ind w:firstLine="420" w:firstLineChars="20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4B7FF7CA">
      <w:pPr>
        <w:spacing w:line="360" w:lineRule="auto"/>
        <w:ind w:firstLine="420" w:firstLineChars="200"/>
        <w:jc w:val="center"/>
        <w:rPr>
          <w:rFonts w:hint="eastAsia" w:ascii="宋体" w:hAnsi="宋体" w:cs="宋体"/>
          <w:color w:val="auto"/>
          <w:sz w:val="21"/>
          <w:szCs w:val="21"/>
          <w:highlight w:val="none"/>
          <w:lang w:val="en-US" w:eastAsia="zh-CN"/>
        </w:rPr>
      </w:pPr>
    </w:p>
    <w:p w14:paraId="37829B69">
      <w:pPr>
        <w:pStyle w:val="68"/>
        <w:spacing w:line="440" w:lineRule="exact"/>
        <w:ind w:firstLine="420" w:firstLineChars="200"/>
        <w:jc w:val="right"/>
        <w:rPr>
          <w:rFonts w:hint="eastAsia"/>
          <w:color w:val="auto"/>
          <w:sz w:val="21"/>
          <w:szCs w:val="21"/>
        </w:rPr>
      </w:pPr>
      <w:r>
        <w:rPr>
          <w:rFonts w:hint="eastAsia" w:ascii="宋体" w:hAnsi="宋体" w:cs="宋体"/>
          <w:color w:val="auto"/>
          <w:sz w:val="21"/>
          <w:szCs w:val="21"/>
          <w:highlight w:val="none"/>
          <w:lang w:val="en-US" w:eastAsia="zh-CN"/>
        </w:rPr>
        <w:t xml:space="preserve">                                              </w:t>
      </w:r>
      <w:r>
        <w:rPr>
          <w:rFonts w:hint="eastAsia"/>
          <w:color w:val="auto"/>
          <w:sz w:val="21"/>
          <w:szCs w:val="21"/>
        </w:rPr>
        <w:t>采购人：</w:t>
      </w:r>
      <w:r>
        <w:rPr>
          <w:rFonts w:hint="eastAsia"/>
          <w:color w:val="auto"/>
          <w:sz w:val="21"/>
          <w:szCs w:val="21"/>
          <w:lang w:eastAsia="zh-CN"/>
        </w:rPr>
        <w:t>防城港市港口区教育局</w:t>
      </w:r>
    </w:p>
    <w:p w14:paraId="4301975F">
      <w:pPr>
        <w:pStyle w:val="68"/>
        <w:spacing w:line="440" w:lineRule="exact"/>
        <w:ind w:firstLine="420" w:firstLineChars="200"/>
        <w:jc w:val="right"/>
        <w:rPr>
          <w:color w:val="auto"/>
          <w:sz w:val="21"/>
          <w:szCs w:val="21"/>
        </w:rPr>
      </w:pPr>
      <w:r>
        <w:rPr>
          <w:rFonts w:hint="eastAsia"/>
          <w:color w:val="auto"/>
          <w:sz w:val="21"/>
          <w:szCs w:val="21"/>
          <w:lang w:val="en-US" w:eastAsia="zh-CN"/>
        </w:rPr>
        <w:t>采购代理机构：广西德胜工程项目管理有限公司</w:t>
      </w:r>
    </w:p>
    <w:p w14:paraId="58DE3D36">
      <w:pPr>
        <w:pStyle w:val="68"/>
        <w:spacing w:line="440" w:lineRule="exact"/>
        <w:ind w:firstLine="420" w:firstLineChars="2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日</w:t>
      </w:r>
    </w:p>
    <w:p w14:paraId="4139B0A8">
      <w:pPr>
        <w:pStyle w:val="33"/>
        <w:widowControl w:val="0"/>
        <w:spacing w:after="0" w:afterLines="0" w:line="360" w:lineRule="auto"/>
        <w:ind w:firstLine="420" w:firstLineChars="200"/>
        <w:jc w:val="center"/>
        <w:rPr>
          <w:rFonts w:hint="eastAsia" w:ascii="宋体" w:hAnsi="宋体" w:eastAsia="宋体" w:cs="宋体"/>
          <w:color w:val="auto"/>
          <w:sz w:val="21"/>
          <w:szCs w:val="21"/>
          <w:highlight w:val="none"/>
        </w:rPr>
      </w:pPr>
    </w:p>
    <w:p w14:paraId="6150C455">
      <w:pPr>
        <w:spacing w:line="360" w:lineRule="auto"/>
        <w:ind w:firstLine="420" w:firstLineChars="200"/>
        <w:jc w:val="righ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1668D6BC">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42" w:name="_Toc22437"/>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供应商须知</w:t>
      </w:r>
      <w:bookmarkEnd w:id="3"/>
      <w:bookmarkEnd w:id="42"/>
      <w:bookmarkStart w:id="43" w:name="_Toc424307742"/>
      <w:bookmarkStart w:id="44" w:name="_Toc424307475"/>
    </w:p>
    <w:p w14:paraId="54423147">
      <w:pPr>
        <w:keepNext w:val="0"/>
        <w:keepLines w:val="0"/>
        <w:pageBreakBefore w:val="0"/>
        <w:widowControl w:val="0"/>
        <w:kinsoku/>
        <w:wordWrap/>
        <w:overflowPunct/>
        <w:topLinePunct w:val="0"/>
        <w:bidi w:val="0"/>
        <w:spacing w:line="420" w:lineRule="exact"/>
        <w:ind w:firstLine="482" w:firstLineChars="200"/>
        <w:jc w:val="center"/>
        <w:textAlignment w:val="auto"/>
        <w:outlineLvl w:val="0"/>
        <w:rPr>
          <w:rFonts w:hint="eastAsia" w:ascii="宋体" w:hAnsi="宋体" w:eastAsia="宋体" w:cs="宋体"/>
          <w:b/>
          <w:bCs/>
          <w:color w:val="auto"/>
          <w:sz w:val="24"/>
          <w:highlight w:val="none"/>
        </w:rPr>
      </w:pPr>
      <w:bookmarkStart w:id="45" w:name="_Toc15423"/>
      <w:bookmarkStart w:id="46" w:name="_Toc14902"/>
      <w:r>
        <w:rPr>
          <w:rFonts w:hint="eastAsia" w:ascii="宋体" w:hAnsi="宋体" w:eastAsia="宋体" w:cs="宋体"/>
          <w:b/>
          <w:bCs/>
          <w:color w:val="auto"/>
          <w:sz w:val="24"/>
          <w:highlight w:val="none"/>
        </w:rPr>
        <w:t>供应商须知前附表</w:t>
      </w:r>
      <w:bookmarkEnd w:id="43"/>
      <w:bookmarkEnd w:id="44"/>
      <w:bookmarkEnd w:id="45"/>
      <w:bookmarkEnd w:id="46"/>
      <w:bookmarkStart w:id="47" w:name="_Toc30070"/>
      <w:bookmarkStart w:id="48" w:name="_Toc12869"/>
      <w:bookmarkStart w:id="49" w:name="_Toc424307744"/>
      <w:bookmarkStart w:id="50" w:name="_Toc18886"/>
      <w:bookmarkStart w:id="51" w:name="_Toc26924"/>
    </w:p>
    <w:tbl>
      <w:tblPr>
        <w:tblStyle w:val="23"/>
        <w:tblW w:w="961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595"/>
      </w:tblGrid>
      <w:tr w14:paraId="278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42BC083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595" w:type="dxa"/>
            <w:noWrap w:val="0"/>
            <w:vAlign w:val="center"/>
          </w:tcPr>
          <w:p w14:paraId="01B7CAE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r>
      <w:tr w14:paraId="6DE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7" w:type="dxa"/>
            <w:noWrap w:val="0"/>
            <w:vAlign w:val="center"/>
          </w:tcPr>
          <w:p w14:paraId="2C07A82C">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95" w:type="dxa"/>
            <w:noWrap w:val="0"/>
            <w:vAlign w:val="center"/>
          </w:tcPr>
          <w:p w14:paraId="30B4F935">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港口区王府街道中心幼儿园维修项目</w:t>
            </w:r>
          </w:p>
          <w:p w14:paraId="778F43D9">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highlight w:val="none"/>
              </w:rPr>
              <w:t>项目编号：</w:t>
            </w:r>
            <w:r>
              <w:rPr>
                <w:rFonts w:hint="eastAsia" w:ascii="宋体" w:hAnsi="宋体" w:eastAsia="宋体" w:cs="宋体"/>
                <w:color w:val="auto"/>
                <w:sz w:val="21"/>
                <w:szCs w:val="21"/>
                <w:highlight w:val="none"/>
              </w:rPr>
              <w:t>FCZC2025-C2-020035-DSGS</w:t>
            </w:r>
          </w:p>
        </w:tc>
      </w:tr>
      <w:tr w14:paraId="18B9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2ED3F0B2">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595" w:type="dxa"/>
            <w:noWrap w:val="0"/>
            <w:vAlign w:val="center"/>
          </w:tcPr>
          <w:p w14:paraId="5B854B1B">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p w14:paraId="0D1F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5BEA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778CB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7BC04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w:t>
            </w:r>
            <w:r>
              <w:rPr>
                <w:rFonts w:hint="eastAsia" w:ascii="宋体" w:hAnsi="宋体" w:cs="宋体"/>
                <w:b/>
                <w:bCs/>
                <w:color w:val="auto"/>
                <w:szCs w:val="21"/>
                <w:highlight w:val="none"/>
                <w:lang w:eastAsia="zh-CN"/>
              </w:rPr>
              <w:t>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46594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6FEC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3BDA182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595" w:type="dxa"/>
            <w:noWrap w:val="0"/>
            <w:vAlign w:val="center"/>
          </w:tcPr>
          <w:p w14:paraId="612084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是否接受联合体竞标</w:t>
            </w:r>
            <w:r>
              <w:rPr>
                <w:rFonts w:hint="eastAsia" w:ascii="宋体" w:hAnsi="宋体" w:eastAsia="宋体" w:cs="宋体"/>
                <w:color w:val="auto"/>
                <w:szCs w:val="21"/>
                <w:highlight w:val="none"/>
                <w:lang w:eastAsia="zh-CN"/>
              </w:rPr>
              <w:t>：</w:t>
            </w:r>
            <w:bookmarkStart w:id="52" w:name="PO_3000001868_PM007"/>
            <w:r>
              <w:rPr>
                <w:rFonts w:hint="eastAsia" w:ascii="宋体" w:hAnsi="宋体" w:eastAsia="宋体" w:cs="宋体"/>
                <w:color w:val="auto"/>
                <w:szCs w:val="21"/>
                <w:highlight w:val="none"/>
              </w:rPr>
              <w:t>详见竞争性磋商公告</w:t>
            </w:r>
            <w:bookmarkEnd w:id="52"/>
            <w:r>
              <w:rPr>
                <w:rFonts w:hint="eastAsia" w:ascii="宋体" w:hAnsi="宋体" w:eastAsia="宋体" w:cs="宋体"/>
                <w:color w:val="auto"/>
                <w:szCs w:val="21"/>
                <w:highlight w:val="none"/>
                <w:lang w:eastAsia="zh-CN"/>
              </w:rPr>
              <w:t>。</w:t>
            </w:r>
          </w:p>
        </w:tc>
      </w:tr>
      <w:tr w14:paraId="5D4D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0C230DE1">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595" w:type="dxa"/>
            <w:noWrap w:val="0"/>
            <w:vAlign w:val="center"/>
          </w:tcPr>
          <w:p w14:paraId="2616ECFE">
            <w:pPr>
              <w:pStyle w:val="9"/>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是否允许分包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不允许分包</w:t>
            </w:r>
            <w:r>
              <w:rPr>
                <w:rFonts w:hint="eastAsia" w:ascii="宋体" w:hAnsi="宋体" w:eastAsia="宋体" w:cs="宋体"/>
                <w:color w:val="auto"/>
                <w:szCs w:val="21"/>
                <w:highlight w:val="none"/>
                <w:lang w:eastAsia="zh-CN"/>
              </w:rPr>
              <w:t>。</w:t>
            </w:r>
          </w:p>
        </w:tc>
      </w:tr>
      <w:tr w14:paraId="4B5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095C4777">
            <w:pPr>
              <w:keepNext w:val="0"/>
              <w:keepLines w:val="0"/>
              <w:pageBreakBefore w:val="0"/>
              <w:widowControl w:val="0"/>
              <w:kinsoku/>
              <w:wordWrap/>
              <w:overflowPunct/>
              <w:topLinePunct w:val="0"/>
              <w:bidi w:val="0"/>
              <w:spacing w:line="42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8.7</w:t>
            </w:r>
          </w:p>
        </w:tc>
        <w:tc>
          <w:tcPr>
            <w:tcW w:w="8595" w:type="dxa"/>
            <w:noWrap w:val="0"/>
            <w:vAlign w:val="center"/>
          </w:tcPr>
          <w:p w14:paraId="4F11470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响应文件的编制</w:t>
            </w:r>
          </w:p>
          <w:p w14:paraId="2FF019E4">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5D781950">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有效营业执照、资质证书、</w:t>
            </w:r>
            <w:r>
              <w:rPr>
                <w:rFonts w:hint="eastAsia" w:ascii="宋体" w:hAnsi="宋体" w:eastAsia="宋体" w:cs="宋体"/>
                <w:bCs/>
                <w:color w:val="auto"/>
                <w:szCs w:val="21"/>
                <w:highlight w:val="none"/>
              </w:rPr>
              <w:t>企业安全生产许可证复印件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239479CF">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第二代身份证正反面复印件、注册建造师证书复印件及安全生产考核合格证（B证）证件复印件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1B039594">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项目经理无在建承诺书原件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6E2616E4">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6151A21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本项目为专门面向小微企业采购的项目。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5219342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243C773">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41F4F223">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FF0A87E">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）已标价工程量清单</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06EB138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w:t>
            </w:r>
            <w:r>
              <w:rPr>
                <w:rFonts w:hint="eastAsia" w:ascii="宋体" w:hAnsi="宋体" w:cs="宋体"/>
                <w:b/>
                <w:bCs/>
                <w:color w:val="auto"/>
                <w:highlight w:val="none"/>
                <w:lang w:val="en-US" w:eastAsia="zh-CN"/>
              </w:rPr>
              <w:t>自拟</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6DEEE021">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10374E35">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48A201BF">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81B72B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授权委托书及代理人有效身份证正反面复印件（如有委托）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4761CA1">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5EF4CEDF">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6E9FD5E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711082B1">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248E930">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98BDF38">
            <w:pPr>
              <w:pStyle w:val="13"/>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w:t>
            </w:r>
          </w:p>
          <w:p w14:paraId="4A69C8F1">
            <w:pPr>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color w:val="auto"/>
                <w:szCs w:val="21"/>
                <w:highlight w:val="none"/>
                <w:lang w:val="en-US" w:eastAsia="zh-CN"/>
              </w:rPr>
              <w:t>（1）</w:t>
            </w:r>
            <w:r>
              <w:rPr>
                <w:rFonts w:hint="eastAsia" w:ascii="宋体" w:hAnsi="宋体" w:cs="宋体"/>
                <w:b/>
                <w:bCs/>
                <w:color w:val="auto"/>
                <w:highlight w:val="none"/>
                <w:lang w:eastAsia="zh-CN"/>
              </w:rPr>
              <w:t>以上标明“必须提供”的材料属于复印件的扫描件的，必须加盖供应商</w:t>
            </w:r>
            <w:r>
              <w:rPr>
                <w:rFonts w:hint="eastAsia" w:ascii="宋体" w:hAnsi="宋体" w:cs="宋体"/>
                <w:b/>
                <w:color w:val="auto"/>
                <w:szCs w:val="21"/>
                <w:highlight w:val="none"/>
                <w:lang w:eastAsia="zh-CN"/>
              </w:rPr>
              <w:t>电子印章</w:t>
            </w:r>
            <w:r>
              <w:rPr>
                <w:rFonts w:hint="eastAsia" w:ascii="宋体" w:hAnsi="宋体" w:cs="宋体"/>
                <w:b/>
                <w:color w:val="auto"/>
                <w:szCs w:val="21"/>
                <w:highlight w:val="none"/>
                <w:lang w:val="en-US" w:eastAsia="zh-CN"/>
              </w:rPr>
              <w:t>，否则响应文件按无效响应处理</w:t>
            </w:r>
            <w:r>
              <w:rPr>
                <w:rFonts w:hint="eastAsia" w:ascii="宋体" w:hAnsi="宋体" w:cs="宋体"/>
                <w:b/>
                <w:bCs/>
                <w:color w:val="auto"/>
                <w:highlight w:val="none"/>
                <w:lang w:eastAsia="zh-CN"/>
              </w:rPr>
              <w:t>。</w:t>
            </w:r>
          </w:p>
          <w:p w14:paraId="01C4D605">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供应商必须使用竞争性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提供的响应文件格式和顺序另行编制响应文件，但表格可以按同样格式扩展。</w:t>
            </w:r>
          </w:p>
          <w:p w14:paraId="0C2ECD02">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文件要求“必须提供”的证明等材料，供应商必须全部提供，缺一不可，否则</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无效。</w:t>
            </w:r>
          </w:p>
        </w:tc>
      </w:tr>
      <w:tr w14:paraId="6F38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7" w:type="dxa"/>
            <w:noWrap w:val="0"/>
            <w:vAlign w:val="center"/>
          </w:tcPr>
          <w:p w14:paraId="6C6A144C">
            <w:pPr>
              <w:keepNext w:val="0"/>
              <w:keepLines w:val="0"/>
              <w:pageBreakBefore w:val="0"/>
              <w:widowControl w:val="0"/>
              <w:kinsoku/>
              <w:wordWrap/>
              <w:overflowPunct/>
              <w:topLinePunct w:val="0"/>
              <w:bidi w:val="0"/>
              <w:spacing w:line="42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595" w:type="dxa"/>
            <w:noWrap w:val="0"/>
            <w:vAlign w:val="center"/>
          </w:tcPr>
          <w:p w14:paraId="7D071AEB">
            <w:pPr>
              <w:pStyle w:val="9"/>
              <w:ind w:firstLine="420" w:firstLineChars="200"/>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.响应文件电子版要求：</w:t>
            </w:r>
            <w:r>
              <w:rPr>
                <w:rFonts w:hint="eastAsia"/>
                <w:color w:val="auto"/>
                <w:highlight w:val="none"/>
              </w:rPr>
              <w:t>按照本竞争性磋商文件“第五章 响应文件格式”编写，第五章未附格式的，由供应商自行拟定。</w:t>
            </w:r>
          </w:p>
          <w:p w14:paraId="5C1F0D88">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.响应文件电子版密封方式：电子响应文件通过平台有效CA加密后在“</w:t>
            </w:r>
            <w:r>
              <w:rPr>
                <w:rFonts w:hint="eastAsia" w:ascii="宋体" w:hAnsi="宋体" w:cs="宋体"/>
                <w:color w:val="auto"/>
                <w:highlight w:val="none"/>
                <w:lang w:val="en-US" w:eastAsia="zh-CN"/>
              </w:rPr>
              <w:t>广西政府采购云</w:t>
            </w:r>
            <w:r>
              <w:rPr>
                <w:rFonts w:hint="eastAsia" w:ascii="宋体" w:hAnsi="宋体" w:eastAsia="宋体" w:cs="宋体"/>
                <w:color w:val="auto"/>
                <w:highlight w:val="none"/>
              </w:rPr>
              <w:t>”平台投送。</w:t>
            </w:r>
          </w:p>
        </w:tc>
      </w:tr>
      <w:tr w14:paraId="74B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16E1A15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8595" w:type="dxa"/>
            <w:noWrap w:val="0"/>
            <w:vAlign w:val="center"/>
          </w:tcPr>
          <w:p w14:paraId="33B89CBC">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：供应商须根据采购人提供的</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eastAsia="zh-CN"/>
              </w:rPr>
              <w:t>清单及图纸编制完整的</w:t>
            </w:r>
            <w:bookmarkStart w:id="53" w:name="OLE_LINK23"/>
            <w:r>
              <w:rPr>
                <w:rFonts w:hint="eastAsia" w:ascii="宋体" w:hAnsi="宋体" w:eastAsia="宋体" w:cs="宋体"/>
                <w:color w:val="auto"/>
                <w:highlight w:val="none"/>
              </w:rPr>
              <w:t>工程量清单</w:t>
            </w:r>
            <w:r>
              <w:rPr>
                <w:rFonts w:hint="eastAsia" w:ascii="宋体" w:hAnsi="宋体" w:eastAsia="宋体" w:cs="宋体"/>
                <w:color w:val="auto"/>
                <w:highlight w:val="none"/>
                <w:lang w:eastAsia="zh-CN"/>
              </w:rPr>
              <w:t>报价文件</w:t>
            </w:r>
            <w:bookmarkEnd w:id="53"/>
            <w:r>
              <w:rPr>
                <w:rFonts w:hint="eastAsia" w:ascii="宋体" w:hAnsi="宋体" w:cs="宋体"/>
                <w:color w:val="auto"/>
                <w:highlight w:val="none"/>
                <w:lang w:eastAsia="zh-CN"/>
              </w:rPr>
              <w:t>。</w:t>
            </w:r>
          </w:p>
        </w:tc>
      </w:tr>
      <w:tr w14:paraId="271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7" w:type="dxa"/>
            <w:noWrap w:val="0"/>
            <w:vAlign w:val="center"/>
          </w:tcPr>
          <w:p w14:paraId="5A6F5F6E">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w:t>
            </w:r>
          </w:p>
        </w:tc>
        <w:tc>
          <w:tcPr>
            <w:tcW w:w="8595" w:type="dxa"/>
            <w:noWrap w:val="0"/>
            <w:vAlign w:val="center"/>
          </w:tcPr>
          <w:p w14:paraId="5847EAED">
            <w:pPr>
              <w:keepNext w:val="0"/>
              <w:keepLines w:val="0"/>
              <w:pageBreakBefore w:val="0"/>
              <w:widowControl w:val="0"/>
              <w:shd w:val="clear" w:color="auto" w:fill="FFFFFF"/>
              <w:kinsoku/>
              <w:wordWrap/>
              <w:overflowPunct/>
              <w:topLinePunct w:val="0"/>
              <w:bidi w:val="0"/>
              <w:spacing w:line="4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竞标</w:t>
            </w:r>
            <w:r>
              <w:rPr>
                <w:rFonts w:hint="eastAsia" w:ascii="宋体" w:hAnsi="宋体" w:eastAsia="宋体" w:cs="宋体"/>
                <w:color w:val="auto"/>
                <w:szCs w:val="21"/>
                <w:highlight w:val="none"/>
              </w:rPr>
              <w:t>有效期：</w:t>
            </w:r>
            <w:r>
              <w:rPr>
                <w:rFonts w:hint="eastAsia" w:ascii="宋体" w:hAnsi="宋体" w:eastAsia="宋体" w:cs="宋体"/>
                <w:color w:val="auto"/>
                <w:spacing w:val="2"/>
                <w:highlight w:val="none"/>
              </w:rPr>
              <w:t>自首次响应文件提交截止时间起至政府采购合同签订之日止。</w:t>
            </w:r>
          </w:p>
        </w:tc>
      </w:tr>
      <w:tr w14:paraId="53B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17" w:type="dxa"/>
            <w:noWrap w:val="0"/>
            <w:vAlign w:val="center"/>
          </w:tcPr>
          <w:p w14:paraId="604CED57">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.1</w:t>
            </w:r>
          </w:p>
        </w:tc>
        <w:tc>
          <w:tcPr>
            <w:tcW w:w="8595" w:type="dxa"/>
            <w:noWrap w:val="0"/>
            <w:vAlign w:val="center"/>
          </w:tcPr>
          <w:p w14:paraId="696EAB6C">
            <w:pPr>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p>
        </w:tc>
      </w:tr>
      <w:tr w14:paraId="02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49375B86">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18</w:t>
            </w:r>
          </w:p>
        </w:tc>
        <w:tc>
          <w:tcPr>
            <w:tcW w:w="8595" w:type="dxa"/>
            <w:noWrap w:val="0"/>
            <w:vAlign w:val="center"/>
          </w:tcPr>
          <w:p w14:paraId="1EB819AC">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首次响应文件提交截止时间：详见竞争性磋商公告。</w:t>
            </w:r>
          </w:p>
          <w:p w14:paraId="6AC62AA9">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首次响应文件提交地点：详见竞争性磋商公告。</w:t>
            </w:r>
          </w:p>
          <w:p w14:paraId="29B1419D">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首次响应文件</w:t>
            </w:r>
            <w:r>
              <w:rPr>
                <w:rFonts w:hint="eastAsia" w:ascii="Times New Roman" w:hAnsi="Times New Roman" w:eastAsia="宋体" w:cs="Times New Roman"/>
                <w:color w:val="auto"/>
                <w:highlight w:val="none"/>
                <w:lang w:eastAsia="zh-CN"/>
              </w:rPr>
              <w:t>开启</w:t>
            </w:r>
            <w:r>
              <w:rPr>
                <w:rFonts w:hint="eastAsia" w:ascii="Times New Roman" w:hAnsi="Times New Roman" w:eastAsia="宋体" w:cs="Times New Roman"/>
                <w:color w:val="auto"/>
                <w:highlight w:val="none"/>
              </w:rPr>
              <w:t>时间</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详见竞争性磋商公告</w:t>
            </w:r>
            <w:r>
              <w:rPr>
                <w:rFonts w:hint="eastAsia" w:ascii="Times New Roman" w:hAnsi="Times New Roman" w:eastAsia="宋体" w:cs="Times New Roman"/>
                <w:color w:val="auto"/>
                <w:highlight w:val="none"/>
                <w:lang w:eastAsia="zh-CN"/>
              </w:rPr>
              <w:t>。</w:t>
            </w:r>
          </w:p>
          <w:p w14:paraId="64D1926A">
            <w:pPr>
              <w:keepNext w:val="0"/>
              <w:keepLines w:val="0"/>
              <w:pageBreakBefore w:val="0"/>
              <w:widowControl w:val="0"/>
              <w:kinsoku/>
              <w:wordWrap/>
              <w:overflowPunct/>
              <w:topLinePunct w:val="0"/>
              <w:bidi w:val="0"/>
              <w:adjustRightInd/>
              <w:snapToGrid w:val="0"/>
              <w:spacing w:line="398" w:lineRule="exact"/>
              <w:ind w:firstLine="420" w:firstLineChars="200"/>
              <w:jc w:val="lef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highlight w:val="none"/>
              </w:rPr>
              <w:t>备份响应文件</w:t>
            </w:r>
            <w:r>
              <w:rPr>
                <w:rFonts w:hint="eastAsia" w:ascii="Times New Roman" w:hAnsi="Times New Roman" w:eastAsia="宋体" w:cs="Times New Roman"/>
                <w:color w:val="auto"/>
                <w:highlight w:val="none"/>
                <w:lang w:eastAsia="zh-CN"/>
              </w:rPr>
              <w:t>：</w:t>
            </w:r>
            <w:r>
              <w:rPr>
                <w:rFonts w:hint="eastAsia" w:ascii="宋体" w:hAnsi="宋体" w:eastAsia="宋体" w:cs="宋体"/>
                <w:color w:val="auto"/>
                <w:szCs w:val="21"/>
                <w:highlight w:val="none"/>
              </w:rPr>
              <w:t>本项目不接受备份响应文件</w:t>
            </w:r>
            <w:r>
              <w:rPr>
                <w:rFonts w:hint="eastAsia" w:ascii="宋体" w:hAnsi="宋体" w:eastAsia="宋体" w:cs="宋体"/>
                <w:color w:val="auto"/>
                <w:szCs w:val="21"/>
                <w:highlight w:val="none"/>
                <w:lang w:eastAsia="zh-CN"/>
              </w:rPr>
              <w:t>。</w:t>
            </w:r>
          </w:p>
        </w:tc>
      </w:tr>
      <w:tr w14:paraId="587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10BCF389">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21</w:t>
            </w:r>
          </w:p>
        </w:tc>
        <w:tc>
          <w:tcPr>
            <w:tcW w:w="8595" w:type="dxa"/>
            <w:noWrap w:val="0"/>
            <w:vAlign w:val="center"/>
          </w:tcPr>
          <w:p w14:paraId="4EA8A7A6">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633F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017" w:type="dxa"/>
            <w:noWrap w:val="0"/>
            <w:vAlign w:val="center"/>
          </w:tcPr>
          <w:p w14:paraId="1A0B5923">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23.3</w:t>
            </w:r>
          </w:p>
        </w:tc>
        <w:tc>
          <w:tcPr>
            <w:tcW w:w="8595" w:type="dxa"/>
            <w:noWrap w:val="0"/>
            <w:vAlign w:val="center"/>
          </w:tcPr>
          <w:p w14:paraId="23664D18">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A02197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2A9ECD1A">
            <w:pPr>
              <w:pStyle w:val="9"/>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color w:val="auto"/>
                <w:szCs w:val="21"/>
                <w:highlight w:val="none"/>
              </w:rPr>
              <w:t>参与磋商前，磋商小组</w:t>
            </w:r>
            <w:r>
              <w:rPr>
                <w:rFonts w:hint="eastAsia" w:ascii="宋体" w:hAnsi="宋体" w:eastAsia="宋体" w:cs="宋体"/>
                <w:b/>
                <w:color w:val="auto"/>
                <w:szCs w:val="21"/>
                <w:highlight w:val="none"/>
                <w:lang w:eastAsia="zh-CN"/>
              </w:rPr>
              <w:t>如有要求，</w:t>
            </w:r>
            <w:r>
              <w:rPr>
                <w:rFonts w:hint="eastAsia" w:ascii="宋体" w:hAnsi="宋体" w:eastAsia="宋体" w:cs="宋体"/>
                <w:b/>
                <w:color w:val="auto"/>
                <w:szCs w:val="21"/>
                <w:highlight w:val="none"/>
              </w:rPr>
              <w:t>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E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7586A07D">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8595" w:type="dxa"/>
            <w:noWrap w:val="0"/>
            <w:vAlign w:val="center"/>
          </w:tcPr>
          <w:p w14:paraId="491B64C3">
            <w:pPr>
              <w:pStyle w:val="9"/>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1C9B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noWrap w:val="0"/>
            <w:vAlign w:val="center"/>
          </w:tcPr>
          <w:p w14:paraId="1B0B514F">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8595" w:type="dxa"/>
            <w:noWrap w:val="0"/>
            <w:vAlign w:val="center"/>
          </w:tcPr>
          <w:p w14:paraId="19F56179">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签订合同携带的材料：</w:t>
            </w:r>
          </w:p>
          <w:p w14:paraId="383117C4">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法定代表人</w:t>
            </w:r>
            <w:r>
              <w:rPr>
                <w:rFonts w:hint="eastAsia"/>
                <w:color w:val="auto"/>
                <w:highlight w:val="none"/>
                <w:lang w:val="en-US" w:eastAsia="zh-CN"/>
              </w:rPr>
              <w:t>签订合同时</w:t>
            </w:r>
            <w:r>
              <w:rPr>
                <w:rFonts w:hint="eastAsia" w:ascii="宋体" w:hAnsi="宋体" w:eastAsia="宋体" w:cs="宋体"/>
                <w:color w:val="auto"/>
                <w:szCs w:val="21"/>
                <w:highlight w:val="none"/>
              </w:rPr>
              <w:t>，须携带法定代表人身份证明原件及身份证原件等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w:t>
            </w:r>
          </w:p>
        </w:tc>
      </w:tr>
      <w:tr w14:paraId="3EC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17" w:type="dxa"/>
            <w:vMerge w:val="restart"/>
            <w:noWrap w:val="0"/>
            <w:vAlign w:val="center"/>
          </w:tcPr>
          <w:p w14:paraId="3283C723">
            <w:pPr>
              <w:keepNext w:val="0"/>
              <w:keepLines w:val="0"/>
              <w:pageBreakBefore w:val="0"/>
              <w:widowControl w:val="0"/>
              <w:kinsoku/>
              <w:wordWrap/>
              <w:overflowPunct/>
              <w:topLinePunct w:val="0"/>
              <w:bidi w:val="0"/>
              <w:adjustRightInd/>
              <w:spacing w:line="398"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8595" w:type="dxa"/>
            <w:noWrap w:val="0"/>
            <w:vAlign w:val="center"/>
          </w:tcPr>
          <w:p w14:paraId="3527E24E">
            <w:pPr>
              <w:keepNext w:val="0"/>
              <w:keepLines w:val="0"/>
              <w:pageBreakBefore w:val="0"/>
              <w:widowControl w:val="0"/>
              <w:kinsoku/>
              <w:wordWrap/>
              <w:overflowPunct/>
              <w:topLinePunct w:val="0"/>
              <w:bidi w:val="0"/>
              <w:adjustRightInd/>
              <w:snapToGrid w:val="0"/>
              <w:spacing w:line="398" w:lineRule="exact"/>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接收质疑函方式</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以书面形式</w:t>
            </w:r>
          </w:p>
        </w:tc>
      </w:tr>
      <w:tr w14:paraId="2C9E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382E8A49">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23DB742F">
            <w:pPr>
              <w:spacing w:line="380" w:lineRule="exact"/>
              <w:ind w:firstLine="422" w:firstLineChars="200"/>
              <w:jc w:val="both"/>
              <w:rPr>
                <w:rFonts w:hint="eastAsia" w:ascii="Times New Roman" w:hAnsi="Times New Roman" w:eastAsia="宋体" w:cs="Times New Roman"/>
                <w:b/>
                <w:bCs/>
                <w:color w:val="auto"/>
                <w:highlight w:val="none"/>
                <w:lang w:eastAsia="zh-CN"/>
              </w:rPr>
            </w:pPr>
            <w:r>
              <w:rPr>
                <w:rFonts w:hint="eastAsia"/>
                <w:b/>
                <w:bCs/>
                <w:color w:val="auto"/>
                <w:highlight w:val="none"/>
              </w:rPr>
              <w:t>质</w:t>
            </w:r>
            <w:r>
              <w:rPr>
                <w:rFonts w:hint="eastAsia" w:ascii="Times New Roman" w:hAnsi="Times New Roman" w:eastAsia="宋体" w:cs="Times New Roman"/>
                <w:b/>
                <w:bCs/>
                <w:color w:val="auto"/>
                <w:highlight w:val="none"/>
              </w:rPr>
              <w:t>疑联系部门及联系方式</w:t>
            </w:r>
            <w:r>
              <w:rPr>
                <w:rFonts w:hint="eastAsia" w:ascii="Times New Roman" w:hAnsi="Times New Roman" w:eastAsia="宋体" w:cs="Times New Roman"/>
                <w:b/>
                <w:bCs/>
                <w:color w:val="auto"/>
                <w:highlight w:val="none"/>
                <w:lang w:eastAsia="zh-CN"/>
              </w:rPr>
              <w:t>：</w:t>
            </w:r>
          </w:p>
          <w:p w14:paraId="53A2C9A0">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名称：</w:t>
            </w:r>
            <w:r>
              <w:rPr>
                <w:rFonts w:hint="eastAsia" w:ascii="宋体" w:hAnsi="宋体" w:cs="宋体"/>
                <w:color w:val="auto"/>
                <w:kern w:val="0"/>
                <w:sz w:val="21"/>
                <w:szCs w:val="21"/>
                <w:highlight w:val="none"/>
                <w:lang w:val="en-US" w:eastAsia="zh-CN"/>
              </w:rPr>
              <w:t>防城港市港口区教育局</w:t>
            </w:r>
          </w:p>
          <w:p w14:paraId="080ECCC1">
            <w:pPr>
              <w:spacing w:line="38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地    址：</w:t>
            </w:r>
            <w:r>
              <w:rPr>
                <w:rFonts w:hint="eastAsia" w:ascii="宋体" w:hAnsi="宋体"/>
                <w:color w:val="auto"/>
                <w:szCs w:val="21"/>
              </w:rPr>
              <w:t>广西防城港市港口区兴教路88号</w:t>
            </w:r>
          </w:p>
          <w:p w14:paraId="351931A6">
            <w:pPr>
              <w:keepNext w:val="0"/>
              <w:keepLines w:val="0"/>
              <w:pageBreakBefore w:val="0"/>
              <w:widowControl w:val="0"/>
              <w:kinsoku/>
              <w:wordWrap/>
              <w:overflowPunct/>
              <w:topLinePunct w:val="0"/>
              <w:bidi w:val="0"/>
              <w:spacing w:line="42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联系方式：</w:t>
            </w:r>
            <w:r>
              <w:rPr>
                <w:rFonts w:hint="eastAsia" w:ascii="宋体" w:hAnsi="宋体"/>
                <w:color w:val="auto"/>
                <w:szCs w:val="21"/>
                <w:lang w:val="en-US" w:eastAsia="zh-CN"/>
              </w:rPr>
              <w:t>李强；0770-2810070</w:t>
            </w:r>
          </w:p>
          <w:p w14:paraId="5FC426E5">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名称：</w:t>
            </w:r>
            <w:r>
              <w:rPr>
                <w:rFonts w:hint="eastAsia" w:ascii="宋体" w:hAnsi="宋体" w:eastAsia="宋体" w:cs="宋体"/>
                <w:color w:val="auto"/>
                <w:sz w:val="21"/>
                <w:szCs w:val="21"/>
                <w:highlight w:val="none"/>
                <w:lang w:val="en-US" w:eastAsia="zh-CN"/>
              </w:rPr>
              <w:t>广西德胜工程项目管理有限公司</w:t>
            </w:r>
          </w:p>
          <w:p w14:paraId="557F78CD">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sz w:val="21"/>
                <w:szCs w:val="21"/>
                <w:highlight w:val="none"/>
                <w:lang w:val="en-US" w:eastAsia="zh-CN"/>
              </w:rPr>
              <w:t>何婕、15277196081</w:t>
            </w:r>
          </w:p>
          <w:p w14:paraId="132AAC7C">
            <w:pPr>
              <w:spacing w:line="38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通讯地址：</w:t>
            </w:r>
            <w:r>
              <w:rPr>
                <w:rFonts w:hint="eastAsia" w:ascii="宋体" w:hAnsi="宋体" w:eastAsia="宋体" w:cs="宋体"/>
                <w:color w:val="auto"/>
                <w:sz w:val="21"/>
                <w:szCs w:val="21"/>
                <w:highlight w:val="none"/>
                <w:lang w:val="en-US" w:eastAsia="zh-CN"/>
              </w:rPr>
              <w:t>防城港市港口区西湾广场越秀小区B35号三楼</w:t>
            </w:r>
          </w:p>
        </w:tc>
      </w:tr>
      <w:tr w14:paraId="6B8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291448FB">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5CA2E1E8">
            <w:pPr>
              <w:spacing w:line="380" w:lineRule="exact"/>
              <w:jc w:val="both"/>
              <w:rPr>
                <w:rFonts w:hint="eastAsia" w:ascii="宋体" w:hAnsi="宋体" w:eastAsia="宋体" w:cs="宋体"/>
                <w:color w:val="auto"/>
                <w:szCs w:val="21"/>
                <w:highlight w:val="none"/>
                <w:lang w:eastAsia="zh-CN"/>
              </w:rPr>
            </w:pPr>
            <w:r>
              <w:rPr>
                <w:rFonts w:hint="eastAsia" w:ascii="宋体" w:hAnsi="宋体" w:eastAsia="宋体" w:cs="宋体"/>
                <w:b/>
                <w:bCs/>
                <w:color w:val="auto"/>
                <w:highlight w:val="none"/>
              </w:rPr>
              <w:t>现场提交质疑办理业务时间</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273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7" w:type="dxa"/>
            <w:vMerge w:val="continue"/>
            <w:noWrap w:val="0"/>
            <w:vAlign w:val="center"/>
          </w:tcPr>
          <w:p w14:paraId="43D1B14E">
            <w:pPr>
              <w:keepNext w:val="0"/>
              <w:keepLines w:val="0"/>
              <w:pageBreakBefore w:val="0"/>
              <w:widowControl w:val="0"/>
              <w:kinsoku/>
              <w:wordWrap/>
              <w:overflowPunct/>
              <w:topLinePunct w:val="0"/>
              <w:bidi w:val="0"/>
              <w:adjustRightInd/>
              <w:spacing w:line="398" w:lineRule="exact"/>
              <w:jc w:val="center"/>
              <w:rPr>
                <w:rFonts w:hint="eastAsia" w:ascii="宋体" w:hAnsi="宋体" w:cs="宋体"/>
                <w:color w:val="auto"/>
                <w:szCs w:val="21"/>
                <w:highlight w:val="none"/>
                <w:lang w:val="en-US" w:eastAsia="zh-CN"/>
              </w:rPr>
            </w:pPr>
          </w:p>
        </w:tc>
        <w:tc>
          <w:tcPr>
            <w:tcW w:w="8595" w:type="dxa"/>
            <w:noWrap w:val="0"/>
            <w:vAlign w:val="center"/>
          </w:tcPr>
          <w:p w14:paraId="416ABFDA">
            <w:pPr>
              <w:spacing w:line="380" w:lineRule="exact"/>
              <w:ind w:firstLine="422" w:firstLineChars="200"/>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受理投诉方式</w:t>
            </w:r>
            <w:r>
              <w:rPr>
                <w:rFonts w:hint="eastAsia" w:ascii="宋体" w:hAnsi="宋体" w:eastAsia="宋体" w:cs="宋体"/>
                <w:b/>
                <w:bCs/>
                <w:color w:val="auto"/>
                <w:highlight w:val="none"/>
                <w:lang w:eastAsia="zh-CN"/>
              </w:rPr>
              <w:t>：</w:t>
            </w:r>
          </w:p>
          <w:p w14:paraId="79AEA2FE">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1.受理方式：纸质方式受理，投诉书正、副本（经过质疑的事项才可投诉）。</w:t>
            </w:r>
          </w:p>
          <w:p w14:paraId="4E72FB6C">
            <w:pPr>
              <w:spacing w:line="380" w:lineRule="exact"/>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2.通讯方式</w:t>
            </w:r>
          </w:p>
          <w:p w14:paraId="5F4C2DC4">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名称：</w:t>
            </w:r>
            <w:r>
              <w:rPr>
                <w:rFonts w:hint="eastAsia" w:ascii="宋体" w:hAnsi="宋体"/>
                <w:color w:val="auto"/>
                <w:kern w:val="0"/>
                <w:szCs w:val="21"/>
              </w:rPr>
              <w:t>防城港市港口区政府采购管理办公室</w:t>
            </w:r>
          </w:p>
          <w:p w14:paraId="34EF18B8">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地址：</w:t>
            </w:r>
            <w:r>
              <w:rPr>
                <w:rFonts w:hint="eastAsia" w:ascii="宋体" w:hAnsi="宋体"/>
                <w:color w:val="auto"/>
                <w:szCs w:val="21"/>
              </w:rPr>
              <w:t>广西防城港市港口区</w:t>
            </w:r>
            <w:r>
              <w:rPr>
                <w:rFonts w:hint="eastAsia" w:ascii="宋体" w:hAnsi="宋体"/>
                <w:color w:val="auto"/>
                <w:szCs w:val="21"/>
                <w:lang w:val="en-US" w:eastAsia="zh-CN"/>
              </w:rPr>
              <w:t>渔洲坪建政路</w:t>
            </w:r>
          </w:p>
          <w:p w14:paraId="75C39955">
            <w:pPr>
              <w:spacing w:line="380" w:lineRule="exact"/>
              <w:ind w:firstLine="420" w:firstLineChars="200"/>
              <w:jc w:val="both"/>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联系电话：0770-6106362</w:t>
            </w:r>
          </w:p>
        </w:tc>
      </w:tr>
      <w:tr w14:paraId="513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A1D7F3C">
            <w:pPr>
              <w:keepNext w:val="0"/>
              <w:keepLines w:val="0"/>
              <w:pageBreakBefore w:val="0"/>
              <w:widowControl w:val="0"/>
              <w:kinsoku/>
              <w:wordWrap/>
              <w:overflowPunct/>
              <w:topLinePunct w:val="0"/>
              <w:bidi w:val="0"/>
              <w:spacing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31.1</w:t>
            </w:r>
          </w:p>
        </w:tc>
        <w:tc>
          <w:tcPr>
            <w:tcW w:w="8595" w:type="dxa"/>
            <w:noWrap w:val="0"/>
            <w:vAlign w:val="center"/>
          </w:tcPr>
          <w:p w14:paraId="57C0D0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54153EA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72D0AE8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4C10A44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代理服务费由成交供应商在签订合同前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752EE3C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（支付方式）。</w:t>
            </w:r>
          </w:p>
          <w:p w14:paraId="0377A5E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费收取标准：</w:t>
            </w:r>
          </w:p>
          <w:p w14:paraId="4F94432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kern w:val="0"/>
                <w:szCs w:val="21"/>
                <w:highlight w:val="none"/>
                <w:lang w:val="en-US" w:eastAsia="zh-CN"/>
              </w:rPr>
              <w:t>本须知正文第3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.2条规定的收费计算标准</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u w:val="single"/>
                <w:lang w:val="en-US" w:eastAsia="zh-CN"/>
              </w:rPr>
              <w:t>工程</w:t>
            </w:r>
            <w:r>
              <w:rPr>
                <w:rFonts w:hint="eastAsia" w:ascii="宋体" w:hAnsi="宋体" w:eastAsia="宋体" w:cs="宋体"/>
                <w:b/>
                <w:bCs/>
                <w:color w:val="auto"/>
                <w:kern w:val="0"/>
                <w:szCs w:val="21"/>
                <w:highlight w:val="none"/>
                <w:u w:val="single"/>
              </w:rPr>
              <w:t>类</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p>
          <w:p w14:paraId="39A8BED2">
            <w:pPr>
              <w:snapToGrid w:val="0"/>
              <w:spacing w:line="360" w:lineRule="auto"/>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w:t>
            </w:r>
          </w:p>
          <w:p w14:paraId="28D49DF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340D7F9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w:t>
            </w:r>
            <w:r>
              <w:rPr>
                <w:rFonts w:hint="eastAsia" w:hAnsi="宋体" w:eastAsia="宋体" w:cs="宋体"/>
                <w:color w:val="auto"/>
                <w:szCs w:val="21"/>
                <w:highlight w:val="none"/>
                <w:lang w:eastAsia="zh-CN"/>
              </w:rPr>
              <w:t>广西德胜工程项目管理有限公司</w:t>
            </w:r>
          </w:p>
          <w:p w14:paraId="39B6529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szCs w:val="21"/>
                <w:highlight w:val="none"/>
                <w:lang w:val="en-US" w:eastAsia="zh-CN"/>
              </w:rPr>
              <w:t>广西北部湾银行防城港支行</w:t>
            </w:r>
          </w:p>
          <w:p w14:paraId="63942D9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账号</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800060765499999</w:t>
            </w:r>
          </w:p>
        </w:tc>
      </w:tr>
      <w:tr w14:paraId="0545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03144076">
            <w:pPr>
              <w:keepNext w:val="0"/>
              <w:keepLines w:val="0"/>
              <w:pageBreakBefore w:val="0"/>
              <w:widowControl w:val="0"/>
              <w:kinsoku/>
              <w:wordWrap/>
              <w:overflowPunct/>
              <w:topLinePunct w:val="0"/>
              <w:bidi w:val="0"/>
              <w:adjustRightInd/>
              <w:spacing w:line="398"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32.1</w:t>
            </w:r>
          </w:p>
        </w:tc>
        <w:tc>
          <w:tcPr>
            <w:tcW w:w="8595" w:type="dxa"/>
            <w:noWrap w:val="0"/>
            <w:vAlign w:val="center"/>
          </w:tcPr>
          <w:p w14:paraId="14A74E8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磋商文件的各个组成文件应互为解释，互为说明；除</w:t>
            </w:r>
            <w:r>
              <w:rPr>
                <w:rFonts w:hint="eastAsia" w:ascii="宋体" w:hAnsi="宋体" w:eastAsia="宋体" w:cs="宋体"/>
                <w:color w:val="auto"/>
                <w:kern w:val="0"/>
                <w:szCs w:val="21"/>
                <w:highlight w:val="none"/>
                <w:lang w:eastAsia="zh-CN"/>
              </w:rPr>
              <w:t>竞争性</w:t>
            </w:r>
            <w:r>
              <w:rPr>
                <w:rFonts w:hint="eastAsia" w:ascii="宋体" w:hAnsi="宋体" w:eastAsia="宋体" w:cs="宋体"/>
                <w:color w:val="auto"/>
                <w:kern w:val="0"/>
                <w:szCs w:val="21"/>
                <w:highlight w:val="none"/>
              </w:rPr>
              <w:t>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6AAD7F3F">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6B56A52E">
            <w:pPr>
              <w:pStyle w:val="13"/>
              <w:keepNext w:val="0"/>
              <w:keepLines w:val="0"/>
              <w:pageBreakBefore w:val="0"/>
              <w:widowControl w:val="0"/>
              <w:kinsoku/>
              <w:wordWrap/>
              <w:overflowPunct/>
              <w:topLinePunct w:val="0"/>
              <w:bidi w:val="0"/>
              <w:adjustRightInd/>
              <w:snapToGrid w:val="0"/>
              <w:spacing w:line="398"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本采购文件根据《中华人民共和国政府采购法》、《中华人民共和国民法典</w:t>
            </w:r>
            <w:r>
              <w:rPr>
                <w:rFonts w:hint="eastAsia"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w:t>
            </w:r>
            <w:r>
              <w:rPr>
                <w:rFonts w:hint="eastAsia"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政府采购竞争性磋商采购方式管理暂行办法》等有关</w:t>
            </w:r>
            <w:r>
              <w:rPr>
                <w:rFonts w:hint="eastAsia" w:hAnsi="宋体" w:cs="宋体"/>
                <w:color w:val="auto"/>
                <w:kern w:val="0"/>
                <w:szCs w:val="21"/>
                <w:highlight w:val="none"/>
                <w:lang w:eastAsia="zh-CN"/>
              </w:rPr>
              <w:t>法律法规</w:t>
            </w:r>
            <w:r>
              <w:rPr>
                <w:rFonts w:hint="eastAsia" w:ascii="宋体" w:hAnsi="宋体" w:eastAsia="宋体" w:cs="宋体"/>
                <w:color w:val="auto"/>
                <w:kern w:val="0"/>
                <w:szCs w:val="21"/>
                <w:highlight w:val="none"/>
              </w:rPr>
              <w:t>编制，参与本项目的各政府采购当事人依法享有上述法律法规所赋予的权利与义务。</w:t>
            </w:r>
          </w:p>
        </w:tc>
      </w:tr>
      <w:tr w14:paraId="02A4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7" w:type="dxa"/>
            <w:noWrap w:val="0"/>
            <w:vAlign w:val="center"/>
          </w:tcPr>
          <w:p w14:paraId="692234F5">
            <w:pPr>
              <w:keepNext w:val="0"/>
              <w:keepLines w:val="0"/>
              <w:pageBreakBefore w:val="0"/>
              <w:widowControl w:val="0"/>
              <w:kinsoku/>
              <w:wordWrap/>
              <w:overflowPunct/>
              <w:topLinePunct w:val="0"/>
              <w:bidi w:val="0"/>
              <w:adjustRightInd/>
              <w:spacing w:line="398"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r>
              <w:rPr>
                <w:rFonts w:ascii="宋体" w:hAnsi="宋体" w:cs="宋体"/>
                <w:color w:val="auto"/>
                <w:szCs w:val="21"/>
                <w:highlight w:val="none"/>
              </w:rPr>
              <w:t>.</w:t>
            </w:r>
            <w:r>
              <w:rPr>
                <w:rFonts w:hint="eastAsia" w:ascii="宋体" w:hAnsi="宋体" w:cs="宋体"/>
                <w:color w:val="auto"/>
                <w:szCs w:val="21"/>
                <w:highlight w:val="none"/>
                <w:lang w:val="en-US" w:eastAsia="zh-CN"/>
              </w:rPr>
              <w:t>2</w:t>
            </w:r>
          </w:p>
        </w:tc>
        <w:tc>
          <w:tcPr>
            <w:tcW w:w="8595" w:type="dxa"/>
            <w:noWrap w:val="0"/>
            <w:vAlign w:val="center"/>
          </w:tcPr>
          <w:p w14:paraId="0112AA54">
            <w:pPr>
              <w:pStyle w:val="9"/>
              <w:spacing w:line="360" w:lineRule="auto"/>
              <w:ind w:firstLine="422" w:firstLineChars="200"/>
              <w:rPr>
                <w:rFonts w:hint="eastAsia" w:ascii="宋体" w:hAnsi="宋体" w:eastAsia="宋体" w:cs="宋体"/>
                <w:b/>
                <w:bCs/>
                <w:color w:val="auto"/>
                <w:kern w:val="2"/>
                <w:szCs w:val="21"/>
                <w:highlight w:val="none"/>
                <w:lang w:val="en-US" w:eastAsia="zh-CN"/>
              </w:rPr>
            </w:pPr>
            <w:r>
              <w:rPr>
                <w:rFonts w:hint="eastAsia" w:ascii="宋体" w:hAnsi="宋体" w:eastAsia="宋体" w:cs="宋体"/>
                <w:b/>
                <w:bCs/>
                <w:color w:val="auto"/>
                <w:kern w:val="2"/>
                <w:szCs w:val="21"/>
                <w:highlight w:val="none"/>
                <w:lang w:val="en-US" w:eastAsia="zh-CN"/>
              </w:rPr>
              <w:t>其他：</w:t>
            </w:r>
          </w:p>
          <w:p w14:paraId="0254140E">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0A18F003">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24E3311D">
            <w:pPr>
              <w:pStyle w:val="9"/>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3.本竞争性磋商文件所称的“电子签章”“电子签名”，是指经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1310CAF2">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68C04616">
            <w:pPr>
              <w:pStyle w:val="9"/>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规定盖公章处由自然人摁手指指印。</w:t>
            </w:r>
          </w:p>
          <w:p w14:paraId="10892F36">
            <w:pPr>
              <w:pStyle w:val="13"/>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竞争性磋商文件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2D7AC214">
      <w:pPr>
        <w:pStyle w:val="21"/>
        <w:shd w:val="clear" w:color="auto" w:fill="FFFFFF"/>
        <w:spacing w:before="0" w:after="0" w:line="600" w:lineRule="exact"/>
        <w:ind w:firstLine="723" w:firstLineChars="200"/>
        <w:jc w:val="center"/>
        <w:outlineLvl w:val="9"/>
        <w:rPr>
          <w:rFonts w:hint="eastAsia" w:ascii="宋体" w:hAnsi="宋体" w:eastAsia="宋体" w:cs="宋体"/>
          <w:b/>
          <w:bCs w:val="0"/>
          <w:color w:val="auto"/>
          <w:spacing w:val="2"/>
          <w:highlight w:val="none"/>
        </w:rPr>
      </w:pPr>
      <w:bookmarkStart w:id="54" w:name="_Toc24118"/>
      <w:bookmarkStart w:id="55" w:name="_Toc22651"/>
      <w:r>
        <w:rPr>
          <w:rFonts w:hint="eastAsia" w:ascii="宋体" w:hAnsi="宋体" w:eastAsia="宋体" w:cs="宋体"/>
          <w:b/>
          <w:bCs w:val="0"/>
          <w:color w:val="auto"/>
          <w:sz w:val="36"/>
          <w:szCs w:val="36"/>
          <w:highlight w:val="none"/>
        </w:rPr>
        <w:t>供应商须知</w:t>
      </w:r>
      <w:bookmarkEnd w:id="47"/>
      <w:bookmarkEnd w:id="48"/>
      <w:bookmarkEnd w:id="49"/>
      <w:bookmarkEnd w:id="50"/>
      <w:bookmarkEnd w:id="51"/>
      <w:bookmarkEnd w:id="54"/>
      <w:bookmarkEnd w:id="55"/>
    </w:p>
    <w:p w14:paraId="2C43AE8B">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bookmarkStart w:id="56" w:name="_Toc424307479"/>
      <w:bookmarkStart w:id="57" w:name="_Toc424307746"/>
      <w:r>
        <w:rPr>
          <w:rFonts w:hint="eastAsia" w:ascii="宋体" w:hAnsi="宋体" w:eastAsia="宋体" w:cs="宋体"/>
          <w:b/>
          <w:bCs/>
          <w:color w:val="auto"/>
          <w:spacing w:val="2"/>
          <w:highlight w:val="none"/>
        </w:rPr>
        <w:t>一、总  则</w:t>
      </w:r>
    </w:p>
    <w:p w14:paraId="32811726">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r>
        <w:rPr>
          <w:rFonts w:hint="eastAsia" w:ascii="宋体" w:hAnsi="宋体" w:cs="宋体"/>
          <w:b/>
          <w:bCs/>
          <w:color w:val="auto"/>
          <w:highlight w:val="none"/>
        </w:rPr>
        <w:t>1.项目名称、项目编号：</w:t>
      </w:r>
    </w:p>
    <w:p w14:paraId="26F09336">
      <w:pPr>
        <w:keepNext w:val="0"/>
        <w:keepLines w:val="0"/>
        <w:pageBreakBefore w:val="0"/>
        <w:kinsoku/>
        <w:wordWrap/>
        <w:overflowPunct/>
        <w:topLinePunct w:val="0"/>
        <w:autoSpaceDE/>
        <w:autoSpaceDN/>
        <w:bidi w:val="0"/>
        <w:spacing w:line="452" w:lineRule="exact"/>
        <w:ind w:right="97" w:rightChars="46" w:firstLine="420" w:firstLineChars="200"/>
        <w:textAlignment w:val="auto"/>
        <w:rPr>
          <w:rFonts w:hint="eastAsia" w:ascii="宋体" w:hAnsi="宋体" w:eastAsia="宋体" w:cs="宋体"/>
          <w:color w:val="auto"/>
          <w:highlight w:val="none"/>
          <w:lang w:eastAsia="zh-CN"/>
        </w:rPr>
      </w:pPr>
      <w:r>
        <w:rPr>
          <w:rFonts w:hint="eastAsia" w:ascii="宋体" w:hAnsi="宋体" w:cs="宋体"/>
          <w:b w:val="0"/>
          <w:bCs w:val="0"/>
          <w:color w:val="auto"/>
          <w:highlight w:val="none"/>
          <w:lang w:val="en-US" w:eastAsia="zh-CN"/>
        </w:rPr>
        <w:t>详见前附表第1项所述。</w:t>
      </w:r>
      <w:r>
        <w:rPr>
          <w:rFonts w:hint="eastAsia" w:ascii="宋体" w:hAnsi="宋体" w:cs="宋体"/>
          <w:b w:val="0"/>
          <w:bCs w:val="0"/>
          <w:color w:val="auto"/>
          <w:highlight w:val="none"/>
        </w:rPr>
        <w:t xml:space="preserve"> </w:t>
      </w:r>
      <w:bookmarkStart w:id="58" w:name="_Toc115703391"/>
    </w:p>
    <w:p w14:paraId="7492A902">
      <w:pPr>
        <w:keepNext w:val="0"/>
        <w:keepLines w:val="0"/>
        <w:pageBreakBefore w:val="0"/>
        <w:kinsoku/>
        <w:wordWrap/>
        <w:overflowPunct/>
        <w:topLinePunct w:val="0"/>
        <w:autoSpaceDE/>
        <w:autoSpaceDN/>
        <w:bidi w:val="0"/>
        <w:spacing w:line="452" w:lineRule="exact"/>
        <w:ind w:right="97" w:rightChars="46" w:firstLine="422" w:firstLineChars="200"/>
        <w:textAlignment w:val="auto"/>
        <w:rPr>
          <w:rFonts w:hint="eastAsia" w:ascii="宋体" w:hAnsi="宋体" w:cs="宋体"/>
          <w:b/>
          <w:bCs/>
          <w:color w:val="auto"/>
          <w:highlight w:val="none"/>
        </w:rPr>
      </w:pPr>
      <w:bookmarkStart w:id="59" w:name="_Toc128731525"/>
      <w:r>
        <w:rPr>
          <w:rFonts w:hint="eastAsia" w:ascii="宋体" w:hAnsi="宋体" w:cs="宋体"/>
          <w:b/>
          <w:bCs/>
          <w:color w:val="auto"/>
          <w:highlight w:val="none"/>
        </w:rPr>
        <w:t>2.供应商资格要求：</w:t>
      </w:r>
      <w:bookmarkEnd w:id="58"/>
      <w:bookmarkEnd w:id="59"/>
    </w:p>
    <w:p w14:paraId="264B5A38">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供应商资格要求见前附表第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项所述</w:t>
      </w:r>
      <w:r>
        <w:rPr>
          <w:rFonts w:hint="eastAsia" w:ascii="宋体" w:hAnsi="宋体" w:eastAsia="宋体" w:cs="宋体"/>
          <w:color w:val="auto"/>
          <w:highlight w:val="none"/>
          <w:lang w:eastAsia="zh-CN"/>
        </w:rPr>
        <w:t>。</w:t>
      </w:r>
    </w:p>
    <w:p w14:paraId="2FCABE25">
      <w:pPr>
        <w:keepNext w:val="0"/>
        <w:keepLines w:val="0"/>
        <w:pageBreakBefore w:val="0"/>
        <w:shd w:val="clear" w:color="auto" w:fill="FFFFFF"/>
        <w:kinsoku/>
        <w:wordWrap/>
        <w:overflowPunct/>
        <w:topLinePunct w:val="0"/>
        <w:autoSpaceDE/>
        <w:autoSpaceDN/>
        <w:bidi w:val="0"/>
        <w:spacing w:line="452"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3</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费用</w:t>
      </w:r>
    </w:p>
    <w:p w14:paraId="57E3EADB">
      <w:pPr>
        <w:keepNext w:val="0"/>
        <w:keepLines w:val="0"/>
        <w:pageBreakBefore w:val="0"/>
        <w:widowControl/>
        <w:shd w:val="clear" w:color="auto" w:fill="FFFFFF"/>
        <w:kinsoku/>
        <w:wordWrap/>
        <w:overflowPunct/>
        <w:topLinePunct w:val="0"/>
        <w:autoSpaceDE/>
        <w:autoSpaceDN/>
        <w:bidi w:val="0"/>
        <w:snapToGrid w:val="0"/>
        <w:spacing w:line="452" w:lineRule="exact"/>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szCs w:val="21"/>
          <w:highlight w:val="none"/>
        </w:rPr>
        <w:t>供应商应承担参与本次采购活动有关的所有费用</w:t>
      </w:r>
      <w:r>
        <w:rPr>
          <w:rFonts w:hint="eastAsia" w:ascii="宋体" w:hAnsi="宋体" w:eastAsia="宋体" w:cs="宋体"/>
          <w:color w:val="auto"/>
          <w:sz w:val="21"/>
          <w:szCs w:val="21"/>
          <w:highlight w:val="none"/>
        </w:rPr>
        <w:t>。不管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结果如何，采购代理机构对上述费用不负任何责任</w:t>
      </w:r>
      <w:r>
        <w:rPr>
          <w:rFonts w:hint="eastAsia" w:ascii="宋体" w:hAnsi="宋体" w:eastAsia="宋体" w:cs="宋体"/>
          <w:color w:val="auto"/>
          <w:sz w:val="21"/>
          <w:szCs w:val="21"/>
          <w:highlight w:val="none"/>
          <w:lang w:eastAsia="zh-CN"/>
        </w:rPr>
        <w:t>。</w:t>
      </w:r>
    </w:p>
    <w:p w14:paraId="39513FAD">
      <w:pPr>
        <w:pStyle w:val="13"/>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.联合体竞标</w:t>
      </w:r>
    </w:p>
    <w:p w14:paraId="27B47BB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.1本项目是否接受联合体竞标，详见“供应商须知前附表”。</w:t>
      </w:r>
    </w:p>
    <w:p w14:paraId="54A14BCA">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.2如接受联合体竞标，联合体竞标要求详见“供应商须知前附表”。</w:t>
      </w:r>
    </w:p>
    <w:p w14:paraId="1172C1F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.3根据《政府采购促进中小企业发展管理办法》（财库</w:t>
      </w:r>
      <w:r>
        <w:rPr>
          <w:rFonts w:hint="eastAsia" w:ascii="宋体" w:hAnsi="宋体" w:cs="宋体"/>
          <w:color w:val="auto"/>
          <w:highlight w:val="none"/>
          <w:lang w:eastAsia="zh-CN"/>
        </w:rPr>
        <w:t>〔2020〕46号</w:t>
      </w:r>
      <w:r>
        <w:rPr>
          <w:rFonts w:hint="eastAsia" w:ascii="宋体" w:hAnsi="宋体" w:eastAsia="宋体" w:cs="宋体"/>
          <w:color w:val="auto"/>
          <w:highlight w:val="none"/>
          <w:lang w:eastAsia="zh-CN"/>
        </w:rPr>
        <w:t xml:space="preserve">）第九条及《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%的扣除，用扣除后的价格参加评审。组成联合体的小微企业与联合体内其他企业、分包企业之间存在直接控股、管理关系的，不享受价格扣除优惠政策。</w:t>
      </w:r>
    </w:p>
    <w:p w14:paraId="2A2FC07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14:paraId="70351548">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.1本项目不允许转包。</w:t>
      </w:r>
    </w:p>
    <w:p w14:paraId="26E567CD">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本项目是否允许分包详见“供应商须知前附表”，本项目不允许违法分包。</w:t>
      </w:r>
    </w:p>
    <w:p w14:paraId="0B1677CB">
      <w:pPr>
        <w:keepNext w:val="0"/>
        <w:keepLines w:val="0"/>
        <w:pageBreakBefore w:val="0"/>
        <w:widowControl/>
        <w:shd w:val="clear" w:color="auto" w:fill="FFFFFF"/>
        <w:kinsoku/>
        <w:wordWrap/>
        <w:overflowPunct/>
        <w:topLinePunct w:val="0"/>
        <w:autoSpaceDE/>
        <w:autoSpaceDN/>
        <w:bidi w:val="0"/>
        <w:snapToGrid w:val="0"/>
        <w:spacing w:line="440" w:lineRule="exact"/>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根据《政府采购促进中小企业发展管理办法》（财库</w:t>
      </w:r>
      <w:r>
        <w:rPr>
          <w:rFonts w:hint="eastAsia" w:ascii="宋体" w:hAnsi="宋体" w:cs="宋体"/>
          <w:color w:val="auto"/>
          <w:highlight w:val="none"/>
          <w:lang w:eastAsia="zh-CN"/>
        </w:rPr>
        <w:t>〔2020〕46号</w:t>
      </w:r>
      <w:r>
        <w:rPr>
          <w:rFonts w:hint="eastAsia" w:ascii="宋体" w:hAnsi="宋体" w:eastAsia="宋体" w:cs="宋体"/>
          <w:color w:val="auto"/>
          <w:highlight w:val="none"/>
          <w:lang w:eastAsia="zh-CN"/>
        </w:rPr>
        <w:t>）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w:t>
      </w:r>
      <w:bookmarkStart w:id="60" w:name="OLE_LINK3"/>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w:t>
      </w:r>
      <w:bookmarkEnd w:id="60"/>
      <w:r>
        <w:rPr>
          <w:rFonts w:hint="eastAsia" w:ascii="宋体" w:hAnsi="宋体" w:eastAsia="宋体" w:cs="宋体"/>
          <w:color w:val="auto"/>
          <w:highlight w:val="none"/>
          <w:lang w:eastAsia="zh-CN"/>
        </w:rPr>
        <w:t>的扣除，用扣除后的价格参加评审。接受分包的小微企业与分包企业之间存在直接控股、管理关系的，不享受价格扣除优惠政策。</w:t>
      </w:r>
    </w:p>
    <w:p w14:paraId="37C9D968">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二、竞争性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w:t>
      </w:r>
      <w:bookmarkEnd w:id="56"/>
      <w:bookmarkEnd w:id="57"/>
    </w:p>
    <w:p w14:paraId="321A60E1">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lang w:val="en-US" w:eastAsia="zh-CN"/>
        </w:rPr>
        <w:t>.</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w:t>
      </w:r>
      <w:r>
        <w:rPr>
          <w:rFonts w:hint="eastAsia" w:ascii="宋体" w:hAnsi="宋体" w:cs="宋体"/>
          <w:b/>
          <w:bCs/>
          <w:color w:val="auto"/>
          <w:spacing w:val="2"/>
          <w:highlight w:val="none"/>
          <w:lang w:val="en-US" w:eastAsia="zh-CN"/>
        </w:rPr>
        <w:t>构</w:t>
      </w:r>
      <w:r>
        <w:rPr>
          <w:rFonts w:hint="eastAsia" w:ascii="宋体" w:hAnsi="宋体" w:eastAsia="宋体" w:cs="宋体"/>
          <w:b/>
          <w:bCs/>
          <w:color w:val="auto"/>
          <w:spacing w:val="2"/>
          <w:highlight w:val="none"/>
        </w:rPr>
        <w:t>成</w:t>
      </w:r>
    </w:p>
    <w:p w14:paraId="7C8CE82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Cs/>
          <w:color w:val="auto"/>
          <w:spacing w:val="2"/>
          <w:highlight w:val="none"/>
        </w:rPr>
      </w:pPr>
      <w:r>
        <w:rPr>
          <w:rFonts w:hint="eastAsia" w:ascii="宋体" w:hAnsi="宋体" w:cs="宋体"/>
          <w:bCs/>
          <w:color w:val="auto"/>
          <w:spacing w:val="2"/>
          <w:highlight w:val="none"/>
          <w:lang w:val="en-US" w:eastAsia="zh-CN"/>
        </w:rPr>
        <w:t>6</w:t>
      </w:r>
      <w:r>
        <w:rPr>
          <w:rFonts w:hint="eastAsia" w:ascii="宋体" w:hAnsi="宋体" w:eastAsia="宋体" w:cs="宋体"/>
          <w:bCs/>
          <w:color w:val="auto"/>
          <w:spacing w:val="2"/>
          <w:highlight w:val="none"/>
        </w:rPr>
        <w:t>.1竞争性</w:t>
      </w:r>
      <w:r>
        <w:rPr>
          <w:rFonts w:hint="eastAsia" w:ascii="宋体" w:hAnsi="宋体" w:eastAsia="宋体" w:cs="宋体"/>
          <w:bCs/>
          <w:color w:val="auto"/>
          <w:spacing w:val="2"/>
          <w:highlight w:val="none"/>
          <w:lang w:eastAsia="zh-CN"/>
        </w:rPr>
        <w:t>磋商</w:t>
      </w:r>
      <w:r>
        <w:rPr>
          <w:rFonts w:hint="eastAsia" w:ascii="宋体" w:hAnsi="宋体" w:eastAsia="宋体" w:cs="宋体"/>
          <w:bCs/>
          <w:color w:val="auto"/>
          <w:spacing w:val="2"/>
          <w:highlight w:val="none"/>
        </w:rPr>
        <w:t>文件包括下列内容</w:t>
      </w:r>
      <w:r>
        <w:rPr>
          <w:rFonts w:hint="eastAsia" w:ascii="宋体" w:hAnsi="宋体" w:eastAsia="宋体" w:cs="宋体"/>
          <w:color w:val="auto"/>
          <w:spacing w:val="2"/>
          <w:highlight w:val="none"/>
        </w:rPr>
        <w:t>：</w:t>
      </w:r>
    </w:p>
    <w:p w14:paraId="05011C48">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第一章  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w:t>
      </w:r>
    </w:p>
    <w:p w14:paraId="1E642950">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第二章  供应商须知  </w:t>
      </w:r>
    </w:p>
    <w:p w14:paraId="067BCAA3">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第三章  项目需求和说明</w:t>
      </w:r>
    </w:p>
    <w:p w14:paraId="73216FBB">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  合同书（格式）</w:t>
      </w:r>
    </w:p>
    <w:p w14:paraId="07965CBA">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响应文件（格式） </w:t>
      </w:r>
    </w:p>
    <w:p w14:paraId="261B99F9">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第六章  工程量清单 </w:t>
      </w:r>
    </w:p>
    <w:p w14:paraId="682BDA63">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第七章  图纸（</w:t>
      </w:r>
      <w:r>
        <w:rPr>
          <w:rFonts w:hint="eastAsia" w:hAnsi="宋体" w:cs="宋体"/>
          <w:color w:val="auto"/>
          <w:highlight w:val="none"/>
          <w:lang w:val="en-US" w:eastAsia="zh-CN"/>
        </w:rPr>
        <w:t>另附</w:t>
      </w:r>
      <w:r>
        <w:rPr>
          <w:rFonts w:hint="eastAsia" w:ascii="宋体" w:hAnsi="宋体" w:eastAsia="宋体" w:cs="宋体"/>
          <w:color w:val="auto"/>
          <w:highlight w:val="none"/>
        </w:rPr>
        <w:t>）</w:t>
      </w:r>
    </w:p>
    <w:p w14:paraId="5F6BD8E0">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第八章  评定标准          </w:t>
      </w:r>
    </w:p>
    <w:p w14:paraId="138D10C7">
      <w:pPr>
        <w:pStyle w:val="13"/>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章 质疑、投诉材料格式</w:t>
      </w:r>
    </w:p>
    <w:p w14:paraId="540F4D19">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6</w:t>
      </w:r>
      <w:r>
        <w:rPr>
          <w:rFonts w:hint="eastAsia" w:ascii="宋体" w:hAnsi="宋体" w:eastAsia="宋体" w:cs="宋体"/>
          <w:color w:val="auto"/>
          <w:spacing w:val="2"/>
          <w:highlight w:val="none"/>
        </w:rPr>
        <w:t>.2 供应商应认真审阅竞争性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文件中所有的</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须知、合同条件、规定格式、技术规范或技术要求及工程量清单及图纸相关资料。如果供应商编制的响应文件不能符合竞争性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文件的要求，责任由供应商自负。实质上不响应竞争性</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文件要求的响应文件将被采购代理机构拒绝。</w:t>
      </w:r>
    </w:p>
    <w:p w14:paraId="337557F5">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.竞争性</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文件的解释</w:t>
      </w:r>
      <w:r>
        <w:rPr>
          <w:rFonts w:hint="eastAsia" w:ascii="宋体" w:hAnsi="宋体" w:eastAsia="宋体" w:cs="宋体"/>
          <w:b/>
          <w:color w:val="auto"/>
          <w:highlight w:val="none"/>
        </w:rPr>
        <w:t>、澄清和修改</w:t>
      </w:r>
    </w:p>
    <w:p w14:paraId="53D6794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.1已获取磋商文件的潜在供应商，若有问题需要澄清，应于应标截止时间前，以书面形式向采购代理机构提出，采购代理机构与采购人研究后，对认为有必要回答的问题，按照本章</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.3的内容处理。</w:t>
      </w:r>
    </w:p>
    <w:p w14:paraId="21D4D12B">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09892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澄清或者</w:t>
      </w:r>
      <w:r>
        <w:rPr>
          <w:rFonts w:hint="eastAsia" w:ascii="宋体" w:hAnsi="宋体" w:eastAsia="宋体" w:cs="宋体"/>
          <w:color w:val="auto"/>
          <w:szCs w:val="21"/>
          <w:highlight w:val="none"/>
          <w:lang w:val="en-US" w:eastAsia="zh-CN"/>
        </w:rPr>
        <w:t>更正公告</w:t>
      </w:r>
      <w:r>
        <w:rPr>
          <w:rFonts w:hint="eastAsia" w:ascii="宋体" w:hAnsi="宋体" w:eastAsia="宋体" w:cs="宋体"/>
          <w:color w:val="auto"/>
          <w:szCs w:val="21"/>
          <w:highlight w:val="none"/>
          <w:lang w:eastAsia="zh-CN"/>
        </w:rPr>
        <w:t>在竞争性磋商公告发布媒体上发布</w:t>
      </w:r>
      <w:r>
        <w:rPr>
          <w:rFonts w:hint="eastAsia" w:ascii="宋体" w:hAnsi="宋体" w:eastAsia="宋体" w:cs="宋体"/>
          <w:color w:val="auto"/>
          <w:szCs w:val="21"/>
          <w:highlight w:val="none"/>
        </w:rPr>
        <w:t>，一经发布，视作已以书面形式通知所有获取竞争性磋商文件的潜在供应商，不再另行通知，所有潜在供应商应密切关注竞争性磋商公告发布媒体，因未能及时获知，由此产生的后果均应自行承担。</w:t>
      </w:r>
    </w:p>
    <w:p w14:paraId="4AF237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8DE3FA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  采购人和采购代理机构可以视采购具体情况，变更提交首次响应文件截止时间和</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时间，将变更时间将在</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公告中“七、其他补充事宜</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.网上查询地址”规定的政府采购信息发布媒体上发布更正公告。</w:t>
      </w:r>
    </w:p>
    <w:p w14:paraId="500953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w:t>
      </w:r>
      <w:r>
        <w:rPr>
          <w:rFonts w:hint="eastAsia" w:ascii="宋体" w:hAnsi="宋体" w:eastAsia="宋体" w:cs="宋体"/>
          <w:b/>
          <w:color w:val="auto"/>
          <w:kern w:val="0"/>
          <w:sz w:val="21"/>
          <w:szCs w:val="21"/>
          <w:highlight w:val="none"/>
          <w:lang w:eastAsia="zh-CN"/>
        </w:rPr>
        <w:t>按无效</w:t>
      </w:r>
      <w:r>
        <w:rPr>
          <w:rFonts w:hint="eastAsia" w:ascii="宋体" w:hAnsi="宋体" w:eastAsia="宋体" w:cs="宋体"/>
          <w:b/>
          <w:color w:val="auto"/>
          <w:kern w:val="0"/>
          <w:sz w:val="21"/>
          <w:szCs w:val="21"/>
          <w:highlight w:val="none"/>
        </w:rPr>
        <w:t>处理。</w:t>
      </w:r>
    </w:p>
    <w:p w14:paraId="69C20EFE">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三、响应文件的编制</w:t>
      </w:r>
    </w:p>
    <w:p w14:paraId="6E1616F2">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.响应文件编制基本要求</w:t>
      </w:r>
    </w:p>
    <w:p w14:paraId="6B5A97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r>
        <w:rPr>
          <w:rFonts w:hint="eastAsia" w:ascii="宋体" w:hAnsi="宋体" w:eastAsia="宋体" w:cs="宋体"/>
          <w:color w:val="auto"/>
          <w:szCs w:val="21"/>
          <w:highlight w:val="none"/>
        </w:rPr>
        <w:t>。</w:t>
      </w:r>
    </w:p>
    <w:p w14:paraId="5268BBBB">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供应商提交的响应文件以及供应商与</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和采购人就有关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的所有来往函电均应使用中文。供应商提交的支持文件和印刷的文献可以使用别的语言，但其相应内容必须附有中文翻译文本，在解释响应文件时以翻译文本为主。</w:t>
      </w:r>
    </w:p>
    <w:p w14:paraId="6BD558C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供应商应认真阅读、并充分理解本文件的全部内容（包括所有的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更改、补充、答疑等内容），承诺并履行本文件中各项条款规定及要求。</w:t>
      </w:r>
    </w:p>
    <w:p w14:paraId="19767B87">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响应文件必须按本文件的全部内容，包括所有的</w:t>
      </w:r>
      <w:r>
        <w:rPr>
          <w:rFonts w:hint="eastAsia" w:ascii="宋体" w:hAnsi="宋体" w:eastAsia="宋体" w:cs="宋体"/>
          <w:color w:val="auto"/>
          <w:highlight w:val="none"/>
        </w:rPr>
        <w:t>澄清、</w:t>
      </w:r>
      <w:r>
        <w:rPr>
          <w:rFonts w:hint="eastAsia" w:ascii="宋体" w:hAnsi="宋体" w:eastAsia="宋体" w:cs="宋体"/>
          <w:color w:val="auto"/>
          <w:szCs w:val="21"/>
          <w:highlight w:val="none"/>
        </w:rPr>
        <w:t>更改、补充、答疑等内容及附件进行编制。</w:t>
      </w:r>
    </w:p>
    <w:p w14:paraId="1183FBC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如因供应商只填写和提供了本文件要求的部分内容和附件，而给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小组评审造成困难，其可能导致的结果和责任由供应商自行承担。</w:t>
      </w:r>
    </w:p>
    <w:p w14:paraId="5C88C0A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响应文件的组成：响应文件应分为资格审查文件、</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w:t>
      </w:r>
      <w:r>
        <w:rPr>
          <w:rFonts w:hint="eastAsia" w:ascii="宋体" w:hAnsi="宋体" w:eastAsia="宋体" w:cs="宋体"/>
          <w:color w:val="auto"/>
          <w:szCs w:val="21"/>
          <w:highlight w:val="none"/>
        </w:rPr>
        <w:t>和</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技术标</w:t>
      </w:r>
      <w:r>
        <w:rPr>
          <w:rFonts w:hint="eastAsia" w:ascii="宋体" w:hAnsi="宋体" w:cs="宋体"/>
          <w:color w:val="auto"/>
          <w:szCs w:val="21"/>
          <w:highlight w:val="none"/>
        </w:rPr>
        <w:t>文件</w:t>
      </w:r>
      <w:r>
        <w:rPr>
          <w:rFonts w:hint="eastAsia" w:ascii="宋体" w:hAnsi="宋体" w:eastAsia="宋体" w:cs="宋体"/>
          <w:color w:val="auto"/>
          <w:szCs w:val="21"/>
          <w:highlight w:val="none"/>
        </w:rPr>
        <w:t>三个部分组成。</w:t>
      </w:r>
    </w:p>
    <w:p w14:paraId="4DE41354">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.1</w:t>
      </w:r>
      <w:r>
        <w:rPr>
          <w:rFonts w:hint="eastAsia" w:ascii="宋体" w:hAnsi="宋体" w:eastAsia="宋体" w:cs="宋体"/>
          <w:b/>
          <w:bCs/>
          <w:color w:val="auto"/>
          <w:szCs w:val="21"/>
          <w:highlight w:val="none"/>
        </w:rPr>
        <w:t>资格审查文件</w:t>
      </w:r>
    </w:p>
    <w:p w14:paraId="06516C06">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有效营业执照、资质证书、</w:t>
      </w:r>
      <w:bookmarkStart w:id="61" w:name="OLE_LINK10"/>
      <w:r>
        <w:rPr>
          <w:rFonts w:hint="eastAsia" w:ascii="宋体" w:hAnsi="宋体" w:eastAsia="宋体" w:cs="宋体"/>
          <w:bCs/>
          <w:color w:val="auto"/>
          <w:szCs w:val="21"/>
          <w:highlight w:val="none"/>
        </w:rPr>
        <w:t>企业安全生产许可证</w:t>
      </w:r>
      <w:bookmarkEnd w:id="61"/>
      <w:r>
        <w:rPr>
          <w:rFonts w:hint="eastAsia" w:ascii="宋体" w:hAnsi="宋体" w:eastAsia="宋体" w:cs="宋体"/>
          <w:bCs/>
          <w:color w:val="auto"/>
          <w:szCs w:val="21"/>
          <w:highlight w:val="none"/>
        </w:rPr>
        <w:t>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6D11BE7B">
      <w:pPr>
        <w:pStyle w:val="9"/>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）项目经理资格：拟投入本项目的项目经理</w:t>
      </w:r>
      <w:r>
        <w:rPr>
          <w:rFonts w:hint="eastAsia"/>
          <w:color w:val="auto"/>
          <w:lang w:val="en-US" w:eastAsia="zh-CN"/>
        </w:rPr>
        <w:t>的有效</w:t>
      </w:r>
      <w:r>
        <w:rPr>
          <w:rFonts w:hint="eastAsia" w:ascii="宋体" w:hAnsi="宋体" w:eastAsia="宋体" w:cs="宋体"/>
          <w:color w:val="auto"/>
          <w:kern w:val="2"/>
          <w:sz w:val="21"/>
          <w:szCs w:val="24"/>
          <w:highlight w:val="none"/>
          <w:lang w:val="en-US" w:eastAsia="zh-CN" w:bidi="ar-SA"/>
        </w:rPr>
        <w:t>第二代身份证正反面复印件、</w:t>
      </w:r>
      <w:bookmarkStart w:id="62" w:name="OLE_LINK12"/>
      <w:r>
        <w:rPr>
          <w:rFonts w:hint="eastAsia" w:ascii="宋体" w:hAnsi="宋体" w:eastAsia="宋体" w:cs="宋体"/>
          <w:color w:val="auto"/>
          <w:kern w:val="2"/>
          <w:sz w:val="21"/>
          <w:szCs w:val="24"/>
          <w:highlight w:val="none"/>
          <w:lang w:val="en-US" w:eastAsia="zh-CN" w:bidi="ar-SA"/>
        </w:rPr>
        <w:t>注册建造师</w:t>
      </w:r>
      <w:bookmarkEnd w:id="62"/>
      <w:r>
        <w:rPr>
          <w:rFonts w:hint="eastAsia" w:ascii="宋体" w:hAnsi="宋体" w:eastAsia="宋体" w:cs="宋体"/>
          <w:color w:val="auto"/>
          <w:kern w:val="2"/>
          <w:sz w:val="21"/>
          <w:szCs w:val="24"/>
          <w:highlight w:val="none"/>
          <w:lang w:val="en-US" w:eastAsia="zh-CN" w:bidi="ar-SA"/>
        </w:rPr>
        <w:t>证书复印件及安全生产考核合格证（B证）证件复印件</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597337B5">
      <w:pPr>
        <w:keepNext w:val="0"/>
        <w:keepLines w:val="0"/>
        <w:pageBreakBefore w:val="0"/>
        <w:widowControl w:val="0"/>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shd w:val="clear" w:color="auto" w:fill="FFFFFF"/>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bookmarkStart w:id="63" w:name="OLE_LINK19"/>
      <w:r>
        <w:rPr>
          <w:rFonts w:hint="eastAsia" w:ascii="宋体" w:hAnsi="宋体" w:eastAsia="宋体" w:cs="宋体"/>
          <w:b w:val="0"/>
          <w:bCs w:val="0"/>
          <w:color w:val="auto"/>
          <w:highlight w:val="none"/>
        </w:rPr>
        <w:t>项目经理无在建承诺书</w:t>
      </w:r>
      <w:bookmarkEnd w:id="63"/>
      <w:r>
        <w:rPr>
          <w:rFonts w:hint="eastAsia" w:ascii="宋体" w:hAnsi="宋体" w:eastAsia="宋体" w:cs="宋体"/>
          <w:b w:val="0"/>
          <w:bCs w:val="0"/>
          <w:color w:val="auto"/>
          <w:highlight w:val="none"/>
        </w:rPr>
        <w:t>原件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26A7722C">
      <w:pPr>
        <w:keepNext w:val="0"/>
        <w:keepLines w:val="0"/>
        <w:pageBreakBefore w:val="0"/>
        <w:widowControl w:val="0"/>
        <w:numPr>
          <w:ilvl w:val="0"/>
          <w:numId w:val="0"/>
        </w:numPr>
        <w:shd w:val="clear" w:color="auto" w:fill="FFFFFF"/>
        <w:tabs>
          <w:tab w:val="left" w:pos="826"/>
        </w:tabs>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）防城港市政府采购供应商信用承诺函（格式后附）；</w:t>
      </w:r>
      <w:r>
        <w:rPr>
          <w:rFonts w:hint="eastAsia" w:ascii="宋体" w:hAnsi="宋体" w:eastAsia="宋体" w:cs="宋体"/>
          <w:b/>
          <w:bCs/>
          <w:color w:val="auto"/>
          <w:highlight w:val="none"/>
          <w:lang w:val="en-US" w:eastAsia="zh-CN"/>
        </w:rPr>
        <w:t>（必须提供，否则响应文件作无效响应处理）</w:t>
      </w:r>
      <w:r>
        <w:rPr>
          <w:rFonts w:hint="eastAsia" w:ascii="宋体" w:hAnsi="宋体" w:eastAsia="宋体" w:cs="宋体"/>
          <w:b/>
          <w:bCs/>
          <w:color w:val="auto"/>
          <w:highlight w:val="none"/>
        </w:rPr>
        <w:t>；</w:t>
      </w:r>
    </w:p>
    <w:p w14:paraId="450375E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u w:val="none"/>
          <w:lang w:val="en-US" w:eastAsia="zh-CN"/>
        </w:rPr>
        <w:t>本项目为专门面向小微企业采购的项目。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color w:val="auto"/>
          <w:szCs w:val="21"/>
          <w:highlight w:val="none"/>
          <w:lang w:val="en-US" w:eastAsia="zh-CN"/>
        </w:rPr>
        <w:t>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eastAsia="zh-CN"/>
        </w:rPr>
        <w:t>；</w:t>
      </w:r>
    </w:p>
    <w:p w14:paraId="6DF9F57C">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1A3753F1">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.2</w:t>
      </w:r>
      <w:r>
        <w:rPr>
          <w:rFonts w:hint="eastAsia" w:ascii="宋体" w:hAnsi="宋体" w:cs="宋体"/>
          <w:b/>
          <w:bCs/>
          <w:color w:val="auto"/>
          <w:szCs w:val="21"/>
          <w:highlight w:val="none"/>
          <w:lang w:val="en-US" w:eastAsia="zh-CN"/>
        </w:rPr>
        <w:t>报价</w:t>
      </w:r>
      <w:r>
        <w:rPr>
          <w:rFonts w:hint="eastAsia" w:ascii="宋体" w:hAnsi="宋体" w:eastAsia="宋体" w:cs="宋体"/>
          <w:b/>
          <w:bCs/>
          <w:color w:val="auto"/>
          <w:szCs w:val="21"/>
          <w:highlight w:val="none"/>
        </w:rPr>
        <w:t>文件</w:t>
      </w:r>
    </w:p>
    <w:p w14:paraId="1E3E48FA">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）磋商函</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25354E8">
      <w:pPr>
        <w:keepNext w:val="0"/>
        <w:keepLines w:val="0"/>
        <w:pageBreakBefore w:val="0"/>
        <w:shd w:val="clear" w:color="auto" w:fill="FFFFFF"/>
        <w:kinsoku/>
        <w:wordWrap/>
        <w:overflowPunct/>
        <w:topLinePunct w:val="0"/>
        <w:autoSpaceDE/>
        <w:autoSpaceDN/>
        <w:bidi w:val="0"/>
        <w:spacing w:line="452" w:lineRule="exact"/>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bookmarkStart w:id="64" w:name="OLE_LINK20"/>
      <w:r>
        <w:rPr>
          <w:rFonts w:hint="eastAsia" w:ascii="宋体" w:hAnsi="宋体" w:eastAsia="宋体" w:cs="宋体"/>
          <w:color w:val="auto"/>
          <w:highlight w:val="none"/>
        </w:rPr>
        <w:t>已标价工程量清单</w:t>
      </w:r>
      <w:bookmarkEnd w:id="64"/>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5609081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w:t>
      </w:r>
      <w:r>
        <w:rPr>
          <w:rFonts w:hint="eastAsia" w:ascii="宋体" w:hAnsi="宋体" w:eastAsia="宋体" w:cs="宋体"/>
          <w:color w:val="auto"/>
          <w:highlight w:val="none"/>
        </w:rPr>
        <w:t>标报价表</w:t>
      </w:r>
      <w:r>
        <w:rPr>
          <w:rFonts w:hint="eastAsia" w:ascii="宋体" w:hAnsi="宋体" w:eastAsia="宋体" w:cs="宋体"/>
          <w:b/>
          <w:bCs/>
          <w:color w:val="auto"/>
          <w:highlight w:val="none"/>
        </w:rPr>
        <w:t>（格式</w:t>
      </w:r>
      <w:r>
        <w:rPr>
          <w:rFonts w:hint="eastAsia" w:ascii="宋体" w:hAnsi="宋体" w:cs="宋体"/>
          <w:b/>
          <w:bCs/>
          <w:color w:val="auto"/>
          <w:highlight w:val="none"/>
          <w:lang w:val="en-US" w:eastAsia="zh-CN"/>
        </w:rPr>
        <w:t>自拟</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cs="宋体"/>
          <w:b/>
          <w:bCs/>
          <w:color w:val="auto"/>
          <w:highlight w:val="none"/>
          <w:lang w:eastAsia="zh-CN"/>
        </w:rPr>
        <w:t>；</w:t>
      </w:r>
    </w:p>
    <w:p w14:paraId="1F7B6EBB">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w:t>
      </w:r>
      <w:r>
        <w:rPr>
          <w:rFonts w:hint="eastAsia" w:ascii="宋体" w:hAnsi="宋体" w:cs="宋体"/>
          <w:color w:val="auto"/>
          <w:szCs w:val="21"/>
          <w:highlight w:val="none"/>
        </w:rPr>
        <w:t>磋商文件规定必须提供以外，供应商认为需要提供的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7F52998F">
      <w:pPr>
        <w:keepNext w:val="0"/>
        <w:keepLines w:val="0"/>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.3</w:t>
      </w:r>
      <w:r>
        <w:rPr>
          <w:rFonts w:hint="eastAsia" w:ascii="宋体" w:hAnsi="宋体" w:cs="宋体"/>
          <w:b/>
          <w:bCs/>
          <w:color w:val="auto"/>
          <w:highlight w:val="none"/>
          <w:lang w:val="en-US" w:eastAsia="zh-CN"/>
        </w:rPr>
        <w:t>商务</w:t>
      </w:r>
      <w:r>
        <w:rPr>
          <w:rFonts w:hint="eastAsia" w:ascii="宋体" w:hAnsi="宋体" w:eastAsia="宋体" w:cs="宋体"/>
          <w:b/>
          <w:bCs/>
          <w:color w:val="auto"/>
          <w:highlight w:val="none"/>
        </w:rPr>
        <w:t>技术标文件</w:t>
      </w:r>
    </w:p>
    <w:p w14:paraId="5E1002ED">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法定代表人身份证明书及法定代表人有效身份证正反面复印件</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7BD3EE32">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授</w:t>
      </w:r>
      <w:bookmarkStart w:id="65" w:name="OLE_LINK11"/>
      <w:r>
        <w:rPr>
          <w:rFonts w:hint="eastAsia" w:ascii="宋体" w:hAnsi="宋体" w:eastAsia="宋体" w:cs="宋体"/>
          <w:color w:val="auto"/>
          <w:highlight w:val="none"/>
        </w:rPr>
        <w:t>权委托书及代理人有效身份证</w:t>
      </w:r>
      <w:bookmarkEnd w:id="65"/>
      <w:r>
        <w:rPr>
          <w:rFonts w:hint="eastAsia" w:ascii="宋体" w:hAnsi="宋体" w:eastAsia="宋体" w:cs="宋体"/>
          <w:color w:val="auto"/>
          <w:highlight w:val="none"/>
        </w:rPr>
        <w:t>正反面复印件（如有委托）</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委托时</w:t>
      </w:r>
      <w:r>
        <w:rPr>
          <w:rFonts w:hint="eastAsia" w:ascii="宋体" w:hAnsi="宋体" w:cs="宋体"/>
          <w:b/>
          <w:color w:val="auto"/>
          <w:szCs w:val="21"/>
          <w:highlight w:val="none"/>
          <w:lang w:val="en-US" w:eastAsia="zh-CN"/>
        </w:rPr>
        <w:t>必须提供，授权委托书</w:t>
      </w:r>
      <w:r>
        <w:rPr>
          <w:rFonts w:hint="eastAsia" w:ascii="宋体" w:hAnsi="宋体" w:cs="宋体"/>
          <w:b/>
          <w:color w:val="auto"/>
          <w:szCs w:val="21"/>
          <w:highlight w:val="none"/>
        </w:rPr>
        <w:t>由法定代表人及</w:t>
      </w:r>
      <w:r>
        <w:rPr>
          <w:rFonts w:hint="eastAsia" w:ascii="宋体" w:hAnsi="宋体" w:cs="宋体"/>
          <w:b/>
          <w:color w:val="auto"/>
          <w:szCs w:val="21"/>
          <w:highlight w:val="none"/>
          <w:lang w:eastAsia="zh-CN"/>
        </w:rPr>
        <w:t>其</w:t>
      </w:r>
      <w:r>
        <w:rPr>
          <w:rFonts w:hint="eastAsia" w:ascii="宋体" w:hAnsi="宋体" w:cs="宋体"/>
          <w:b/>
          <w:color w:val="auto"/>
          <w:szCs w:val="21"/>
          <w:highlight w:val="none"/>
        </w:rPr>
        <w:t>委托代理人签字，并加盖供应商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p>
    <w:p w14:paraId="0A80671F">
      <w:pPr>
        <w:keepNext w:val="0"/>
        <w:keepLines w:val="0"/>
        <w:pageBreakBefore w:val="0"/>
        <w:widowControl w:val="0"/>
        <w:kinsoku/>
        <w:wordWrap/>
        <w:overflowPunct/>
        <w:topLinePunct w:val="0"/>
        <w:autoSpaceDE/>
        <w:autoSpaceDN/>
        <w:bidi w:val="0"/>
        <w:adjustRightInd/>
        <w:spacing w:line="452"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农民工工资保障承诺书</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w:t>
      </w:r>
    </w:p>
    <w:p w14:paraId="3D1F70D1">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）磋商函附录</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kern w:val="0"/>
          <w:sz w:val="24"/>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p>
    <w:p w14:paraId="75C82635">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rPr>
        <w:t>）施工组织设计</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96DD97">
      <w:pPr>
        <w:keepNext w:val="0"/>
        <w:keepLines w:val="0"/>
        <w:pageBreakBefore w:val="0"/>
        <w:kinsoku/>
        <w:wordWrap/>
        <w:overflowPunct/>
        <w:topLinePunct w:val="0"/>
        <w:autoSpaceDE/>
        <w:autoSpaceDN/>
        <w:bidi w:val="0"/>
        <w:spacing w:line="452"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）项目管理机构及人员配备</w:t>
      </w: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部分</w:t>
      </w:r>
      <w:r>
        <w:rPr>
          <w:rFonts w:hint="eastAsia" w:ascii="宋体" w:hAnsi="宋体" w:eastAsia="宋体" w:cs="宋体"/>
          <w:b/>
          <w:bCs/>
          <w:color w:val="auto"/>
          <w:highlight w:val="none"/>
        </w:rPr>
        <w:t>格式见第</w:t>
      </w:r>
      <w:r>
        <w:rPr>
          <w:rFonts w:hint="eastAsia" w:ascii="宋体" w:hAnsi="宋体" w:eastAsia="宋体" w:cs="宋体"/>
          <w:b/>
          <w:bCs/>
          <w:color w:val="auto"/>
          <w:highlight w:val="none"/>
          <w:lang w:eastAsia="zh-CN"/>
        </w:rPr>
        <w:t>五</w:t>
      </w:r>
      <w:r>
        <w:rPr>
          <w:rFonts w:hint="eastAsia" w:ascii="宋体" w:hAnsi="宋体" w:eastAsia="宋体" w:cs="宋体"/>
          <w:b/>
          <w:bCs/>
          <w:color w:val="auto"/>
          <w:highlight w:val="none"/>
        </w:rPr>
        <w:t>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w:t>
      </w:r>
      <w:r>
        <w:rPr>
          <w:rFonts w:hint="eastAsia" w:ascii="宋体" w:hAnsi="宋体" w:cs="宋体"/>
          <w:b/>
          <w:color w:val="auto"/>
          <w:szCs w:val="21"/>
          <w:highlight w:val="none"/>
          <w:lang w:val="en-US" w:eastAsia="zh-CN"/>
        </w:rPr>
        <w:t>必须提供并加盖</w:t>
      </w:r>
      <w:r>
        <w:rPr>
          <w:rFonts w:hint="eastAsia" w:ascii="宋体" w:hAnsi="宋体" w:cs="宋体"/>
          <w:b/>
          <w:color w:val="auto"/>
          <w:szCs w:val="21"/>
          <w:highlight w:val="none"/>
        </w:rPr>
        <w:t>供应商</w:t>
      </w:r>
      <w:r>
        <w:rPr>
          <w:rFonts w:hint="eastAsia" w:ascii="宋体" w:hAnsi="宋体" w:cs="宋体"/>
          <w:b/>
          <w:color w:val="auto"/>
          <w:szCs w:val="21"/>
          <w:highlight w:val="none"/>
          <w:lang w:val="en-US" w:eastAsia="zh-CN"/>
        </w:rPr>
        <w:t>公</w:t>
      </w:r>
      <w:r>
        <w:rPr>
          <w:rFonts w:hint="eastAsia" w:ascii="宋体" w:hAnsi="宋体" w:cs="宋体"/>
          <w:b/>
          <w:color w:val="auto"/>
          <w:szCs w:val="21"/>
          <w:highlight w:val="none"/>
          <w:lang w:eastAsia="zh-CN"/>
        </w:rPr>
        <w:t>章</w:t>
      </w:r>
      <w:r>
        <w:rPr>
          <w:rFonts w:hint="eastAsia" w:ascii="宋体" w:hAnsi="宋体" w:cs="宋体"/>
          <w:b/>
          <w:color w:val="auto"/>
          <w:szCs w:val="21"/>
          <w:highlight w:val="none"/>
          <w:lang w:val="en-US" w:eastAsia="zh-CN"/>
        </w:rPr>
        <w:t>，否则响应文件按无效响应处理</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43A0A40B">
      <w:pPr>
        <w:keepNext w:val="0"/>
        <w:keepLines w:val="0"/>
        <w:pageBreakBefore w:val="0"/>
        <w:widowControl w:val="0"/>
        <w:shd w:val="clear" w:color="auto" w:fill="auto"/>
        <w:kinsoku/>
        <w:wordWrap/>
        <w:overflowPunct/>
        <w:topLinePunct w:val="0"/>
        <w:autoSpaceDE/>
        <w:autoSpaceDN/>
        <w:bidi w:val="0"/>
        <w:adjustRightInd/>
        <w:spacing w:line="452" w:lineRule="exact"/>
        <w:ind w:firstLine="420" w:firstLineChars="200"/>
        <w:textAlignment w:val="auto"/>
        <w:rPr>
          <w:rFonts w:hint="eastAsia"/>
          <w:color w:val="auto"/>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除</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文件文件规定必须提供以外，供应商认为需要提供的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证明材料</w:t>
      </w:r>
      <w:r>
        <w:rPr>
          <w:rFonts w:hint="eastAsia" w:ascii="宋体" w:hAnsi="宋体" w:cs="宋体"/>
          <w:color w:val="auto"/>
          <w:szCs w:val="21"/>
          <w:highlight w:val="none"/>
          <w:lang w:eastAsia="zh-CN"/>
        </w:rPr>
        <w:t>。</w:t>
      </w:r>
    </w:p>
    <w:p w14:paraId="0A181EB5">
      <w:pPr>
        <w:pStyle w:val="13"/>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特别说明：</w:t>
      </w:r>
    </w:p>
    <w:p w14:paraId="01AB4155">
      <w:pPr>
        <w:pageBreakBefore w:val="0"/>
        <w:shd w:val="clear" w:color="auto" w:fill="FFFFFF"/>
        <w:kinsoku/>
        <w:wordWrap/>
        <w:overflowPunct/>
        <w:topLinePunct w:val="0"/>
        <w:autoSpaceDE/>
        <w:autoSpaceDN/>
        <w:bidi w:val="0"/>
        <w:spacing w:line="452" w:lineRule="exact"/>
        <w:ind w:firstLine="422" w:firstLineChars="200"/>
        <w:textAlignment w:val="auto"/>
        <w:rPr>
          <w:rFonts w:hint="eastAsia" w:ascii="宋体" w:hAnsi="宋体" w:cs="宋体"/>
          <w:b/>
          <w:bCs/>
          <w:color w:val="auto"/>
          <w:highlight w:val="none"/>
          <w:lang w:eastAsia="zh-CN"/>
        </w:rPr>
      </w:pPr>
      <w:r>
        <w:rPr>
          <w:rFonts w:hint="eastAsia" w:ascii="宋体" w:hAnsi="宋体" w:cs="宋体"/>
          <w:b/>
          <w:color w:val="auto"/>
          <w:szCs w:val="21"/>
          <w:highlight w:val="none"/>
          <w:lang w:val="en-US" w:eastAsia="zh-CN"/>
        </w:rPr>
        <w:t>（1）</w:t>
      </w:r>
      <w:r>
        <w:rPr>
          <w:rFonts w:hint="eastAsia" w:ascii="宋体" w:hAnsi="宋体" w:cs="宋体"/>
          <w:b/>
          <w:bCs/>
          <w:color w:val="auto"/>
          <w:highlight w:val="none"/>
          <w:lang w:eastAsia="zh-CN"/>
        </w:rPr>
        <w:t>以上标明“必须提供”的材料属于复印件的扫描件的，必须加盖供应商</w:t>
      </w:r>
      <w:r>
        <w:rPr>
          <w:rFonts w:hint="eastAsia" w:ascii="宋体" w:hAnsi="宋体" w:cs="宋体"/>
          <w:b/>
          <w:color w:val="auto"/>
          <w:szCs w:val="21"/>
          <w:highlight w:val="none"/>
          <w:lang w:eastAsia="zh-CN"/>
        </w:rPr>
        <w:t>电子印章</w:t>
      </w:r>
      <w:r>
        <w:rPr>
          <w:rFonts w:hint="eastAsia" w:ascii="宋体" w:hAnsi="宋体" w:cs="宋体"/>
          <w:b/>
          <w:color w:val="auto"/>
          <w:szCs w:val="21"/>
          <w:highlight w:val="none"/>
          <w:lang w:val="en-US" w:eastAsia="zh-CN"/>
        </w:rPr>
        <w:t>，否则响应文件按无效响应处理</w:t>
      </w:r>
      <w:r>
        <w:rPr>
          <w:rFonts w:hint="eastAsia" w:ascii="宋体" w:hAnsi="宋体" w:cs="宋体"/>
          <w:b/>
          <w:bCs/>
          <w:color w:val="auto"/>
          <w:highlight w:val="none"/>
          <w:lang w:eastAsia="zh-CN"/>
        </w:rPr>
        <w:t>。</w:t>
      </w:r>
    </w:p>
    <w:p w14:paraId="3D7873A5">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供应商必须使用竞争性</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文件第</w:t>
      </w:r>
      <w:r>
        <w:rPr>
          <w:rFonts w:hint="eastAsia" w:ascii="宋体" w:hAnsi="宋体" w:eastAsia="宋体" w:cs="宋体"/>
          <w:b/>
          <w:bCs/>
          <w:color w:val="auto"/>
          <w:highlight w:val="none"/>
          <w:lang w:eastAsia="zh-CN"/>
        </w:rPr>
        <w:t>五章</w:t>
      </w:r>
      <w:r>
        <w:rPr>
          <w:rFonts w:hint="eastAsia" w:ascii="宋体" w:hAnsi="宋体" w:eastAsia="宋体" w:cs="宋体"/>
          <w:b/>
          <w:bCs/>
          <w:color w:val="auto"/>
          <w:highlight w:val="none"/>
        </w:rPr>
        <w:t>提供的响应文件格式和顺序另行编制响应文件，但表格可以按同样格式扩展。</w:t>
      </w:r>
    </w:p>
    <w:p w14:paraId="740EF04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文件要求“必须提供”的证明等材料，供应商必须全部提供，缺一不可，否则</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无效。</w:t>
      </w:r>
    </w:p>
    <w:p w14:paraId="6953C17C">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响应文件电子版</w:t>
      </w:r>
      <w:r>
        <w:rPr>
          <w:rFonts w:hint="eastAsia" w:ascii="宋体" w:hAnsi="宋体" w:cs="宋体"/>
          <w:b/>
          <w:bCs/>
          <w:color w:val="auto"/>
          <w:szCs w:val="21"/>
          <w:highlight w:val="none"/>
          <w:lang w:val="en-US" w:eastAsia="zh-CN"/>
        </w:rPr>
        <w:t>要求</w:t>
      </w:r>
    </w:p>
    <w:p w14:paraId="3A76BD1E">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详见供应商须知前附表</w:t>
      </w:r>
      <w:r>
        <w:rPr>
          <w:rFonts w:hint="eastAsia" w:ascii="宋体" w:hAnsi="宋体" w:cs="宋体"/>
          <w:color w:val="auto"/>
          <w:szCs w:val="21"/>
          <w:highlight w:val="none"/>
          <w:lang w:eastAsia="zh-CN"/>
        </w:rPr>
        <w:t>。</w:t>
      </w:r>
    </w:p>
    <w:p w14:paraId="3CB832C6">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 计量单位</w:t>
      </w:r>
    </w:p>
    <w:p w14:paraId="30ACC736">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.1除技术要求中另有规定外，本文件所要求使用的计量单位均应采用国家法定计量单位。</w:t>
      </w:r>
    </w:p>
    <w:p w14:paraId="0C295C1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6" w:name="_Toc424307747"/>
      <w:bookmarkStart w:id="67" w:name="_Toc424307480"/>
      <w:r>
        <w:rPr>
          <w:rFonts w:hint="eastAsia" w:ascii="宋体" w:hAnsi="宋体" w:eastAsia="宋体" w:cs="宋体"/>
          <w:b/>
          <w:bCs/>
          <w:color w:val="auto"/>
          <w:spacing w:val="2"/>
          <w:highlight w:val="none"/>
        </w:rPr>
        <w:t>四、</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报价说明</w:t>
      </w:r>
      <w:bookmarkEnd w:id="66"/>
      <w:bookmarkEnd w:id="67"/>
    </w:p>
    <w:p w14:paraId="7D5402FB">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11</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价格</w:t>
      </w:r>
    </w:p>
    <w:p w14:paraId="47B303E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.1</w:t>
      </w:r>
      <w:r>
        <w:rPr>
          <w:rFonts w:hint="eastAsia" w:ascii="宋体" w:hAnsi="宋体" w:eastAsia="宋体" w:cs="宋体"/>
          <w:color w:val="auto"/>
          <w:highlight w:val="none"/>
        </w:rPr>
        <w:t xml:space="preserve"> 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报价采用工程量清单报价。</w:t>
      </w:r>
    </w:p>
    <w:p w14:paraId="7DC3258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.1.1本工程</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价格是固定综合单价，按实际工程量结算。</w:t>
      </w:r>
    </w:p>
    <w:p w14:paraId="027A5564">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.1.2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应认真填写工程量清单中所列的所有各细目的单价和总额价，填写工程量清单时应注意：</w:t>
      </w:r>
    </w:p>
    <w:p w14:paraId="4806A32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（1）有工程数量的应报单价和总额。</w:t>
      </w:r>
    </w:p>
    <w:p w14:paraId="23563AC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14:paraId="153D137A">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时，采购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要求报价的细目，供应商没有填入单价或总额价的细目，其费用应视为已分配在工程量清单的其它单价或总额价中，</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必须按监理工程师的指令完成工程量清单中未填入单价或总额价的工程细目，但不能得到支付与结算。</w:t>
      </w:r>
    </w:p>
    <w:p w14:paraId="3BC2A30A">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.1.3采购</w:t>
      </w:r>
      <w:r>
        <w:rPr>
          <w:rFonts w:hint="eastAsia" w:ascii="宋体" w:hAnsi="宋体" w:cs="宋体"/>
          <w:b/>
          <w:bCs/>
          <w:color w:val="auto"/>
          <w:szCs w:val="21"/>
          <w:highlight w:val="none"/>
          <w:lang w:val="en-US" w:eastAsia="zh-CN"/>
        </w:rPr>
        <w:t>人</w:t>
      </w:r>
      <w:r>
        <w:rPr>
          <w:rFonts w:hint="eastAsia" w:ascii="宋体" w:hAnsi="宋体" w:eastAsia="宋体" w:cs="宋体"/>
          <w:b/>
          <w:bCs/>
          <w:color w:val="auto"/>
          <w:szCs w:val="21"/>
          <w:highlight w:val="none"/>
        </w:rPr>
        <w:t>所提供的工程量清单及相关资料，应认为已包括完成本工程的所有项目。凡工程量清单及相关资料所示工程所必不可少的附属工程、相关工程、衔接与后续工程所需的费用，供应商应计入相关项目的报价中。</w:t>
      </w:r>
    </w:p>
    <w:p w14:paraId="1BA2D313">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 xml:space="preserve"> 除非合同中另有规定，具有标价的工程量清单中所报单价和合价，以及报价汇总表中的价格应包括施工设备、劳务、管理、材料、安装、维护、保险、利润、税金、政策性文件规定及合同包含的应有风险、责任等各项应有费用，经</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小组审核严重不平衡的报价将不予接受。</w:t>
      </w:r>
    </w:p>
    <w:p w14:paraId="046E182B">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5供应商须根据</w:t>
      </w:r>
      <w:bookmarkStart w:id="68" w:name="OLE_LINK16"/>
      <w:r>
        <w:rPr>
          <w:rFonts w:hint="eastAsia" w:ascii="宋体" w:hAnsi="宋体" w:eastAsia="宋体" w:cs="宋体"/>
          <w:b/>
          <w:bCs/>
          <w:color w:val="auto"/>
          <w:szCs w:val="21"/>
          <w:highlight w:val="none"/>
          <w:lang w:val="en-US" w:eastAsia="zh-CN"/>
        </w:rPr>
        <w:t>采购人提供的工程</w:t>
      </w:r>
      <w:bookmarkEnd w:id="68"/>
      <w:r>
        <w:rPr>
          <w:rFonts w:hint="eastAsia" w:ascii="宋体" w:hAnsi="宋体" w:eastAsia="宋体" w:cs="宋体"/>
          <w:b/>
          <w:bCs/>
          <w:color w:val="auto"/>
          <w:szCs w:val="21"/>
          <w:highlight w:val="none"/>
          <w:lang w:val="en-US" w:eastAsia="zh-CN"/>
        </w:rPr>
        <w:t>清单及图纸编制完整的</w:t>
      </w:r>
      <w:r>
        <w:rPr>
          <w:rFonts w:hint="eastAsia" w:ascii="宋体" w:hAnsi="宋体" w:cs="宋体"/>
          <w:b/>
          <w:bCs/>
          <w:color w:val="auto"/>
          <w:szCs w:val="21"/>
          <w:highlight w:val="none"/>
          <w:lang w:val="en-US" w:eastAsia="zh-CN"/>
        </w:rPr>
        <w:t>工程量</w:t>
      </w:r>
      <w:r>
        <w:rPr>
          <w:rFonts w:hint="eastAsia" w:ascii="宋体" w:hAnsi="宋体" w:eastAsia="宋体" w:cs="宋体"/>
          <w:b/>
          <w:bCs/>
          <w:color w:val="auto"/>
          <w:szCs w:val="21"/>
          <w:highlight w:val="none"/>
          <w:lang w:val="en-US" w:eastAsia="zh-CN"/>
        </w:rPr>
        <w:t>清单报价文件</w:t>
      </w:r>
      <w:r>
        <w:rPr>
          <w:rFonts w:hint="eastAsia" w:ascii="宋体" w:hAnsi="宋体" w:eastAsia="宋体" w:cs="宋体"/>
          <w:b/>
          <w:bCs/>
          <w:color w:val="auto"/>
          <w:szCs w:val="21"/>
          <w:highlight w:val="none"/>
        </w:rPr>
        <w:t>。供应商对自己所填写的</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，供应商填写的</w:t>
      </w:r>
      <w:r>
        <w:rPr>
          <w:rFonts w:hint="eastAsia" w:ascii="宋体" w:hAnsi="宋体" w:eastAsia="宋体" w:cs="宋体"/>
          <w:b/>
          <w:bCs/>
          <w:color w:val="auto"/>
          <w:highlight w:val="none"/>
        </w:rPr>
        <w:t>项目编码、</w:t>
      </w:r>
      <w:r>
        <w:rPr>
          <w:rFonts w:hint="eastAsia" w:ascii="宋体" w:hAnsi="宋体" w:cs="宋体"/>
          <w:b/>
          <w:bCs/>
          <w:color w:val="auto"/>
          <w:highlight w:val="none"/>
          <w:lang w:val="en-US" w:eastAsia="zh-CN"/>
        </w:rPr>
        <w:t>项</w:t>
      </w:r>
      <w:r>
        <w:rPr>
          <w:rFonts w:hint="eastAsia" w:ascii="宋体" w:hAnsi="宋体" w:eastAsia="宋体" w:cs="宋体"/>
          <w:b/>
          <w:bCs/>
          <w:color w:val="auto"/>
          <w:highlight w:val="none"/>
        </w:rPr>
        <w:t>目名称及项目特征描述、计量单位、工程量</w:t>
      </w:r>
      <w:r>
        <w:rPr>
          <w:rFonts w:hint="eastAsia" w:ascii="宋体" w:hAnsi="宋体" w:eastAsia="宋体" w:cs="宋体"/>
          <w:b/>
          <w:bCs/>
          <w:color w:val="auto"/>
          <w:szCs w:val="21"/>
          <w:highlight w:val="none"/>
        </w:rPr>
        <w:t>必须与采购人提供的一致。评标中，如</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w:t>
      </w:r>
      <w:r>
        <w:rPr>
          <w:rFonts w:hint="eastAsia" w:ascii="宋体" w:hAnsi="宋体" w:eastAsia="宋体" w:cs="宋体"/>
          <w:b/>
          <w:bCs/>
          <w:color w:val="auto"/>
          <w:highlight w:val="none"/>
        </w:rPr>
        <w:t>项目编码、项目名称及项目特征描述、计量单位、工程量</w:t>
      </w:r>
      <w:r>
        <w:rPr>
          <w:rFonts w:hint="eastAsia" w:ascii="宋体" w:hAnsi="宋体" w:eastAsia="宋体" w:cs="宋体"/>
          <w:b/>
          <w:bCs/>
          <w:color w:val="auto"/>
          <w:szCs w:val="21"/>
          <w:highlight w:val="none"/>
        </w:rPr>
        <w:t>与采购人提供不一致的，作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报价总价应当与分</w:t>
      </w:r>
      <w:r>
        <w:rPr>
          <w:rFonts w:hint="eastAsia" w:ascii="宋体" w:hAnsi="宋体" w:cs="宋体"/>
          <w:b/>
          <w:bCs/>
          <w:color w:val="auto"/>
          <w:szCs w:val="21"/>
          <w:highlight w:val="none"/>
          <w:lang w:val="en-US" w:eastAsia="zh-CN"/>
        </w:rPr>
        <w:t>类</w:t>
      </w:r>
      <w:r>
        <w:rPr>
          <w:rFonts w:hint="eastAsia" w:ascii="宋体" w:hAnsi="宋体" w:eastAsia="宋体" w:cs="宋体"/>
          <w:b/>
          <w:bCs/>
          <w:color w:val="auto"/>
          <w:szCs w:val="21"/>
          <w:highlight w:val="none"/>
        </w:rPr>
        <w:t>分项工程和单价措施费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、其他项目费和规费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、增值税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的合计金额一致，不一致的作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5922CCA0">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设有暂定价或暂定金额的，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时要按采购人工程量清单给出的暂定价或暂定金额计入</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报价中，否则作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无效处理。</w:t>
      </w:r>
    </w:p>
    <w:p w14:paraId="454E9D7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11</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采用多次报价方式，作</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报价时采购人将书面告知各供应商，供应商的</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报价文件必须按工程量清单报价文件的要求及格式编制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p>
    <w:p w14:paraId="3109924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szCs w:val="21"/>
          <w:highlight w:val="none"/>
        </w:rPr>
        <w:t>.2工程计价说明详见第三章</w:t>
      </w:r>
      <w:r>
        <w:rPr>
          <w:rFonts w:hint="eastAsia" w:ascii="宋体" w:hAnsi="宋体" w:eastAsia="宋体" w:cs="宋体"/>
          <w:color w:val="auto"/>
          <w:highlight w:val="none"/>
        </w:rPr>
        <w:t>项目需求和说明中的</w:t>
      </w:r>
      <w:r>
        <w:rPr>
          <w:rFonts w:hint="eastAsia" w:ascii="宋体" w:hAnsi="宋体" w:eastAsia="宋体" w:cs="宋体"/>
          <w:color w:val="auto"/>
          <w:szCs w:val="21"/>
          <w:highlight w:val="none"/>
        </w:rPr>
        <w:t>“工程量清单”。</w:t>
      </w:r>
    </w:p>
    <w:p w14:paraId="5CE6489C">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.2.1</w:t>
      </w:r>
      <w:r>
        <w:rPr>
          <w:rFonts w:hint="eastAsia" w:ascii="宋体" w:hAnsi="宋体" w:eastAsia="宋体" w:cs="宋体"/>
          <w:color w:val="auto"/>
          <w:szCs w:val="21"/>
          <w:highlight w:val="none"/>
        </w:rPr>
        <w:t>采购人不提供建筑废渣的倾倒地点，建筑废渣的运距由供应商按所能承受能力自行考虑，建筑废渣的运费以综合单价形式包干。结算时不对运距进行费用签证。</w:t>
      </w:r>
    </w:p>
    <w:p w14:paraId="0B5E5A47">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11</w:t>
      </w:r>
      <w:r>
        <w:rPr>
          <w:rFonts w:hint="eastAsia" w:ascii="宋体" w:hAnsi="宋体" w:eastAsia="宋体" w:cs="宋体"/>
          <w:color w:val="auto"/>
          <w:spacing w:val="2"/>
          <w:highlight w:val="none"/>
        </w:rPr>
        <w:t>.2.2</w:t>
      </w:r>
      <w:r>
        <w:rPr>
          <w:rFonts w:hint="eastAsia" w:ascii="宋体" w:hAnsi="宋体" w:eastAsia="宋体" w:cs="宋体"/>
          <w:color w:val="auto"/>
          <w:szCs w:val="21"/>
          <w:highlight w:val="none"/>
        </w:rPr>
        <w:t>本工程施工期间的水电费由</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48E5E390">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货币</w:t>
      </w:r>
    </w:p>
    <w:p w14:paraId="2C5DF505">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响应文件报价中的单价和合价全部采用人民币表示。</w:t>
      </w:r>
    </w:p>
    <w:p w14:paraId="77BC6EA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69" w:name="_Toc424307748"/>
      <w:bookmarkStart w:id="70" w:name="_Toc424307481"/>
      <w:r>
        <w:rPr>
          <w:rFonts w:hint="eastAsia" w:ascii="宋体" w:hAnsi="宋体" w:eastAsia="宋体" w:cs="宋体"/>
          <w:b/>
          <w:bCs/>
          <w:color w:val="auto"/>
          <w:spacing w:val="2"/>
          <w:highlight w:val="none"/>
        </w:rPr>
        <w:t>五、响应文件的编制</w:t>
      </w:r>
      <w:bookmarkEnd w:id="69"/>
      <w:bookmarkEnd w:id="70"/>
    </w:p>
    <w:p w14:paraId="3733B34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12</w:t>
      </w:r>
      <w:r>
        <w:rPr>
          <w:rFonts w:hint="eastAsia" w:ascii="宋体" w:hAnsi="宋体" w:eastAsia="宋体" w:cs="宋体"/>
          <w:b/>
          <w:bCs/>
          <w:color w:val="auto"/>
          <w:spacing w:val="2"/>
          <w:highlight w:val="none"/>
        </w:rPr>
        <w:t>.响应文件的语言</w:t>
      </w:r>
    </w:p>
    <w:p w14:paraId="7AC04DF9">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.1“</w:t>
      </w:r>
      <w:r>
        <w:rPr>
          <w:rFonts w:hint="eastAsia" w:ascii="宋体" w:hAnsi="宋体" w:eastAsia="宋体" w:cs="宋体"/>
          <w:color w:val="auto"/>
          <w:szCs w:val="21"/>
          <w:highlight w:val="none"/>
        </w:rPr>
        <w:t>响应文件”是指：</w:t>
      </w:r>
      <w:r>
        <w:rPr>
          <w:rFonts w:hint="eastAsia" w:ascii="宋体" w:hAnsi="宋体" w:cs="宋体"/>
          <w:color w:val="auto"/>
          <w:spacing w:val="-6"/>
          <w:szCs w:val="21"/>
          <w:highlight w:val="none"/>
        </w:rPr>
        <w:t>供应商根据本磋商文件要求，编制包含资格证明、报价</w:t>
      </w:r>
      <w:r>
        <w:rPr>
          <w:rFonts w:hint="eastAsia" w:ascii="宋体" w:hAnsi="宋体" w:cs="宋体"/>
          <w:color w:val="auto"/>
          <w:spacing w:val="-6"/>
          <w:szCs w:val="21"/>
          <w:highlight w:val="none"/>
          <w:lang w:eastAsia="zh-CN"/>
        </w:rPr>
        <w:t>、</w:t>
      </w:r>
      <w:r>
        <w:rPr>
          <w:rFonts w:hint="eastAsia" w:ascii="宋体" w:hAnsi="宋体" w:cs="宋体"/>
          <w:color w:val="auto"/>
          <w:spacing w:val="-6"/>
          <w:szCs w:val="21"/>
          <w:highlight w:val="none"/>
          <w:lang w:val="en-US" w:eastAsia="zh-CN"/>
        </w:rPr>
        <w:t>商务</w:t>
      </w:r>
      <w:r>
        <w:rPr>
          <w:rFonts w:hint="eastAsia" w:ascii="宋体" w:hAnsi="宋体" w:cs="宋体"/>
          <w:color w:val="auto"/>
          <w:spacing w:val="-6"/>
          <w:szCs w:val="21"/>
          <w:highlight w:val="none"/>
        </w:rPr>
        <w:t>技术等所有内容的文件。</w:t>
      </w:r>
    </w:p>
    <w:p w14:paraId="23CDC612">
      <w:pPr>
        <w:keepNext w:val="0"/>
        <w:keepLines w:val="0"/>
        <w:pageBreakBefore w:val="0"/>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zCs w:val="21"/>
          <w:highlight w:val="none"/>
        </w:rPr>
      </w:pPr>
      <w:r>
        <w:rPr>
          <w:rFonts w:hint="eastAsia" w:ascii="宋体" w:hAnsi="宋体" w:cs="宋体"/>
          <w:color w:val="auto"/>
          <w:spacing w:val="2"/>
          <w:highlight w:val="none"/>
          <w:lang w:val="en-US" w:eastAsia="zh-CN"/>
        </w:rPr>
        <w:t>12</w:t>
      </w:r>
      <w:r>
        <w:rPr>
          <w:rFonts w:hint="eastAsia" w:ascii="宋体" w:hAnsi="宋体" w:eastAsia="宋体" w:cs="宋体"/>
          <w:color w:val="auto"/>
          <w:spacing w:val="2"/>
          <w:highlight w:val="none"/>
        </w:rPr>
        <w:t>.2</w:t>
      </w:r>
      <w:r>
        <w:rPr>
          <w:rFonts w:hint="eastAsia" w:ascii="宋体" w:hAnsi="宋体" w:eastAsia="宋体" w:cs="宋体"/>
          <w:color w:val="auto"/>
          <w:spacing w:val="-2"/>
          <w:highlight w:val="none"/>
        </w:rPr>
        <w:t>响应文件及供应商与采购人之间往来的与</w:t>
      </w:r>
      <w:r>
        <w:rPr>
          <w:rFonts w:hint="eastAsia" w:ascii="宋体" w:hAnsi="宋体" w:eastAsia="宋体" w:cs="宋体"/>
          <w:color w:val="auto"/>
          <w:spacing w:val="-2"/>
          <w:highlight w:val="none"/>
          <w:lang w:eastAsia="zh-CN"/>
        </w:rPr>
        <w:t>磋商</w:t>
      </w:r>
      <w:r>
        <w:rPr>
          <w:rFonts w:hint="eastAsia" w:ascii="宋体" w:hAnsi="宋体" w:eastAsia="宋体" w:cs="宋体"/>
          <w:color w:val="auto"/>
          <w:spacing w:val="-2"/>
          <w:highlight w:val="none"/>
        </w:rPr>
        <w:t>有关的通知、函件和文件均应使用</w:t>
      </w:r>
      <w:r>
        <w:rPr>
          <w:rFonts w:hint="eastAsia" w:ascii="宋体" w:hAnsi="宋体" w:eastAsia="宋体" w:cs="宋体"/>
          <w:bCs/>
          <w:color w:val="auto"/>
          <w:spacing w:val="-2"/>
          <w:highlight w:val="none"/>
        </w:rPr>
        <w:t>中</w:t>
      </w:r>
      <w:r>
        <w:rPr>
          <w:rFonts w:hint="eastAsia" w:ascii="宋体" w:hAnsi="宋体" w:eastAsia="宋体" w:cs="宋体"/>
          <w:color w:val="auto"/>
          <w:spacing w:val="-2"/>
          <w:highlight w:val="none"/>
        </w:rPr>
        <w:t>文</w:t>
      </w:r>
      <w:r>
        <w:rPr>
          <w:rFonts w:hint="eastAsia" w:ascii="宋体" w:hAnsi="宋体" w:eastAsia="宋体" w:cs="宋体"/>
          <w:color w:val="auto"/>
          <w:szCs w:val="21"/>
          <w:highlight w:val="none"/>
        </w:rPr>
        <w:t>。</w:t>
      </w:r>
    </w:p>
    <w:p w14:paraId="0774FE1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3</w:t>
      </w:r>
      <w:r>
        <w:rPr>
          <w:rFonts w:hint="eastAsia" w:ascii="宋体" w:hAnsi="宋体" w:cs="宋体"/>
          <w:b/>
          <w:bCs/>
          <w:color w:val="auto"/>
          <w:spacing w:val="2"/>
          <w:highlight w:val="none"/>
          <w:lang w:eastAsia="zh-CN"/>
        </w:rPr>
        <w:t>竞标有效期</w:t>
      </w:r>
    </w:p>
    <w:p w14:paraId="5884D220">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 xml:space="preserve">.1 </w:t>
      </w:r>
      <w:bookmarkStart w:id="71" w:name="OLE_LINK18"/>
      <w:r>
        <w:rPr>
          <w:rFonts w:hint="eastAsia" w:ascii="宋体" w:hAnsi="宋体" w:cs="宋体"/>
          <w:color w:val="auto"/>
          <w:spacing w:val="2"/>
          <w:highlight w:val="none"/>
          <w:lang w:eastAsia="zh-CN"/>
        </w:rPr>
        <w:t>竞标有效期</w:t>
      </w:r>
      <w:bookmarkEnd w:id="71"/>
      <w:r>
        <w:rPr>
          <w:rFonts w:hint="eastAsia" w:ascii="宋体" w:hAnsi="宋体" w:eastAsia="宋体" w:cs="宋体"/>
          <w:color w:val="auto"/>
          <w:spacing w:val="2"/>
          <w:highlight w:val="none"/>
        </w:rPr>
        <w:t>：自首次响应文件提交截止时间起至政府采购合同签订之日止。</w:t>
      </w:r>
    </w:p>
    <w:p w14:paraId="1933359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w:t>
      </w:r>
      <w:r>
        <w:rPr>
          <w:rFonts w:hint="eastAsia" w:ascii="宋体" w:hAnsi="宋体" w:cs="宋体"/>
          <w:color w:val="auto"/>
          <w:spacing w:val="2"/>
          <w:highlight w:val="none"/>
          <w:lang w:val="en-US" w:eastAsia="zh-CN"/>
        </w:rPr>
        <w:t>3</w:t>
      </w:r>
      <w:r>
        <w:rPr>
          <w:rFonts w:hint="eastAsia" w:ascii="宋体" w:hAnsi="宋体" w:eastAsia="宋体" w:cs="宋体"/>
          <w:color w:val="auto"/>
          <w:spacing w:val="2"/>
          <w:highlight w:val="none"/>
        </w:rPr>
        <w:t>.2在原定</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满之前，如果出现特殊情况，采购人可以书面形式向供应商提出延长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的要求。供应商须以书面形式予以答复。同意延长</w:t>
      </w:r>
      <w:r>
        <w:rPr>
          <w:rFonts w:hint="eastAsia" w:ascii="宋体" w:hAnsi="宋体" w:cs="宋体"/>
          <w:color w:val="auto"/>
          <w:spacing w:val="2"/>
          <w:highlight w:val="none"/>
          <w:lang w:eastAsia="zh-CN"/>
        </w:rPr>
        <w:t>竞标有效期</w:t>
      </w:r>
      <w:r>
        <w:rPr>
          <w:rFonts w:hint="eastAsia" w:ascii="宋体" w:hAnsi="宋体" w:eastAsia="宋体" w:cs="宋体"/>
          <w:color w:val="auto"/>
          <w:spacing w:val="2"/>
          <w:highlight w:val="none"/>
        </w:rPr>
        <w:t>的供应商不允许修改其响应文件，在延长期内本须知的规定仍然适用。</w:t>
      </w:r>
    </w:p>
    <w:p w14:paraId="4A4E6DA7">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4</w:t>
      </w:r>
      <w:r>
        <w:rPr>
          <w:rFonts w:hint="eastAsia" w:ascii="宋体" w:hAnsi="宋体" w:eastAsia="宋体" w:cs="宋体"/>
          <w:b/>
          <w:bCs/>
          <w:color w:val="auto"/>
          <w:spacing w:val="2"/>
          <w:highlight w:val="none"/>
        </w:rPr>
        <w:t>.</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保证金</w:t>
      </w:r>
    </w:p>
    <w:p w14:paraId="1CA9607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本项目不收取磋商保证金</w:t>
      </w:r>
      <w:r>
        <w:rPr>
          <w:rFonts w:hint="eastAsia" w:ascii="宋体" w:hAnsi="宋体" w:eastAsia="宋体" w:cs="宋体"/>
          <w:color w:val="auto"/>
          <w:sz w:val="21"/>
          <w:szCs w:val="21"/>
          <w:highlight w:val="none"/>
        </w:rPr>
        <w:t>。</w:t>
      </w:r>
    </w:p>
    <w:p w14:paraId="51EBF4DF">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5</w:t>
      </w:r>
      <w:r>
        <w:rPr>
          <w:rFonts w:hint="eastAsia" w:ascii="宋体" w:hAnsi="宋体" w:eastAsia="宋体" w:cs="宋体"/>
          <w:b/>
          <w:bCs/>
          <w:color w:val="auto"/>
          <w:spacing w:val="2"/>
          <w:highlight w:val="none"/>
        </w:rPr>
        <w:t>.踏勘现场和</w:t>
      </w:r>
      <w:r>
        <w:rPr>
          <w:rFonts w:hint="eastAsia" w:ascii="宋体" w:hAnsi="宋体" w:eastAsia="宋体" w:cs="宋体"/>
          <w:b/>
          <w:bCs/>
          <w:color w:val="auto"/>
          <w:spacing w:val="2"/>
          <w:highlight w:val="none"/>
          <w:lang w:eastAsia="zh-CN"/>
        </w:rPr>
        <w:t>磋商</w:t>
      </w:r>
      <w:r>
        <w:rPr>
          <w:rFonts w:hint="eastAsia" w:ascii="宋体" w:hAnsi="宋体" w:eastAsia="宋体" w:cs="宋体"/>
          <w:b/>
          <w:bCs/>
          <w:color w:val="auto"/>
          <w:spacing w:val="2"/>
          <w:highlight w:val="none"/>
        </w:rPr>
        <w:t>答疑</w:t>
      </w:r>
    </w:p>
    <w:p w14:paraId="680F9A0D">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.1 采购人向供应商提供的有关施工现场的资料和数据，是采购人现有的能使供应商利用的资料。采购人对供应商由此而作出的推论、理解和结论概不负责。</w:t>
      </w:r>
    </w:p>
    <w:p w14:paraId="1E327DA1">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.2 供应商提出的与</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有关的任何问题须在收到竞争性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文件和工程量清单及相关资料后2天内，以书面形式送达采购代理机构，采购代理机构将通过“补遗文件”的形式予以答复。</w:t>
      </w:r>
    </w:p>
    <w:p w14:paraId="5B248C6B">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val="0"/>
          <w:color w:val="auto"/>
          <w:spacing w:val="2"/>
          <w:highlight w:val="none"/>
        </w:rPr>
      </w:pPr>
      <w:r>
        <w:rPr>
          <w:rFonts w:hint="eastAsia" w:ascii="宋体" w:hAnsi="宋体" w:eastAsia="宋体" w:cs="宋体"/>
          <w:b w:val="0"/>
          <w:bCs w:val="0"/>
          <w:color w:val="auto"/>
          <w:spacing w:val="2"/>
          <w:highlight w:val="none"/>
        </w:rPr>
        <w:t>1</w:t>
      </w:r>
      <w:r>
        <w:rPr>
          <w:rFonts w:hint="eastAsia" w:ascii="宋体" w:hAnsi="宋体" w:cs="宋体"/>
          <w:b w:val="0"/>
          <w:bCs w:val="0"/>
          <w:color w:val="auto"/>
          <w:spacing w:val="2"/>
          <w:highlight w:val="none"/>
          <w:lang w:val="en-US" w:eastAsia="zh-CN"/>
        </w:rPr>
        <w:t>5</w:t>
      </w:r>
      <w:r>
        <w:rPr>
          <w:rFonts w:hint="eastAsia" w:ascii="宋体" w:hAnsi="宋体" w:eastAsia="宋体" w:cs="宋体"/>
          <w:b w:val="0"/>
          <w:bCs w:val="0"/>
          <w:color w:val="auto"/>
          <w:spacing w:val="2"/>
          <w:highlight w:val="none"/>
        </w:rPr>
        <w:t>.3 采购补遗文件包括所有问题和答复，将迅速提供给所有获得竞争性</w:t>
      </w:r>
      <w:r>
        <w:rPr>
          <w:rFonts w:hint="eastAsia" w:ascii="宋体" w:hAnsi="宋体" w:eastAsia="宋体" w:cs="宋体"/>
          <w:b w:val="0"/>
          <w:bCs w:val="0"/>
          <w:color w:val="auto"/>
          <w:spacing w:val="2"/>
          <w:highlight w:val="none"/>
          <w:lang w:eastAsia="zh-CN"/>
        </w:rPr>
        <w:t>磋商</w:t>
      </w:r>
      <w:r>
        <w:rPr>
          <w:rFonts w:hint="eastAsia" w:ascii="宋体" w:hAnsi="宋体" w:eastAsia="宋体" w:cs="宋体"/>
          <w:b w:val="0"/>
          <w:bCs w:val="0"/>
          <w:color w:val="auto"/>
          <w:spacing w:val="2"/>
          <w:highlight w:val="none"/>
        </w:rPr>
        <w:t>文件的供应商。供应商须在前附表所列的时间和地点领取采购补遗文件。</w:t>
      </w:r>
    </w:p>
    <w:p w14:paraId="2A672E0C">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6</w:t>
      </w:r>
      <w:r>
        <w:rPr>
          <w:rFonts w:hint="eastAsia" w:ascii="宋体" w:hAnsi="宋体" w:eastAsia="宋体" w:cs="宋体"/>
          <w:b/>
          <w:bCs/>
          <w:color w:val="auto"/>
          <w:spacing w:val="2"/>
          <w:highlight w:val="none"/>
        </w:rPr>
        <w:t>.</w:t>
      </w:r>
      <w:r>
        <w:rPr>
          <w:rFonts w:hint="eastAsia" w:ascii="宋体" w:hAnsi="宋体" w:eastAsia="宋体" w:cs="宋体"/>
          <w:b/>
          <w:bCs/>
          <w:color w:val="auto"/>
          <w:spacing w:val="2"/>
          <w:highlight w:val="none"/>
          <w:lang w:val="en-US" w:eastAsia="zh-CN"/>
        </w:rPr>
        <w:t>电子</w:t>
      </w:r>
      <w:r>
        <w:rPr>
          <w:rFonts w:hint="eastAsia" w:ascii="宋体" w:hAnsi="宋体" w:eastAsia="宋体" w:cs="宋体"/>
          <w:b/>
          <w:bCs/>
          <w:color w:val="auto"/>
          <w:spacing w:val="2"/>
          <w:highlight w:val="none"/>
        </w:rPr>
        <w:t>响应文件编制的要求</w:t>
      </w:r>
    </w:p>
    <w:p w14:paraId="0331757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648F64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.2本磋商只接受电子版响应文件，要求见本章“</w:t>
      </w:r>
      <w:r>
        <w:rPr>
          <w:rFonts w:hint="eastAsia" w:ascii="宋体" w:hAnsi="宋体" w:eastAsia="宋体" w:cs="宋体"/>
          <w:color w:val="auto"/>
          <w:szCs w:val="21"/>
          <w:highlight w:val="none"/>
          <w:lang w:val="en-US" w:eastAsia="zh-CN"/>
        </w:rPr>
        <w:t>9.1</w:t>
      </w:r>
      <w:r>
        <w:rPr>
          <w:rFonts w:hint="eastAsia" w:ascii="宋体" w:hAnsi="宋体" w:eastAsia="宋体" w:cs="宋体"/>
          <w:color w:val="auto"/>
          <w:szCs w:val="21"/>
          <w:highlight w:val="none"/>
        </w:rPr>
        <w:t>响应文件电子版要求”。</w:t>
      </w:r>
    </w:p>
    <w:p w14:paraId="4E0AB07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bookmarkStart w:id="72" w:name="_Hlk65832699"/>
      <w:r>
        <w:rPr>
          <w:rFonts w:hint="eastAsia" w:ascii="宋体" w:hAnsi="宋体" w:eastAsia="宋体" w:cs="宋体"/>
          <w:color w:val="auto"/>
          <w:szCs w:val="21"/>
          <w:highlight w:val="none"/>
        </w:rPr>
        <w:t>3响应文件须由供应商</w:t>
      </w:r>
      <w:r>
        <w:rPr>
          <w:rFonts w:hint="eastAsia" w:ascii="宋体" w:hAnsi="宋体" w:eastAsia="宋体" w:cs="宋体"/>
          <w:color w:val="auto"/>
          <w:szCs w:val="21"/>
          <w:highlight w:val="none"/>
          <w:lang w:eastAsia="zh-CN"/>
        </w:rPr>
        <w:t>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进行签署、盖章</w:t>
      </w:r>
      <w:bookmarkEnd w:id="72"/>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745BFD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.4响应文件中标注的供应商名称应与营业执照（事业单位法人证书、执业许可证、自然人身份证）及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公章一致，</w:t>
      </w:r>
      <w:r>
        <w:rPr>
          <w:rFonts w:hint="eastAsia" w:ascii="宋体" w:hAnsi="宋体" w:eastAsia="宋体" w:cs="宋体"/>
          <w:b/>
          <w:bCs/>
          <w:color w:val="auto"/>
          <w:szCs w:val="21"/>
          <w:highlight w:val="none"/>
        </w:rPr>
        <w:t>否则其响应文件按无效响应处理。</w:t>
      </w:r>
    </w:p>
    <w:p w14:paraId="2642CCC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pacing w:val="2"/>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.5响应文件应避免涂改、行间插字或者删除</w:t>
      </w:r>
      <w:r>
        <w:rPr>
          <w:rFonts w:hint="eastAsia" w:ascii="宋体" w:hAnsi="宋体" w:eastAsia="宋体" w:cs="宋体"/>
          <w:b w:val="0"/>
          <w:bCs w:val="0"/>
          <w:color w:val="auto"/>
          <w:spacing w:val="2"/>
          <w:highlight w:val="none"/>
        </w:rPr>
        <w:t>。</w:t>
      </w:r>
    </w:p>
    <w:p w14:paraId="79D209F9">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bookmarkStart w:id="73" w:name="_Toc424307482"/>
      <w:bookmarkStart w:id="74" w:name="_Toc424307749"/>
      <w:r>
        <w:rPr>
          <w:rFonts w:hint="eastAsia" w:ascii="宋体" w:hAnsi="宋体" w:eastAsia="宋体" w:cs="宋体"/>
          <w:b/>
          <w:bCs/>
          <w:color w:val="auto"/>
          <w:spacing w:val="2"/>
          <w:highlight w:val="none"/>
        </w:rPr>
        <w:t>1</w:t>
      </w:r>
      <w:r>
        <w:rPr>
          <w:rFonts w:hint="eastAsia" w:ascii="宋体" w:hAnsi="宋体" w:cs="宋体"/>
          <w:b/>
          <w:bCs/>
          <w:color w:val="auto"/>
          <w:spacing w:val="2"/>
          <w:highlight w:val="none"/>
          <w:lang w:val="en-US" w:eastAsia="zh-CN"/>
        </w:rPr>
        <w:t>7</w:t>
      </w:r>
      <w:r>
        <w:rPr>
          <w:rFonts w:hint="eastAsia" w:ascii="宋体" w:hAnsi="宋体" w:eastAsia="宋体" w:cs="宋体"/>
          <w:b/>
          <w:bCs/>
          <w:color w:val="auto"/>
          <w:spacing w:val="2"/>
          <w:highlight w:val="none"/>
        </w:rPr>
        <w:t>.响应文件的</w:t>
      </w:r>
      <w:r>
        <w:rPr>
          <w:rFonts w:hint="eastAsia" w:ascii="宋体" w:hAnsi="宋体" w:cs="宋体"/>
          <w:b/>
          <w:bCs/>
          <w:color w:val="auto"/>
          <w:spacing w:val="2"/>
          <w:highlight w:val="none"/>
          <w:lang w:val="en-US" w:eastAsia="zh-CN"/>
        </w:rPr>
        <w:t>加密</w:t>
      </w:r>
      <w:r>
        <w:rPr>
          <w:rFonts w:hint="eastAsia" w:ascii="宋体" w:hAnsi="宋体" w:eastAsia="宋体" w:cs="宋体"/>
          <w:b/>
          <w:bCs/>
          <w:color w:val="auto"/>
          <w:spacing w:val="2"/>
          <w:highlight w:val="none"/>
        </w:rPr>
        <w:t>和标记</w:t>
      </w:r>
    </w:p>
    <w:p w14:paraId="2F1953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.1供应商进行电子交易应安装客户端软件—“</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0E6715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val="zh-CN"/>
        </w:rPr>
        <w:t>.2使用“</w:t>
      </w:r>
      <w:r>
        <w:rPr>
          <w:rFonts w:hint="eastAsia" w:ascii="宋体" w:hAnsi="宋体" w:cs="宋体"/>
          <w:color w:val="auto"/>
          <w:kern w:val="0"/>
          <w:szCs w:val="21"/>
          <w:highlight w:val="none"/>
          <w:lang w:val="zh-CN"/>
        </w:rPr>
        <w:t>广西政府采购云平台新版客户端</w:t>
      </w:r>
      <w:r>
        <w:rPr>
          <w:rFonts w:hint="eastAsia" w:ascii="宋体" w:hAnsi="宋体" w:eastAsia="宋体" w:cs="宋体"/>
          <w:color w:val="auto"/>
          <w:kern w:val="0"/>
          <w:szCs w:val="21"/>
          <w:highlight w:val="none"/>
          <w:lang w:val="zh-CN"/>
        </w:rPr>
        <w:t>”需要提前申领CA数字证书。</w:t>
      </w:r>
    </w:p>
    <w:p w14:paraId="55CC601D">
      <w:pPr>
        <w:pStyle w:val="13"/>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Ansi="宋体" w:cs="仿宋_GB2312"/>
          <w:color w:val="auto"/>
          <w:sz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.3为确保网上操作合法、有效和安全，供应商应当在响应文件提交截止时间前完成在“</w:t>
      </w:r>
      <w:r>
        <w:rPr>
          <w:rFonts w:hint="eastAsia"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”的身份认证，确保在电子交易过程中能够对相关数据电文进行加密和使用电子签名</w:t>
      </w:r>
      <w:r>
        <w:rPr>
          <w:rFonts w:hint="eastAsia" w:hAnsi="宋体" w:cs="仿宋_GB2312"/>
          <w:color w:val="auto"/>
          <w:sz w:val="21"/>
          <w:highlight w:val="none"/>
        </w:rPr>
        <w:t>。</w:t>
      </w:r>
    </w:p>
    <w:bookmarkEnd w:id="73"/>
    <w:bookmarkEnd w:id="74"/>
    <w:p w14:paraId="6930B303">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w:t>
      </w:r>
      <w:r>
        <w:rPr>
          <w:rFonts w:hint="eastAsia" w:ascii="宋体" w:hAnsi="宋体" w:cs="宋体"/>
          <w:b/>
          <w:bCs/>
          <w:color w:val="auto"/>
          <w:spacing w:val="2"/>
          <w:highlight w:val="none"/>
          <w:lang w:val="en-US" w:eastAsia="zh-CN"/>
        </w:rPr>
        <w:t>8</w:t>
      </w:r>
      <w:r>
        <w:rPr>
          <w:rFonts w:hint="eastAsia" w:ascii="宋体" w:hAnsi="宋体" w:eastAsia="宋体" w:cs="宋体"/>
          <w:b/>
          <w:bCs/>
          <w:color w:val="auto"/>
          <w:spacing w:val="2"/>
          <w:highlight w:val="none"/>
        </w:rPr>
        <w:t>.响应文件的提交</w:t>
      </w:r>
    </w:p>
    <w:p w14:paraId="61825B8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.1供应商必须在“供应商须知前附表”规定的时间和地点提交响应文件。</w:t>
      </w:r>
    </w:p>
    <w:p w14:paraId="4BA9C35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.2 在响应文件提交截止时间以后，不能补充、修改响应文件。</w:t>
      </w:r>
    </w:p>
    <w:p w14:paraId="5C612C8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D7262D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.4 电子交易平台收到响应文件，将妥善保存并即时向供应商发出确认回执通知。在响应文件提交截止时间前，除供应商补充、修改或者撤回响应文件外，任何单位和个人不得解密或提取响应文件。</w:t>
      </w:r>
    </w:p>
    <w:p w14:paraId="0D15B1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.5 采购机构不可视情况延长提交响应文件的截止时间。</w:t>
      </w:r>
    </w:p>
    <w:p w14:paraId="61858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.6备份响应文件。</w:t>
      </w:r>
      <w:r>
        <w:rPr>
          <w:rFonts w:hint="eastAsia" w:ascii="宋体" w:hAnsi="宋体" w:eastAsia="宋体" w:cs="宋体"/>
          <w:bCs/>
          <w:color w:val="auto"/>
          <w:szCs w:val="21"/>
          <w:highlight w:val="none"/>
        </w:rPr>
        <w:t>详见“供应商须知前附表”。</w:t>
      </w:r>
    </w:p>
    <w:p w14:paraId="308EAD52">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lang w:val="en-US" w:eastAsia="zh-CN"/>
        </w:rPr>
        <w:t>19.</w:t>
      </w:r>
      <w:r>
        <w:rPr>
          <w:rFonts w:hint="eastAsia" w:ascii="宋体" w:hAnsi="宋体" w:eastAsia="宋体" w:cs="宋体"/>
          <w:b/>
          <w:bCs/>
          <w:color w:val="auto"/>
          <w:spacing w:val="2"/>
          <w:highlight w:val="none"/>
        </w:rPr>
        <w:t xml:space="preserve"> 首次响应文件的补充、修改与撤回</w:t>
      </w:r>
    </w:p>
    <w:p w14:paraId="32AAB4A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cs="宋体"/>
          <w:color w:val="auto"/>
          <w:szCs w:val="21"/>
          <w:highlight w:val="none"/>
        </w:rPr>
      </w:pPr>
      <w:r>
        <w:rPr>
          <w:rFonts w:hint="eastAsia" w:cs="宋体"/>
          <w:color w:val="auto"/>
          <w:szCs w:val="21"/>
          <w:highlight w:val="none"/>
        </w:rPr>
        <w:t>详见</w:t>
      </w:r>
      <w:r>
        <w:rPr>
          <w:rFonts w:hint="eastAsia" w:cs="宋体"/>
          <w:color w:val="auto"/>
          <w:szCs w:val="21"/>
          <w:highlight w:val="none"/>
          <w:lang w:val="en-US" w:eastAsia="zh-CN"/>
        </w:rPr>
        <w:t>竞争性磋商公告</w:t>
      </w:r>
      <w:r>
        <w:rPr>
          <w:rFonts w:hint="eastAsia" w:cs="宋体"/>
          <w:color w:val="auto"/>
          <w:szCs w:val="21"/>
          <w:highlight w:val="none"/>
        </w:rPr>
        <w:t>。</w:t>
      </w:r>
    </w:p>
    <w:p w14:paraId="2C9D931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eastAsia="宋体" w:cs="宋体"/>
          <w:b/>
          <w:bCs/>
          <w:color w:val="auto"/>
          <w:spacing w:val="2"/>
          <w:highlight w:val="none"/>
        </w:rPr>
        <w:t>2</w:t>
      </w:r>
      <w:r>
        <w:rPr>
          <w:rFonts w:hint="eastAsia" w:ascii="宋体" w:hAnsi="宋体" w:cs="宋体"/>
          <w:b/>
          <w:bCs/>
          <w:color w:val="auto"/>
          <w:spacing w:val="2"/>
          <w:highlight w:val="none"/>
          <w:lang w:val="en-US" w:eastAsia="zh-CN"/>
        </w:rPr>
        <w:t>0</w:t>
      </w:r>
      <w:r>
        <w:rPr>
          <w:rFonts w:hint="eastAsia" w:ascii="宋体" w:hAnsi="宋体" w:eastAsia="宋体" w:cs="宋体"/>
          <w:b/>
          <w:bCs/>
          <w:color w:val="auto"/>
          <w:spacing w:val="2"/>
          <w:highlight w:val="none"/>
        </w:rPr>
        <w:t>. 截止时间后的撤回</w:t>
      </w:r>
    </w:p>
    <w:p w14:paraId="073A73E5">
      <w:pPr>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cs="宋体"/>
          <w:b w:val="0"/>
          <w:bCs w:val="0"/>
          <w:color w:val="auto"/>
          <w:spacing w:val="2"/>
          <w:highlight w:val="none"/>
          <w:lang w:val="en-US" w:eastAsia="zh-CN"/>
        </w:rPr>
      </w:pPr>
      <w:r>
        <w:rPr>
          <w:rFonts w:hint="eastAsia" w:ascii="宋体" w:hAnsi="宋体" w:cs="宋体"/>
          <w:b w:val="0"/>
          <w:bCs w:val="0"/>
          <w:color w:val="auto"/>
          <w:spacing w:val="2"/>
          <w:highlight w:val="none"/>
          <w:lang w:val="en-US" w:eastAsia="zh-CN"/>
        </w:rPr>
        <w:t>供应商在首次响应文件提交截止时间后向采购人、采购代理机构书面申请撤回电子响应文件的，将不予退还其磋商保证金（如有）。</w:t>
      </w:r>
    </w:p>
    <w:p w14:paraId="17D34360">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六</w:t>
      </w:r>
      <w:r>
        <w:rPr>
          <w:rFonts w:hint="eastAsia" w:ascii="宋体" w:hAnsi="宋体" w:eastAsia="宋体" w:cs="宋体"/>
          <w:b/>
          <w:bCs/>
          <w:color w:val="auto"/>
          <w:spacing w:val="2"/>
          <w:highlight w:val="none"/>
          <w:lang w:eastAsia="zh-CN"/>
        </w:rPr>
        <w:t>、磋商</w:t>
      </w:r>
    </w:p>
    <w:p w14:paraId="0FD7F20A">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21</w:t>
      </w:r>
      <w:r>
        <w:rPr>
          <w:rFonts w:hint="eastAsia" w:ascii="宋体" w:hAnsi="宋体" w:eastAsia="宋体" w:cs="宋体"/>
          <w:b/>
          <w:bCs/>
          <w:color w:val="auto"/>
          <w:spacing w:val="2"/>
          <w:highlight w:val="none"/>
        </w:rPr>
        <w:t>.磋商小组成立</w:t>
      </w:r>
    </w:p>
    <w:p w14:paraId="6FCEDC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.1磋商小组由采购人代表和评审专家共3人</w:t>
      </w:r>
      <w:r>
        <w:rPr>
          <w:rFonts w:hint="eastAsia"/>
          <w:color w:val="auto"/>
          <w:lang w:val="en-US" w:eastAsia="zh-CN"/>
        </w:rPr>
        <w:t>及</w:t>
      </w:r>
      <w:r>
        <w:rPr>
          <w:rFonts w:hint="eastAsia" w:ascii="宋体" w:hAnsi="宋体" w:cs="宋体"/>
          <w:color w:val="auto"/>
          <w:szCs w:val="21"/>
          <w:highlight w:val="none"/>
        </w:rPr>
        <w:t>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41E64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379339E">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color w:val="auto"/>
          <w:spacing w:val="2"/>
          <w:highlight w:val="none"/>
        </w:rPr>
      </w:pPr>
      <w:r>
        <w:rPr>
          <w:rFonts w:hint="eastAsia" w:ascii="宋体" w:hAnsi="宋体" w:cs="宋体"/>
          <w:b/>
          <w:bCs/>
          <w:color w:val="auto"/>
          <w:spacing w:val="2"/>
          <w:highlight w:val="none"/>
          <w:lang w:val="en-US" w:eastAsia="zh-CN"/>
        </w:rPr>
        <w:t>22</w:t>
      </w:r>
      <w:r>
        <w:rPr>
          <w:rFonts w:hint="eastAsia" w:ascii="宋体" w:hAnsi="宋体" w:eastAsia="宋体" w:cs="宋体"/>
          <w:b/>
          <w:bCs/>
          <w:color w:val="auto"/>
          <w:spacing w:val="2"/>
          <w:highlight w:val="none"/>
        </w:rPr>
        <w:t>.首次响应文件的开启</w:t>
      </w:r>
    </w:p>
    <w:p w14:paraId="0DC1B4F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.1首次响应文件由磋商小组或者采购代理机构在“供应商须知前附表”规定的时间开启。</w:t>
      </w:r>
    </w:p>
    <w:p w14:paraId="511205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bCs/>
          <w:color w:val="auto"/>
          <w:kern w:val="0"/>
          <w:szCs w:val="21"/>
          <w:highlight w:val="none"/>
        </w:rPr>
        <w:t>响应文件解密</w:t>
      </w:r>
    </w:p>
    <w:p w14:paraId="41B9AE25">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val="en-US" w:eastAsia="zh-CN"/>
        </w:rPr>
        <w:t>广西政府采购云平台</w:t>
      </w:r>
      <w:r>
        <w:rPr>
          <w:rFonts w:hint="eastAsia" w:ascii="宋体" w:hAnsi="宋体" w:eastAsia="宋体" w:cs="宋体"/>
          <w:b/>
          <w:color w:val="auto"/>
          <w:kern w:val="0"/>
          <w:szCs w:val="21"/>
          <w:highlight w:val="none"/>
        </w:rPr>
        <w:t>”电子开标大厅签到并在规定的时间内完成对电子响应文件在线解密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电子交易活动的中止。）</w:t>
      </w:r>
    </w:p>
    <w:p w14:paraId="260C64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rPr>
        <w:t>”电子开标大厅参加</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的，视同认可</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过程和结果，</w:t>
      </w:r>
      <w:r>
        <w:rPr>
          <w:rFonts w:hint="eastAsia" w:ascii="宋体" w:hAnsi="宋体" w:eastAsia="宋体" w:cs="宋体"/>
          <w:color w:val="auto"/>
          <w:kern w:val="0"/>
          <w:szCs w:val="21"/>
          <w:highlight w:val="none"/>
        </w:rPr>
        <w:t>由此产生的后果由供应商自行负责。 参与</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的供应商不足3家的，不得</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w:t>
      </w:r>
    </w:p>
    <w:p w14:paraId="04AFBDD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23</w:t>
      </w:r>
      <w:r>
        <w:rPr>
          <w:rFonts w:hint="eastAsia" w:ascii="黑体" w:hAnsi="黑体" w:eastAsia="黑体" w:cs="宋体"/>
          <w:b/>
          <w:bCs/>
          <w:color w:val="auto"/>
          <w:sz w:val="24"/>
          <w:highlight w:val="none"/>
        </w:rPr>
        <w:t>.评审程序、评审方法和评审标准</w:t>
      </w:r>
    </w:p>
    <w:p w14:paraId="27B974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.1磋商小组按照“第</w:t>
      </w:r>
      <w:r>
        <w:rPr>
          <w:rFonts w:hint="eastAsia" w:ascii="宋体" w:hAnsi="宋体" w:eastAsia="宋体" w:cs="宋体"/>
          <w:bCs/>
          <w:color w:val="auto"/>
          <w:kern w:val="0"/>
          <w:szCs w:val="21"/>
          <w:highlight w:val="none"/>
          <w:lang w:val="en-US" w:eastAsia="zh-CN"/>
        </w:rPr>
        <w:t>八</w:t>
      </w:r>
      <w:r>
        <w:rPr>
          <w:rFonts w:hint="eastAsia" w:ascii="宋体" w:hAnsi="宋体" w:eastAsia="宋体" w:cs="宋体"/>
          <w:bCs/>
          <w:color w:val="auto"/>
          <w:kern w:val="0"/>
          <w:szCs w:val="21"/>
          <w:highlight w:val="none"/>
        </w:rPr>
        <w:t>章 评</w:t>
      </w:r>
      <w:r>
        <w:rPr>
          <w:rFonts w:hint="eastAsia" w:ascii="宋体" w:hAnsi="宋体" w:eastAsia="宋体" w:cs="宋体"/>
          <w:bCs/>
          <w:color w:val="auto"/>
          <w:kern w:val="0"/>
          <w:szCs w:val="21"/>
          <w:highlight w:val="none"/>
          <w:lang w:val="en-US" w:eastAsia="zh-CN"/>
        </w:rPr>
        <w:t>定</w:t>
      </w:r>
      <w:r>
        <w:rPr>
          <w:rFonts w:hint="eastAsia" w:ascii="宋体" w:hAnsi="宋体" w:eastAsia="宋体" w:cs="宋体"/>
          <w:bCs/>
          <w:color w:val="auto"/>
          <w:kern w:val="0"/>
          <w:szCs w:val="21"/>
          <w:highlight w:val="none"/>
        </w:rPr>
        <w:t>标准”规定的方法、评审因素、标准和程序对响应文件进行评审。</w:t>
      </w:r>
    </w:p>
    <w:p w14:paraId="7F455D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.2磋商文件内容违反国家有关强制性规定的，磋商小组应当停止评审并向采购人或者采购代理机构说明情况，并在评审报告中书面体现。</w:t>
      </w:r>
    </w:p>
    <w:p w14:paraId="19DCB5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磋商顺序详见“供应商须知前附表”。</w:t>
      </w:r>
    </w:p>
    <w:p w14:paraId="7E972B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电子交易活动的中止。采购过程中出现以下情形，导致电子交易平台无法正常运行，或者无法保证电子交易的公平、公正和安全时，采购机构可中止电子交易活动：</w:t>
      </w:r>
    </w:p>
    <w:p w14:paraId="700855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（1）电子交易平台发生故障而无法登录访问的； </w:t>
      </w:r>
    </w:p>
    <w:p w14:paraId="60D92F3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（2）电子交易平台应用或数据库出现错误，不能进行正常操作的；</w:t>
      </w:r>
    </w:p>
    <w:p w14:paraId="13CB55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（3）电子交易平台发现严重安全漏洞，有潜在泄密危险的；</w:t>
      </w:r>
    </w:p>
    <w:p w14:paraId="34D1F1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（4）病毒发作导致不能进行正常操作的； </w:t>
      </w:r>
    </w:p>
    <w:p w14:paraId="5899B0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）其他无法保证电子交易的公平、公正和安全的情况。</w:t>
      </w:r>
    </w:p>
    <w:p w14:paraId="6FCDF4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899F35">
      <w:pPr>
        <w:keepNext w:val="0"/>
        <w:keepLines w:val="0"/>
        <w:pageBreakBefore w:val="0"/>
        <w:numPr>
          <w:ilvl w:val="0"/>
          <w:numId w:val="3"/>
        </w:numPr>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cs="宋体"/>
          <w:b/>
          <w:bCs w:val="0"/>
          <w:color w:val="auto"/>
          <w:spacing w:val="2"/>
          <w:highlight w:val="none"/>
          <w:lang w:val="en-US" w:eastAsia="zh-CN"/>
        </w:rPr>
      </w:pPr>
      <w:r>
        <w:rPr>
          <w:rFonts w:hint="eastAsia" w:ascii="宋体" w:hAnsi="宋体" w:cs="宋体"/>
          <w:b/>
          <w:bCs w:val="0"/>
          <w:color w:val="auto"/>
          <w:spacing w:val="2"/>
          <w:highlight w:val="none"/>
          <w:lang w:val="en-US" w:eastAsia="zh-CN"/>
        </w:rPr>
        <w:t>特别说明</w:t>
      </w:r>
    </w:p>
    <w:p w14:paraId="3370DD20">
      <w:pPr>
        <w:keepNext w:val="0"/>
        <w:keepLines w:val="0"/>
        <w:pageBreakBefore w:val="0"/>
        <w:numPr>
          <w:ilvl w:val="0"/>
          <w:numId w:val="0"/>
        </w:numPr>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cs="宋体"/>
          <w:b/>
          <w:bCs w:val="0"/>
          <w:color w:val="auto"/>
          <w:spacing w:val="2"/>
          <w:highlight w:val="none"/>
          <w:lang w:val="en-US" w:eastAsia="zh-CN"/>
        </w:rPr>
      </w:pPr>
      <w:r>
        <w:rPr>
          <w:rFonts w:hint="eastAsia" w:ascii="宋体" w:hAnsi="宋体" w:cs="宋体"/>
          <w:b/>
          <w:bCs w:val="0"/>
          <w:color w:val="auto"/>
          <w:spacing w:val="2"/>
          <w:highlight w:val="none"/>
          <w:lang w:val="en-US" w:eastAsia="zh-CN"/>
        </w:rPr>
        <w:t>24 特别说明</w:t>
      </w:r>
    </w:p>
    <w:p w14:paraId="5BAC3A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w:t>
      </w:r>
      <w:r>
        <w:rPr>
          <w:rFonts w:hint="eastAsia" w:ascii="宋体" w:hAnsi="宋体"/>
          <w:color w:val="auto"/>
          <w:szCs w:val="21"/>
          <w:highlight w:val="none"/>
          <w:lang w:val="en-US" w:eastAsia="zh-CN"/>
        </w:rPr>
        <w:t>该</w:t>
      </w:r>
      <w:r>
        <w:rPr>
          <w:rFonts w:hint="eastAsia" w:ascii="宋体" w:hAnsi="宋体"/>
          <w:color w:val="auto"/>
          <w:szCs w:val="21"/>
          <w:highlight w:val="none"/>
        </w:rPr>
        <w:t>供应商所拥有</w:t>
      </w:r>
      <w:r>
        <w:rPr>
          <w:rFonts w:hint="eastAsia" w:ascii="宋体" w:hAnsi="宋体" w:cs="宋体"/>
          <w:color w:val="auto"/>
          <w:szCs w:val="21"/>
          <w:highlight w:val="none"/>
        </w:rPr>
        <w:t>。</w:t>
      </w:r>
    </w:p>
    <w:p w14:paraId="04923A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5ED7A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44E3C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4</w:t>
      </w:r>
      <w:r>
        <w:rPr>
          <w:rFonts w:hint="eastAsia" w:ascii="宋体" w:hAnsi="宋体" w:cs="宋体"/>
          <w:b/>
          <w:bCs/>
          <w:color w:val="auto"/>
          <w:szCs w:val="21"/>
          <w:highlight w:val="none"/>
        </w:rPr>
        <w:t>在政府采购活动中，采购人员及相关人员与供应商有下列利害关系之一的，应当回避：</w:t>
      </w:r>
    </w:p>
    <w:p w14:paraId="1BCADE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A4197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5A2BB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0E31A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A1DDD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（5）与供应商有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可能影响政府采购活动公平、公正进行的关系。</w:t>
      </w:r>
    </w:p>
    <w:p w14:paraId="1C301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供应商有利害关系的，可以向采购人或者采购代理机构书面提出回避申请，并说明理由。采购人或者采购代理机构应当及时询问被申请回避人员，有利害关系的被申请回避人员应当回避。</w:t>
      </w:r>
    </w:p>
    <w:p w14:paraId="34411B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w:t>
      </w:r>
      <w:r>
        <w:rPr>
          <w:rFonts w:ascii="宋体" w:hAnsi="宋体" w:cs="宋体"/>
          <w:b/>
          <w:bCs/>
          <w:color w:val="auto"/>
          <w:szCs w:val="21"/>
          <w:highlight w:val="none"/>
        </w:rPr>
        <w:t>5</w:t>
      </w:r>
      <w:r>
        <w:rPr>
          <w:rFonts w:hint="eastAsia" w:ascii="宋体" w:hAnsi="宋体" w:cs="宋体"/>
          <w:b/>
          <w:bCs/>
          <w:color w:val="auto"/>
          <w:szCs w:val="21"/>
          <w:highlight w:val="none"/>
        </w:rPr>
        <w:t>有下列情形之一的视为供应商相互串通竞标，响应文件将被视为无效：</w:t>
      </w:r>
    </w:p>
    <w:p w14:paraId="7874CE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（1）不同供应商的响应文件由同一单位或者个人编制；或者不同供应商报名的IP地址一致的；</w:t>
      </w:r>
    </w:p>
    <w:p w14:paraId="314A15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241EF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w:t>
      </w:r>
      <w:r>
        <w:rPr>
          <w:rFonts w:hint="eastAsia" w:ascii="宋体" w:hAnsi="宋体" w:eastAsia="宋体" w:cs="宋体"/>
          <w:color w:val="auto"/>
          <w:szCs w:val="21"/>
          <w:highlight w:val="none"/>
          <w:lang w:eastAsia="zh-CN"/>
        </w:rPr>
        <w:t>或者联系人员</w:t>
      </w:r>
      <w:r>
        <w:rPr>
          <w:rFonts w:hint="eastAsia" w:ascii="宋体" w:hAnsi="宋体" w:eastAsia="宋体" w:cs="宋体"/>
          <w:color w:val="auto"/>
          <w:szCs w:val="21"/>
          <w:highlight w:val="none"/>
        </w:rPr>
        <w:t>为同一个人；</w:t>
      </w:r>
    </w:p>
    <w:p w14:paraId="3F202A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BC9F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（5）不同供应商的电子资料相互</w:t>
      </w:r>
      <w:r>
        <w:rPr>
          <w:rFonts w:hint="eastAsia" w:ascii="宋体" w:hAnsi="宋体" w:eastAsia="宋体" w:cs="宋体"/>
          <w:color w:val="auto"/>
          <w:szCs w:val="21"/>
          <w:highlight w:val="none"/>
          <w:lang w:eastAsia="zh-CN"/>
        </w:rPr>
        <w:t>混淆</w:t>
      </w:r>
      <w:r>
        <w:rPr>
          <w:rFonts w:hint="eastAsia" w:ascii="宋体" w:hAnsi="宋体" w:eastAsia="宋体" w:cs="宋体"/>
          <w:color w:val="auto"/>
          <w:szCs w:val="21"/>
          <w:highlight w:val="none"/>
        </w:rPr>
        <w:t>；</w:t>
      </w:r>
    </w:p>
    <w:p w14:paraId="4C8458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w:t>
      </w:r>
      <w:r>
        <w:rPr>
          <w:rFonts w:hint="eastAsia" w:ascii="宋体" w:hAnsi="宋体" w:cs="宋体"/>
          <w:color w:val="auto"/>
          <w:szCs w:val="21"/>
          <w:highlight w:val="none"/>
          <w:lang w:eastAsia="zh-CN"/>
        </w:rPr>
        <w:t>磋商保证金</w:t>
      </w:r>
      <w:r>
        <w:rPr>
          <w:rFonts w:hint="eastAsia" w:ascii="宋体" w:hAnsi="宋体" w:eastAsia="宋体" w:cs="宋体"/>
          <w:color w:val="auto"/>
          <w:szCs w:val="21"/>
          <w:highlight w:val="none"/>
        </w:rPr>
        <w:t>从同一单位或者个人账户转出。</w:t>
      </w:r>
    </w:p>
    <w:p w14:paraId="03938D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）供应商之间协商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报价等响应文件的实质性内容；</w:t>
      </w:r>
    </w:p>
    <w:p w14:paraId="4FC9090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）供应商之间约定成交人；</w:t>
      </w:r>
    </w:p>
    <w:p w14:paraId="678E6F0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）供应商之间约定部分供应商放弃</w:t>
      </w:r>
      <w:r>
        <w:rPr>
          <w:rFonts w:hint="eastAsia" w:ascii="宋体" w:hAnsi="宋体" w:eastAsia="宋体" w:cs="宋体"/>
          <w:color w:val="auto"/>
          <w:szCs w:val="21"/>
          <w:highlight w:val="none"/>
        </w:rPr>
        <w:t>竞标</w:t>
      </w:r>
      <w:r>
        <w:rPr>
          <w:rFonts w:hint="eastAsia" w:ascii="宋体" w:hAnsi="宋体" w:eastAsia="宋体" w:cs="宋体"/>
          <w:color w:val="auto"/>
          <w:highlight w:val="none"/>
        </w:rPr>
        <w:t>或者成交；</w:t>
      </w:r>
    </w:p>
    <w:p w14:paraId="5980533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）属于同一集团、协会、商会等组织成员的供应商按照该组织要求协同</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p>
    <w:p w14:paraId="225C4FC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）供应商之间为谋取成交或者排斥特定供应商而采取的其他联合行动；</w:t>
      </w:r>
    </w:p>
    <w:p w14:paraId="7B83E6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12</w:t>
      </w:r>
      <w:r>
        <w:rPr>
          <w:rFonts w:hint="eastAsia" w:ascii="宋体" w:hAnsi="宋体" w:eastAsia="宋体" w:cs="宋体"/>
          <w:color w:val="auto"/>
          <w:highlight w:val="none"/>
        </w:rPr>
        <w:t>）不同供应商委托同一个人或注册在同一家企业的注册人员或同一家企业为其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咨询、报价、商务技术咨询（工程本身要求采用专有技术的除外）等服务；</w:t>
      </w:r>
    </w:p>
    <w:p w14:paraId="2C92745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13</w:t>
      </w:r>
      <w:r>
        <w:rPr>
          <w:rFonts w:hint="eastAsia" w:ascii="宋体" w:hAnsi="宋体" w:eastAsia="宋体" w:cs="宋体"/>
          <w:color w:val="auto"/>
          <w:highlight w:val="none"/>
        </w:rPr>
        <w:t>）不同供应商的响应文件载明的项目管理成员为同一人；</w:t>
      </w:r>
    </w:p>
    <w:p w14:paraId="4510398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14</w:t>
      </w:r>
      <w:r>
        <w:rPr>
          <w:rFonts w:hint="eastAsia" w:ascii="宋体" w:hAnsi="宋体" w:eastAsia="宋体" w:cs="宋体"/>
          <w:color w:val="auto"/>
          <w:highlight w:val="none"/>
        </w:rPr>
        <w:t>）不同供应商的技术文件内容异常一致或者实质性相同的，或者</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报价呈规律性差异；</w:t>
      </w:r>
    </w:p>
    <w:p w14:paraId="41F3C6B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15</w:t>
      </w:r>
      <w:r>
        <w:rPr>
          <w:rFonts w:hint="eastAsia" w:ascii="宋体" w:hAnsi="宋体" w:eastAsia="宋体" w:cs="宋体"/>
          <w:color w:val="auto"/>
          <w:highlight w:val="none"/>
        </w:rPr>
        <w:t>）不同供应商的法定代表人、委托代理人、项目</w:t>
      </w:r>
      <w:r>
        <w:rPr>
          <w:rFonts w:hint="eastAsia" w:ascii="宋体" w:hAnsi="宋体" w:eastAsia="宋体" w:cs="宋体"/>
          <w:color w:val="auto"/>
          <w:highlight w:val="none"/>
          <w:lang w:eastAsia="zh-CN"/>
        </w:rPr>
        <w:t>经理</w:t>
      </w:r>
      <w:r>
        <w:rPr>
          <w:rFonts w:hint="eastAsia" w:ascii="宋体" w:hAnsi="宋体" w:eastAsia="宋体" w:cs="宋体"/>
          <w:color w:val="auto"/>
          <w:highlight w:val="none"/>
        </w:rPr>
        <w:t>等人员有在同一个单位缴纳社会保险；</w:t>
      </w:r>
    </w:p>
    <w:p w14:paraId="2F961D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）供应商之间相互约定给予未成交的供应商费用补偿；</w:t>
      </w:r>
    </w:p>
    <w:p w14:paraId="06BFC82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）不同供应商编制的响应文件存在两处以上错误一致。</w:t>
      </w:r>
    </w:p>
    <w:p w14:paraId="3DC17C70">
      <w:pPr>
        <w:pStyle w:val="13"/>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hAnsi="宋体" w:cs="宋体"/>
          <w:b/>
          <w:bCs w:val="0"/>
          <w:color w:val="auto"/>
          <w:highlight w:val="none"/>
          <w:lang w:val="en-US" w:eastAsia="zh-CN"/>
        </w:rPr>
        <w:t>24.6</w:t>
      </w:r>
      <w:r>
        <w:rPr>
          <w:rFonts w:hint="eastAsia" w:ascii="宋体" w:hAnsi="宋体" w:eastAsia="宋体" w:cs="宋体"/>
          <w:b/>
          <w:bCs w:val="0"/>
          <w:color w:val="auto"/>
          <w:highlight w:val="none"/>
        </w:rPr>
        <w:t>供应商不得存在下列情形之一，否则响应文件将被视为无效。</w:t>
      </w:r>
    </w:p>
    <w:p w14:paraId="04E91D3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1</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与采购人存</w:t>
      </w:r>
      <w:r>
        <w:rPr>
          <w:rFonts w:hint="eastAsia" w:ascii="宋体" w:hAnsi="宋体" w:eastAsia="宋体" w:cs="宋体"/>
          <w:color w:val="auto"/>
          <w:highlight w:val="none"/>
        </w:rPr>
        <w:t>在利害关系可能影响</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公正性的法人、其他组织；</w:t>
      </w:r>
    </w:p>
    <w:p w14:paraId="73979EE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为本项目前期准备提供设计或咨询服务的，但设计施工总承包的除外；</w:t>
      </w:r>
    </w:p>
    <w:p w14:paraId="38A8FB7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为本项目的监理人；</w:t>
      </w:r>
    </w:p>
    <w:p w14:paraId="213503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为本项目的代建人；</w:t>
      </w:r>
    </w:p>
    <w:p w14:paraId="335C330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为本项目提供招标代理服务的；</w:t>
      </w:r>
    </w:p>
    <w:p w14:paraId="508354A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代理机构同为一个法定代表人的；</w:t>
      </w:r>
    </w:p>
    <w:p w14:paraId="3B9B3B6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代理机构相互控股或参股的；</w:t>
      </w:r>
    </w:p>
    <w:p w14:paraId="5B166A9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与本项目的监理人或代建人或</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代理机构相互任职或工作的；</w:t>
      </w:r>
    </w:p>
    <w:p w14:paraId="76D1C2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被责令停业的；</w:t>
      </w:r>
    </w:p>
    <w:p w14:paraId="3A4FD0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吊销或暂扣营业执照、安全生产许可证期间；</w:t>
      </w:r>
    </w:p>
    <w:p w14:paraId="5F929A8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在本行政区域被暂停或取消投标资格的；</w:t>
      </w:r>
    </w:p>
    <w:p w14:paraId="1FFC3C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财产被接管或基本账户被冻结的；</w:t>
      </w:r>
    </w:p>
    <w:p w14:paraId="4275542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有骗取中标（成交）或严重违约或工程质量安全问题，在本行政区域正处在停业整顿或暂停投标期间的。</w:t>
      </w:r>
    </w:p>
    <w:p w14:paraId="31604BF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注：代建人是指政府通过招标方式对公益</w:t>
      </w:r>
      <w:r>
        <w:rPr>
          <w:rFonts w:hint="eastAsia" w:ascii="宋体" w:hAnsi="宋体" w:cs="宋体"/>
          <w:color w:val="auto"/>
          <w:highlight w:val="none"/>
          <w:lang w:val="en-US" w:eastAsia="zh-CN"/>
        </w:rPr>
        <w:t>性</w:t>
      </w:r>
      <w:r>
        <w:rPr>
          <w:rFonts w:hint="eastAsia" w:ascii="宋体" w:hAnsi="宋体" w:eastAsia="宋体" w:cs="宋体"/>
          <w:color w:val="auto"/>
          <w:highlight w:val="none"/>
        </w:rPr>
        <w:t>、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14:paraId="6E0A1986">
      <w:pPr>
        <w:keepNext w:val="0"/>
        <w:keepLines w:val="0"/>
        <w:pageBreakBefore w:val="0"/>
        <w:shd w:val="clear" w:color="auto" w:fill="FFFFFF"/>
        <w:kinsoku/>
        <w:wordWrap/>
        <w:overflowPunct/>
        <w:topLinePunct w:val="0"/>
        <w:autoSpaceDE/>
        <w:autoSpaceDN/>
        <w:bidi w:val="0"/>
        <w:spacing w:line="440" w:lineRule="exact"/>
        <w:ind w:firstLine="430" w:firstLineChars="200"/>
        <w:textAlignment w:val="auto"/>
        <w:rPr>
          <w:rFonts w:hint="eastAsia" w:ascii="宋体" w:hAnsi="宋体" w:eastAsia="宋体" w:cs="宋体"/>
          <w:b/>
          <w:bCs w:val="0"/>
          <w:color w:val="auto"/>
          <w:spacing w:val="2"/>
          <w:highlight w:val="none"/>
        </w:rPr>
      </w:pPr>
      <w:r>
        <w:rPr>
          <w:rFonts w:hint="eastAsia" w:ascii="宋体" w:hAnsi="宋体" w:cs="宋体"/>
          <w:b/>
          <w:bCs w:val="0"/>
          <w:color w:val="auto"/>
          <w:spacing w:val="2"/>
          <w:highlight w:val="none"/>
          <w:lang w:val="en-US" w:eastAsia="zh-CN"/>
        </w:rPr>
        <w:t>24.7终止</w:t>
      </w:r>
      <w:r>
        <w:rPr>
          <w:rFonts w:hint="eastAsia" w:ascii="宋体" w:hAnsi="宋体" w:eastAsia="宋体" w:cs="宋体"/>
          <w:b/>
          <w:bCs w:val="0"/>
          <w:color w:val="auto"/>
          <w:spacing w:val="2"/>
          <w:highlight w:val="none"/>
        </w:rPr>
        <w:t>条款</w:t>
      </w:r>
    </w:p>
    <w:p w14:paraId="18044386">
      <w:pPr>
        <w:pStyle w:val="13"/>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采购项目出现下列情形之一的，</w:t>
      </w:r>
      <w:r>
        <w:rPr>
          <w:rFonts w:hint="eastAsia" w:ascii="宋体" w:hAnsi="宋体" w:eastAsia="宋体" w:cs="宋体"/>
          <w:b/>
          <w:bCs w:val="0"/>
          <w:color w:val="auto"/>
          <w:highlight w:val="none"/>
          <w:lang w:eastAsia="zh-CN"/>
        </w:rPr>
        <w:t>磋商</w:t>
      </w:r>
      <w:r>
        <w:rPr>
          <w:rFonts w:hint="eastAsia" w:ascii="宋体" w:hAnsi="宋体" w:eastAsia="宋体" w:cs="宋体"/>
          <w:b/>
          <w:bCs w:val="0"/>
          <w:color w:val="auto"/>
          <w:highlight w:val="none"/>
        </w:rPr>
        <w:t>予以废止：</w:t>
      </w:r>
    </w:p>
    <w:p w14:paraId="7B58341F">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（1）</w:t>
      </w:r>
      <w:r>
        <w:rPr>
          <w:rFonts w:hint="eastAsia" w:ascii="宋体" w:hAnsi="宋体" w:eastAsia="宋体" w:cs="宋体"/>
          <w:b w:val="0"/>
          <w:bCs/>
          <w:color w:val="auto"/>
          <w:highlight w:val="none"/>
        </w:rPr>
        <w:t>出现影响采购公正的违法、违规行为的；</w:t>
      </w:r>
    </w:p>
    <w:p w14:paraId="0954CEA5">
      <w:pPr>
        <w:pStyle w:val="13"/>
        <w:keepNext w:val="0"/>
        <w:keepLines w:val="0"/>
        <w:pageBreakBefore w:val="0"/>
        <w:shd w:val="clear" w:color="auto" w:fill="FFFFFF"/>
        <w:kinsoku/>
        <w:wordWrap/>
        <w:overflowPunct/>
        <w:topLinePunct w:val="0"/>
        <w:autoSpaceDE/>
        <w:autoSpaceDN/>
        <w:bidi w:val="0"/>
        <w:adjustRightInd w:val="0"/>
        <w:snapToGrid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（2）</w:t>
      </w:r>
      <w:r>
        <w:rPr>
          <w:rFonts w:hint="eastAsia" w:ascii="宋体" w:hAnsi="宋体" w:eastAsia="宋体" w:cs="宋体"/>
          <w:b w:val="0"/>
          <w:bCs/>
          <w:color w:val="auto"/>
          <w:highlight w:val="none"/>
        </w:rPr>
        <w:t>供应商的</w:t>
      </w:r>
      <w:r>
        <w:rPr>
          <w:rFonts w:hint="eastAsia" w:ascii="宋体" w:hAnsi="宋体" w:eastAsia="宋体" w:cs="宋体"/>
          <w:b w:val="0"/>
          <w:bCs/>
          <w:color w:val="auto"/>
          <w:highlight w:val="none"/>
          <w:lang w:eastAsia="zh-CN"/>
        </w:rPr>
        <w:t>磋商</w:t>
      </w:r>
      <w:r>
        <w:rPr>
          <w:rFonts w:hint="eastAsia" w:ascii="宋体" w:hAnsi="宋体" w:eastAsia="宋体" w:cs="宋体"/>
          <w:b w:val="0"/>
          <w:bCs/>
          <w:color w:val="auto"/>
          <w:highlight w:val="none"/>
        </w:rPr>
        <w:t>报价均超过了采购预算，采购人不能支付的；</w:t>
      </w:r>
    </w:p>
    <w:p w14:paraId="5BAA0F26">
      <w:pPr>
        <w:pStyle w:val="13"/>
        <w:keepNext w:val="0"/>
        <w:keepLines w:val="0"/>
        <w:pageBreakBefore w:val="0"/>
        <w:shd w:val="clear" w:color="auto" w:fill="FFFFFF"/>
        <w:kinsoku/>
        <w:wordWrap/>
        <w:overflowPunct/>
        <w:topLinePunct w:val="0"/>
        <w:autoSpaceDE/>
        <w:autoSpaceDN/>
        <w:bidi w:val="0"/>
        <w:spacing w:line="440" w:lineRule="exact"/>
        <w:ind w:firstLine="428"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spacing w:val="2"/>
          <w:highlight w:val="none"/>
        </w:rPr>
        <w:t>（3）</w:t>
      </w:r>
      <w:r>
        <w:rPr>
          <w:rFonts w:hint="eastAsia" w:ascii="宋体" w:hAnsi="宋体" w:eastAsia="宋体" w:cs="宋体"/>
          <w:b w:val="0"/>
          <w:bCs/>
          <w:color w:val="auto"/>
          <w:highlight w:val="none"/>
        </w:rPr>
        <w:t>因重大变故，采购任务取消的。</w:t>
      </w:r>
    </w:p>
    <w:p w14:paraId="738A3162">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lang w:eastAsia="zh-CN"/>
        </w:rPr>
        <w:t>、确定成交供应商及结果公告</w:t>
      </w:r>
    </w:p>
    <w:p w14:paraId="0CE4E6A0">
      <w:pPr>
        <w:rPr>
          <w:rFonts w:hint="default"/>
          <w:lang w:val="en-US"/>
        </w:rPr>
      </w:pPr>
      <w:r>
        <w:rPr>
          <w:rFonts w:hint="eastAsia" w:ascii="宋体" w:hAnsi="宋体" w:cs="宋体"/>
          <w:b/>
          <w:color w:val="auto"/>
          <w:sz w:val="21"/>
          <w:szCs w:val="21"/>
          <w:highlight w:val="none"/>
          <w:lang w:val="en-US" w:eastAsia="zh-CN"/>
        </w:rPr>
        <w:t xml:space="preserve">   25</w:t>
      </w:r>
      <w:r>
        <w:rPr>
          <w:rFonts w:hint="eastAsia" w:ascii="宋体" w:hAnsi="宋体" w:eastAsia="宋体" w:cs="宋体"/>
          <w:b/>
          <w:color w:val="auto"/>
          <w:sz w:val="21"/>
          <w:szCs w:val="21"/>
          <w:highlight w:val="none"/>
          <w:lang w:eastAsia="zh-CN"/>
        </w:rPr>
        <w:t>确定成交供应商及结果公告</w:t>
      </w:r>
    </w:p>
    <w:p w14:paraId="3A9DB5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FCA092">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.2</w:t>
      </w:r>
      <w:r>
        <w:rPr>
          <w:rFonts w:hint="eastAsia" w:ascii="宋体" w:hAnsi="宋体" w:eastAsia="宋体" w:cs="宋体"/>
          <w:color w:val="auto"/>
          <w:szCs w:val="21"/>
          <w:highlight w:val="none"/>
        </w:rPr>
        <w:t>成交通知及成交结果公告。采购代理机构应当在成交供应商确定后2个工作日内，在省级以上财政部门指定的媒体上公告成交结果，同时向成交供应商发出成交通知书。</w:t>
      </w:r>
    </w:p>
    <w:p w14:paraId="7A7B9CDF">
      <w:pPr>
        <w:keepNext w:val="0"/>
        <w:keepLines w:val="0"/>
        <w:pageBreakBefore w:val="0"/>
        <w:shd w:val="clear" w:color="auto" w:fill="FFFFFF"/>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文件一并保存。成交供应商享受《政府采购促进中小企业发展管理办法》（财库〔2020〕46号）规定的中小企业扶持政策的，采购人、采购代理机构应当随成交结果公开成交供应商的《中小企业声明函》。</w:t>
      </w:r>
    </w:p>
    <w:p w14:paraId="301FF30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1E95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color w:val="auto"/>
          <w:szCs w:val="21"/>
          <w:highlight w:val="none"/>
        </w:rPr>
        <w:t>。</w:t>
      </w:r>
    </w:p>
    <w:p w14:paraId="7E6F8B19">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履约保证金及</w:t>
      </w:r>
      <w:r>
        <w:rPr>
          <w:rFonts w:hint="eastAsia" w:ascii="宋体" w:hAnsi="宋体" w:eastAsia="宋体" w:cs="宋体"/>
          <w:b/>
          <w:color w:val="auto"/>
          <w:sz w:val="21"/>
          <w:szCs w:val="21"/>
          <w:highlight w:val="none"/>
        </w:rPr>
        <w:t>合同</w:t>
      </w:r>
    </w:p>
    <w:p w14:paraId="74916148">
      <w:pPr>
        <w:keepNext w:val="0"/>
        <w:keepLines w:val="0"/>
        <w:pageBreakBefore w:val="0"/>
        <w:shd w:val="clear" w:color="auto" w:fill="FFFFFF"/>
        <w:kinsoku/>
        <w:wordWrap/>
        <w:overflowPunct/>
        <w:topLinePunct w:val="0"/>
        <w:autoSpaceDE/>
        <w:autoSpaceDN/>
        <w:bidi w:val="0"/>
        <w:spacing w:line="44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val="en-US" w:eastAsia="zh-CN"/>
        </w:rPr>
        <w:t>6.</w:t>
      </w:r>
      <w:r>
        <w:rPr>
          <w:rFonts w:hint="eastAsia" w:ascii="宋体" w:hAnsi="宋体" w:eastAsia="宋体" w:cs="宋体"/>
          <w:b/>
          <w:color w:val="auto"/>
          <w:spacing w:val="4"/>
          <w:szCs w:val="21"/>
          <w:highlight w:val="none"/>
        </w:rPr>
        <w:t>履约保证金</w:t>
      </w:r>
    </w:p>
    <w:p w14:paraId="5880881D">
      <w:pPr>
        <w:keepNext w:val="0"/>
        <w:keepLines w:val="0"/>
        <w:pageBreakBefore w:val="0"/>
        <w:shd w:val="clear" w:color="auto" w:fill="FFFFFF"/>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7CE14EC0">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27.合同签订</w:t>
      </w:r>
    </w:p>
    <w:p w14:paraId="11F8E3DB">
      <w:pPr>
        <w:pStyle w:val="46"/>
        <w:keepNext w:val="0"/>
        <w:keepLines w:val="0"/>
        <w:pageBreakBefore w:val="0"/>
        <w:kinsoku/>
        <w:wordWrap/>
        <w:overflowPunct/>
        <w:topLinePunct w:val="0"/>
        <w:autoSpaceDE/>
        <w:autoSpaceDN/>
        <w:bidi w:val="0"/>
        <w:snapToGrid w:val="0"/>
        <w:spacing w:before="0"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.1采购人与成交供应商应当在成交通知书规定的时间内，按照磋商文件确定的合同文本以及采购标的、服务技术、采购金额、采购数量、技术和服务要求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 w:val="21"/>
          <w:szCs w:val="21"/>
          <w:highlight w:val="none"/>
        </w:rPr>
        <w:t>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DAD3EB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.2采购人不得向成交供应商提出超出磋商文件以外的任何要求作为签订合同的条件，不得与成交供应商订立背离磋商文件确定的合同文本以及采购标的、服务技术、采购金额、采购数量、技术和服务要求</w:t>
      </w:r>
      <w:r>
        <w:rPr>
          <w:rFonts w:hint="eastAsia" w:ascii="宋体" w:hAnsi="宋体" w:eastAsia="宋体" w:cs="宋体"/>
          <w:color w:val="auto"/>
          <w:szCs w:val="21"/>
          <w:highlight w:val="none"/>
          <w:lang w:eastAsia="zh-CN"/>
        </w:rPr>
        <w:t>、</w:t>
      </w:r>
      <w:r>
        <w:rPr>
          <w:rFonts w:hint="eastAsia" w:ascii="宋体" w:hAnsi="宋体" w:cs="宋体"/>
          <w:color w:val="auto"/>
          <w:sz w:val="21"/>
          <w:szCs w:val="21"/>
          <w:highlight w:val="none"/>
          <w:u w:val="none" w:color="auto"/>
          <w:lang w:eastAsia="zh-CN"/>
        </w:rPr>
        <w:t>施工图纸、工程量清单及相关说明</w:t>
      </w:r>
      <w:r>
        <w:rPr>
          <w:rFonts w:hint="eastAsia" w:ascii="宋体" w:hAnsi="宋体" w:eastAsia="宋体" w:cs="宋体"/>
          <w:color w:val="auto"/>
          <w:szCs w:val="21"/>
          <w:highlight w:val="none"/>
        </w:rPr>
        <w:t>等实质性内容的协议。</w:t>
      </w:r>
    </w:p>
    <w:p w14:paraId="71CC1ED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6C3A4B2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003C2C2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采购合同由采购人与成交供应商根据磋商文件、响应文件等内容签订，成交供应商应当在签订合同时向采购人出示相关证明材料，具体内容详见 “供应商须知前附表”，经采购人核验合格后方可签订合同</w:t>
      </w:r>
      <w:r>
        <w:rPr>
          <w:rFonts w:hint="eastAsia" w:ascii="宋体" w:hAnsi="宋体" w:eastAsia="宋体" w:cs="宋体"/>
          <w:color w:val="auto"/>
          <w:szCs w:val="21"/>
          <w:highlight w:val="none"/>
          <w:lang w:eastAsia="zh-CN"/>
        </w:rPr>
        <w:t>。</w:t>
      </w:r>
    </w:p>
    <w:p w14:paraId="460BB406">
      <w:pPr>
        <w:keepNext w:val="0"/>
        <w:keepLines w:val="0"/>
        <w:pageBreakBefore w:val="0"/>
        <w:shd w:val="clear" w:color="auto" w:fill="FFFFFF"/>
        <w:kinsoku/>
        <w:wordWrap/>
        <w:overflowPunct/>
        <w:topLinePunct w:val="0"/>
        <w:autoSpaceDE/>
        <w:autoSpaceDN/>
        <w:bidi w:val="0"/>
        <w:adjustRightInd w:val="0"/>
        <w:snapToGrid w:val="0"/>
        <w:spacing w:line="440" w:lineRule="exact"/>
        <w:ind w:left="105" w:leftChars="50"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28.政府采购合同公告</w:t>
      </w:r>
    </w:p>
    <w:p w14:paraId="07F345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eastAsia="黑体"/>
          <w:color w:val="auto"/>
          <w:highlight w:val="none"/>
          <w:lang w:val="en-US" w:eastAsia="zh-CN"/>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p>
    <w:p w14:paraId="74B9EAA3">
      <w:pPr>
        <w:pStyle w:val="12"/>
        <w:keepNext w:val="0"/>
        <w:keepLines w:val="0"/>
        <w:pageBreakBefore w:val="0"/>
        <w:numPr>
          <w:ilvl w:val="0"/>
          <w:numId w:val="4"/>
        </w:numPr>
        <w:shd w:val="clear" w:color="auto" w:fill="FFFFFF"/>
        <w:kinsoku/>
        <w:wordWrap/>
        <w:overflowPunct/>
        <w:topLinePunct w:val="0"/>
        <w:autoSpaceDE/>
        <w:autoSpaceDN/>
        <w:bidi w:val="0"/>
        <w:adjustRightInd w:val="0"/>
        <w:snapToGrid w:val="0"/>
        <w:spacing w:line="440" w:lineRule="exact"/>
        <w:ind w:left="420" w:leftChars="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询问、质疑和投诉</w:t>
      </w:r>
    </w:p>
    <w:p w14:paraId="3F68DE1F">
      <w:pPr>
        <w:numPr>
          <w:ilvl w:val="0"/>
          <w:numId w:val="0"/>
        </w:numPr>
        <w:rPr>
          <w:rFonts w:hint="default"/>
          <w:lang w:val="en-US" w:eastAsia="zh-CN"/>
        </w:rPr>
      </w:pPr>
      <w:r>
        <w:rPr>
          <w:rFonts w:hint="eastAsia"/>
          <w:lang w:val="en-US" w:eastAsia="zh-CN"/>
        </w:rPr>
        <w:t xml:space="preserve">   29 </w:t>
      </w:r>
      <w:r>
        <w:rPr>
          <w:rFonts w:hint="eastAsia" w:ascii="宋体" w:hAnsi="宋体" w:eastAsia="宋体" w:cs="宋体"/>
          <w:b/>
          <w:color w:val="auto"/>
          <w:sz w:val="21"/>
          <w:szCs w:val="21"/>
          <w:highlight w:val="none"/>
          <w:lang w:val="en-US" w:eastAsia="zh-CN"/>
        </w:rPr>
        <w:t>询问、质疑和投诉</w:t>
      </w:r>
    </w:p>
    <w:p w14:paraId="3A72C55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.1供应商对政府采购活动事项有疑问的，可以向采购人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采购代理机构提出询问，采购人或者采购代理机构应当在3个工作日内对供应商依法提出的询问作出答复。</w:t>
      </w:r>
    </w:p>
    <w:p w14:paraId="3E114C9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442AAB4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0678F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者采购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1861664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32010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8D7ED8">
      <w:pPr>
        <w:keepNext w:val="0"/>
        <w:keepLines w:val="0"/>
        <w:pageBreakBefore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.4 供应商提出质疑应当提交质疑函和必要的证明材料，针对同一采购程序环节的质疑必须在法定质疑期内一次性提出。质疑函应当包括下列内容（质疑函格式后附）：</w:t>
      </w:r>
    </w:p>
    <w:p w14:paraId="6BFDB67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A219E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3754C6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8B435B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59CAA5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3BA011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0273B6E">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B8EA04C">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29</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7840E64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83E7C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8C461E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5257E1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bCs/>
          <w:color w:val="auto"/>
          <w:highlight w:val="none"/>
          <w:lang w:val="en-US" w:eastAsia="zh-CN"/>
        </w:rPr>
        <w:t>29</w:t>
      </w:r>
      <w:r>
        <w:rPr>
          <w:rFonts w:hint="eastAsia" w:ascii="宋体" w:hAnsi="宋体" w:eastAsia="宋体" w:cs="宋体"/>
          <w:b/>
          <w:bCs/>
          <w:color w:val="auto"/>
          <w:highlight w:val="none"/>
        </w:rPr>
        <w:t>.6投诉的权利。质疑供应商对采购人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采购代理机构的答复不满意，或者采购人</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p>
    <w:p w14:paraId="6D76388F">
      <w:pPr>
        <w:pStyle w:val="12"/>
        <w:keepNext w:val="0"/>
        <w:keepLines w:val="0"/>
        <w:pageBreakBefore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适用法律</w:t>
      </w:r>
    </w:p>
    <w:p w14:paraId="5EB477F3">
      <w:pPr>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highlight w:val="none"/>
        </w:rPr>
      </w:pPr>
      <w:r>
        <w:rPr>
          <w:rFonts w:hint="eastAsia" w:ascii="宋体" w:hAnsi="宋体" w:cs="宋体"/>
          <w:b/>
          <w:bCs/>
          <w:color w:val="auto"/>
          <w:szCs w:val="21"/>
          <w:highlight w:val="none"/>
          <w:lang w:val="en-US" w:eastAsia="zh-CN"/>
        </w:rPr>
        <w:t>30</w:t>
      </w:r>
      <w:r>
        <w:rPr>
          <w:rFonts w:hint="eastAsia" w:ascii="宋体" w:hAnsi="宋体" w:eastAsia="宋体" w:cs="宋体"/>
          <w:b/>
          <w:bCs/>
          <w:color w:val="auto"/>
          <w:szCs w:val="21"/>
          <w:highlight w:val="none"/>
        </w:rPr>
        <w:t>.</w:t>
      </w:r>
      <w:r>
        <w:rPr>
          <w:rFonts w:hint="eastAsia" w:ascii="宋体" w:hAnsi="宋体" w:eastAsia="宋体" w:cs="宋体"/>
          <w:b/>
          <w:color w:val="auto"/>
          <w:highlight w:val="none"/>
        </w:rPr>
        <w:t>采购当事人的一切活动均适用于《中华人民共和国政府采购法</w:t>
      </w:r>
      <w:r>
        <w:rPr>
          <w:rFonts w:hint="eastAsia" w:ascii="宋体" w:hAnsi="宋体" w:cs="宋体"/>
          <w:b/>
          <w:color w:val="auto"/>
          <w:highlight w:val="none"/>
          <w:lang w:eastAsia="zh-CN"/>
        </w:rPr>
        <w:t>》《</w:t>
      </w:r>
      <w:r>
        <w:rPr>
          <w:rFonts w:hint="eastAsia" w:ascii="宋体" w:hAnsi="宋体" w:eastAsia="宋体" w:cs="宋体"/>
          <w:b/>
          <w:color w:val="auto"/>
          <w:highlight w:val="none"/>
        </w:rPr>
        <w:t>中华人民共和国政府采购法实施条例》、财政部《政府采购非招标采购方式管理办法</w:t>
      </w:r>
      <w:r>
        <w:rPr>
          <w:rFonts w:hint="eastAsia" w:ascii="宋体" w:hAnsi="宋体" w:cs="宋体"/>
          <w:b/>
          <w:color w:val="auto"/>
          <w:highlight w:val="none"/>
          <w:lang w:eastAsia="zh-CN"/>
        </w:rPr>
        <w:t>》《政府采购竞争性磋商采购方式管理暂行办法》</w:t>
      </w:r>
      <w:r>
        <w:rPr>
          <w:rFonts w:hint="eastAsia" w:ascii="宋体" w:hAnsi="宋体" w:eastAsia="宋体" w:cs="宋体"/>
          <w:b/>
          <w:color w:val="auto"/>
          <w:highlight w:val="none"/>
        </w:rPr>
        <w:t>及相关规定。最终</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结束后，</w:t>
      </w:r>
      <w:r>
        <w:rPr>
          <w:rFonts w:hint="eastAsia" w:ascii="宋体" w:hAnsi="宋体" w:eastAsia="宋体" w:cs="宋体"/>
          <w:b/>
          <w:color w:val="auto"/>
          <w:highlight w:val="none"/>
          <w:lang w:eastAsia="zh-CN"/>
        </w:rPr>
        <w:t>磋商</w:t>
      </w:r>
      <w:r>
        <w:rPr>
          <w:rFonts w:hint="eastAsia" w:ascii="宋体" w:hAnsi="宋体" w:eastAsia="宋体" w:cs="宋体"/>
          <w:b/>
          <w:color w:val="auto"/>
          <w:highlight w:val="none"/>
        </w:rPr>
        <w:t>小组不得再与供应商进行任何形式的商谈。</w:t>
      </w:r>
    </w:p>
    <w:p w14:paraId="6D0C1344">
      <w:pPr>
        <w:pStyle w:val="12"/>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、其他事项</w:t>
      </w:r>
    </w:p>
    <w:p w14:paraId="2E768CBF">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w:t>
      </w:r>
      <w:r>
        <w:rPr>
          <w:rFonts w:hint="eastAsia" w:ascii="宋体" w:hAnsi="宋体" w:eastAsia="宋体" w:cs="宋体"/>
          <w:color w:val="auto"/>
          <w:szCs w:val="21"/>
          <w:highlight w:val="none"/>
          <w:lang w:eastAsia="zh-CN"/>
        </w:rPr>
        <w:t>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21448B4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代理服务费收费计算标准</w:t>
      </w:r>
      <w:r>
        <w:rPr>
          <w:rFonts w:hint="eastAsia" w:ascii="宋体" w:hAnsi="宋体" w:eastAsia="宋体" w:cs="宋体"/>
          <w:color w:val="auto"/>
          <w:szCs w:val="21"/>
          <w:highlight w:val="none"/>
          <w:lang w:eastAsia="zh-CN"/>
        </w:rPr>
        <w:t>：</w:t>
      </w:r>
    </w:p>
    <w:p w14:paraId="6CFAC173">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val="en-US" w:eastAsia="zh-CN"/>
        </w:rPr>
      </w:pPr>
    </w:p>
    <w:tbl>
      <w:tblPr>
        <w:tblStyle w:val="23"/>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AF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72" w:type="dxa"/>
            <w:tcBorders>
              <w:tl2br w:val="single" w:color="auto" w:sz="4" w:space="0"/>
            </w:tcBorders>
            <w:noWrap w:val="0"/>
            <w:vAlign w:val="top"/>
          </w:tcPr>
          <w:p w14:paraId="2AC118C8">
            <w:pPr>
              <w:keepNext w:val="0"/>
              <w:keepLines w:val="0"/>
              <w:pageBreakBefore w:val="0"/>
              <w:widowControl w:val="0"/>
              <w:kinsoku/>
              <w:wordWrap/>
              <w:overflowPunct/>
              <w:topLinePunct w:val="0"/>
              <w:autoSpaceDE/>
              <w:autoSpaceDN/>
              <w:bidi w:val="0"/>
              <w:spacing w:line="440" w:lineRule="exact"/>
              <w:ind w:firstLine="2730" w:firstLineChars="1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3C1472B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091B68AA">
            <w:pPr>
              <w:keepNext w:val="0"/>
              <w:keepLines w:val="0"/>
              <w:pageBreakBefore w:val="0"/>
              <w:widowControl w:val="0"/>
              <w:kinsoku/>
              <w:wordWrap/>
              <w:overflowPunct/>
              <w:topLinePunct w:val="0"/>
              <w:autoSpaceDE/>
              <w:autoSpaceDN/>
              <w:bidi w:val="0"/>
              <w:spacing w:line="440" w:lineRule="exact"/>
              <w:ind w:firstLine="105" w:firstLineChars="5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0520917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7D6042B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025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A3055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3FB8F22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1.5%                </w:t>
            </w:r>
          </w:p>
        </w:tc>
        <w:tc>
          <w:tcPr>
            <w:tcW w:w="1532" w:type="dxa"/>
            <w:noWrap w:val="0"/>
            <w:vAlign w:val="top"/>
          </w:tcPr>
          <w:p w14:paraId="2014206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135AADE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52D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4A448D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100万～500万</w:t>
            </w:r>
            <w:r>
              <w:rPr>
                <w:rFonts w:hint="eastAsia" w:ascii="宋体" w:hAnsi="宋体" w:eastAsia="宋体" w:cs="宋体"/>
                <w:color w:val="auto"/>
                <w:szCs w:val="21"/>
                <w:highlight w:val="none"/>
              </w:rPr>
              <w:t>元</w:t>
            </w:r>
          </w:p>
        </w:tc>
        <w:tc>
          <w:tcPr>
            <w:tcW w:w="1659" w:type="dxa"/>
            <w:noWrap w:val="0"/>
            <w:vAlign w:val="top"/>
          </w:tcPr>
          <w:p w14:paraId="1B53D66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081C001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3291BC43">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211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BFDA4F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500万～1000万</w:t>
            </w:r>
            <w:r>
              <w:rPr>
                <w:rFonts w:hint="eastAsia" w:ascii="宋体" w:hAnsi="宋体" w:eastAsia="宋体" w:cs="宋体"/>
                <w:color w:val="auto"/>
                <w:szCs w:val="21"/>
                <w:highlight w:val="none"/>
              </w:rPr>
              <w:t>元</w:t>
            </w:r>
          </w:p>
        </w:tc>
        <w:tc>
          <w:tcPr>
            <w:tcW w:w="1659" w:type="dxa"/>
            <w:noWrap w:val="0"/>
            <w:vAlign w:val="top"/>
          </w:tcPr>
          <w:p w14:paraId="19F539E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0.8%                </w:t>
            </w:r>
          </w:p>
        </w:tc>
        <w:tc>
          <w:tcPr>
            <w:tcW w:w="1532" w:type="dxa"/>
            <w:noWrap w:val="0"/>
            <w:vAlign w:val="top"/>
          </w:tcPr>
          <w:p w14:paraId="51F8108A">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4310E2A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893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60FAF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1000万～5000万</w:t>
            </w:r>
            <w:r>
              <w:rPr>
                <w:rFonts w:hint="eastAsia" w:ascii="宋体" w:hAnsi="宋体" w:eastAsia="宋体" w:cs="宋体"/>
                <w:color w:val="auto"/>
                <w:szCs w:val="21"/>
                <w:highlight w:val="none"/>
              </w:rPr>
              <w:t>元</w:t>
            </w:r>
          </w:p>
        </w:tc>
        <w:tc>
          <w:tcPr>
            <w:tcW w:w="1659" w:type="dxa"/>
            <w:noWrap w:val="0"/>
            <w:vAlign w:val="top"/>
          </w:tcPr>
          <w:p w14:paraId="2E7FC49D">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0591BAEC">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49C5A358">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EE3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5FA691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543CB90">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70BDFEB1">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72790AC2">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F8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9EC728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1亿～5亿</w:t>
            </w:r>
            <w:r>
              <w:rPr>
                <w:rFonts w:hint="eastAsia" w:ascii="宋体" w:hAnsi="宋体" w:eastAsia="宋体" w:cs="宋体"/>
                <w:color w:val="auto"/>
                <w:szCs w:val="21"/>
                <w:highlight w:val="none"/>
              </w:rPr>
              <w:t>元</w:t>
            </w:r>
          </w:p>
        </w:tc>
        <w:tc>
          <w:tcPr>
            <w:tcW w:w="1659" w:type="dxa"/>
            <w:noWrap w:val="0"/>
            <w:vAlign w:val="top"/>
          </w:tcPr>
          <w:p w14:paraId="1B985316">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2485389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46" w:type="dxa"/>
            <w:noWrap w:val="0"/>
            <w:vAlign w:val="top"/>
          </w:tcPr>
          <w:p w14:paraId="45D7C3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D1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5FA1AD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5亿～10亿</w:t>
            </w:r>
            <w:r>
              <w:rPr>
                <w:rFonts w:hint="eastAsia" w:ascii="宋体" w:hAnsi="宋体" w:eastAsia="宋体" w:cs="宋体"/>
                <w:color w:val="auto"/>
                <w:szCs w:val="21"/>
                <w:highlight w:val="none"/>
              </w:rPr>
              <w:t>元</w:t>
            </w:r>
          </w:p>
        </w:tc>
        <w:tc>
          <w:tcPr>
            <w:tcW w:w="1659" w:type="dxa"/>
            <w:noWrap w:val="0"/>
            <w:vAlign w:val="top"/>
          </w:tcPr>
          <w:p w14:paraId="6F27830D">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372D6E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46" w:type="dxa"/>
            <w:noWrap w:val="0"/>
            <w:vAlign w:val="top"/>
          </w:tcPr>
          <w:p w14:paraId="07395C6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BBC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8ABD21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10亿～50亿</w:t>
            </w:r>
            <w:r>
              <w:rPr>
                <w:rFonts w:hint="eastAsia" w:ascii="宋体" w:hAnsi="宋体" w:eastAsia="宋体" w:cs="宋体"/>
                <w:color w:val="auto"/>
                <w:szCs w:val="21"/>
                <w:highlight w:val="none"/>
              </w:rPr>
              <w:t>元</w:t>
            </w:r>
          </w:p>
        </w:tc>
        <w:tc>
          <w:tcPr>
            <w:tcW w:w="1659" w:type="dxa"/>
            <w:noWrap w:val="0"/>
            <w:vAlign w:val="top"/>
          </w:tcPr>
          <w:p w14:paraId="0F728A15">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F6F2E79">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3FD707BC">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980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ED70A6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50亿～100亿</w:t>
            </w:r>
            <w:r>
              <w:rPr>
                <w:rFonts w:hint="eastAsia" w:ascii="宋体" w:hAnsi="宋体" w:eastAsia="宋体" w:cs="宋体"/>
                <w:color w:val="auto"/>
                <w:szCs w:val="21"/>
                <w:highlight w:val="none"/>
              </w:rPr>
              <w:t>元</w:t>
            </w:r>
          </w:p>
        </w:tc>
        <w:tc>
          <w:tcPr>
            <w:tcW w:w="1659" w:type="dxa"/>
            <w:noWrap w:val="0"/>
            <w:vAlign w:val="top"/>
          </w:tcPr>
          <w:p w14:paraId="7C600EE9">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2" w:type="dxa"/>
            <w:noWrap w:val="0"/>
            <w:vAlign w:val="top"/>
          </w:tcPr>
          <w:p w14:paraId="0C60C677">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20A8C25A">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58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35F062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6C9861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2" w:type="dxa"/>
            <w:noWrap w:val="0"/>
            <w:vAlign w:val="top"/>
          </w:tcPr>
          <w:p w14:paraId="400E1CEE">
            <w:pPr>
              <w:keepNext w:val="0"/>
              <w:keepLines w:val="0"/>
              <w:pageBreakBefore w:val="0"/>
              <w:widowControl w:val="0"/>
              <w:kinsoku/>
              <w:wordWrap/>
              <w:overflowPunct/>
              <w:topLinePunct w:val="0"/>
              <w:autoSpaceDE/>
              <w:autoSpaceDN/>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650F57E0">
            <w:pPr>
              <w:keepNext w:val="0"/>
              <w:keepLines w:val="0"/>
              <w:pageBreakBefore w:val="0"/>
              <w:widowControl w:val="0"/>
              <w:kinsoku/>
              <w:wordWrap/>
              <w:overflowPunct/>
              <w:topLinePunct w:val="0"/>
              <w:autoSpaceDE/>
              <w:autoSpaceDN/>
              <w:bidi w:val="0"/>
              <w:spacing w:line="440" w:lineRule="exact"/>
              <w:ind w:firstLine="105" w:firstLineChars="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44B528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084B563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627EF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36244EB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例如：某</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采购代理业务成交金额或者暂定价为</w:t>
      </w:r>
      <w:r>
        <w:rPr>
          <w:rFonts w:hint="eastAsia" w:ascii="宋体" w:hAnsi="宋体" w:cs="宋体"/>
          <w:color w:val="auto"/>
          <w:highlight w:val="none"/>
          <w:lang w:val="en-US" w:eastAsia="zh-CN"/>
        </w:rPr>
        <w:t>80</w:t>
      </w:r>
      <w:r>
        <w:rPr>
          <w:rFonts w:hint="eastAsia" w:ascii="宋体" w:hAnsi="宋体" w:eastAsia="宋体" w:cs="宋体"/>
          <w:color w:val="auto"/>
          <w:highlight w:val="none"/>
        </w:rPr>
        <w:t>万元，计算采购代理收费额如下：</w:t>
      </w:r>
    </w:p>
    <w:p w14:paraId="0EBA53BC">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80</w:t>
      </w:r>
      <w:r>
        <w:rPr>
          <w:rFonts w:hint="eastAsia" w:ascii="宋体" w:hAnsi="宋体" w:eastAsia="宋体" w:cs="宋体"/>
          <w:color w:val="auto"/>
          <w:highlight w:val="none"/>
        </w:rPr>
        <w:t>万元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1F97663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cs="宋体"/>
          <w:color w:val="auto"/>
          <w:highlight w:val="none"/>
          <w:lang w:val="en-US" w:eastAsia="zh-CN"/>
        </w:rPr>
        <w:t>0.8</w:t>
      </w:r>
      <w:r>
        <w:rPr>
          <w:rFonts w:hint="eastAsia" w:ascii="宋体" w:hAnsi="宋体" w:eastAsia="宋体" w:cs="宋体"/>
          <w:color w:val="auto"/>
          <w:highlight w:val="none"/>
        </w:rPr>
        <w:t>（万元）</w:t>
      </w:r>
    </w:p>
    <w:p w14:paraId="4828904B">
      <w:pPr>
        <w:pStyle w:val="12"/>
        <w:keepNext w:val="0"/>
        <w:keepLines w:val="0"/>
        <w:pageBreakBefore w:val="0"/>
        <w:widowControl w:val="0"/>
        <w:shd w:val="clear" w:color="auto" w:fill="FFFFFF"/>
        <w:kinsoku/>
        <w:wordWrap/>
        <w:overflowPunct/>
        <w:topLinePunct w:val="0"/>
        <w:autoSpaceDE/>
        <w:autoSpaceDN/>
        <w:bidi w:val="0"/>
        <w:adjustRightInd w:val="0"/>
        <w:snapToGrid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rPr>
        <w:t>需要补充的</w:t>
      </w:r>
      <w:r>
        <w:rPr>
          <w:rFonts w:hint="eastAsia" w:ascii="宋体" w:hAnsi="宋体" w:eastAsia="宋体" w:cs="宋体"/>
          <w:b/>
          <w:color w:val="auto"/>
          <w:sz w:val="21"/>
          <w:szCs w:val="21"/>
          <w:highlight w:val="none"/>
          <w:lang w:eastAsia="zh-CN"/>
        </w:rPr>
        <w:t>其他</w:t>
      </w:r>
      <w:r>
        <w:rPr>
          <w:rFonts w:hint="eastAsia" w:ascii="宋体" w:hAnsi="宋体" w:eastAsia="宋体" w:cs="宋体"/>
          <w:b/>
          <w:color w:val="auto"/>
          <w:sz w:val="21"/>
          <w:szCs w:val="21"/>
          <w:highlight w:val="none"/>
        </w:rPr>
        <w:t>内容</w:t>
      </w:r>
    </w:p>
    <w:p w14:paraId="0D3F4FF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.1本磋商文件解释规则详见“供应商须知前附表”。</w:t>
      </w:r>
    </w:p>
    <w:p w14:paraId="00C72230">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 xml:space="preserve">.2 </w:t>
      </w:r>
      <w:bookmarkStart w:id="75" w:name="OLE_LINK57"/>
      <w:r>
        <w:rPr>
          <w:rFonts w:hint="eastAsia" w:ascii="宋体" w:hAnsi="宋体" w:eastAsia="宋体" w:cs="宋体"/>
          <w:color w:val="auto"/>
          <w:highlight w:val="none"/>
        </w:rPr>
        <w:t>其他事项详见“供应商须知前附表</w:t>
      </w:r>
      <w:bookmarkEnd w:id="75"/>
      <w:r>
        <w:rPr>
          <w:rFonts w:hint="eastAsia" w:ascii="宋体" w:hAnsi="宋体" w:eastAsia="宋体" w:cs="宋体"/>
          <w:color w:val="auto"/>
          <w:highlight w:val="none"/>
        </w:rPr>
        <w:t>”。</w:t>
      </w:r>
    </w:p>
    <w:p w14:paraId="44C7246F">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2</w:t>
      </w:r>
      <w:r>
        <w:rPr>
          <w:rFonts w:hint="eastAsia" w:ascii="宋体" w:hAnsi="宋体" w:eastAsia="宋体" w:cs="宋体"/>
          <w:color w:val="auto"/>
          <w:highlight w:val="none"/>
        </w:rPr>
        <w:t>.3本文件所称小微企业，是</w:t>
      </w:r>
      <w:bookmarkStart w:id="76" w:name="OLE_LINK55"/>
      <w:r>
        <w:rPr>
          <w:rFonts w:hint="eastAsia" w:ascii="宋体" w:hAnsi="宋体" w:eastAsia="宋体" w:cs="宋体"/>
          <w:color w:val="auto"/>
          <w:highlight w:val="none"/>
        </w:rPr>
        <w:t>指在中华人民共和国境内依法设立，依据国务院批准的小微企业划分标准确定的小型企业和微型企业，但与大企业的负责人为同一人，或者与大企业存在直接控股、管理关系的除外。符合小微企业划分标准的个体工商户，在政府采购活动中视同小微企业</w:t>
      </w:r>
      <w:bookmarkEnd w:id="76"/>
      <w:r>
        <w:rPr>
          <w:rFonts w:hint="eastAsia" w:ascii="宋体" w:hAnsi="宋体" w:eastAsia="宋体" w:cs="宋体"/>
          <w:color w:val="auto"/>
          <w:highlight w:val="none"/>
        </w:rPr>
        <w:t>。在政府采购活动中，工程由小微企业承建，即工程施工单位为</w:t>
      </w:r>
      <w:r>
        <w:rPr>
          <w:rFonts w:hint="eastAsia" w:ascii="宋体" w:hAnsi="宋体" w:cs="宋体"/>
          <w:color w:val="auto"/>
          <w:highlight w:val="none"/>
          <w:lang w:val="en-US" w:eastAsia="zh-CN"/>
        </w:rPr>
        <w:t>小</w:t>
      </w:r>
      <w:r>
        <w:rPr>
          <w:rFonts w:hint="eastAsia" w:ascii="宋体" w:hAnsi="宋体" w:eastAsia="宋体" w:cs="宋体"/>
          <w:color w:val="auto"/>
          <w:highlight w:val="none"/>
        </w:rPr>
        <w:t>微企业，不对其中涉及的货物的制造商和服务的承接商作出要求，享受本文件规定的小微企业扶持政策。</w:t>
      </w:r>
    </w:p>
    <w:p w14:paraId="1DC6E5C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企业的，联合体视同</w:t>
      </w:r>
      <w:r>
        <w:rPr>
          <w:rFonts w:hint="eastAsia" w:ascii="宋体" w:hAnsi="宋体" w:cs="宋体"/>
          <w:color w:val="auto"/>
          <w:highlight w:val="none"/>
          <w:lang w:val="en-US" w:eastAsia="zh-CN"/>
        </w:rPr>
        <w:t>小微</w:t>
      </w:r>
      <w:r>
        <w:rPr>
          <w:rFonts w:hint="eastAsia" w:ascii="宋体" w:hAnsi="宋体" w:eastAsia="宋体" w:cs="宋体"/>
          <w:color w:val="auto"/>
          <w:highlight w:val="none"/>
        </w:rPr>
        <w:t>企业。</w:t>
      </w:r>
    </w:p>
    <w:p w14:paraId="3CB3EB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w:t>
      </w:r>
      <w:r>
        <w:rPr>
          <w:rFonts w:hint="eastAsia" w:ascii="宋体" w:hAnsi="宋体" w:cs="宋体"/>
          <w:color w:val="auto"/>
          <w:highlight w:val="none"/>
          <w:lang w:val="en-US" w:eastAsia="zh-CN"/>
        </w:rPr>
        <w:t>中、</w:t>
      </w:r>
      <w:r>
        <w:rPr>
          <w:rFonts w:hint="eastAsia" w:ascii="宋体" w:hAnsi="宋体" w:eastAsia="宋体" w:cs="宋体"/>
          <w:color w:val="auto"/>
          <w:highlight w:val="none"/>
        </w:rPr>
        <w:t>大型企业。</w:t>
      </w:r>
    </w:p>
    <w:p w14:paraId="5F32419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16FD855">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33F7AB3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16FCA666">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45220650">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p>
    <w:p w14:paraId="563B5F9F">
      <w:pPr>
        <w:keepNext w:val="0"/>
        <w:keepLines w:val="0"/>
        <w:pageBreakBefore w:val="0"/>
        <w:widowControl w:val="0"/>
        <w:kinsoku/>
        <w:wordWrap/>
        <w:overflowPunct/>
        <w:topLinePunct w:val="0"/>
        <w:autoSpaceDE/>
        <w:autoSpaceDN/>
        <w:bidi w:val="0"/>
        <w:adjustRightInd/>
        <w:spacing w:line="4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.广西线上“政采贷”政策告知函</w:t>
      </w:r>
    </w:p>
    <w:p w14:paraId="3E48E14A">
      <w:pPr>
        <w:spacing w:line="580" w:lineRule="exact"/>
        <w:ind w:firstLine="883" w:firstLineChars="200"/>
        <w:jc w:val="center"/>
        <w:rPr>
          <w:rFonts w:hint="eastAsia" w:ascii="宋体" w:hAnsi="宋体" w:cs="宋体"/>
          <w:b/>
          <w:bCs/>
          <w:color w:val="auto"/>
          <w:sz w:val="44"/>
          <w:szCs w:val="44"/>
          <w:highlight w:val="none"/>
        </w:rPr>
      </w:pPr>
    </w:p>
    <w:p w14:paraId="007646B7">
      <w:pPr>
        <w:spacing w:line="580" w:lineRule="exact"/>
        <w:ind w:firstLine="883" w:firstLineChars="20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广西线上“政采贷”政策告知函</w:t>
      </w:r>
    </w:p>
    <w:p w14:paraId="32FF56BB">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03FF7E3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欢迎贵公司参与广西政府采购活动！</w:t>
      </w:r>
    </w:p>
    <w:p w14:paraId="46759BFC">
      <w:pPr>
        <w:spacing w:line="5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26606AE">
      <w:pPr>
        <w:pStyle w:val="32"/>
        <w:keepNext w:val="0"/>
        <w:keepLines w:val="0"/>
        <w:pageBreakBefore w:val="0"/>
        <w:kinsoku/>
        <w:wordWrap/>
        <w:overflowPunct/>
        <w:topLinePunct w:val="0"/>
        <w:autoSpaceDE/>
        <w:autoSpaceDN/>
        <w:bidi w:val="0"/>
        <w:spacing w:line="426" w:lineRule="exact"/>
        <w:ind w:firstLine="460" w:firstLineChars="200"/>
        <w:textAlignment w:val="auto"/>
        <w:rPr>
          <w:rFonts w:hint="eastAsia"/>
          <w:color w:val="auto"/>
          <w:highlight w:val="none"/>
        </w:rPr>
      </w:pPr>
      <w:r>
        <w:rPr>
          <w:rFonts w:hint="eastAsia" w:ascii="宋体" w:hAnsi="宋体" w:eastAsia="宋体" w:cs="宋体"/>
          <w:color w:val="auto"/>
          <w:sz w:val="21"/>
          <w:szCs w:val="21"/>
          <w:highlight w:val="none"/>
        </w:rPr>
        <w:t>相关金融产品和银行业金融机构联系方式，可在中征应收账款融资服务平台查询（网址：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"https://www.crcrfsp.com/" </w:instrText>
      </w:r>
      <w:r>
        <w:rPr>
          <w:rFonts w:hint="eastAsia" w:ascii="宋体" w:hAnsi="宋体" w:eastAsia="宋体" w:cs="宋体"/>
          <w:color w:val="auto"/>
          <w:sz w:val="21"/>
          <w:szCs w:val="21"/>
          <w:highlight w:val="none"/>
        </w:rPr>
        <w:fldChar w:fldCharType="separate"/>
      </w:r>
      <w:r>
        <w:rPr>
          <w:rStyle w:val="27"/>
          <w:rFonts w:hint="eastAsia" w:ascii="宋体" w:hAnsi="宋体" w:eastAsia="宋体" w:cs="宋体"/>
          <w:color w:val="auto"/>
          <w:sz w:val="21"/>
          <w:szCs w:val="21"/>
          <w:highlight w:val="none"/>
        </w:rPr>
        <w:t>https://www.crcrfsp.com/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，客服电话：400-009-0001）。</w:t>
      </w:r>
      <w:r>
        <w:rPr>
          <w:rFonts w:hAnsi="宋体"/>
          <w:b/>
          <w:color w:val="auto"/>
          <w:highlight w:val="none"/>
        </w:rPr>
        <w:br w:type="page"/>
      </w:r>
    </w:p>
    <w:p w14:paraId="67FCFC15">
      <w:pPr>
        <w:numPr>
          <w:ilvl w:val="0"/>
          <w:numId w:val="5"/>
        </w:num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77" w:name="_Toc12510"/>
      <w:bookmarkStart w:id="78" w:name="OLE_LINK31"/>
      <w:r>
        <w:rPr>
          <w:rFonts w:hint="eastAsia" w:ascii="宋体" w:hAnsi="宋体" w:eastAsia="宋体" w:cs="宋体"/>
          <w:b/>
          <w:bCs/>
          <w:color w:val="auto"/>
          <w:sz w:val="36"/>
          <w:szCs w:val="36"/>
          <w:highlight w:val="none"/>
        </w:rPr>
        <w:t>项目需求和说明</w:t>
      </w:r>
      <w:bookmarkEnd w:id="77"/>
    </w:p>
    <w:bookmarkEnd w:id="78"/>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670"/>
      </w:tblGrid>
      <w:tr w14:paraId="7E65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2912478">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bookmarkStart w:id="79" w:name="_Toc424307753"/>
            <w:r>
              <w:rPr>
                <w:rFonts w:hint="eastAsia" w:ascii="宋体" w:hAnsi="宋体" w:eastAsia="宋体" w:cs="宋体"/>
                <w:color w:val="auto"/>
                <w:szCs w:val="21"/>
                <w:highlight w:val="none"/>
              </w:rPr>
              <w:t>工程名称</w:t>
            </w:r>
          </w:p>
        </w:tc>
        <w:tc>
          <w:tcPr>
            <w:tcW w:w="6670" w:type="dxa"/>
            <w:noWrap w:val="0"/>
            <w:vAlign w:val="center"/>
          </w:tcPr>
          <w:p w14:paraId="4510CCCE">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bCs/>
                <w:color w:val="auto"/>
                <w:szCs w:val="21"/>
                <w:highlight w:val="none"/>
              </w:rPr>
            </w:pPr>
            <w:r>
              <w:rPr>
                <w:rFonts w:hint="eastAsia" w:ascii="宋体" w:hAnsi="宋体" w:cs="宋体"/>
                <w:color w:val="auto"/>
                <w:highlight w:val="none"/>
                <w:lang w:eastAsia="zh-CN"/>
              </w:rPr>
              <w:t>港口区王府街道中心幼儿园维修项目</w:t>
            </w:r>
          </w:p>
        </w:tc>
      </w:tr>
      <w:tr w14:paraId="4AEE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B66D6AF">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670" w:type="dxa"/>
            <w:noWrap w:val="0"/>
            <w:vAlign w:val="center"/>
          </w:tcPr>
          <w:p w14:paraId="2D4D6BB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left"/>
              <w:textAlignment w:val="auto"/>
              <w:rPr>
                <w:rFonts w:hint="default" w:ascii="宋体" w:hAnsi="宋体" w:eastAsia="宋体" w:cs="宋体"/>
                <w:color w:val="auto"/>
                <w:szCs w:val="21"/>
                <w:highlight w:val="none"/>
                <w:lang w:val="en-US"/>
              </w:rPr>
            </w:pPr>
            <w:r>
              <w:rPr>
                <w:rFonts w:hint="eastAsia" w:ascii="宋体" w:hAnsi="宋体" w:cs="宋体"/>
                <w:color w:val="auto"/>
                <w:highlight w:val="none"/>
                <w:lang w:val="en-US" w:eastAsia="zh-CN"/>
              </w:rPr>
              <w:t>防城港市港口区</w:t>
            </w:r>
          </w:p>
        </w:tc>
      </w:tr>
      <w:tr w14:paraId="0BF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2" w:type="dxa"/>
            <w:noWrap w:val="0"/>
            <w:vAlign w:val="center"/>
          </w:tcPr>
          <w:p w14:paraId="319F18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建设内容</w:t>
            </w:r>
          </w:p>
        </w:tc>
        <w:tc>
          <w:tcPr>
            <w:tcW w:w="6670" w:type="dxa"/>
            <w:noWrap w:val="0"/>
            <w:vAlign w:val="center"/>
          </w:tcPr>
          <w:p w14:paraId="3F17675E">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left"/>
              <w:textAlignment w:val="auto"/>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u w:val="none"/>
                <w:lang w:val="en-US" w:eastAsia="zh-CN"/>
              </w:rPr>
              <w:t>维修楼舍1栋，3层，建筑面积2370平方米，包括内外墙翻新、门窗更换、补漏、贴砖、室内各功能室改造等，以及室外活动场地及配套设施改造、围墙翻新、园舍文化建设等附属工程。详见施工图纸、工程量清单及相关说明。</w:t>
            </w:r>
          </w:p>
        </w:tc>
      </w:tr>
      <w:tr w14:paraId="0C37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327DCE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工程预算（</w:t>
            </w:r>
            <w:r>
              <w:rPr>
                <w:rFonts w:hint="eastAsia" w:ascii="宋体" w:hAnsi="宋体" w:cs="宋体"/>
                <w:color w:val="auto"/>
                <w:szCs w:val="21"/>
                <w:highlight w:val="none"/>
                <w:lang w:val="en-US" w:eastAsia="zh-CN"/>
              </w:rPr>
              <w:t>招标控制价</w:t>
            </w:r>
            <w:r>
              <w:rPr>
                <w:rFonts w:hint="eastAsia" w:ascii="宋体" w:hAnsi="宋体" w:eastAsia="宋体" w:cs="宋体"/>
                <w:color w:val="auto"/>
                <w:szCs w:val="21"/>
                <w:highlight w:val="none"/>
              </w:rPr>
              <w:t>）</w:t>
            </w:r>
          </w:p>
        </w:tc>
        <w:tc>
          <w:tcPr>
            <w:tcW w:w="6670" w:type="dxa"/>
            <w:noWrap w:val="0"/>
            <w:vAlign w:val="center"/>
          </w:tcPr>
          <w:p w14:paraId="0237D977">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经</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lang w:eastAsia="zh-CN"/>
              </w:rPr>
              <w:t>人确认，本项目招标控制价</w:t>
            </w:r>
            <w:r>
              <w:rPr>
                <w:rFonts w:hint="eastAsia" w:ascii="宋体" w:hAnsi="宋体" w:eastAsia="宋体" w:cs="宋体"/>
                <w:b/>
                <w:bCs/>
                <w:color w:val="auto"/>
                <w:sz w:val="21"/>
                <w:szCs w:val="21"/>
                <w:highlight w:val="none"/>
                <w:lang w:val="en-US" w:eastAsia="zh-CN"/>
              </w:rPr>
              <w:t>为人民币贰佰陆拾伍万捌仟贰佰伍拾元贰角玖分（¥2658250.29）</w:t>
            </w:r>
            <w:r>
              <w:rPr>
                <w:rFonts w:hint="eastAsia" w:ascii="宋体" w:hAnsi="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lang w:eastAsia="zh-CN"/>
              </w:rPr>
              <w:t>供应商的磋商报价不能超出此控制价，否则磋商无效。</w:t>
            </w:r>
          </w:p>
        </w:tc>
      </w:tr>
      <w:tr w14:paraId="1CF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ABA827E">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670" w:type="dxa"/>
            <w:noWrap w:val="0"/>
            <w:vAlign w:val="center"/>
          </w:tcPr>
          <w:p w14:paraId="4BD1578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符合现行国家及相关行业质量验收合格标准。</w:t>
            </w:r>
          </w:p>
        </w:tc>
      </w:tr>
      <w:tr w14:paraId="0D5F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402" w:type="dxa"/>
            <w:noWrap w:val="0"/>
            <w:vAlign w:val="center"/>
          </w:tcPr>
          <w:p w14:paraId="38AAE9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范围</w:t>
            </w:r>
          </w:p>
        </w:tc>
        <w:tc>
          <w:tcPr>
            <w:tcW w:w="6670" w:type="dxa"/>
            <w:noWrap w:val="0"/>
            <w:vAlign w:val="center"/>
          </w:tcPr>
          <w:p w14:paraId="145CFA98">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 w:val="21"/>
                <w:szCs w:val="21"/>
                <w:highlight w:val="none"/>
                <w:u w:val="none" w:color="auto"/>
                <w:lang w:eastAsia="zh-CN"/>
              </w:rPr>
            </w:pPr>
            <w:r>
              <w:rPr>
                <w:rFonts w:hint="eastAsia" w:ascii="宋体" w:hAnsi="宋体" w:eastAsia="宋体" w:cs="宋体"/>
                <w:color w:val="auto"/>
                <w:sz w:val="21"/>
                <w:szCs w:val="21"/>
                <w:highlight w:val="none"/>
                <w:u w:val="none"/>
                <w:lang w:val="en-US" w:eastAsia="zh-CN"/>
              </w:rPr>
              <w:t>维修楼舍1栋，3层，建筑面积2370平方米，包括内外墙翻新、门窗更换、补漏、贴砖、室内各功能室改造等，以及室外活动场地及配套设施改造、围墙翻新、园舍文化建设等附属工程。详见施工图纸、工程量清单及相关说明。</w:t>
            </w:r>
          </w:p>
        </w:tc>
      </w:tr>
      <w:tr w14:paraId="1F1A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569F94A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670" w:type="dxa"/>
            <w:noWrap w:val="0"/>
            <w:vAlign w:val="center"/>
          </w:tcPr>
          <w:p w14:paraId="739BD5FA">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u w:val="single"/>
              </w:rPr>
            </w:pPr>
            <w:r>
              <w:rPr>
                <w:rFonts w:hint="eastAsia" w:ascii="宋体" w:hAnsi="宋体" w:cs="宋体"/>
                <w:b/>
                <w:bCs/>
                <w:color w:val="auto"/>
                <w:highlight w:val="none"/>
                <w:u w:val="single"/>
                <w:lang w:val="en-US" w:eastAsia="zh-CN"/>
              </w:rPr>
              <w:t>60</w:t>
            </w:r>
            <w:r>
              <w:rPr>
                <w:rFonts w:hint="eastAsia" w:ascii="宋体" w:hAnsi="宋体" w:eastAsia="宋体" w:cs="宋体"/>
                <w:b/>
                <w:bCs/>
                <w:color w:val="auto"/>
                <w:highlight w:val="none"/>
                <w:lang w:val="en-US" w:eastAsia="zh-CN"/>
              </w:rPr>
              <w:t>日历天</w:t>
            </w:r>
          </w:p>
        </w:tc>
      </w:tr>
      <w:tr w14:paraId="3BF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7E414D4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供应商资格要求</w:t>
            </w:r>
          </w:p>
        </w:tc>
        <w:tc>
          <w:tcPr>
            <w:tcW w:w="6670" w:type="dxa"/>
            <w:noWrap w:val="0"/>
            <w:vAlign w:val="center"/>
          </w:tcPr>
          <w:p w14:paraId="75F9E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18DA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rPr>
              <w:t>本项目为</w:t>
            </w:r>
            <w:r>
              <w:rPr>
                <w:rFonts w:hint="eastAsia" w:ascii="宋体" w:hAnsi="宋体" w:eastAsia="宋体" w:cs="宋体"/>
                <w:b/>
                <w:bCs/>
                <w:color w:val="auto"/>
                <w:sz w:val="21"/>
                <w:szCs w:val="21"/>
                <w:highlight w:val="none"/>
                <w:lang w:eastAsia="zh-CN"/>
              </w:rPr>
              <w:t>专门面向</w:t>
            </w:r>
            <w:r>
              <w:rPr>
                <w:rFonts w:hint="eastAsia" w:ascii="宋体" w:hAnsi="宋体" w:cs="宋体"/>
                <w:b/>
                <w:bCs/>
                <w:color w:val="auto"/>
                <w:sz w:val="21"/>
                <w:szCs w:val="21"/>
                <w:highlight w:val="none"/>
                <w:lang w:eastAsia="zh-CN"/>
              </w:rPr>
              <w:t>小微企业采购</w:t>
            </w:r>
            <w:r>
              <w:rPr>
                <w:rFonts w:hint="eastAsia" w:ascii="宋体" w:hAnsi="宋体" w:eastAsia="宋体" w:cs="宋体"/>
                <w:b/>
                <w:bCs/>
                <w:color w:val="auto"/>
                <w:sz w:val="21"/>
                <w:szCs w:val="21"/>
                <w:highlight w:val="none"/>
              </w:rPr>
              <w:t>的项目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供应商应为小微企业或监狱企业或残疾人福利性单位</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kern w:val="0"/>
                <w:szCs w:val="21"/>
                <w:highlight w:val="none"/>
                <w:lang w:val="en-US" w:eastAsia="zh-CN"/>
              </w:rPr>
              <w:t>。供应商必须提供中小企业声明函或者残疾人福利性单位声明函或者供应商属于监狱企业的需提供由省级以上监狱管理局、戒毒管理局（含新疆生产建设兵团）出具的属于监狱企业的证明文件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color w:val="auto"/>
                <w:kern w:val="0"/>
                <w:szCs w:val="21"/>
                <w:highlight w:val="none"/>
                <w:lang w:val="en-US" w:eastAsia="zh-CN"/>
              </w:rPr>
              <w:t>；</w:t>
            </w:r>
          </w:p>
          <w:p w14:paraId="67E4A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3.本项目的特定资格要求：</w:t>
            </w:r>
          </w:p>
          <w:p w14:paraId="4EB09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本项目供应商企业资质要求具备</w:t>
            </w:r>
            <w:r>
              <w:rPr>
                <w:rFonts w:hint="eastAsia" w:ascii="宋体" w:hAnsi="宋体" w:cs="宋体"/>
                <w:b/>
                <w:bCs/>
                <w:color w:val="auto"/>
                <w:szCs w:val="21"/>
                <w:highlight w:val="none"/>
                <w:lang w:val="en-US" w:eastAsia="zh-CN"/>
              </w:rPr>
              <w:t>建筑工程施工总承包三级以上（含三级）资质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具有有效的</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安全生产许可证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在人员、设备、资金等方面具有相应的施工能力</w:t>
            </w:r>
            <w:r>
              <w:rPr>
                <w:rFonts w:hint="eastAsia" w:ascii="宋体" w:hAnsi="宋体" w:eastAsia="宋体" w:cs="宋体"/>
                <w:color w:val="auto"/>
                <w:szCs w:val="21"/>
                <w:highlight w:val="none"/>
                <w:lang w:val="en-US" w:eastAsia="zh-CN"/>
              </w:rPr>
              <w:t>；</w:t>
            </w:r>
          </w:p>
          <w:p w14:paraId="2D1B39D5">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拟派项目经理资格要求具备</w:t>
            </w:r>
            <w:r>
              <w:rPr>
                <w:rFonts w:hint="eastAsia" w:ascii="宋体" w:hAnsi="宋体" w:cs="宋体"/>
                <w:b/>
                <w:bCs/>
                <w:color w:val="auto"/>
                <w:szCs w:val="21"/>
                <w:highlight w:val="none"/>
                <w:lang w:val="en-US" w:eastAsia="zh-CN"/>
              </w:rPr>
              <w:t>建筑工程</w:t>
            </w:r>
            <w:r>
              <w:rPr>
                <w:rFonts w:hint="eastAsia" w:ascii="宋体" w:hAnsi="宋体" w:eastAsia="宋体" w:cs="宋体"/>
                <w:color w:val="auto"/>
                <w:sz w:val="21"/>
                <w:szCs w:val="21"/>
                <w:highlight w:val="none"/>
                <w:lang w:val="zh-CN" w:eastAsia="zh-CN" w:bidi="zh-CN"/>
              </w:rPr>
              <w:t>专业贰级以上（含贰级）</w:t>
            </w:r>
            <w:r>
              <w:rPr>
                <w:rFonts w:hint="eastAsia" w:ascii="宋体" w:hAnsi="宋体" w:eastAsia="宋体" w:cs="宋体"/>
                <w:color w:val="auto"/>
                <w:szCs w:val="21"/>
                <w:highlight w:val="none"/>
              </w:rPr>
              <w:t>注册建造师证书，并持有效的安全生产考核合格证书（B证），为</w:t>
            </w:r>
            <w:r>
              <w:rPr>
                <w:rFonts w:hint="eastAsia"/>
                <w:color w:val="auto"/>
                <w:lang w:val="en-US" w:eastAsia="zh-CN"/>
              </w:rPr>
              <w:t>供应商</w:t>
            </w:r>
            <w:r>
              <w:rPr>
                <w:rFonts w:hint="eastAsia" w:ascii="宋体" w:hAnsi="宋体" w:eastAsia="宋体" w:cs="宋体"/>
                <w:color w:val="auto"/>
                <w:szCs w:val="21"/>
                <w:highlight w:val="none"/>
              </w:rPr>
              <w:t>本单位的在岗人员，且未担任其他在建项目或已中标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未开工项目或已列为项目第一</w:t>
            </w:r>
            <w:r>
              <w:rPr>
                <w:rFonts w:hint="eastAsia" w:ascii="宋体" w:hAnsi="宋体" w:cs="宋体"/>
                <w:color w:val="auto"/>
                <w:szCs w:val="21"/>
                <w:highlight w:val="none"/>
                <w:lang w:val="en-US" w:eastAsia="zh-CN"/>
              </w:rPr>
              <w:t>中标（成交）</w:t>
            </w:r>
            <w:r>
              <w:rPr>
                <w:rFonts w:hint="eastAsia" w:ascii="宋体" w:hAnsi="宋体" w:eastAsia="宋体" w:cs="宋体"/>
                <w:color w:val="auto"/>
                <w:szCs w:val="21"/>
                <w:highlight w:val="none"/>
              </w:rPr>
              <w:t>候选人项目的项目经理</w:t>
            </w:r>
            <w:r>
              <w:rPr>
                <w:rFonts w:hint="eastAsia" w:ascii="宋体" w:hAnsi="宋体" w:eastAsia="宋体" w:cs="宋体"/>
                <w:color w:val="auto"/>
                <w:szCs w:val="21"/>
                <w:highlight w:val="none"/>
                <w:lang w:eastAsia="zh-CN"/>
              </w:rPr>
              <w:t>。</w:t>
            </w:r>
          </w:p>
        </w:tc>
      </w:tr>
      <w:tr w14:paraId="3656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56006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cs="宋体"/>
                <w:color w:val="auto"/>
              </w:rPr>
              <w:t>采购标的对应的中小企业划分标准所属行业名称</w:t>
            </w:r>
          </w:p>
        </w:tc>
        <w:tc>
          <w:tcPr>
            <w:tcW w:w="6670" w:type="dxa"/>
            <w:noWrap w:val="0"/>
            <w:vAlign w:val="center"/>
          </w:tcPr>
          <w:p w14:paraId="372CC5AD">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建筑业</w:t>
            </w:r>
          </w:p>
        </w:tc>
      </w:tr>
      <w:tr w14:paraId="323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405273D6">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付款方式及其他要求</w:t>
            </w:r>
          </w:p>
        </w:tc>
        <w:tc>
          <w:tcPr>
            <w:tcW w:w="6670" w:type="dxa"/>
            <w:noWrap w:val="0"/>
            <w:vAlign w:val="center"/>
          </w:tcPr>
          <w:p w14:paraId="3A0698B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1.本项目</w:t>
            </w:r>
            <w:bookmarkStart w:id="80" w:name="OLE_LINK61"/>
            <w:bookmarkStart w:id="81" w:name="OLE_LINK32"/>
            <w:r>
              <w:rPr>
                <w:rFonts w:hint="eastAsia" w:ascii="宋体" w:hAnsi="宋体" w:eastAsia="宋体" w:cs="宋体"/>
                <w:color w:val="auto"/>
                <w:szCs w:val="21"/>
                <w:highlight w:val="none"/>
                <w:lang w:val="en-US" w:eastAsia="zh-CN"/>
              </w:rPr>
              <w:t>预付款</w:t>
            </w:r>
            <w:bookmarkEnd w:id="80"/>
            <w:r>
              <w:rPr>
                <w:rFonts w:hint="eastAsia" w:ascii="宋体" w:hAnsi="宋体" w:eastAsia="宋体" w:cs="宋体"/>
                <w:color w:val="auto"/>
                <w:szCs w:val="21"/>
                <w:highlight w:val="none"/>
                <w:lang w:val="en-US" w:eastAsia="zh-CN"/>
              </w:rPr>
              <w:t>支付</w:t>
            </w:r>
            <w:bookmarkEnd w:id="81"/>
            <w:r>
              <w:rPr>
                <w:rFonts w:hint="eastAsia" w:ascii="宋体" w:hAnsi="宋体" w:eastAsia="宋体" w:cs="宋体"/>
                <w:color w:val="auto"/>
                <w:szCs w:val="21"/>
                <w:highlight w:val="none"/>
                <w:lang w:val="en-US" w:eastAsia="zh-CN"/>
              </w:rPr>
              <w:t>比例为：</w:t>
            </w:r>
            <w:bookmarkStart w:id="82" w:name="OLE_LINK60"/>
            <w:r>
              <w:rPr>
                <w:rFonts w:hint="eastAsia" w:ascii="宋体" w:hAnsi="宋体" w:cs="宋体"/>
                <w:b/>
                <w:bCs/>
                <w:color w:val="auto"/>
                <w:szCs w:val="21"/>
                <w:highlight w:val="none"/>
                <w:lang w:val="en-US" w:eastAsia="zh-CN"/>
              </w:rPr>
              <w:t>合同总价（扣除暂列金额）</w:t>
            </w:r>
            <w:r>
              <w:rPr>
                <w:rFonts w:hint="eastAsia" w:ascii="宋体" w:hAnsi="宋体" w:eastAsia="宋体" w:cs="宋体"/>
                <w:b/>
                <w:bCs/>
                <w:color w:val="auto"/>
                <w:szCs w:val="21"/>
                <w:highlight w:val="none"/>
                <w:lang w:val="en-US" w:eastAsia="zh-CN"/>
              </w:rPr>
              <w:t>的30%。预付款抵扣的方式、抵扣比例和抵扣时间安排：</w:t>
            </w:r>
            <w:bookmarkEnd w:id="82"/>
            <w:r>
              <w:rPr>
                <w:rFonts w:hint="eastAsia" w:ascii="宋体" w:hAnsi="宋体" w:cs="宋体"/>
                <w:b/>
                <w:bCs/>
                <w:color w:val="auto"/>
                <w:szCs w:val="21"/>
                <w:highlight w:val="none"/>
                <w:lang w:val="en-US" w:eastAsia="zh-CN"/>
              </w:rPr>
              <w:t>合同签订后，每月工程进度款先从预付款中扣除，原则上分两次扣完，每次扣预付款的50%。</w:t>
            </w:r>
          </w:p>
          <w:p w14:paraId="5CC8AD92">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2.关于付款周期的约定：</w:t>
            </w:r>
            <w:bookmarkStart w:id="83" w:name="OLE_LINK59"/>
            <w:r>
              <w:rPr>
                <w:rFonts w:hint="eastAsia" w:ascii="宋体" w:hAnsi="宋体" w:eastAsia="宋体" w:cs="宋体"/>
                <w:color w:val="auto"/>
                <w:szCs w:val="21"/>
                <w:highlight w:val="none"/>
                <w:lang w:val="en-US" w:eastAsia="zh-CN"/>
              </w:rPr>
              <w:t>按每月20—25日（逾期不提交的待下月同期再提交）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bookmarkEnd w:id="83"/>
            <w:r>
              <w:rPr>
                <w:rFonts w:hint="eastAsia" w:ascii="宋体" w:hAnsi="宋体" w:eastAsia="宋体" w:cs="宋体"/>
                <w:color w:val="auto"/>
                <w:szCs w:val="21"/>
                <w:highlight w:val="none"/>
                <w:lang w:val="en-US" w:eastAsia="zh-CN"/>
              </w:rPr>
              <w:t>。</w:t>
            </w:r>
          </w:p>
          <w:p w14:paraId="4EBEE2CC">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港口区财政局拨付相关款项后7个工作日内完成支付。</w:t>
            </w:r>
          </w:p>
        </w:tc>
      </w:tr>
      <w:tr w14:paraId="0A01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27D9423">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6670" w:type="dxa"/>
            <w:noWrap w:val="0"/>
            <w:vAlign w:val="center"/>
          </w:tcPr>
          <w:p w14:paraId="0D03FFAC">
            <w:pPr>
              <w:keepNext w:val="0"/>
              <w:keepLines w:val="0"/>
              <w:pageBreakBefore w:val="0"/>
              <w:widowControl w:val="0"/>
              <w:shd w:val="clear" w:color="auto" w:fill="FFFFFF"/>
              <w:kinsoku/>
              <w:wordWrap/>
              <w:overflowPunct/>
              <w:topLinePunct w:val="0"/>
              <w:autoSpaceDE/>
              <w:autoSpaceDN/>
              <w:bidi w:val="0"/>
              <w:adjustRightInd/>
              <w:snapToGrid/>
              <w:spacing w:line="39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按照有关法律规定和合同约定，承担工程质量保修责任</w:t>
            </w:r>
            <w:r>
              <w:rPr>
                <w:rFonts w:hint="eastAsia" w:ascii="宋体" w:hAnsi="宋体" w:eastAsia="宋体" w:cs="宋体"/>
                <w:color w:val="auto"/>
                <w:szCs w:val="21"/>
                <w:highlight w:val="none"/>
                <w:lang w:eastAsia="zh-CN"/>
              </w:rPr>
              <w:t>。</w:t>
            </w:r>
          </w:p>
        </w:tc>
      </w:tr>
      <w:tr w14:paraId="46EE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E6EC2E1">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工程量清单</w:t>
            </w:r>
          </w:p>
        </w:tc>
        <w:tc>
          <w:tcPr>
            <w:tcW w:w="6670" w:type="dxa"/>
            <w:noWrap w:val="0"/>
            <w:vAlign w:val="center"/>
          </w:tcPr>
          <w:p w14:paraId="0536883A">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（另册）</w:t>
            </w:r>
          </w:p>
        </w:tc>
      </w:tr>
      <w:tr w14:paraId="0AF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07C8803D">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预算控制价计算参考依据</w:t>
            </w:r>
          </w:p>
        </w:tc>
        <w:tc>
          <w:tcPr>
            <w:tcW w:w="6670" w:type="dxa"/>
            <w:noWrap w:val="0"/>
            <w:vAlign w:val="center"/>
          </w:tcPr>
          <w:p w14:paraId="437C7A5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1.《建设工程工</w:t>
            </w:r>
            <w:bookmarkStart w:id="84" w:name="OLE_LINK21"/>
            <w:r>
              <w:rPr>
                <w:rFonts w:hint="eastAsia" w:ascii="宋体" w:hAnsi="宋体" w:eastAsia="宋体" w:cs="宋体"/>
                <w:color w:val="auto"/>
                <w:szCs w:val="21"/>
                <w:highlight w:val="none"/>
                <w:lang w:val="en-US" w:eastAsia="zh-CN"/>
              </w:rPr>
              <w:t>程量清单计价规范》(GB50500－2</w:t>
            </w:r>
            <w:bookmarkEnd w:id="84"/>
            <w:r>
              <w:rPr>
                <w:rFonts w:hint="eastAsia" w:ascii="宋体" w:hAnsi="宋体" w:eastAsia="宋体" w:cs="宋体"/>
                <w:color w:val="auto"/>
                <w:szCs w:val="21"/>
                <w:highlight w:val="none"/>
                <w:lang w:val="en-US" w:eastAsia="zh-CN"/>
              </w:rPr>
              <w:t xml:space="preserve">013)及广西壮族自治区实施细则修订本； </w:t>
            </w:r>
          </w:p>
          <w:p w14:paraId="01525D4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2.《建设工程工程量计算规范广西壮族自治区实施细则(GB50854～50862-2013)》（修订本）；</w:t>
            </w:r>
          </w:p>
          <w:p w14:paraId="4D695954">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3.建筑、安装、市政、拆除相关专业定额以及相应配套的费用定额；</w:t>
            </w:r>
          </w:p>
          <w:p w14:paraId="101993F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4.《自治区住房城乡建设厅关于颁布2016年&lt;广西壮族自治区建设工程费用定额</w:t>
            </w:r>
            <w:r>
              <w:rPr>
                <w:rFonts w:hint="eastAsia" w:ascii="宋体" w:hAnsi="宋体" w:cs="宋体"/>
                <w:color w:val="auto"/>
                <w:szCs w:val="21"/>
                <w:highlight w:val="none"/>
                <w:lang w:val="en-US" w:eastAsia="zh-CN"/>
              </w:rPr>
              <w:t>〉的通知》</w:t>
            </w:r>
            <w:r>
              <w:rPr>
                <w:rFonts w:hint="eastAsia" w:ascii="宋体" w:hAnsi="宋体" w:eastAsia="宋体" w:cs="宋体"/>
                <w:color w:val="auto"/>
                <w:szCs w:val="21"/>
                <w:highlight w:val="none"/>
                <w:lang w:val="en-US" w:eastAsia="zh-CN"/>
              </w:rPr>
              <w:t>(桂建标</w:t>
            </w:r>
            <w:r>
              <w:rPr>
                <w:rFonts w:hint="eastAsia" w:ascii="宋体" w:hAnsi="宋体" w:cs="宋体"/>
                <w:color w:val="auto"/>
                <w:szCs w:val="21"/>
                <w:highlight w:val="none"/>
                <w:lang w:val="en-US" w:eastAsia="zh-CN"/>
              </w:rPr>
              <w:t>〔2016〕16号</w:t>
            </w:r>
            <w:r>
              <w:rPr>
                <w:rFonts w:hint="eastAsia" w:ascii="宋体" w:hAnsi="宋体" w:eastAsia="宋体" w:cs="宋体"/>
                <w:color w:val="auto"/>
                <w:szCs w:val="21"/>
                <w:highlight w:val="none"/>
                <w:lang w:val="en-US" w:eastAsia="zh-CN"/>
              </w:rPr>
              <w:t>)；</w:t>
            </w:r>
          </w:p>
          <w:p w14:paraId="029589D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5.《关于建筑业实施营业税改增值税后广西壮族自治区建设工程计价依据调整的通知》(桂建标</w:t>
            </w:r>
            <w:r>
              <w:rPr>
                <w:rFonts w:hint="eastAsia" w:ascii="宋体" w:hAnsi="宋体" w:cs="宋体"/>
                <w:color w:val="auto"/>
                <w:szCs w:val="21"/>
                <w:highlight w:val="none"/>
                <w:lang w:val="en-US" w:eastAsia="zh-CN"/>
              </w:rPr>
              <w:t>〔2016〕17号</w:t>
            </w:r>
            <w:r>
              <w:rPr>
                <w:rFonts w:hint="eastAsia" w:ascii="宋体" w:hAnsi="宋体" w:eastAsia="宋体" w:cs="宋体"/>
                <w:color w:val="auto"/>
                <w:szCs w:val="21"/>
                <w:highlight w:val="none"/>
                <w:lang w:val="en-US" w:eastAsia="zh-CN"/>
              </w:rPr>
              <w:t>)；</w:t>
            </w:r>
          </w:p>
          <w:p w14:paraId="4E518029">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6.《关于调整建设工程定额人工费及有关费率的通知》(桂建标</w:t>
            </w:r>
            <w:r>
              <w:rPr>
                <w:rFonts w:hint="eastAsia" w:ascii="宋体" w:hAnsi="宋体" w:cs="宋体"/>
                <w:color w:val="auto"/>
                <w:szCs w:val="21"/>
                <w:highlight w:val="none"/>
                <w:lang w:val="en-US" w:eastAsia="zh-CN"/>
              </w:rPr>
              <w:t>〔2018〕19号</w:t>
            </w:r>
            <w:r>
              <w:rPr>
                <w:rFonts w:hint="eastAsia" w:ascii="宋体" w:hAnsi="宋体" w:eastAsia="宋体" w:cs="宋体"/>
                <w:color w:val="auto"/>
                <w:szCs w:val="21"/>
                <w:highlight w:val="none"/>
                <w:lang w:val="en-US" w:eastAsia="zh-CN"/>
              </w:rPr>
              <w:t>)；</w:t>
            </w:r>
          </w:p>
          <w:p w14:paraId="10C7E4A8">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7.《关于调整除税价计算适用增值税税率的通知》(桂造价</w:t>
            </w:r>
            <w:r>
              <w:rPr>
                <w:rFonts w:hint="eastAsia" w:ascii="宋体" w:hAnsi="宋体" w:cs="宋体"/>
                <w:color w:val="auto"/>
                <w:szCs w:val="21"/>
                <w:highlight w:val="none"/>
                <w:lang w:val="en-US" w:eastAsia="zh-CN"/>
              </w:rPr>
              <w:t>〔2019〕10号</w:t>
            </w:r>
            <w:r>
              <w:rPr>
                <w:rFonts w:hint="eastAsia" w:ascii="宋体" w:hAnsi="宋体" w:eastAsia="宋体" w:cs="宋体"/>
                <w:color w:val="auto"/>
                <w:szCs w:val="21"/>
                <w:highlight w:val="none"/>
                <w:lang w:val="en-US" w:eastAsia="zh-CN"/>
              </w:rPr>
              <w:t>)；</w:t>
            </w:r>
          </w:p>
          <w:p w14:paraId="21BFDB40">
            <w:pPr>
              <w:keepNext w:val="0"/>
              <w:keepLines w:val="0"/>
              <w:pageBreakBefore w:val="0"/>
              <w:widowControl w:val="0"/>
              <w:shd w:val="clear" w:color="auto" w:fill="FFFFFF"/>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8.材料价格根据报审承诺书按202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年第</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期《</w:t>
            </w:r>
            <w:r>
              <w:rPr>
                <w:rFonts w:hint="eastAsia" w:ascii="宋体" w:hAnsi="宋体" w:cs="宋体"/>
                <w:color w:val="auto"/>
                <w:szCs w:val="21"/>
                <w:highlight w:val="none"/>
                <w:lang w:val="en-US" w:eastAsia="zh-CN"/>
              </w:rPr>
              <w:t>防城港市</w:t>
            </w:r>
            <w:r>
              <w:rPr>
                <w:rFonts w:hint="eastAsia" w:ascii="宋体" w:hAnsi="宋体" w:eastAsia="宋体" w:cs="宋体"/>
                <w:color w:val="auto"/>
                <w:szCs w:val="21"/>
                <w:highlight w:val="none"/>
                <w:lang w:val="en-US" w:eastAsia="zh-CN"/>
              </w:rPr>
              <w:t>建设工程造价信息》公布的</w:t>
            </w:r>
            <w:r>
              <w:rPr>
                <w:rFonts w:hint="eastAsia" w:ascii="宋体" w:hAnsi="宋体" w:cs="宋体"/>
                <w:color w:val="auto"/>
                <w:szCs w:val="21"/>
                <w:highlight w:val="none"/>
                <w:lang w:val="en-US" w:eastAsia="zh-CN"/>
              </w:rPr>
              <w:t>港口</w:t>
            </w:r>
            <w:r>
              <w:rPr>
                <w:rFonts w:hint="eastAsia" w:ascii="宋体" w:hAnsi="宋体" w:eastAsia="宋体" w:cs="宋体"/>
                <w:color w:val="auto"/>
                <w:szCs w:val="21"/>
                <w:highlight w:val="none"/>
                <w:lang w:val="en-US" w:eastAsia="zh-CN"/>
              </w:rPr>
              <w:t>区除税价格信息计取，信息价没有公布的材料价格则参照周边县市信息价或市场询价确定。</w:t>
            </w:r>
          </w:p>
        </w:tc>
      </w:tr>
      <w:tr w14:paraId="1980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6D27567C">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技术规范</w:t>
            </w:r>
          </w:p>
        </w:tc>
        <w:tc>
          <w:tcPr>
            <w:tcW w:w="6670" w:type="dxa"/>
            <w:noWrap w:val="0"/>
            <w:vAlign w:val="center"/>
          </w:tcPr>
          <w:p w14:paraId="3CF6827A">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按照</w:t>
            </w:r>
            <w:r>
              <w:rPr>
                <w:rFonts w:hint="eastAsia" w:ascii="宋体" w:hAnsi="宋体" w:cs="宋体"/>
                <w:color w:val="auto"/>
                <w:szCs w:val="21"/>
                <w:highlight w:val="none"/>
                <w:lang w:val="en-US" w:eastAsia="zh-CN"/>
              </w:rPr>
              <w:t>工程量清单</w:t>
            </w:r>
            <w:r>
              <w:rPr>
                <w:rFonts w:hint="eastAsia" w:ascii="宋体" w:hAnsi="宋体" w:eastAsia="宋体" w:cs="宋体"/>
                <w:color w:val="auto"/>
                <w:szCs w:val="21"/>
                <w:highlight w:val="none"/>
              </w:rPr>
              <w:t>的要求进行施工，同时也要严格执行国家现行行业验收标准、专业相关的现行标准和技术规范。</w:t>
            </w:r>
          </w:p>
        </w:tc>
      </w:tr>
      <w:tr w14:paraId="0992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02" w:type="dxa"/>
            <w:noWrap w:val="0"/>
            <w:vAlign w:val="center"/>
          </w:tcPr>
          <w:p w14:paraId="24374770">
            <w:pPr>
              <w:keepNext w:val="0"/>
              <w:keepLines w:val="0"/>
              <w:pageBreakBefore w:val="0"/>
              <w:widowControl w:val="0"/>
              <w:shd w:val="clear" w:color="auto" w:fill="FFFFFF"/>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zCs w:val="21"/>
                <w:highlight w:val="none"/>
              </w:rPr>
            </w:pPr>
            <w:r>
              <w:rPr>
                <w:rFonts w:hint="eastAsia" w:cs="黑体"/>
                <w:color w:val="auto"/>
                <w:highlight w:val="none"/>
              </w:rPr>
              <w:t>技术标准和要求</w:t>
            </w:r>
          </w:p>
        </w:tc>
        <w:tc>
          <w:tcPr>
            <w:tcW w:w="6670" w:type="dxa"/>
            <w:noWrap w:val="0"/>
            <w:vAlign w:val="center"/>
          </w:tcPr>
          <w:p w14:paraId="4396F779">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必须自行为其</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标产品侵权其他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或专利人的专利成果承担相应法律责任；同时，具有产品专利的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应在其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文件中提供与其自有产品专利相关的有效证明材料，否则，不能就其产品的专利在本项目</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标过程中被侵权问题提出异议</w:t>
            </w:r>
            <w:r>
              <w:rPr>
                <w:rFonts w:hint="eastAsia" w:ascii="宋体" w:hAnsi="宋体" w:eastAsia="宋体" w:cs="宋体"/>
                <w:color w:val="auto"/>
                <w:szCs w:val="21"/>
                <w:highlight w:val="none"/>
                <w:lang w:eastAsia="zh-CN"/>
              </w:rPr>
              <w:t>；</w:t>
            </w:r>
          </w:p>
          <w:p w14:paraId="6B2B8526">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投入本项目</w:t>
            </w:r>
            <w:r>
              <w:rPr>
                <w:rFonts w:hint="eastAsia" w:ascii="宋体" w:hAnsi="宋体" w:eastAsia="宋体" w:cs="宋体"/>
                <w:color w:val="auto"/>
                <w:szCs w:val="21"/>
                <w:highlight w:val="none"/>
                <w:lang w:val="en-US" w:eastAsia="zh-CN"/>
              </w:rPr>
              <w:t>与工程有关的</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val="en-US" w:eastAsia="zh-CN"/>
              </w:rPr>
              <w:t>及服务</w:t>
            </w:r>
            <w:r>
              <w:rPr>
                <w:rFonts w:hint="eastAsia" w:ascii="宋体" w:hAnsi="宋体" w:eastAsia="宋体" w:cs="宋体"/>
                <w:color w:val="auto"/>
                <w:szCs w:val="21"/>
                <w:highlight w:val="none"/>
              </w:rPr>
              <w:t>需符合设计文件、国家标准，且具有质量证明文件，选材要遵循环保性、耐用性、安装或使用的便捷性，应选用</w:t>
            </w:r>
            <w:bookmarkStart w:id="85" w:name="OLE_LINK22"/>
            <w:r>
              <w:rPr>
                <w:rFonts w:hint="eastAsia" w:ascii="宋体" w:hAnsi="宋体" w:eastAsia="宋体" w:cs="宋体"/>
                <w:color w:val="auto"/>
                <w:szCs w:val="21"/>
                <w:highlight w:val="none"/>
              </w:rPr>
              <w:t>整体性价比强</w:t>
            </w:r>
            <w:bookmarkEnd w:id="85"/>
            <w:r>
              <w:rPr>
                <w:rFonts w:hint="eastAsia" w:ascii="宋体" w:hAnsi="宋体" w:eastAsia="宋体" w:cs="宋体"/>
                <w:color w:val="auto"/>
                <w:szCs w:val="21"/>
                <w:highlight w:val="none"/>
              </w:rPr>
              <w:t>的材料</w:t>
            </w:r>
            <w:r>
              <w:rPr>
                <w:rFonts w:hint="eastAsia" w:ascii="宋体" w:hAnsi="宋体" w:eastAsia="宋体" w:cs="宋体"/>
                <w:color w:val="auto"/>
                <w:szCs w:val="21"/>
                <w:highlight w:val="none"/>
                <w:lang w:eastAsia="zh-CN"/>
              </w:rPr>
              <w:t>；</w:t>
            </w:r>
          </w:p>
          <w:p w14:paraId="23C7754E">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w:t>
            </w:r>
            <w:r>
              <w:rPr>
                <w:rFonts w:hint="default"/>
                <w:b/>
                <w:bCs/>
                <w:color w:val="auto"/>
                <w:highlight w:val="none"/>
                <w:lang w:val="en-US" w:eastAsia="zh-CN"/>
              </w:rPr>
              <w:t>为防止供应商出现严重不平衡报价，本工程对所有工程量清单实行最高限价，即供应商响应文件中相应项目的单价不能超出经采购人或采购代理机构公布的招标控制价的相应项目单价。</w:t>
            </w:r>
            <w:r>
              <w:rPr>
                <w:rFonts w:hint="eastAsia" w:ascii="宋体" w:hAnsi="宋体" w:eastAsia="宋体" w:cs="宋体"/>
                <w:b/>
                <w:bCs/>
                <w:color w:val="auto"/>
                <w:szCs w:val="21"/>
                <w:highlight w:val="none"/>
                <w:lang w:val="en-US" w:eastAsia="zh-CN"/>
              </w:rPr>
              <w:t>供应商必须就所竞标项目的全部内容作完整唯一报价，漏项报价的或有选择的或有条件的报价，或总价报价或单价报价超出本项目采购文件规定的对应最高限价的，其磋商将视为无效。</w:t>
            </w:r>
          </w:p>
          <w:p w14:paraId="55AB47B7">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4.安全生产责任保险费按分部分项工程费及措施项目费（含单价及总价措施项目费）为计算基数乘以0.2%计入暂估价，工程结算时，由发承包双方根据工程实际情况确认的安全生产责任保险费计入工程造价。</w:t>
            </w:r>
          </w:p>
          <w:p w14:paraId="611CDCA0">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5.投标人在编制投标报价文件时，安全生产责任保险应按招标工程量清单中给出的安全生产责任保险暂估价的具体金额填写，不得调整，否则响应文件作无效响应处理。</w:t>
            </w:r>
          </w:p>
        </w:tc>
      </w:tr>
    </w:tbl>
    <w:p w14:paraId="6D51BE66">
      <w:pPr>
        <w:pStyle w:val="2"/>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cs="宋体"/>
          <w:b w:val="0"/>
          <w:color w:val="auto"/>
          <w:sz w:val="32"/>
          <w:szCs w:val="32"/>
          <w:highlight w:val="none"/>
          <w:lang w:val="en-US" w:eastAsia="zh-CN"/>
        </w:rPr>
      </w:pPr>
    </w:p>
    <w:p w14:paraId="061974E1">
      <w:pPr>
        <w:rPr>
          <w:rFonts w:hint="eastAsia" w:ascii="宋体" w:hAnsi="宋体" w:cs="宋体"/>
          <w:b w:val="0"/>
          <w:color w:val="auto"/>
          <w:sz w:val="32"/>
          <w:szCs w:val="32"/>
          <w:highlight w:val="none"/>
          <w:lang w:val="en-US" w:eastAsia="zh-CN"/>
        </w:rPr>
      </w:pPr>
    </w:p>
    <w:p w14:paraId="555D6B89">
      <w:pPr>
        <w:pStyle w:val="15"/>
        <w:rPr>
          <w:rFonts w:hint="eastAsia" w:ascii="宋体" w:hAnsi="宋体" w:cs="宋体"/>
          <w:b w:val="0"/>
          <w:color w:val="auto"/>
          <w:sz w:val="32"/>
          <w:szCs w:val="32"/>
          <w:highlight w:val="none"/>
          <w:lang w:val="en-US" w:eastAsia="zh-CN"/>
        </w:rPr>
      </w:pPr>
    </w:p>
    <w:p w14:paraId="48E47AF3">
      <w:pPr>
        <w:rPr>
          <w:rFonts w:hint="eastAsia"/>
          <w:color w:val="auto"/>
          <w:lang w:val="en-US" w:eastAsia="zh-CN"/>
        </w:rPr>
      </w:pPr>
    </w:p>
    <w:p w14:paraId="4E05C0C8">
      <w:pPr>
        <w:rPr>
          <w:rFonts w:hint="eastAsia"/>
          <w:color w:val="auto"/>
          <w:lang w:val="en-US" w:eastAsia="zh-CN"/>
        </w:rPr>
      </w:pPr>
    </w:p>
    <w:p w14:paraId="50CFF43E">
      <w:pPr>
        <w:rPr>
          <w:rFonts w:hint="eastAsia"/>
          <w:color w:val="auto"/>
          <w:lang w:val="en-US" w:eastAsia="zh-CN"/>
        </w:rPr>
      </w:pPr>
    </w:p>
    <w:p w14:paraId="5E1D07CF">
      <w:pPr>
        <w:rPr>
          <w:rFonts w:hint="eastAsia"/>
          <w:color w:val="auto"/>
          <w:lang w:val="en-US" w:eastAsia="zh-CN"/>
        </w:rPr>
      </w:pPr>
    </w:p>
    <w:p w14:paraId="18FA734E">
      <w:pPr>
        <w:rPr>
          <w:rFonts w:hint="eastAsia"/>
          <w:color w:val="auto"/>
          <w:lang w:val="en-US" w:eastAsia="zh-CN"/>
        </w:rPr>
      </w:pPr>
    </w:p>
    <w:p w14:paraId="0A8A87E6">
      <w:pPr>
        <w:rPr>
          <w:rFonts w:hint="eastAsia"/>
          <w:color w:val="auto"/>
          <w:lang w:val="en-US" w:eastAsia="zh-CN"/>
        </w:rPr>
      </w:pPr>
    </w:p>
    <w:p w14:paraId="38F0814B">
      <w:pPr>
        <w:rPr>
          <w:rFonts w:hint="eastAsia"/>
          <w:color w:val="auto"/>
          <w:lang w:val="en-US" w:eastAsia="zh-CN"/>
        </w:rPr>
      </w:pPr>
    </w:p>
    <w:p w14:paraId="18E9F2F1">
      <w:pPr>
        <w:rPr>
          <w:rFonts w:hint="eastAsia"/>
          <w:color w:val="auto"/>
          <w:lang w:val="en-US" w:eastAsia="zh-CN"/>
        </w:rPr>
      </w:pPr>
    </w:p>
    <w:p w14:paraId="1E3142EB">
      <w:pPr>
        <w:rPr>
          <w:rFonts w:hint="eastAsia"/>
          <w:color w:val="auto"/>
          <w:lang w:val="en-US" w:eastAsia="zh-CN"/>
        </w:rPr>
      </w:pPr>
    </w:p>
    <w:p w14:paraId="4BBE4372">
      <w:pPr>
        <w:rPr>
          <w:rFonts w:hint="eastAsia"/>
          <w:color w:val="auto"/>
          <w:lang w:val="en-US" w:eastAsia="zh-CN"/>
        </w:rPr>
      </w:pPr>
    </w:p>
    <w:p w14:paraId="2E682490">
      <w:pPr>
        <w:rPr>
          <w:rFonts w:hint="eastAsia"/>
          <w:color w:val="auto"/>
          <w:lang w:val="en-US" w:eastAsia="zh-CN"/>
        </w:rPr>
      </w:pPr>
    </w:p>
    <w:p w14:paraId="0C09B690">
      <w:pPr>
        <w:rPr>
          <w:rFonts w:hint="eastAsia"/>
          <w:color w:val="auto"/>
          <w:lang w:val="en-US" w:eastAsia="zh-CN"/>
        </w:rPr>
      </w:pPr>
    </w:p>
    <w:p w14:paraId="62C24E74">
      <w:pPr>
        <w:rPr>
          <w:rFonts w:hint="eastAsia"/>
          <w:color w:val="auto"/>
          <w:lang w:val="en-US" w:eastAsia="zh-CN"/>
        </w:rPr>
      </w:pPr>
    </w:p>
    <w:p w14:paraId="405565D3">
      <w:pPr>
        <w:rPr>
          <w:rFonts w:hint="eastAsia"/>
          <w:color w:val="auto"/>
          <w:lang w:val="en-US" w:eastAsia="zh-CN"/>
        </w:rPr>
      </w:pPr>
    </w:p>
    <w:p w14:paraId="7D955291">
      <w:pPr>
        <w:rPr>
          <w:rFonts w:hint="eastAsia"/>
          <w:color w:val="auto"/>
          <w:lang w:val="en-US" w:eastAsia="zh-CN"/>
        </w:rPr>
      </w:pPr>
    </w:p>
    <w:p w14:paraId="4B555F72">
      <w:pPr>
        <w:rPr>
          <w:rFonts w:hint="eastAsia"/>
          <w:color w:val="auto"/>
          <w:lang w:val="en-US" w:eastAsia="zh-CN"/>
        </w:rPr>
      </w:pPr>
    </w:p>
    <w:p w14:paraId="51C7B0D2">
      <w:pPr>
        <w:rPr>
          <w:rFonts w:hint="eastAsia"/>
          <w:color w:val="auto"/>
          <w:lang w:val="en-US" w:eastAsia="zh-CN"/>
        </w:rPr>
      </w:pPr>
    </w:p>
    <w:p w14:paraId="1FF12652">
      <w:pPr>
        <w:rPr>
          <w:rFonts w:hint="eastAsia"/>
          <w:color w:val="auto"/>
          <w:lang w:val="en-US" w:eastAsia="zh-CN"/>
        </w:rPr>
      </w:pPr>
    </w:p>
    <w:p w14:paraId="3A8BBCC1">
      <w:pPr>
        <w:rPr>
          <w:rFonts w:hint="eastAsia"/>
          <w:color w:val="auto"/>
          <w:lang w:val="en-US" w:eastAsia="zh-CN"/>
        </w:rPr>
      </w:pPr>
    </w:p>
    <w:p w14:paraId="2395DD83">
      <w:pPr>
        <w:rPr>
          <w:rFonts w:hint="eastAsia"/>
          <w:color w:val="auto"/>
          <w:lang w:val="en-US" w:eastAsia="zh-CN"/>
        </w:rPr>
      </w:pPr>
    </w:p>
    <w:p w14:paraId="21876E59">
      <w:pPr>
        <w:rPr>
          <w:rFonts w:hint="eastAsia"/>
          <w:color w:val="auto"/>
          <w:lang w:val="en-US" w:eastAsia="zh-CN"/>
        </w:rPr>
      </w:pPr>
    </w:p>
    <w:p w14:paraId="3DB823A6">
      <w:pPr>
        <w:rPr>
          <w:rFonts w:hint="eastAsia"/>
          <w:color w:val="auto"/>
          <w:lang w:val="en-US" w:eastAsia="zh-CN"/>
        </w:rPr>
      </w:pPr>
    </w:p>
    <w:bookmarkEnd w:id="79"/>
    <w:p w14:paraId="54CDD8B3">
      <w:pPr>
        <w:rPr>
          <w:rFonts w:hint="eastAsia"/>
          <w:color w:val="auto"/>
          <w:lang w:val="en-US" w:eastAsia="zh-CN"/>
        </w:rPr>
      </w:pPr>
    </w:p>
    <w:p w14:paraId="35E84D47">
      <w:pPr>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color w:val="auto"/>
          <w:sz w:val="32"/>
          <w:szCs w:val="32"/>
          <w:highlight w:val="none"/>
        </w:rPr>
      </w:pPr>
      <w:bookmarkStart w:id="86" w:name="_Toc16101"/>
      <w:r>
        <w:rPr>
          <w:rFonts w:hint="eastAsia" w:ascii="宋体" w:hAnsi="宋体" w:eastAsia="宋体" w:cs="宋体"/>
          <w:b/>
          <w:color w:val="auto"/>
          <w:sz w:val="32"/>
          <w:szCs w:val="32"/>
          <w:highlight w:val="none"/>
        </w:rPr>
        <w:br w:type="page"/>
      </w:r>
    </w:p>
    <w:p w14:paraId="068F202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合同条款及格式</w:t>
      </w:r>
      <w:bookmarkEnd w:id="86"/>
    </w:p>
    <w:p w14:paraId="2A9BEC34">
      <w:pPr>
        <w:rPr>
          <w:rFonts w:hint="eastAsia" w:ascii="宋体" w:hAnsi="宋体"/>
          <w:b/>
          <w:color w:val="auto"/>
          <w:sz w:val="30"/>
          <w:szCs w:val="30"/>
        </w:rPr>
      </w:pPr>
    </w:p>
    <w:p w14:paraId="5D7826D0">
      <w:pPr>
        <w:ind w:firstLine="600" w:firstLineChars="200"/>
        <w:rPr>
          <w:rFonts w:ascii="宋体" w:hAnsi="宋体"/>
          <w:b/>
          <w:color w:val="auto"/>
          <w:sz w:val="30"/>
          <w:szCs w:val="30"/>
        </w:rPr>
      </w:pPr>
      <w:r>
        <w:rPr>
          <w:rFonts w:hint="eastAsia" w:ascii="宋体" w:hAnsi="宋体"/>
          <w:color w:val="auto"/>
          <w:sz w:val="30"/>
          <w:szCs w:val="30"/>
          <w:u w:val="single"/>
        </w:rPr>
        <w:t xml:space="preserve">                          </w:t>
      </w:r>
      <w:r>
        <w:rPr>
          <w:rFonts w:hint="eastAsia" w:ascii="宋体" w:hAnsi="宋体"/>
          <w:b/>
          <w:color w:val="auto"/>
          <w:sz w:val="30"/>
          <w:szCs w:val="30"/>
        </w:rPr>
        <w:t>工程施工合同</w:t>
      </w:r>
    </w:p>
    <w:p w14:paraId="7699BBC1">
      <w:pPr>
        <w:rPr>
          <w:rFonts w:ascii="宋体" w:hAnsi="宋体"/>
          <w:color w:val="auto"/>
          <w:sz w:val="30"/>
          <w:szCs w:val="30"/>
        </w:rPr>
      </w:pPr>
    </w:p>
    <w:p w14:paraId="03E11804">
      <w:pPr>
        <w:rPr>
          <w:rFonts w:ascii="宋体" w:hAnsi="宋体"/>
          <w:color w:val="auto"/>
          <w:sz w:val="30"/>
          <w:szCs w:val="30"/>
        </w:rPr>
      </w:pPr>
    </w:p>
    <w:p w14:paraId="6C71EC9F">
      <w:pPr>
        <w:ind w:firstLine="602" w:firstLineChars="200"/>
        <w:jc w:val="center"/>
        <w:rPr>
          <w:rFonts w:ascii="宋体" w:hAnsi="宋体"/>
          <w:b/>
          <w:color w:val="auto"/>
          <w:sz w:val="30"/>
          <w:szCs w:val="30"/>
        </w:rPr>
      </w:pPr>
      <w:r>
        <w:rPr>
          <w:rFonts w:hint="eastAsia" w:ascii="宋体" w:hAnsi="宋体"/>
          <w:b/>
          <w:color w:val="auto"/>
          <w:sz w:val="30"/>
          <w:szCs w:val="30"/>
        </w:rPr>
        <w:t>（项目编号：</w:t>
      </w:r>
      <w:r>
        <w:rPr>
          <w:rFonts w:hint="eastAsia" w:ascii="宋体" w:hAnsi="宋体"/>
          <w:color w:val="auto"/>
          <w:sz w:val="30"/>
          <w:szCs w:val="30"/>
          <w:u w:val="single"/>
        </w:rPr>
        <w:t xml:space="preserve">                     </w:t>
      </w:r>
      <w:r>
        <w:rPr>
          <w:rFonts w:hint="eastAsia" w:ascii="宋体" w:hAnsi="宋体"/>
          <w:b/>
          <w:color w:val="auto"/>
          <w:sz w:val="30"/>
          <w:szCs w:val="30"/>
        </w:rPr>
        <w:t xml:space="preserve"> ）</w:t>
      </w:r>
    </w:p>
    <w:p w14:paraId="62CFD5A9">
      <w:pPr>
        <w:rPr>
          <w:rFonts w:hint="eastAsia" w:ascii="宋体" w:hAnsi="宋体"/>
          <w:color w:val="auto"/>
          <w:sz w:val="30"/>
          <w:szCs w:val="30"/>
        </w:rPr>
      </w:pPr>
    </w:p>
    <w:p w14:paraId="52F81AFA">
      <w:pPr>
        <w:rPr>
          <w:rFonts w:hint="eastAsia" w:ascii="宋体" w:hAnsi="宋体"/>
          <w:color w:val="auto"/>
          <w:sz w:val="30"/>
          <w:szCs w:val="30"/>
        </w:rPr>
      </w:pPr>
    </w:p>
    <w:p w14:paraId="07B2140C">
      <w:pPr>
        <w:rPr>
          <w:rFonts w:hint="eastAsia" w:ascii="宋体" w:hAnsi="宋体"/>
          <w:color w:val="auto"/>
          <w:sz w:val="30"/>
          <w:szCs w:val="30"/>
        </w:rPr>
      </w:pPr>
    </w:p>
    <w:p w14:paraId="271E6364">
      <w:pPr>
        <w:rPr>
          <w:rFonts w:hint="eastAsia" w:ascii="宋体" w:hAnsi="宋体"/>
          <w:color w:val="auto"/>
          <w:sz w:val="30"/>
          <w:szCs w:val="30"/>
        </w:rPr>
      </w:pPr>
    </w:p>
    <w:p w14:paraId="7F741D43">
      <w:pPr>
        <w:rPr>
          <w:rFonts w:ascii="宋体" w:hAnsi="宋体"/>
          <w:color w:val="auto"/>
          <w:sz w:val="30"/>
          <w:szCs w:val="30"/>
        </w:rPr>
      </w:pPr>
    </w:p>
    <w:p w14:paraId="12008960">
      <w:pPr>
        <w:rPr>
          <w:rFonts w:ascii="宋体" w:hAnsi="宋体"/>
          <w:color w:val="auto"/>
          <w:sz w:val="30"/>
          <w:szCs w:val="30"/>
        </w:rPr>
      </w:pPr>
    </w:p>
    <w:p w14:paraId="11008053">
      <w:pPr>
        <w:ind w:firstLine="600" w:firstLineChars="200"/>
        <w:rPr>
          <w:rFonts w:ascii="宋体" w:hAnsi="宋体"/>
          <w:color w:val="auto"/>
          <w:sz w:val="30"/>
          <w:szCs w:val="30"/>
          <w:u w:val="single"/>
        </w:rPr>
      </w:pPr>
      <w:r>
        <w:rPr>
          <w:rFonts w:hint="eastAsia" w:ascii="宋体" w:hAnsi="宋体"/>
          <w:color w:val="auto"/>
          <w:sz w:val="30"/>
          <w:szCs w:val="30"/>
        </w:rPr>
        <w:t>发 包 人：</w:t>
      </w:r>
      <w:r>
        <w:rPr>
          <w:rFonts w:hint="eastAsia" w:ascii="宋体" w:hAnsi="宋体"/>
          <w:color w:val="auto"/>
          <w:sz w:val="30"/>
          <w:szCs w:val="30"/>
          <w:u w:val="single"/>
        </w:rPr>
        <w:t xml:space="preserve">                               </w:t>
      </w:r>
    </w:p>
    <w:p w14:paraId="396FD181">
      <w:pPr>
        <w:rPr>
          <w:rFonts w:ascii="宋体" w:hAnsi="宋体"/>
          <w:color w:val="auto"/>
          <w:sz w:val="30"/>
          <w:szCs w:val="30"/>
        </w:rPr>
      </w:pPr>
    </w:p>
    <w:p w14:paraId="4450DE93">
      <w:pPr>
        <w:ind w:firstLine="600" w:firstLineChars="200"/>
        <w:rPr>
          <w:rFonts w:ascii="宋体" w:hAnsi="宋体"/>
          <w:color w:val="auto"/>
          <w:sz w:val="30"/>
          <w:szCs w:val="30"/>
          <w:u w:val="single"/>
        </w:rPr>
      </w:pPr>
      <w:r>
        <w:rPr>
          <w:rFonts w:hint="eastAsia" w:ascii="宋体" w:hAnsi="宋体"/>
          <w:color w:val="auto"/>
          <w:sz w:val="30"/>
          <w:szCs w:val="30"/>
        </w:rPr>
        <w:t>承 包 人：</w:t>
      </w:r>
      <w:r>
        <w:rPr>
          <w:rFonts w:hint="eastAsia" w:ascii="宋体" w:hAnsi="宋体"/>
          <w:color w:val="auto"/>
          <w:sz w:val="30"/>
          <w:szCs w:val="30"/>
          <w:u w:val="single"/>
        </w:rPr>
        <w:t xml:space="preserve">                               </w:t>
      </w:r>
    </w:p>
    <w:p w14:paraId="1271D634">
      <w:pPr>
        <w:jc w:val="center"/>
        <w:rPr>
          <w:rFonts w:ascii="宋体" w:hAnsi="宋体"/>
          <w:color w:val="auto"/>
          <w:sz w:val="30"/>
          <w:szCs w:val="30"/>
        </w:rPr>
      </w:pPr>
    </w:p>
    <w:p w14:paraId="73BFC73F">
      <w:pPr>
        <w:pStyle w:val="2"/>
        <w:ind w:firstLine="883" w:firstLineChars="200"/>
        <w:jc w:val="center"/>
        <w:rPr>
          <w:color w:val="auto"/>
        </w:rPr>
      </w:pPr>
      <w:r>
        <w:rPr>
          <w:color w:val="auto"/>
        </w:rPr>
        <w:br w:type="page"/>
      </w:r>
      <w:bookmarkStart w:id="87" w:name="OLE_LINK26"/>
      <w:r>
        <w:rPr>
          <w:rFonts w:hint="eastAsia" w:cs="黑体"/>
          <w:color w:val="auto"/>
          <w:highlight w:val="white"/>
        </w:rPr>
        <w:t>第一部分</w:t>
      </w:r>
      <w:r>
        <w:rPr>
          <w:color w:val="auto"/>
          <w:highlight w:val="white"/>
        </w:rPr>
        <w:t xml:space="preserve"> </w:t>
      </w:r>
      <w:r>
        <w:rPr>
          <w:rFonts w:hint="eastAsia" w:cs="黑体"/>
          <w:color w:val="auto"/>
          <w:highlight w:val="white"/>
        </w:rPr>
        <w:t>合同协议书</w:t>
      </w:r>
      <w:bookmarkEnd w:id="87"/>
    </w:p>
    <w:p w14:paraId="2492C59E">
      <w:pPr>
        <w:pStyle w:val="69"/>
        <w:spacing w:line="240" w:lineRule="auto"/>
        <w:ind w:firstLine="440" w:firstLineChars="200"/>
        <w:rPr>
          <w:rFonts w:hint="eastAsia" w:eastAsia="宋体"/>
          <w:color w:val="auto"/>
          <w:sz w:val="22"/>
          <w:u w:val="single"/>
          <w:lang w:eastAsia="zh-CN"/>
        </w:rPr>
      </w:pPr>
      <w:bookmarkStart w:id="88" w:name="EBf5d8882b67eb450294403d6d9eac2034"/>
      <w:r>
        <w:rPr>
          <w:rFonts w:hAnsi="宋体"/>
          <w:color w:val="auto"/>
          <w:sz w:val="22"/>
        </w:rPr>
        <w:t>发包人（全称）：</w:t>
      </w:r>
      <w:r>
        <w:rPr>
          <w:rFonts w:hint="eastAsia" w:hAnsi="宋体"/>
          <w:color w:val="auto"/>
          <w:sz w:val="22"/>
          <w:u w:val="single"/>
          <w:lang w:val="en-US" w:eastAsia="zh-CN"/>
        </w:rPr>
        <w:t xml:space="preserve">                        </w:t>
      </w:r>
    </w:p>
    <w:p w14:paraId="3487671E">
      <w:pPr>
        <w:pStyle w:val="69"/>
        <w:spacing w:line="240" w:lineRule="auto"/>
        <w:ind w:firstLine="440" w:firstLineChars="200"/>
        <w:rPr>
          <w:rFonts w:hint="eastAsia" w:eastAsia="宋体"/>
          <w:color w:val="auto"/>
          <w:sz w:val="22"/>
          <w:u w:val="single"/>
          <w:lang w:eastAsia="zh-CN"/>
        </w:rPr>
      </w:pPr>
      <w:r>
        <w:rPr>
          <w:rFonts w:hAnsi="宋体"/>
          <w:color w:val="auto"/>
          <w:sz w:val="22"/>
        </w:rPr>
        <w:t>承包人（全称）：</w:t>
      </w:r>
      <w:r>
        <w:rPr>
          <w:rFonts w:hint="eastAsia" w:hAnsi="宋体"/>
          <w:color w:val="auto"/>
          <w:sz w:val="22"/>
          <w:u w:val="single"/>
          <w:lang w:val="en-US" w:eastAsia="zh-CN"/>
        </w:rPr>
        <w:t xml:space="preserve">                        </w:t>
      </w:r>
    </w:p>
    <w:p w14:paraId="44F336F0">
      <w:pPr>
        <w:pStyle w:val="69"/>
        <w:spacing w:line="240" w:lineRule="auto"/>
        <w:ind w:firstLine="440" w:firstLineChars="200"/>
        <w:rPr>
          <w:rFonts w:hAnsi="宋体"/>
          <w:color w:val="auto"/>
          <w:sz w:val="22"/>
        </w:rPr>
      </w:pPr>
      <w:r>
        <w:rPr>
          <w:rFonts w:hAnsi="宋体"/>
          <w:color w:val="auto"/>
          <w:sz w:val="22"/>
        </w:rPr>
        <w:t>根据《中华人民共和国</w:t>
      </w:r>
      <w:r>
        <w:rPr>
          <w:rFonts w:hint="eastAsia" w:hAnsi="宋体"/>
          <w:color w:val="auto"/>
          <w:sz w:val="22"/>
        </w:rPr>
        <w:t>民法典</w:t>
      </w:r>
      <w:r>
        <w:rPr>
          <w:rFonts w:hint="eastAsia" w:hAnsi="宋体"/>
          <w:color w:val="auto"/>
          <w:sz w:val="22"/>
          <w:lang w:eastAsia="zh-CN"/>
        </w:rPr>
        <w:t>》《</w:t>
      </w:r>
      <w:r>
        <w:rPr>
          <w:rFonts w:hAnsi="宋体"/>
          <w:color w:val="auto"/>
          <w:sz w:val="22"/>
        </w:rPr>
        <w:t>中华人民共和国建筑法》及有关法律规定，遵循平等、自愿、公平和诚实信用的原则，双方就</w:t>
      </w:r>
      <w:r>
        <w:rPr>
          <w:rFonts w:hint="eastAsia"/>
          <w:color w:val="auto"/>
          <w:sz w:val="22"/>
          <w:u w:val="single"/>
          <w:lang w:val="en-US" w:eastAsia="zh-CN"/>
        </w:rPr>
        <w:t xml:space="preserve"> </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工程施工及有关事项协商一致，共同达成如下协议：</w:t>
      </w:r>
      <w:bookmarkStart w:id="89" w:name="_Toc351203481"/>
    </w:p>
    <w:p w14:paraId="6EE09D59">
      <w:pPr>
        <w:pStyle w:val="69"/>
        <w:spacing w:line="240" w:lineRule="auto"/>
        <w:ind w:firstLine="442" w:firstLineChars="200"/>
        <w:rPr>
          <w:b/>
          <w:bCs/>
          <w:color w:val="auto"/>
          <w:sz w:val="22"/>
        </w:rPr>
      </w:pPr>
      <w:r>
        <w:rPr>
          <w:rFonts w:hAnsi="宋体"/>
          <w:b/>
          <w:bCs/>
          <w:color w:val="auto"/>
          <w:sz w:val="22"/>
        </w:rPr>
        <w:t>一、工程概况</w:t>
      </w:r>
      <w:bookmarkEnd w:id="89"/>
    </w:p>
    <w:p w14:paraId="0BE279EC">
      <w:pPr>
        <w:pStyle w:val="69"/>
        <w:spacing w:line="240" w:lineRule="auto"/>
        <w:ind w:firstLine="440" w:firstLineChars="200"/>
        <w:rPr>
          <w:color w:val="auto"/>
          <w:sz w:val="22"/>
          <w:u w:val="single"/>
        </w:rPr>
      </w:pPr>
      <w:r>
        <w:rPr>
          <w:bCs/>
          <w:color w:val="auto"/>
          <w:sz w:val="22"/>
        </w:rPr>
        <w:t>1.</w:t>
      </w:r>
      <w:r>
        <w:rPr>
          <w:rFonts w:hint="eastAsia"/>
          <w:bCs/>
          <w:color w:val="auto"/>
          <w:sz w:val="22"/>
        </w:rPr>
        <w:t xml:space="preserve"> </w:t>
      </w:r>
      <w:r>
        <w:rPr>
          <w:rFonts w:hAnsi="宋体"/>
          <w:bCs/>
          <w:color w:val="auto"/>
          <w:sz w:val="22"/>
        </w:rPr>
        <w:t>工程名称</w:t>
      </w:r>
      <w:r>
        <w:rPr>
          <w:rFonts w:hAnsi="宋体"/>
          <w:color w:val="auto"/>
          <w:sz w:val="22"/>
        </w:rPr>
        <w:t>：</w:t>
      </w:r>
      <w:r>
        <w:rPr>
          <w:rFonts w:hint="eastAsia" w:hAnsi="宋体"/>
          <w:color w:val="auto"/>
          <w:sz w:val="22"/>
          <w:u w:val="single"/>
          <w:lang w:val="en-US" w:eastAsia="zh-CN"/>
        </w:rPr>
        <w:t xml:space="preserve">                       </w:t>
      </w:r>
      <w:r>
        <w:rPr>
          <w:rFonts w:hint="eastAsia"/>
          <w:color w:val="auto"/>
          <w:sz w:val="22"/>
          <w:u w:val="single"/>
          <w:lang w:val="en-US" w:eastAsia="zh-CN"/>
        </w:rPr>
        <w:t xml:space="preserve"> </w:t>
      </w:r>
      <w:r>
        <w:rPr>
          <w:rFonts w:hAnsi="宋体"/>
          <w:color w:val="auto"/>
          <w:sz w:val="22"/>
        </w:rPr>
        <w:t>。</w:t>
      </w:r>
    </w:p>
    <w:p w14:paraId="7DB0DC2B">
      <w:pPr>
        <w:pStyle w:val="69"/>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工程地点：</w:t>
      </w:r>
      <w:r>
        <w:rPr>
          <w:rFonts w:hint="eastAsia" w:hAnsi="宋体"/>
          <w:color w:val="auto"/>
          <w:sz w:val="22"/>
          <w:u w:val="single"/>
          <w:lang w:val="en-US" w:eastAsia="zh-CN"/>
        </w:rPr>
        <w:t xml:space="preserve">                        </w:t>
      </w:r>
      <w:r>
        <w:rPr>
          <w:rFonts w:hAnsi="宋体"/>
          <w:color w:val="auto"/>
          <w:sz w:val="22"/>
        </w:rPr>
        <w:t>。</w:t>
      </w:r>
    </w:p>
    <w:p w14:paraId="0D151E36">
      <w:pPr>
        <w:pStyle w:val="69"/>
        <w:spacing w:line="240" w:lineRule="auto"/>
        <w:ind w:firstLine="440" w:firstLineChars="200"/>
        <w:rPr>
          <w:bCs/>
          <w:color w:val="auto"/>
          <w:sz w:val="22"/>
        </w:rPr>
      </w:pPr>
      <w:r>
        <w:rPr>
          <w:rFonts w:hint="eastAsia"/>
          <w:bCs/>
          <w:color w:val="auto"/>
          <w:sz w:val="22"/>
        </w:rPr>
        <w:t>3</w:t>
      </w:r>
      <w:r>
        <w:rPr>
          <w:bCs/>
          <w:color w:val="auto"/>
          <w:sz w:val="22"/>
        </w:rPr>
        <w:t>.</w:t>
      </w:r>
      <w:r>
        <w:rPr>
          <w:rFonts w:hint="eastAsia"/>
          <w:bCs/>
          <w:color w:val="auto"/>
          <w:sz w:val="22"/>
        </w:rPr>
        <w:t xml:space="preserve"> </w:t>
      </w:r>
      <w:r>
        <w:rPr>
          <w:rFonts w:hAnsi="宋体"/>
          <w:bCs/>
          <w:color w:val="auto"/>
          <w:sz w:val="22"/>
        </w:rPr>
        <w:t>资金来源：</w:t>
      </w:r>
      <w:r>
        <w:rPr>
          <w:rFonts w:hint="eastAsia" w:hAnsi="宋体"/>
          <w:color w:val="auto"/>
          <w:sz w:val="22"/>
          <w:u w:val="single"/>
          <w:lang w:val="en-US" w:eastAsia="zh-CN"/>
        </w:rPr>
        <w:t xml:space="preserve"> 财政资金 </w:t>
      </w:r>
      <w:r>
        <w:rPr>
          <w:rFonts w:hAnsi="宋体"/>
          <w:bCs/>
          <w:color w:val="auto"/>
          <w:sz w:val="22"/>
        </w:rPr>
        <w:t>。</w:t>
      </w:r>
    </w:p>
    <w:p w14:paraId="6AEB741A">
      <w:pPr>
        <w:pStyle w:val="69"/>
        <w:spacing w:line="240" w:lineRule="auto"/>
        <w:ind w:firstLine="440" w:firstLineChars="200"/>
        <w:rPr>
          <w:bCs/>
          <w:color w:val="auto"/>
          <w:sz w:val="22"/>
        </w:rPr>
      </w:pPr>
      <w:r>
        <w:rPr>
          <w:bCs/>
          <w:color w:val="auto"/>
          <w:sz w:val="22"/>
        </w:rPr>
        <w:t>5.</w:t>
      </w:r>
      <w:r>
        <w:rPr>
          <w:rFonts w:hint="eastAsia"/>
          <w:bCs/>
          <w:color w:val="auto"/>
          <w:sz w:val="22"/>
        </w:rPr>
        <w:t xml:space="preserve"> </w:t>
      </w:r>
      <w:r>
        <w:rPr>
          <w:rFonts w:hAnsi="宋体"/>
          <w:bCs/>
          <w:color w:val="auto"/>
          <w:sz w:val="22"/>
        </w:rPr>
        <w:t>工程内容：</w:t>
      </w:r>
      <w:r>
        <w:rPr>
          <w:rFonts w:hint="eastAsia" w:hAnsi="宋体"/>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bCs/>
          <w:color w:val="auto"/>
          <w:sz w:val="22"/>
        </w:rPr>
        <w:t>。</w:t>
      </w:r>
    </w:p>
    <w:p w14:paraId="1F0EC261">
      <w:pPr>
        <w:pStyle w:val="69"/>
        <w:spacing w:line="240" w:lineRule="auto"/>
        <w:ind w:firstLine="440" w:firstLineChars="200"/>
        <w:rPr>
          <w:bCs/>
          <w:color w:val="auto"/>
          <w:sz w:val="22"/>
        </w:rPr>
      </w:pPr>
      <w:r>
        <w:rPr>
          <w:rFonts w:hAnsi="宋体"/>
          <w:color w:val="auto"/>
          <w:sz w:val="22"/>
        </w:rPr>
        <w:t>群体工程应附《承包人承揽工程项目一览表》（附件</w:t>
      </w:r>
      <w:r>
        <w:rPr>
          <w:color w:val="auto"/>
          <w:sz w:val="22"/>
        </w:rPr>
        <w:t>1</w:t>
      </w:r>
      <w:r>
        <w:rPr>
          <w:rFonts w:hAnsi="宋体"/>
          <w:color w:val="auto"/>
          <w:sz w:val="22"/>
        </w:rPr>
        <w:t>）。</w:t>
      </w:r>
    </w:p>
    <w:p w14:paraId="02D5EE22">
      <w:pPr>
        <w:pStyle w:val="69"/>
        <w:spacing w:line="240" w:lineRule="auto"/>
        <w:ind w:firstLine="440" w:firstLineChars="200"/>
        <w:rPr>
          <w:rFonts w:hAnsi="宋体"/>
          <w:color w:val="auto"/>
          <w:sz w:val="22"/>
        </w:rPr>
      </w:pPr>
      <w:r>
        <w:rPr>
          <w:bCs/>
          <w:color w:val="auto"/>
          <w:sz w:val="22"/>
        </w:rPr>
        <w:t>6.</w:t>
      </w:r>
      <w:r>
        <w:rPr>
          <w:rFonts w:hint="eastAsia"/>
          <w:bCs/>
          <w:color w:val="auto"/>
          <w:sz w:val="22"/>
        </w:rPr>
        <w:t xml:space="preserve"> </w:t>
      </w:r>
      <w:r>
        <w:rPr>
          <w:rFonts w:hAnsi="宋体"/>
          <w:bCs/>
          <w:color w:val="auto"/>
          <w:sz w:val="22"/>
        </w:rPr>
        <w:t>工程承包范围：</w:t>
      </w:r>
      <w:r>
        <w:rPr>
          <w:rFonts w:hint="eastAsia" w:hAnsi="宋体"/>
          <w:bCs/>
          <w:color w:val="auto"/>
          <w:sz w:val="22"/>
          <w:u w:val="single"/>
          <w:lang w:val="en-US" w:eastAsia="zh-CN"/>
        </w:rPr>
        <w:t xml:space="preserve">                                        ，</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p>
    <w:p w14:paraId="31C4248F">
      <w:pPr>
        <w:pStyle w:val="69"/>
        <w:spacing w:line="240" w:lineRule="auto"/>
        <w:ind w:firstLine="442" w:firstLineChars="200"/>
        <w:rPr>
          <w:b/>
          <w:bCs/>
          <w:color w:val="auto"/>
          <w:sz w:val="22"/>
        </w:rPr>
      </w:pPr>
      <w:bookmarkStart w:id="90" w:name="_Toc351203482"/>
      <w:r>
        <w:rPr>
          <w:rFonts w:hAnsi="宋体"/>
          <w:b/>
          <w:bCs/>
          <w:color w:val="auto"/>
          <w:sz w:val="22"/>
        </w:rPr>
        <w:t>二、合同工期</w:t>
      </w:r>
      <w:bookmarkEnd w:id="90"/>
    </w:p>
    <w:p w14:paraId="415A61D3">
      <w:pPr>
        <w:pStyle w:val="69"/>
        <w:spacing w:line="240" w:lineRule="auto"/>
        <w:ind w:firstLine="440" w:firstLineChars="200"/>
        <w:rPr>
          <w:rFonts w:hint="eastAsia" w:eastAsia="宋体"/>
          <w:color w:val="auto"/>
          <w:sz w:val="22"/>
          <w:lang w:eastAsia="zh-CN"/>
        </w:rPr>
      </w:pPr>
      <w:r>
        <w:rPr>
          <w:rFonts w:hAnsi="宋体"/>
          <w:color w:val="auto"/>
          <w:sz w:val="22"/>
        </w:rPr>
        <w:t>计划开工日期：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r>
        <w:rPr>
          <w:rFonts w:hint="eastAsia" w:hAnsi="宋体"/>
          <w:color w:val="auto"/>
          <w:sz w:val="22"/>
          <w:lang w:eastAsia="zh-CN"/>
        </w:rPr>
        <w:t>（</w:t>
      </w:r>
      <w:r>
        <w:rPr>
          <w:rFonts w:hint="eastAsia" w:hAnsi="宋体"/>
          <w:color w:val="auto"/>
          <w:sz w:val="22"/>
          <w:lang w:val="en-US" w:eastAsia="zh-CN"/>
        </w:rPr>
        <w:t>最终以开工令为准</w:t>
      </w:r>
      <w:r>
        <w:rPr>
          <w:rFonts w:hint="eastAsia" w:hAnsi="宋体"/>
          <w:color w:val="auto"/>
          <w:sz w:val="22"/>
          <w:lang w:eastAsia="zh-CN"/>
        </w:rPr>
        <w:t>）</w:t>
      </w:r>
    </w:p>
    <w:p w14:paraId="78E8C7F8">
      <w:pPr>
        <w:pStyle w:val="69"/>
        <w:spacing w:line="240" w:lineRule="auto"/>
        <w:ind w:firstLine="440" w:firstLineChars="200"/>
        <w:rPr>
          <w:color w:val="auto"/>
          <w:sz w:val="22"/>
        </w:rPr>
      </w:pPr>
      <w:r>
        <w:rPr>
          <w:rFonts w:hAnsi="宋体"/>
          <w:color w:val="auto"/>
          <w:sz w:val="22"/>
        </w:rPr>
        <w:t>计划竣工日期：</w:t>
      </w:r>
      <w:r>
        <w:rPr>
          <w:rFonts w:hint="eastAsia" w:hAnsi="宋体"/>
          <w:color w:val="auto"/>
          <w:sz w:val="22"/>
          <w:u w:val="single"/>
          <w:lang w:val="en-US" w:eastAsia="zh-CN"/>
        </w:rPr>
        <w:t xml:space="preserve">     </w:t>
      </w:r>
      <w:r>
        <w:rPr>
          <w:rFonts w:hAnsi="宋体"/>
          <w:color w:val="auto"/>
          <w:sz w:val="22"/>
        </w:rPr>
        <w:t>年</w:t>
      </w:r>
      <w:r>
        <w:rPr>
          <w:rFonts w:hint="eastAsia" w:hAnsi="宋体"/>
          <w:color w:val="auto"/>
          <w:sz w:val="22"/>
          <w:u w:val="single"/>
          <w:lang w:val="en-US" w:eastAsia="zh-CN"/>
        </w:rPr>
        <w:t xml:space="preserve">      </w:t>
      </w:r>
      <w:r>
        <w:rPr>
          <w:rFonts w:hAnsi="宋体"/>
          <w:color w:val="auto"/>
          <w:sz w:val="22"/>
        </w:rPr>
        <w:t>月</w:t>
      </w:r>
      <w:r>
        <w:rPr>
          <w:rFonts w:hAnsi="宋体"/>
          <w:color w:val="auto"/>
          <w:sz w:val="22"/>
          <w:u w:val="single"/>
        </w:rPr>
        <w:t></w:t>
      </w:r>
      <w:r>
        <w:rPr>
          <w:rFonts w:hint="eastAsia" w:hAnsi="宋体"/>
          <w:color w:val="auto"/>
          <w:sz w:val="22"/>
          <w:u w:val="single"/>
          <w:lang w:val="en-US" w:eastAsia="zh-CN"/>
        </w:rPr>
        <w:t xml:space="preserve">   </w:t>
      </w:r>
      <w:r>
        <w:rPr>
          <w:rFonts w:hAnsi="宋体"/>
          <w:color w:val="auto"/>
          <w:sz w:val="22"/>
          <w:u w:val="single"/>
        </w:rPr>
        <w:t></w:t>
      </w:r>
      <w:r>
        <w:rPr>
          <w:rFonts w:hAnsi="宋体"/>
          <w:color w:val="auto"/>
          <w:sz w:val="22"/>
        </w:rPr>
        <w:t>日。</w:t>
      </w:r>
    </w:p>
    <w:p w14:paraId="52ACCC9F">
      <w:pPr>
        <w:pStyle w:val="69"/>
        <w:spacing w:line="240" w:lineRule="auto"/>
        <w:ind w:firstLine="440" w:firstLineChars="200"/>
        <w:rPr>
          <w:rFonts w:hAnsi="宋体"/>
          <w:color w:val="auto"/>
          <w:sz w:val="22"/>
        </w:rPr>
      </w:pPr>
      <w:r>
        <w:rPr>
          <w:rFonts w:hAnsi="宋体"/>
          <w:color w:val="auto"/>
          <w:sz w:val="22"/>
        </w:rPr>
        <w:t>工期总日历天数：</w:t>
      </w:r>
      <w:r>
        <w:rPr>
          <w:rFonts w:hint="eastAsia" w:hAnsi="宋体"/>
          <w:color w:val="auto"/>
          <w:sz w:val="22"/>
          <w:u w:val="single"/>
          <w:lang w:val="en-US" w:eastAsia="zh-CN"/>
        </w:rPr>
        <w:t xml:space="preserve">    </w:t>
      </w:r>
      <w:r>
        <w:rPr>
          <w:rFonts w:hAnsi="宋体"/>
          <w:color w:val="auto"/>
          <w:sz w:val="22"/>
        </w:rPr>
        <w:t>天。工期总日历天数与根据前述计划开竣工日期计算的工期天数不一致的，以工期总日历天数为准。</w:t>
      </w:r>
    </w:p>
    <w:p w14:paraId="656188FB">
      <w:pPr>
        <w:pStyle w:val="69"/>
        <w:spacing w:line="240" w:lineRule="auto"/>
        <w:ind w:firstLine="442" w:firstLineChars="200"/>
        <w:rPr>
          <w:b/>
          <w:bCs/>
          <w:color w:val="auto"/>
          <w:sz w:val="22"/>
        </w:rPr>
      </w:pPr>
      <w:bookmarkStart w:id="91" w:name="_Toc351203483"/>
      <w:r>
        <w:rPr>
          <w:rFonts w:hAnsi="宋体"/>
          <w:b/>
          <w:bCs/>
          <w:color w:val="auto"/>
          <w:sz w:val="22"/>
        </w:rPr>
        <w:t>三、质量标准</w:t>
      </w:r>
      <w:bookmarkEnd w:id="91"/>
    </w:p>
    <w:p w14:paraId="3510C9B2">
      <w:pPr>
        <w:pStyle w:val="69"/>
        <w:spacing w:line="240" w:lineRule="auto"/>
        <w:ind w:firstLine="440" w:firstLineChars="200"/>
        <w:rPr>
          <w:rFonts w:hAnsi="宋体"/>
          <w:color w:val="auto"/>
          <w:sz w:val="22"/>
        </w:rPr>
      </w:pPr>
      <w:r>
        <w:rPr>
          <w:rFonts w:hAnsi="宋体"/>
          <w:color w:val="auto"/>
          <w:sz w:val="22"/>
        </w:rPr>
        <w:t>工程质量</w:t>
      </w:r>
      <w:r>
        <w:rPr>
          <w:rFonts w:hAnsi="宋体"/>
          <w:color w:val="auto"/>
          <w:sz w:val="22"/>
          <w:u w:val="single"/>
        </w:rPr>
        <w:t></w:t>
      </w:r>
      <w:r>
        <w:rPr>
          <w:rFonts w:hint="eastAsia" w:hAnsi="宋体"/>
          <w:color w:val="auto"/>
          <w:sz w:val="22"/>
          <w:u w:val="single"/>
        </w:rPr>
        <w:t>合格</w:t>
      </w:r>
      <w:r>
        <w:rPr>
          <w:rFonts w:hAnsi="宋体"/>
          <w:color w:val="auto"/>
          <w:sz w:val="22"/>
          <w:u w:val="single"/>
        </w:rPr>
        <w:t></w:t>
      </w:r>
      <w:r>
        <w:rPr>
          <w:rFonts w:hAnsi="宋体"/>
          <w:color w:val="auto"/>
          <w:sz w:val="22"/>
        </w:rPr>
        <w:t>标准。</w:t>
      </w:r>
    </w:p>
    <w:p w14:paraId="26E2FBAD">
      <w:pPr>
        <w:pStyle w:val="69"/>
        <w:spacing w:line="240" w:lineRule="auto"/>
        <w:ind w:firstLine="442" w:firstLineChars="200"/>
        <w:rPr>
          <w:rFonts w:hAnsi="宋体"/>
          <w:b/>
          <w:bCs/>
          <w:color w:val="auto"/>
          <w:sz w:val="22"/>
        </w:rPr>
      </w:pPr>
      <w:bookmarkStart w:id="92" w:name="_Toc351203484"/>
      <w:r>
        <w:rPr>
          <w:rFonts w:hAnsi="宋体"/>
          <w:b/>
          <w:bCs/>
          <w:color w:val="auto"/>
          <w:sz w:val="22"/>
        </w:rPr>
        <w:t>四、签约合同价与合同价格形式</w:t>
      </w:r>
      <w:bookmarkEnd w:id="92"/>
    </w:p>
    <w:p w14:paraId="30EFE605">
      <w:pPr>
        <w:bidi w:val="0"/>
        <w:spacing w:line="240" w:lineRule="auto"/>
        <w:ind w:firstLine="420" w:firstLineChars="200"/>
        <w:rPr>
          <w:color w:val="auto"/>
        </w:rPr>
      </w:pPr>
      <w:r>
        <w:rPr>
          <w:color w:val="auto"/>
        </w:rPr>
        <w:t>1.</w:t>
      </w:r>
      <w:r>
        <w:rPr>
          <w:rFonts w:hint="eastAsia"/>
          <w:color w:val="auto"/>
        </w:rPr>
        <w:t xml:space="preserve"> </w:t>
      </w:r>
      <w:r>
        <w:rPr>
          <w:color w:val="auto"/>
        </w:rPr>
        <w:t>签约合同价为：</w:t>
      </w:r>
    </w:p>
    <w:p w14:paraId="484C6738">
      <w:pPr>
        <w:pStyle w:val="69"/>
        <w:spacing w:line="240" w:lineRule="auto"/>
        <w:ind w:firstLine="442" w:firstLineChars="200"/>
        <w:rPr>
          <w:rFonts w:hint="default" w:ascii="Times New Roman" w:hAnsi="Times New Roman" w:eastAsia="宋体" w:cs="Times New Roman"/>
          <w:b/>
          <w:bCs/>
          <w:color w:val="auto"/>
          <w:sz w:val="22"/>
          <w:u w:val="none"/>
          <w:lang w:val="en-US" w:eastAsia="zh-CN"/>
        </w:rPr>
      </w:pPr>
      <w:r>
        <w:rPr>
          <w:rFonts w:hint="eastAsia" w:ascii="Times New Roman" w:hAnsi="Times New Roman" w:eastAsia="宋体" w:cs="Times New Roman"/>
          <w:b/>
          <w:bCs/>
          <w:color w:val="auto"/>
          <w:sz w:val="22"/>
          <w:u w:val="none"/>
          <w:lang w:eastAsia="zh-CN"/>
        </w:rPr>
        <w:t>人民币（大写）</w:t>
      </w:r>
      <w:r>
        <w:rPr>
          <w:rFonts w:hint="eastAsia" w:cs="Times New Roman"/>
          <w:b/>
          <w:bCs/>
          <w:color w:val="auto"/>
          <w:sz w:val="22"/>
          <w:u w:val="single"/>
          <w:lang w:val="en-US" w:eastAsia="zh-CN"/>
        </w:rPr>
        <w:t xml:space="preserve">         </w:t>
      </w:r>
      <w:r>
        <w:rPr>
          <w:rFonts w:hint="eastAsia" w:ascii="Times New Roman" w:hAnsi="Times New Roman" w:eastAsia="宋体" w:cs="Times New Roman"/>
          <w:b/>
          <w:bCs/>
          <w:color w:val="auto"/>
          <w:sz w:val="22"/>
          <w:u w:val="none"/>
          <w:lang w:val="en-US" w:eastAsia="zh-CN"/>
        </w:rPr>
        <w:t>元。</w:t>
      </w:r>
    </w:p>
    <w:p w14:paraId="185D42A8">
      <w:pPr>
        <w:pStyle w:val="69"/>
        <w:spacing w:line="240" w:lineRule="auto"/>
        <w:ind w:firstLine="440" w:firstLineChars="200"/>
        <w:rPr>
          <w:rFonts w:hAnsi="宋体"/>
          <w:color w:val="auto"/>
          <w:sz w:val="22"/>
        </w:rPr>
      </w:pPr>
      <w:r>
        <w:rPr>
          <w:rFonts w:hAnsi="宋体"/>
          <w:color w:val="auto"/>
          <w:sz w:val="22"/>
        </w:rPr>
        <w:t>其中：</w:t>
      </w:r>
    </w:p>
    <w:p w14:paraId="2259EA3A">
      <w:pPr>
        <w:pStyle w:val="69"/>
        <w:spacing w:line="240" w:lineRule="auto"/>
        <w:ind w:firstLine="440" w:firstLineChars="200"/>
        <w:rPr>
          <w:color w:val="auto"/>
          <w:sz w:val="22"/>
          <w:highlight w:val="none"/>
        </w:rPr>
      </w:pPr>
      <w:r>
        <w:rPr>
          <w:rFonts w:hint="eastAsia" w:hAnsi="宋体"/>
          <w:color w:val="auto"/>
          <w:sz w:val="22"/>
        </w:rPr>
        <w:t>（1）</w:t>
      </w:r>
      <w:r>
        <w:rPr>
          <w:rFonts w:hAnsi="宋体"/>
          <w:color w:val="auto"/>
          <w:sz w:val="22"/>
        </w:rPr>
        <w:t>安</w:t>
      </w:r>
      <w:r>
        <w:rPr>
          <w:rFonts w:hAnsi="宋体"/>
          <w:color w:val="auto"/>
          <w:sz w:val="22"/>
          <w:highlight w:val="none"/>
        </w:rPr>
        <w:t>全文明施工费</w:t>
      </w:r>
      <w:r>
        <w:rPr>
          <w:rFonts w:hint="eastAsia" w:hAnsi="宋体"/>
          <w:color w:val="auto"/>
          <w:sz w:val="22"/>
          <w:highlight w:val="none"/>
          <w:lang w:eastAsia="zh-CN"/>
        </w:rPr>
        <w:t>（</w:t>
      </w:r>
      <w:r>
        <w:rPr>
          <w:rFonts w:hint="eastAsia" w:hAnsi="宋体"/>
          <w:color w:val="auto"/>
          <w:sz w:val="22"/>
          <w:highlight w:val="none"/>
          <w:lang w:val="en-US" w:eastAsia="zh-CN"/>
        </w:rPr>
        <w:t>必填</w:t>
      </w:r>
      <w:r>
        <w:rPr>
          <w:rFonts w:hint="eastAsia" w:hAnsi="宋体"/>
          <w:color w:val="auto"/>
          <w:sz w:val="22"/>
          <w:highlight w:val="none"/>
          <w:lang w:eastAsia="zh-CN"/>
        </w:rPr>
        <w:t>）</w:t>
      </w:r>
      <w:r>
        <w:rPr>
          <w:rFonts w:hAnsi="宋体"/>
          <w:color w:val="auto"/>
          <w:sz w:val="22"/>
          <w:highlight w:val="none"/>
        </w:rPr>
        <w:t>：</w:t>
      </w:r>
    </w:p>
    <w:p w14:paraId="2A17A483">
      <w:pPr>
        <w:pStyle w:val="69"/>
        <w:spacing w:line="240" w:lineRule="auto"/>
        <w:ind w:firstLine="442" w:firstLineChars="200"/>
        <w:rPr>
          <w:rFonts w:hAnsi="宋体"/>
          <w:b/>
          <w:bCs/>
          <w:color w:val="auto"/>
          <w:sz w:val="22"/>
        </w:rPr>
      </w:pPr>
      <w:r>
        <w:rPr>
          <w:rFonts w:hAnsi="宋体"/>
          <w:b/>
          <w:bCs/>
          <w:color w:val="auto"/>
          <w:sz w:val="22"/>
        </w:rPr>
        <w:t>人民币（大写）</w:t>
      </w:r>
      <w:r>
        <w:rPr>
          <w:rFonts w:hint="eastAsia"/>
          <w:b/>
          <w:bCs/>
          <w:color w:val="auto"/>
          <w:sz w:val="22"/>
          <w:u w:val="single"/>
          <w:lang w:val="en-US" w:eastAsia="zh-CN"/>
        </w:rPr>
        <w:t xml:space="preserve">           </w:t>
      </w:r>
      <w:r>
        <w:rPr>
          <w:rFonts w:hAnsi="宋体"/>
          <w:b/>
          <w:bCs/>
          <w:color w:val="auto"/>
          <w:sz w:val="22"/>
        </w:rPr>
        <w:t>；</w:t>
      </w:r>
    </w:p>
    <w:p w14:paraId="776D6D7B">
      <w:pPr>
        <w:pStyle w:val="69"/>
        <w:spacing w:line="240" w:lineRule="auto"/>
        <w:ind w:firstLine="440" w:firstLineChars="200"/>
        <w:rPr>
          <w:rFonts w:hAnsi="宋体"/>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规费中按规定向建安劳保费管理机构缴纳的建安劳保费</w:t>
      </w:r>
      <w:r>
        <w:rPr>
          <w:rFonts w:hAnsi="宋体"/>
          <w:color w:val="auto"/>
          <w:sz w:val="22"/>
        </w:rPr>
        <w:t>：</w:t>
      </w:r>
    </w:p>
    <w:p w14:paraId="0888E2A3">
      <w:pPr>
        <w:pStyle w:val="69"/>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785D4D54">
      <w:pPr>
        <w:pStyle w:val="69"/>
        <w:spacing w:line="240" w:lineRule="auto"/>
        <w:ind w:firstLine="440" w:firstLineChars="200"/>
        <w:rPr>
          <w:color w:val="auto"/>
          <w:sz w:val="22"/>
        </w:rPr>
      </w:pPr>
      <w:r>
        <w:rPr>
          <w:rFonts w:hAnsi="宋体"/>
          <w:color w:val="auto"/>
          <w:sz w:val="22"/>
        </w:rPr>
        <w:t>（</w:t>
      </w:r>
      <w:r>
        <w:rPr>
          <w:color w:val="auto"/>
          <w:sz w:val="22"/>
        </w:rPr>
        <w:t>3</w:t>
      </w:r>
      <w:r>
        <w:rPr>
          <w:rFonts w:hAnsi="宋体"/>
          <w:color w:val="auto"/>
          <w:sz w:val="22"/>
        </w:rPr>
        <w:t>）材料和工程设备暂估价金额：</w:t>
      </w:r>
    </w:p>
    <w:p w14:paraId="7F833D75">
      <w:pPr>
        <w:pStyle w:val="69"/>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490B928A">
      <w:pPr>
        <w:pStyle w:val="69"/>
        <w:spacing w:line="240" w:lineRule="auto"/>
        <w:ind w:firstLine="440" w:firstLineChars="200"/>
        <w:rPr>
          <w:color w:val="auto"/>
          <w:sz w:val="22"/>
        </w:rPr>
      </w:pPr>
      <w:r>
        <w:rPr>
          <w:rFonts w:hAnsi="宋体"/>
          <w:color w:val="auto"/>
          <w:sz w:val="22"/>
        </w:rPr>
        <w:t>（</w:t>
      </w:r>
      <w:r>
        <w:rPr>
          <w:color w:val="auto"/>
          <w:sz w:val="22"/>
        </w:rPr>
        <w:t>4</w:t>
      </w:r>
      <w:r>
        <w:rPr>
          <w:rFonts w:hAnsi="宋体"/>
          <w:color w:val="auto"/>
          <w:sz w:val="22"/>
        </w:rPr>
        <w:t>）专业工程暂估价金额：</w:t>
      </w:r>
    </w:p>
    <w:p w14:paraId="4C0C5069">
      <w:pPr>
        <w:pStyle w:val="69"/>
        <w:spacing w:line="240" w:lineRule="auto"/>
        <w:ind w:firstLine="442" w:firstLineChars="200"/>
        <w:rPr>
          <w:b/>
          <w:bCs/>
          <w:color w:val="auto"/>
          <w:sz w:val="22"/>
        </w:rPr>
      </w:pPr>
      <w:r>
        <w:rPr>
          <w:rFonts w:hAnsi="宋体"/>
          <w:b/>
          <w:bCs/>
          <w:color w:val="auto"/>
          <w:sz w:val="22"/>
        </w:rPr>
        <w:t>人民币（大写）；</w:t>
      </w:r>
    </w:p>
    <w:p w14:paraId="55B63772">
      <w:pPr>
        <w:pStyle w:val="69"/>
        <w:spacing w:line="240" w:lineRule="auto"/>
        <w:ind w:firstLine="440" w:firstLineChars="200"/>
        <w:rPr>
          <w:color w:val="auto"/>
          <w:sz w:val="22"/>
        </w:rPr>
      </w:pPr>
      <w:r>
        <w:rPr>
          <w:rFonts w:hAnsi="宋体"/>
          <w:color w:val="auto"/>
          <w:sz w:val="22"/>
        </w:rPr>
        <w:t>（</w:t>
      </w:r>
      <w:r>
        <w:rPr>
          <w:color w:val="auto"/>
          <w:sz w:val="22"/>
        </w:rPr>
        <w:t>5</w:t>
      </w:r>
      <w:r>
        <w:rPr>
          <w:rFonts w:hAnsi="宋体"/>
          <w:color w:val="auto"/>
          <w:sz w:val="22"/>
        </w:rPr>
        <w:t>）暂列金额：</w:t>
      </w:r>
    </w:p>
    <w:p w14:paraId="6C586DCB">
      <w:pPr>
        <w:pStyle w:val="69"/>
        <w:spacing w:line="240" w:lineRule="auto"/>
        <w:ind w:firstLine="440" w:firstLineChars="200"/>
        <w:rPr>
          <w:color w:val="auto"/>
          <w:sz w:val="22"/>
        </w:rPr>
      </w:pPr>
      <w:r>
        <w:rPr>
          <w:rFonts w:hAnsi="宋体"/>
          <w:color w:val="auto"/>
          <w:sz w:val="22"/>
        </w:rPr>
        <w:t>人民币（大写）</w:t>
      </w:r>
      <w:r>
        <w:rPr>
          <w:rFonts w:hint="eastAsia"/>
          <w:color w:val="auto"/>
          <w:sz w:val="22"/>
          <w:u w:val="single"/>
          <w:lang w:val="en-US" w:eastAsia="zh-CN"/>
        </w:rPr>
        <w:t xml:space="preserve">  / </w:t>
      </w:r>
      <w:r>
        <w:rPr>
          <w:color w:val="auto"/>
          <w:sz w:val="22"/>
          <w:u w:val="single"/>
        </w:rPr>
        <w:t xml:space="preserve"> </w:t>
      </w:r>
      <w:r>
        <w:rPr>
          <w:rFonts w:hint="eastAsia"/>
          <w:color w:val="auto"/>
          <w:sz w:val="22"/>
        </w:rPr>
        <w:t>（</w:t>
      </w:r>
      <w:r>
        <w:rPr>
          <w:color w:val="auto"/>
          <w:sz w:val="22"/>
        </w:rPr>
        <w:t>¥</w:t>
      </w:r>
      <w:r>
        <w:rPr>
          <w:rFonts w:hint="eastAsia"/>
          <w:color w:val="auto"/>
          <w:sz w:val="22"/>
          <w:u w:val="single"/>
          <w:lang w:val="en-US" w:eastAsia="zh-CN"/>
        </w:rPr>
        <w:t xml:space="preserve">  / </w:t>
      </w:r>
      <w:r>
        <w:rPr>
          <w:color w:val="auto"/>
          <w:sz w:val="22"/>
          <w:u w:val="single"/>
        </w:rPr>
        <w:t xml:space="preserve">  </w:t>
      </w:r>
      <w:r>
        <w:rPr>
          <w:rFonts w:hAnsi="宋体"/>
          <w:color w:val="auto"/>
          <w:sz w:val="22"/>
        </w:rPr>
        <w:t>元</w:t>
      </w:r>
      <w:r>
        <w:rPr>
          <w:rFonts w:hint="eastAsia"/>
          <w:color w:val="auto"/>
          <w:sz w:val="22"/>
        </w:rPr>
        <w:t>）</w:t>
      </w:r>
      <w:r>
        <w:rPr>
          <w:rFonts w:hAnsi="宋体"/>
          <w:color w:val="auto"/>
          <w:sz w:val="22"/>
        </w:rPr>
        <w:t>。</w:t>
      </w:r>
    </w:p>
    <w:p w14:paraId="264BBD2B">
      <w:pPr>
        <w:pStyle w:val="70"/>
        <w:spacing w:line="360" w:lineRule="auto"/>
        <w:ind w:firstLine="440" w:firstLineChars="200"/>
        <w:rPr>
          <w:color w:val="auto"/>
          <w:sz w:val="22"/>
        </w:rPr>
      </w:pPr>
      <w:r>
        <w:rPr>
          <w:rStyle w:val="25"/>
          <w:rFonts w:hint="eastAsia" w:ascii="Times New Roman" w:hAnsi="宋体" w:eastAsia="宋体" w:cs="宋体"/>
          <w:color w:val="auto"/>
          <w:sz w:val="22"/>
          <w:szCs w:val="22"/>
          <w:highlight w:val="none"/>
          <w:lang w:val="en-US" w:eastAsia="zh-CN"/>
        </w:rPr>
        <w:t>（6）计税方法：本工程采用</w:t>
      </w:r>
      <w:r>
        <w:rPr>
          <w:rStyle w:val="25"/>
          <w:rFonts w:hint="eastAsia" w:ascii="Times New Roman" w:hAnsi="宋体" w:cs="宋体"/>
          <w:color w:val="auto"/>
          <w:sz w:val="22"/>
          <w:szCs w:val="22"/>
          <w:highlight w:val="none"/>
          <w:u w:val="single"/>
          <w:lang w:val="en-US" w:eastAsia="zh-CN"/>
        </w:rPr>
        <w:t>一般计税</w:t>
      </w:r>
      <w:r>
        <w:rPr>
          <w:rStyle w:val="25"/>
          <w:rFonts w:hint="eastAsia" w:ascii="Times New Roman" w:hAnsi="宋体" w:eastAsia="宋体" w:cs="宋体"/>
          <w:color w:val="auto"/>
          <w:sz w:val="22"/>
          <w:szCs w:val="22"/>
          <w:highlight w:val="none"/>
          <w:u w:val="single"/>
          <w:lang w:val="en-US" w:eastAsia="zh-CN"/>
        </w:rPr>
        <w:t>法依法纳税</w:t>
      </w:r>
      <w:r>
        <w:rPr>
          <w:rStyle w:val="25"/>
          <w:rFonts w:hint="eastAsia" w:ascii="Times New Roman" w:hAnsi="宋体" w:eastAsia="宋体" w:cs="宋体"/>
          <w:color w:val="auto"/>
          <w:sz w:val="22"/>
          <w:szCs w:val="22"/>
          <w:highlight w:val="none"/>
          <w:lang w:val="en-US" w:eastAsia="zh-CN"/>
        </w:rPr>
        <w:t>。</w:t>
      </w:r>
      <w:r>
        <w:rPr>
          <w:rStyle w:val="25"/>
          <w:rFonts w:hint="eastAsia" w:ascii="Times New Roman" w:hAnsi="宋体" w:eastAsia="宋体" w:cs="宋体"/>
          <w:color w:val="auto"/>
          <w:sz w:val="22"/>
          <w:szCs w:val="22"/>
          <w:highlight w:val="none"/>
        </w:rPr>
        <w:t>增值税率</w:t>
      </w:r>
      <w:r>
        <w:rPr>
          <w:rStyle w:val="25"/>
          <w:rFonts w:hint="eastAsia" w:ascii="Times New Roman" w:hAnsi="宋体" w:cs="宋体"/>
          <w:color w:val="auto"/>
          <w:sz w:val="22"/>
          <w:szCs w:val="22"/>
          <w:highlight w:val="none"/>
          <w:lang w:eastAsia="zh-CN"/>
        </w:rPr>
        <w:t>：</w:t>
      </w:r>
      <w:r>
        <w:rPr>
          <w:rStyle w:val="25"/>
          <w:rFonts w:hint="eastAsia" w:ascii="Times New Roman" w:hAnsi="宋体" w:cs="宋体"/>
          <w:color w:val="auto"/>
          <w:sz w:val="22"/>
          <w:szCs w:val="22"/>
          <w:highlight w:val="none"/>
          <w:lang w:val="en-US" w:eastAsia="zh-CN"/>
        </w:rPr>
        <w:t xml:space="preserve"> </w:t>
      </w:r>
      <w:r>
        <w:rPr>
          <w:rStyle w:val="25"/>
          <w:rFonts w:hint="eastAsia" w:ascii="Times New Roman" w:hAnsi="宋体" w:eastAsia="宋体" w:cs="宋体"/>
          <w:color w:val="auto"/>
          <w:sz w:val="22"/>
          <w:szCs w:val="22"/>
          <w:highlight w:val="none"/>
          <w:u w:val="single"/>
          <w:lang w:val="en-US" w:eastAsia="zh-CN"/>
        </w:rPr>
        <w:t>%</w:t>
      </w:r>
      <w:r>
        <w:rPr>
          <w:rStyle w:val="25"/>
          <w:rFonts w:hint="eastAsia" w:ascii="Times New Roman" w:hAnsi="宋体" w:eastAsia="宋体" w:cs="宋体"/>
          <w:color w:val="auto"/>
          <w:sz w:val="22"/>
          <w:szCs w:val="22"/>
          <w:highlight w:val="none"/>
          <w:lang w:val="en-US" w:eastAsia="zh-CN"/>
        </w:rPr>
        <w:t xml:space="preserve"> 。</w:t>
      </w:r>
    </w:p>
    <w:p w14:paraId="653AC74C">
      <w:pPr>
        <w:pStyle w:val="69"/>
        <w:spacing w:line="240" w:lineRule="auto"/>
        <w:ind w:firstLine="440" w:firstLineChars="200"/>
        <w:rPr>
          <w:rFonts w:hAnsi="宋体"/>
          <w:color w:val="auto"/>
          <w:sz w:val="22"/>
        </w:rPr>
      </w:pPr>
      <w:r>
        <w:rPr>
          <w:color w:val="auto"/>
          <w:sz w:val="22"/>
        </w:rPr>
        <w:t>2.</w:t>
      </w:r>
      <w:r>
        <w:rPr>
          <w:rFonts w:hint="eastAsia"/>
          <w:color w:val="auto"/>
          <w:sz w:val="22"/>
        </w:rPr>
        <w:t xml:space="preserve"> </w:t>
      </w:r>
      <w:r>
        <w:rPr>
          <w:rFonts w:hAnsi="宋体"/>
          <w:color w:val="auto"/>
          <w:sz w:val="22"/>
        </w:rPr>
        <w:t>合同价格形式：</w:t>
      </w:r>
      <w:r>
        <w:rPr>
          <w:rFonts w:hint="eastAsia" w:hAnsi="宋体"/>
          <w:color w:val="auto"/>
          <w:sz w:val="22"/>
          <w:u w:val="single"/>
          <w:lang w:eastAsia="zh-CN"/>
        </w:rPr>
        <w:t>单价合同</w:t>
      </w:r>
      <w:r>
        <w:rPr>
          <w:rFonts w:hAnsi="宋体"/>
          <w:color w:val="auto"/>
          <w:sz w:val="22"/>
        </w:rPr>
        <w:t>。</w:t>
      </w:r>
    </w:p>
    <w:p w14:paraId="31746233">
      <w:pPr>
        <w:pStyle w:val="69"/>
        <w:spacing w:line="240" w:lineRule="auto"/>
        <w:ind w:firstLine="442" w:firstLineChars="200"/>
        <w:rPr>
          <w:b/>
          <w:bCs/>
          <w:color w:val="auto"/>
          <w:sz w:val="22"/>
        </w:rPr>
      </w:pPr>
      <w:bookmarkStart w:id="93" w:name="_Toc351203485"/>
      <w:r>
        <w:rPr>
          <w:rFonts w:hAnsi="宋体"/>
          <w:b/>
          <w:bCs/>
          <w:color w:val="auto"/>
          <w:sz w:val="22"/>
        </w:rPr>
        <w:t>五、</w:t>
      </w:r>
      <w:bookmarkEnd w:id="93"/>
      <w:r>
        <w:rPr>
          <w:rFonts w:hAnsi="宋体"/>
          <w:b/>
          <w:bCs/>
          <w:color w:val="auto"/>
          <w:sz w:val="22"/>
        </w:rPr>
        <w:t>项目经理</w:t>
      </w:r>
    </w:p>
    <w:p w14:paraId="4441EAC2">
      <w:pPr>
        <w:pStyle w:val="69"/>
        <w:spacing w:line="240" w:lineRule="auto"/>
        <w:ind w:firstLine="440" w:firstLineChars="200"/>
        <w:rPr>
          <w:rFonts w:hAnsi="宋体"/>
          <w:color w:val="auto"/>
          <w:sz w:val="22"/>
        </w:rPr>
      </w:pPr>
      <w:r>
        <w:rPr>
          <w:rFonts w:hAnsi="宋体"/>
          <w:color w:val="auto"/>
          <w:sz w:val="22"/>
        </w:rPr>
        <w:t>承包人项目经理：</w:t>
      </w:r>
      <w:r>
        <w:rPr>
          <w:rFonts w:hint="eastAsia" w:hAnsi="宋体"/>
          <w:color w:val="auto"/>
          <w:sz w:val="22"/>
          <w:u w:val="single"/>
          <w:lang w:val="en-US" w:eastAsia="zh-CN"/>
        </w:rPr>
        <w:t xml:space="preserve">       </w:t>
      </w:r>
      <w:r>
        <w:rPr>
          <w:rFonts w:hAnsi="宋体"/>
          <w:color w:val="auto"/>
          <w:sz w:val="22"/>
        </w:rPr>
        <w:t>。</w:t>
      </w:r>
    </w:p>
    <w:p w14:paraId="2F789955">
      <w:pPr>
        <w:pStyle w:val="69"/>
        <w:spacing w:line="240" w:lineRule="auto"/>
        <w:ind w:firstLine="442" w:firstLineChars="200"/>
        <w:rPr>
          <w:b/>
          <w:bCs/>
          <w:color w:val="auto"/>
          <w:sz w:val="22"/>
        </w:rPr>
      </w:pPr>
      <w:bookmarkStart w:id="94" w:name="_Toc351203486"/>
      <w:r>
        <w:rPr>
          <w:rFonts w:hAnsi="宋体"/>
          <w:b/>
          <w:bCs/>
          <w:color w:val="auto"/>
          <w:sz w:val="22"/>
        </w:rPr>
        <w:t>六、合同文件构成</w:t>
      </w:r>
      <w:bookmarkEnd w:id="94"/>
    </w:p>
    <w:p w14:paraId="7728E580">
      <w:pPr>
        <w:pStyle w:val="69"/>
        <w:spacing w:line="240" w:lineRule="auto"/>
        <w:ind w:firstLine="440" w:firstLineChars="200"/>
        <w:rPr>
          <w:bCs/>
          <w:color w:val="auto"/>
          <w:sz w:val="22"/>
        </w:rPr>
      </w:pPr>
      <w:r>
        <w:rPr>
          <w:rFonts w:hint="eastAsia" w:hAnsi="宋体"/>
          <w:bCs/>
          <w:color w:val="auto"/>
          <w:sz w:val="22"/>
          <w:lang w:eastAsia="zh-CN"/>
        </w:rPr>
        <w:t>本合同</w:t>
      </w:r>
      <w:r>
        <w:rPr>
          <w:rFonts w:hAnsi="宋体"/>
          <w:bCs/>
          <w:color w:val="auto"/>
          <w:sz w:val="22"/>
        </w:rPr>
        <w:t>书与下列文件一起构成合同文件：</w:t>
      </w:r>
    </w:p>
    <w:p w14:paraId="4E178919">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1</w:t>
      </w:r>
      <w:r>
        <w:rPr>
          <w:rFonts w:hAnsi="宋体"/>
          <w:color w:val="auto"/>
          <w:sz w:val="22"/>
        </w:rPr>
        <w:t>）</w:t>
      </w:r>
      <w:r>
        <w:rPr>
          <w:rFonts w:hint="eastAsia" w:hAnsi="宋体"/>
          <w:color w:val="auto"/>
          <w:sz w:val="22"/>
        </w:rPr>
        <w:t>成交</w:t>
      </w:r>
      <w:r>
        <w:rPr>
          <w:rFonts w:hint="eastAsia" w:hAnsi="宋体"/>
          <w:color w:val="auto"/>
          <w:sz w:val="22"/>
          <w:lang w:eastAsia="zh-CN"/>
        </w:rPr>
        <w:t>通知</w:t>
      </w:r>
      <w:r>
        <w:rPr>
          <w:rFonts w:hAnsi="宋体"/>
          <w:color w:val="auto"/>
          <w:sz w:val="22"/>
        </w:rPr>
        <w:t>书；</w:t>
      </w:r>
    </w:p>
    <w:p w14:paraId="4C2EE771">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2</w:t>
      </w:r>
      <w:r>
        <w:rPr>
          <w:rFonts w:hAnsi="宋体"/>
          <w:color w:val="auto"/>
          <w:sz w:val="22"/>
        </w:rPr>
        <w:t>）</w:t>
      </w:r>
      <w:r>
        <w:rPr>
          <w:rFonts w:hint="eastAsia" w:hAnsi="宋体"/>
          <w:color w:val="auto"/>
          <w:sz w:val="22"/>
        </w:rPr>
        <w:t>磋商</w:t>
      </w:r>
      <w:r>
        <w:rPr>
          <w:rFonts w:hAnsi="宋体"/>
          <w:color w:val="auto"/>
          <w:sz w:val="22"/>
        </w:rPr>
        <w:t>函及其附录；</w:t>
      </w:r>
      <w:r>
        <w:rPr>
          <w:color w:val="auto"/>
          <w:sz w:val="22"/>
        </w:rPr>
        <w:t xml:space="preserve"> </w:t>
      </w:r>
    </w:p>
    <w:p w14:paraId="2D82BFE2">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3</w:t>
      </w:r>
      <w:r>
        <w:rPr>
          <w:rFonts w:hAnsi="宋体"/>
          <w:color w:val="auto"/>
          <w:sz w:val="22"/>
        </w:rPr>
        <w:t>）专用合同条款及其附件；</w:t>
      </w:r>
    </w:p>
    <w:p w14:paraId="21591E2F">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4</w:t>
      </w:r>
      <w:r>
        <w:rPr>
          <w:rFonts w:hAnsi="宋体"/>
          <w:color w:val="auto"/>
          <w:sz w:val="22"/>
        </w:rPr>
        <w:t>）通用合同条款；</w:t>
      </w:r>
    </w:p>
    <w:p w14:paraId="16DA7632">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5</w:t>
      </w:r>
      <w:r>
        <w:rPr>
          <w:rFonts w:hAnsi="宋体"/>
          <w:color w:val="auto"/>
          <w:sz w:val="22"/>
        </w:rPr>
        <w:t>）技术标准和要求；</w:t>
      </w:r>
    </w:p>
    <w:p w14:paraId="76E5DF85">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6</w:t>
      </w:r>
      <w:r>
        <w:rPr>
          <w:rFonts w:hAnsi="宋体"/>
          <w:color w:val="auto"/>
          <w:sz w:val="22"/>
        </w:rPr>
        <w:t>）已标价工程量清单或预算书；</w:t>
      </w:r>
      <w:r>
        <w:rPr>
          <w:color w:val="auto"/>
          <w:sz w:val="22"/>
        </w:rPr>
        <w:t xml:space="preserve"> </w:t>
      </w:r>
    </w:p>
    <w:p w14:paraId="2CE362E5">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7</w:t>
      </w:r>
      <w:r>
        <w:rPr>
          <w:rFonts w:hAnsi="宋体"/>
          <w:color w:val="auto"/>
          <w:sz w:val="22"/>
        </w:rPr>
        <w:t>）图纸；</w:t>
      </w:r>
    </w:p>
    <w:p w14:paraId="732A18BA">
      <w:pPr>
        <w:pStyle w:val="69"/>
        <w:autoSpaceDE w:val="0"/>
        <w:autoSpaceDN w:val="0"/>
        <w:adjustRightInd w:val="0"/>
        <w:spacing w:line="240" w:lineRule="auto"/>
        <w:ind w:firstLine="440" w:firstLineChars="200"/>
        <w:jc w:val="left"/>
        <w:rPr>
          <w:color w:val="auto"/>
          <w:sz w:val="22"/>
        </w:rPr>
      </w:pPr>
      <w:r>
        <w:rPr>
          <w:rFonts w:hAnsi="宋体"/>
          <w:color w:val="auto"/>
          <w:sz w:val="22"/>
        </w:rPr>
        <w:t>（</w:t>
      </w:r>
      <w:r>
        <w:rPr>
          <w:color w:val="auto"/>
          <w:sz w:val="22"/>
        </w:rPr>
        <w:t>8</w:t>
      </w:r>
      <w:r>
        <w:rPr>
          <w:rFonts w:hAnsi="宋体"/>
          <w:color w:val="auto"/>
          <w:sz w:val="22"/>
        </w:rPr>
        <w:t>）其他合同文件。</w:t>
      </w:r>
    </w:p>
    <w:p w14:paraId="3D562F4E">
      <w:pPr>
        <w:pStyle w:val="69"/>
        <w:autoSpaceDE w:val="0"/>
        <w:autoSpaceDN w:val="0"/>
        <w:adjustRightInd w:val="0"/>
        <w:spacing w:line="240" w:lineRule="auto"/>
        <w:ind w:firstLine="440" w:firstLineChars="200"/>
        <w:jc w:val="left"/>
        <w:rPr>
          <w:color w:val="auto"/>
          <w:sz w:val="22"/>
        </w:rPr>
      </w:pPr>
      <w:r>
        <w:rPr>
          <w:rFonts w:hAnsi="宋体"/>
          <w:color w:val="auto"/>
          <w:sz w:val="22"/>
        </w:rPr>
        <w:t>在合同订立及履行过程中形成的与合同有关的文件均构成合同文件组成部分。</w:t>
      </w:r>
    </w:p>
    <w:p w14:paraId="7185E28B">
      <w:pPr>
        <w:pStyle w:val="69"/>
        <w:autoSpaceDE w:val="0"/>
        <w:autoSpaceDN w:val="0"/>
        <w:adjustRightInd w:val="0"/>
        <w:spacing w:line="240" w:lineRule="auto"/>
        <w:ind w:firstLine="440" w:firstLineChars="200"/>
        <w:jc w:val="left"/>
        <w:rPr>
          <w:rFonts w:hAnsi="宋体"/>
          <w:color w:val="auto"/>
          <w:sz w:val="22"/>
        </w:rPr>
      </w:pPr>
      <w:r>
        <w:rPr>
          <w:rFonts w:hAnsi="宋体"/>
          <w:color w:val="auto"/>
          <w:sz w:val="22"/>
        </w:rPr>
        <w:t>上述各项合同文件包括合同当事人就该项合同文件所作出的补充和修改，属于同一类内容的文件，应以最新签署的为准。专用合同条款及其附件须经合同当事人签字或盖章。</w:t>
      </w:r>
    </w:p>
    <w:p w14:paraId="2799BF8C">
      <w:pPr>
        <w:pStyle w:val="69"/>
        <w:autoSpaceDE w:val="0"/>
        <w:autoSpaceDN w:val="0"/>
        <w:adjustRightInd w:val="0"/>
        <w:spacing w:line="240" w:lineRule="auto"/>
        <w:ind w:firstLine="442" w:firstLineChars="200"/>
        <w:jc w:val="left"/>
        <w:rPr>
          <w:b/>
          <w:bCs/>
          <w:color w:val="auto"/>
          <w:sz w:val="22"/>
        </w:rPr>
      </w:pPr>
      <w:bookmarkStart w:id="95" w:name="_Toc351203487"/>
      <w:r>
        <w:rPr>
          <w:rFonts w:hAnsi="宋体"/>
          <w:b/>
          <w:bCs/>
          <w:color w:val="auto"/>
          <w:sz w:val="22"/>
        </w:rPr>
        <w:t>七、承诺</w:t>
      </w:r>
      <w:bookmarkEnd w:id="95"/>
    </w:p>
    <w:p w14:paraId="0C8B8937">
      <w:pPr>
        <w:pStyle w:val="69"/>
        <w:spacing w:line="240" w:lineRule="auto"/>
        <w:ind w:firstLine="440" w:firstLineChars="200"/>
        <w:rPr>
          <w:bCs/>
          <w:color w:val="auto"/>
          <w:sz w:val="22"/>
        </w:rPr>
      </w:pPr>
      <w:r>
        <w:rPr>
          <w:bCs/>
          <w:color w:val="auto"/>
          <w:sz w:val="22"/>
        </w:rPr>
        <w:t>1.</w:t>
      </w:r>
      <w:r>
        <w:rPr>
          <w:rFonts w:hint="eastAsia"/>
          <w:bCs/>
          <w:color w:val="auto"/>
          <w:sz w:val="22"/>
        </w:rPr>
        <w:t xml:space="preserve"> </w:t>
      </w:r>
      <w:r>
        <w:rPr>
          <w:rFonts w:hAnsi="宋体"/>
          <w:bCs/>
          <w:color w:val="auto"/>
          <w:sz w:val="22"/>
        </w:rPr>
        <w:t>发包人承诺按照法律规定履行项目审批手续、筹集工程建设资金并按照合同约定的期限和方式支付合同价款。</w:t>
      </w:r>
    </w:p>
    <w:p w14:paraId="1CEB7C00">
      <w:pPr>
        <w:pStyle w:val="69"/>
        <w:spacing w:line="240" w:lineRule="auto"/>
        <w:ind w:firstLine="440" w:firstLineChars="200"/>
        <w:rPr>
          <w:bCs/>
          <w:color w:val="auto"/>
          <w:sz w:val="22"/>
        </w:rPr>
      </w:pPr>
      <w:r>
        <w:rPr>
          <w:bCs/>
          <w:color w:val="auto"/>
          <w:sz w:val="22"/>
        </w:rPr>
        <w:t>2.</w:t>
      </w:r>
      <w:r>
        <w:rPr>
          <w:rFonts w:hint="eastAsia"/>
          <w:bCs/>
          <w:color w:val="auto"/>
          <w:sz w:val="22"/>
        </w:rPr>
        <w:t xml:space="preserve"> </w:t>
      </w:r>
      <w:r>
        <w:rPr>
          <w:rFonts w:hAnsi="宋体"/>
          <w:bCs/>
          <w:color w:val="auto"/>
          <w:sz w:val="22"/>
        </w:rPr>
        <w:t>承包人承诺按照法律规定及合同约定组织完成工程施工，确保工程质量和安全，不进行转包及违法分包，并在缺陷责任期及保修期内承担相应的工程维修责任。</w:t>
      </w:r>
    </w:p>
    <w:p w14:paraId="78AE6196">
      <w:pPr>
        <w:pStyle w:val="69"/>
        <w:spacing w:line="240" w:lineRule="auto"/>
        <w:ind w:firstLine="440" w:firstLineChars="200"/>
        <w:rPr>
          <w:rFonts w:hAnsi="宋体"/>
          <w:bCs/>
          <w:color w:val="auto"/>
          <w:sz w:val="22"/>
        </w:rPr>
      </w:pPr>
      <w:r>
        <w:rPr>
          <w:bCs/>
          <w:color w:val="auto"/>
          <w:sz w:val="22"/>
        </w:rPr>
        <w:t>3.</w:t>
      </w:r>
      <w:r>
        <w:rPr>
          <w:rFonts w:hint="eastAsia"/>
          <w:bCs/>
          <w:color w:val="auto"/>
          <w:sz w:val="22"/>
        </w:rPr>
        <w:t xml:space="preserve"> </w:t>
      </w:r>
      <w:r>
        <w:rPr>
          <w:rFonts w:hAnsi="宋体"/>
          <w:bCs/>
          <w:color w:val="auto"/>
          <w:sz w:val="22"/>
        </w:rPr>
        <w:t>发包人和承包人通过招投标形式签订合同的，双方理解并承诺不再就同一工程另行签订与合同实质性内容相背离的协议。</w:t>
      </w:r>
      <w:bookmarkStart w:id="96" w:name="_Toc351203488"/>
    </w:p>
    <w:p w14:paraId="3FC83AE0">
      <w:pPr>
        <w:pStyle w:val="69"/>
        <w:spacing w:line="240" w:lineRule="auto"/>
        <w:ind w:firstLine="442" w:firstLineChars="200"/>
        <w:rPr>
          <w:b/>
          <w:bCs/>
          <w:color w:val="auto"/>
          <w:sz w:val="22"/>
        </w:rPr>
      </w:pPr>
      <w:r>
        <w:rPr>
          <w:rFonts w:hAnsi="宋体"/>
          <w:b/>
          <w:bCs/>
          <w:color w:val="auto"/>
          <w:sz w:val="22"/>
        </w:rPr>
        <w:t>八、词语含义</w:t>
      </w:r>
      <w:bookmarkEnd w:id="96"/>
    </w:p>
    <w:p w14:paraId="0CA56DB9">
      <w:pPr>
        <w:pStyle w:val="69"/>
        <w:spacing w:line="240" w:lineRule="auto"/>
        <w:ind w:firstLine="440" w:firstLineChars="200"/>
        <w:rPr>
          <w:rFonts w:hAnsi="宋体"/>
          <w:bCs/>
          <w:color w:val="auto"/>
          <w:sz w:val="22"/>
        </w:rPr>
      </w:pPr>
      <w:r>
        <w:rPr>
          <w:rFonts w:hint="eastAsia" w:hAnsi="宋体"/>
          <w:bCs/>
          <w:color w:val="auto"/>
          <w:sz w:val="22"/>
          <w:lang w:eastAsia="zh-CN"/>
        </w:rPr>
        <w:t>本合同</w:t>
      </w:r>
      <w:r>
        <w:rPr>
          <w:rFonts w:hAnsi="宋体"/>
          <w:bCs/>
          <w:color w:val="auto"/>
          <w:sz w:val="22"/>
        </w:rPr>
        <w:t>书中词语含义与第二部分通用合同条款中赋予的含义相同。</w:t>
      </w:r>
    </w:p>
    <w:p w14:paraId="7FC23327">
      <w:pPr>
        <w:pStyle w:val="69"/>
        <w:spacing w:line="240" w:lineRule="auto"/>
        <w:ind w:firstLine="442" w:firstLineChars="200"/>
        <w:rPr>
          <w:b/>
          <w:bCs/>
          <w:color w:val="auto"/>
          <w:sz w:val="22"/>
        </w:rPr>
      </w:pPr>
      <w:bookmarkStart w:id="97" w:name="_Toc351203489"/>
      <w:r>
        <w:rPr>
          <w:rFonts w:hAnsi="宋体"/>
          <w:b/>
          <w:bCs/>
          <w:color w:val="auto"/>
          <w:sz w:val="22"/>
        </w:rPr>
        <w:t>九、签订时间</w:t>
      </w:r>
      <w:bookmarkEnd w:id="97"/>
    </w:p>
    <w:p w14:paraId="0F180F25">
      <w:pPr>
        <w:pStyle w:val="69"/>
        <w:spacing w:line="240" w:lineRule="auto"/>
        <w:ind w:firstLine="440" w:firstLineChars="200"/>
        <w:rPr>
          <w:rFonts w:hAnsi="宋体"/>
          <w:bCs/>
          <w:color w:val="auto"/>
          <w:sz w:val="22"/>
        </w:rPr>
      </w:pPr>
      <w:r>
        <w:rPr>
          <w:rFonts w:hAnsi="宋体"/>
          <w:bCs/>
          <w:color w:val="auto"/>
          <w:sz w:val="22"/>
        </w:rPr>
        <w:t>本合同于</w:t>
      </w:r>
      <w:r>
        <w:rPr>
          <w:rFonts w:hint="eastAsia"/>
          <w:bCs/>
          <w:color w:val="auto"/>
          <w:sz w:val="22"/>
          <w:u w:val="single"/>
          <w:lang w:val="en-US" w:eastAsia="zh-CN"/>
        </w:rPr>
        <w:t xml:space="preserve">      </w:t>
      </w:r>
      <w:r>
        <w:rPr>
          <w:rFonts w:hAnsi="宋体"/>
          <w:bCs/>
          <w:color w:val="auto"/>
          <w:sz w:val="22"/>
        </w:rPr>
        <w:t>年</w:t>
      </w:r>
      <w:r>
        <w:rPr>
          <w:bCs/>
          <w:color w:val="auto"/>
          <w:sz w:val="22"/>
          <w:u w:val="single"/>
        </w:rPr>
        <w:t xml:space="preserve"> </w:t>
      </w:r>
      <w:r>
        <w:rPr>
          <w:rFonts w:hint="eastAsia"/>
          <w:bCs/>
          <w:color w:val="auto"/>
          <w:sz w:val="22"/>
          <w:u w:val="single"/>
          <w:lang w:val="en-US" w:eastAsia="zh-CN"/>
        </w:rPr>
        <w:t xml:space="preserve">    </w:t>
      </w:r>
      <w:r>
        <w:rPr>
          <w:bCs/>
          <w:color w:val="auto"/>
          <w:sz w:val="22"/>
          <w:u w:val="single"/>
        </w:rPr>
        <w:t xml:space="preserve"> </w:t>
      </w:r>
      <w:r>
        <w:rPr>
          <w:rFonts w:hAnsi="宋体"/>
          <w:bCs/>
          <w:color w:val="auto"/>
          <w:sz w:val="22"/>
        </w:rPr>
        <w:t>月</w:t>
      </w:r>
      <w:r>
        <w:rPr>
          <w:rFonts w:hint="eastAsia"/>
          <w:bCs/>
          <w:color w:val="auto"/>
          <w:sz w:val="22"/>
          <w:u w:val="single"/>
          <w:lang w:val="en-US" w:eastAsia="zh-CN"/>
        </w:rPr>
        <w:t xml:space="preserve">      </w:t>
      </w:r>
      <w:r>
        <w:rPr>
          <w:rFonts w:hAnsi="宋体"/>
          <w:bCs/>
          <w:color w:val="auto"/>
          <w:sz w:val="22"/>
        </w:rPr>
        <w:t>日签订。</w:t>
      </w:r>
    </w:p>
    <w:p w14:paraId="3F06EAFB">
      <w:pPr>
        <w:pStyle w:val="69"/>
        <w:spacing w:line="240" w:lineRule="auto"/>
        <w:ind w:firstLine="442" w:firstLineChars="200"/>
        <w:rPr>
          <w:b/>
          <w:bCs/>
          <w:color w:val="auto"/>
          <w:sz w:val="22"/>
        </w:rPr>
      </w:pPr>
      <w:bookmarkStart w:id="98" w:name="_Toc351203490"/>
      <w:r>
        <w:rPr>
          <w:rFonts w:hAnsi="宋体"/>
          <w:b/>
          <w:bCs/>
          <w:color w:val="auto"/>
          <w:sz w:val="22"/>
        </w:rPr>
        <w:t>十、签订地点</w:t>
      </w:r>
      <w:bookmarkEnd w:id="98"/>
    </w:p>
    <w:p w14:paraId="7B13D66C">
      <w:pPr>
        <w:pStyle w:val="69"/>
        <w:spacing w:line="240" w:lineRule="auto"/>
        <w:ind w:firstLine="440" w:firstLineChars="200"/>
        <w:rPr>
          <w:rFonts w:hAnsi="宋体"/>
          <w:bCs/>
          <w:color w:val="auto"/>
          <w:sz w:val="22"/>
          <w:u w:val="none"/>
        </w:rPr>
      </w:pPr>
      <w:r>
        <w:rPr>
          <w:rFonts w:hAnsi="宋体"/>
          <w:bCs/>
          <w:color w:val="auto"/>
          <w:sz w:val="22"/>
          <w:u w:val="none"/>
        </w:rPr>
        <w:t>本合同在</w:t>
      </w:r>
      <w:r>
        <w:rPr>
          <w:rFonts w:hint="eastAsia" w:ascii="Times New Roman" w:hAnsi="Times New Roman" w:eastAsia="宋体" w:cs="Times New Roman"/>
          <w:bCs/>
          <w:color w:val="auto"/>
          <w:sz w:val="22"/>
          <w:u w:val="single"/>
          <w:lang w:val="en-US" w:eastAsia="zh-CN"/>
        </w:rPr>
        <w:t xml:space="preserve"> 港口区 </w:t>
      </w:r>
      <w:r>
        <w:rPr>
          <w:rFonts w:hAnsi="宋体"/>
          <w:bCs/>
          <w:color w:val="auto"/>
          <w:sz w:val="22"/>
          <w:u w:val="none"/>
        </w:rPr>
        <w:t>签订。</w:t>
      </w:r>
    </w:p>
    <w:p w14:paraId="2435B951">
      <w:pPr>
        <w:pStyle w:val="69"/>
        <w:spacing w:line="240" w:lineRule="auto"/>
        <w:ind w:firstLine="442" w:firstLineChars="200"/>
        <w:rPr>
          <w:b/>
          <w:bCs/>
          <w:color w:val="auto"/>
          <w:sz w:val="22"/>
        </w:rPr>
      </w:pPr>
      <w:bookmarkStart w:id="99" w:name="_Toc351203491"/>
      <w:r>
        <w:rPr>
          <w:rFonts w:hAnsi="宋体"/>
          <w:b/>
          <w:bCs/>
          <w:color w:val="auto"/>
          <w:sz w:val="22"/>
        </w:rPr>
        <w:t>十一、补充协议</w:t>
      </w:r>
      <w:bookmarkEnd w:id="99"/>
    </w:p>
    <w:p w14:paraId="45A9C85A">
      <w:pPr>
        <w:pStyle w:val="69"/>
        <w:spacing w:line="240" w:lineRule="auto"/>
        <w:ind w:firstLine="440" w:firstLineChars="200"/>
        <w:rPr>
          <w:rFonts w:hAnsi="宋体"/>
          <w:bCs/>
          <w:color w:val="auto"/>
          <w:sz w:val="22"/>
        </w:rPr>
      </w:pPr>
      <w:r>
        <w:rPr>
          <w:rFonts w:hAnsi="宋体"/>
          <w:bCs/>
          <w:color w:val="auto"/>
          <w:sz w:val="22"/>
        </w:rPr>
        <w:t>合同未尽事宜，合同当事人另行签订补充协议，补充协议是合同的组成部分。</w:t>
      </w:r>
    </w:p>
    <w:p w14:paraId="63E41D82">
      <w:pPr>
        <w:pStyle w:val="69"/>
        <w:spacing w:line="240" w:lineRule="auto"/>
        <w:ind w:firstLine="442" w:firstLineChars="200"/>
        <w:rPr>
          <w:b/>
          <w:bCs/>
          <w:color w:val="auto"/>
          <w:sz w:val="22"/>
        </w:rPr>
      </w:pPr>
      <w:bookmarkStart w:id="100" w:name="_Toc351203492"/>
      <w:r>
        <w:rPr>
          <w:rFonts w:hAnsi="宋体"/>
          <w:b/>
          <w:bCs/>
          <w:color w:val="auto"/>
          <w:sz w:val="22"/>
        </w:rPr>
        <w:t>十二、合同生效</w:t>
      </w:r>
      <w:bookmarkEnd w:id="100"/>
    </w:p>
    <w:p w14:paraId="30BC8764">
      <w:pPr>
        <w:pStyle w:val="69"/>
        <w:spacing w:line="240" w:lineRule="auto"/>
        <w:ind w:firstLine="440" w:firstLineChars="200"/>
        <w:rPr>
          <w:rFonts w:hAnsi="宋体"/>
          <w:bCs/>
          <w:color w:val="auto"/>
          <w:sz w:val="22"/>
        </w:rPr>
      </w:pPr>
      <w:r>
        <w:rPr>
          <w:rFonts w:hAnsi="宋体"/>
          <w:bCs/>
          <w:color w:val="auto"/>
          <w:sz w:val="22"/>
        </w:rPr>
        <w:t>本合同自</w:t>
      </w:r>
      <w:r>
        <w:rPr>
          <w:bCs/>
          <w:color w:val="auto"/>
          <w:sz w:val="22"/>
          <w:u w:val="single"/>
        </w:rPr>
        <w:t xml:space="preserve"> </w:t>
      </w:r>
      <w:r>
        <w:rPr>
          <w:rFonts w:hint="eastAsia"/>
          <w:bCs/>
          <w:color w:val="auto"/>
          <w:sz w:val="22"/>
          <w:u w:val="single"/>
          <w:lang w:eastAsia="zh-CN"/>
        </w:rPr>
        <w:t>双方法定代表人签字或签章并加盖单位公章或合同专用章后</w:t>
      </w:r>
      <w:r>
        <w:rPr>
          <w:bCs/>
          <w:color w:val="auto"/>
          <w:sz w:val="22"/>
          <w:u w:val="single"/>
        </w:rPr>
        <w:t xml:space="preserve"> </w:t>
      </w:r>
      <w:r>
        <w:rPr>
          <w:rFonts w:hAnsi="宋体"/>
          <w:bCs/>
          <w:color w:val="auto"/>
          <w:sz w:val="22"/>
        </w:rPr>
        <w:t>生效。</w:t>
      </w:r>
    </w:p>
    <w:p w14:paraId="4E10A4C9">
      <w:pPr>
        <w:pStyle w:val="69"/>
        <w:spacing w:line="240" w:lineRule="auto"/>
        <w:ind w:firstLine="442" w:firstLineChars="200"/>
        <w:rPr>
          <w:b/>
          <w:bCs/>
          <w:color w:val="auto"/>
          <w:sz w:val="22"/>
        </w:rPr>
      </w:pPr>
      <w:bookmarkStart w:id="101" w:name="_Toc351203493"/>
      <w:r>
        <w:rPr>
          <w:rFonts w:hAnsi="宋体"/>
          <w:b/>
          <w:bCs/>
          <w:color w:val="auto"/>
          <w:sz w:val="22"/>
        </w:rPr>
        <w:t>十三、合同份数</w:t>
      </w:r>
      <w:bookmarkEnd w:id="101"/>
    </w:p>
    <w:p w14:paraId="0F604E6B">
      <w:pPr>
        <w:pStyle w:val="69"/>
        <w:spacing w:line="240" w:lineRule="auto"/>
        <w:ind w:firstLine="440" w:firstLineChars="200"/>
        <w:rPr>
          <w:bCs/>
          <w:color w:val="auto"/>
          <w:sz w:val="22"/>
        </w:rPr>
      </w:pPr>
      <w:r>
        <w:rPr>
          <w:rFonts w:hAnsi="宋体"/>
          <w:bCs/>
          <w:color w:val="auto"/>
          <w:sz w:val="22"/>
        </w:rPr>
        <w:t>本合同一式</w:t>
      </w:r>
      <w:r>
        <w:rPr>
          <w:bCs/>
          <w:color w:val="auto"/>
          <w:sz w:val="22"/>
          <w:u w:val="single"/>
        </w:rPr>
        <w:t xml:space="preserve"> </w:t>
      </w:r>
      <w:r>
        <w:rPr>
          <w:rFonts w:hint="eastAsia"/>
          <w:bCs/>
          <w:color w:val="auto"/>
          <w:sz w:val="22"/>
          <w:u w:val="single"/>
          <w:lang w:val="en-US" w:eastAsia="zh-CN"/>
        </w:rPr>
        <w:t>陆</w:t>
      </w:r>
      <w:r>
        <w:rPr>
          <w:bCs/>
          <w:color w:val="auto"/>
          <w:sz w:val="22"/>
          <w:u w:val="single"/>
        </w:rPr>
        <w:t xml:space="preserve"> </w:t>
      </w:r>
      <w:r>
        <w:rPr>
          <w:rFonts w:hAnsi="宋体"/>
          <w:bCs/>
          <w:color w:val="auto"/>
          <w:sz w:val="22"/>
        </w:rPr>
        <w:t>份，均具有同等法律效力，发包人执</w:t>
      </w:r>
      <w:r>
        <w:rPr>
          <w:bCs/>
          <w:color w:val="auto"/>
          <w:sz w:val="22"/>
          <w:u w:val="single"/>
        </w:rPr>
        <w:t xml:space="preserve">  </w:t>
      </w:r>
      <w:r>
        <w:rPr>
          <w:rFonts w:hint="eastAsia"/>
          <w:bCs/>
          <w:color w:val="auto"/>
          <w:sz w:val="22"/>
          <w:u w:val="single"/>
          <w:lang w:val="en-US" w:eastAsia="zh-CN"/>
        </w:rPr>
        <w:t>肆</w:t>
      </w:r>
      <w:r>
        <w:rPr>
          <w:bCs/>
          <w:color w:val="auto"/>
          <w:sz w:val="22"/>
          <w:u w:val="single"/>
        </w:rPr>
        <w:t xml:space="preserve">  </w:t>
      </w:r>
      <w:r>
        <w:rPr>
          <w:rFonts w:hAnsi="宋体"/>
          <w:bCs/>
          <w:color w:val="auto"/>
          <w:sz w:val="22"/>
        </w:rPr>
        <w:t>份，承包人执</w:t>
      </w:r>
      <w:r>
        <w:rPr>
          <w:bCs/>
          <w:color w:val="auto"/>
          <w:sz w:val="22"/>
          <w:u w:val="single"/>
        </w:rPr>
        <w:t xml:space="preserve">  </w:t>
      </w:r>
      <w:r>
        <w:rPr>
          <w:rFonts w:hint="eastAsia"/>
          <w:bCs/>
          <w:color w:val="auto"/>
          <w:sz w:val="22"/>
          <w:u w:val="single"/>
          <w:lang w:val="en-US" w:eastAsia="zh-CN"/>
        </w:rPr>
        <w:t>贰</w:t>
      </w:r>
      <w:r>
        <w:rPr>
          <w:bCs/>
          <w:color w:val="auto"/>
          <w:sz w:val="22"/>
          <w:u w:val="single"/>
        </w:rPr>
        <w:t xml:space="preserve">  </w:t>
      </w:r>
      <w:r>
        <w:rPr>
          <w:rFonts w:hAnsi="宋体"/>
          <w:bCs/>
          <w:color w:val="auto"/>
          <w:sz w:val="22"/>
        </w:rPr>
        <w:t>份。</w:t>
      </w:r>
    </w:p>
    <w:p w14:paraId="7D336733">
      <w:pPr>
        <w:pStyle w:val="69"/>
        <w:spacing w:line="240" w:lineRule="auto"/>
        <w:rPr>
          <w:bCs/>
          <w:color w:val="auto"/>
          <w:sz w:val="22"/>
        </w:rPr>
      </w:pPr>
    </w:p>
    <w:p w14:paraId="3621CE95">
      <w:pPr>
        <w:pStyle w:val="69"/>
        <w:spacing w:line="240" w:lineRule="auto"/>
        <w:ind w:firstLine="442" w:firstLineChars="200"/>
        <w:rPr>
          <w:rFonts w:hint="default"/>
          <w:b/>
          <w:bCs/>
          <w:color w:val="auto"/>
          <w:sz w:val="22"/>
          <w:lang w:val="en-US"/>
        </w:rPr>
      </w:pPr>
      <w:r>
        <w:rPr>
          <w:rFonts w:hAnsi="宋体"/>
          <w:b/>
          <w:bCs/>
          <w:color w:val="auto"/>
          <w:sz w:val="22"/>
        </w:rPr>
        <w:t>发包人：</w:t>
      </w:r>
      <w:r>
        <w:rPr>
          <w:rFonts w:hint="eastAsia" w:hAnsi="宋体"/>
          <w:b/>
          <w:bCs/>
          <w:color w:val="auto"/>
          <w:sz w:val="22"/>
          <w:u w:val="single"/>
        </w:rPr>
        <w:t xml:space="preserve">防城港市港口区教育局 </w:t>
      </w:r>
      <w:r>
        <w:rPr>
          <w:b/>
          <w:bCs/>
          <w:color w:val="auto"/>
          <w:sz w:val="22"/>
        </w:rPr>
        <w:t xml:space="preserve">    </w:t>
      </w:r>
      <w:r>
        <w:rPr>
          <w:rFonts w:hint="eastAsia"/>
          <w:b/>
          <w:bCs/>
          <w:color w:val="auto"/>
          <w:sz w:val="22"/>
          <w:lang w:val="en-US" w:eastAsia="zh-CN"/>
        </w:rPr>
        <w:t xml:space="preserve">     </w:t>
      </w:r>
      <w:r>
        <w:rPr>
          <w:b/>
          <w:bCs/>
          <w:color w:val="auto"/>
          <w:sz w:val="22"/>
        </w:rPr>
        <w:t xml:space="preserve">  </w:t>
      </w:r>
      <w:r>
        <w:rPr>
          <w:rFonts w:hint="eastAsia"/>
          <w:b/>
          <w:bCs/>
          <w:color w:val="auto"/>
          <w:sz w:val="22"/>
          <w:lang w:val="en-US" w:eastAsia="zh-CN"/>
        </w:rPr>
        <w:t xml:space="preserve">      </w:t>
      </w:r>
      <w:r>
        <w:rPr>
          <w:rFonts w:hAnsi="宋体"/>
          <w:b/>
          <w:bCs/>
          <w:color w:val="auto"/>
          <w:sz w:val="22"/>
        </w:rPr>
        <w:t>承包人：</w:t>
      </w:r>
      <w:r>
        <w:rPr>
          <w:rFonts w:hint="eastAsia" w:hAnsi="宋体"/>
          <w:b/>
          <w:bCs/>
          <w:color w:val="auto"/>
          <w:sz w:val="22"/>
          <w:lang w:val="en-US" w:eastAsia="zh-CN"/>
        </w:rPr>
        <w:t xml:space="preserve"> </w:t>
      </w:r>
    </w:p>
    <w:p w14:paraId="2D3D07CB">
      <w:pPr>
        <w:pStyle w:val="69"/>
        <w:spacing w:line="240" w:lineRule="auto"/>
        <w:ind w:firstLine="442" w:firstLineChars="200"/>
        <w:rPr>
          <w:b/>
          <w:bCs/>
          <w:color w:val="auto"/>
          <w:sz w:val="22"/>
          <w:u w:val="single"/>
        </w:rPr>
      </w:pP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r>
        <w:rPr>
          <w:b/>
          <w:bCs/>
          <w:color w:val="auto"/>
          <w:sz w:val="22"/>
        </w:rPr>
        <w:t xml:space="preserve"> </w:t>
      </w:r>
      <w:r>
        <w:rPr>
          <w:rFonts w:hint="eastAsia"/>
          <w:b/>
          <w:bCs/>
          <w:color w:val="auto"/>
          <w:sz w:val="22"/>
          <w:lang w:val="en-US" w:eastAsia="zh-CN"/>
        </w:rPr>
        <w:t xml:space="preserve">                            </w:t>
      </w:r>
      <w:r>
        <w:rPr>
          <w:rFonts w:hint="eastAsia"/>
          <w:b/>
          <w:bCs/>
          <w:color w:val="auto"/>
          <w:sz w:val="22"/>
        </w:rPr>
        <w:t>（</w:t>
      </w:r>
      <w:r>
        <w:rPr>
          <w:rFonts w:hint="eastAsia"/>
          <w:b/>
          <w:bCs/>
          <w:color w:val="auto"/>
          <w:sz w:val="22"/>
          <w:lang w:eastAsia="zh-CN"/>
        </w:rPr>
        <w:t>公章或合同专用章</w:t>
      </w:r>
      <w:r>
        <w:rPr>
          <w:rFonts w:hint="eastAsia"/>
          <w:b/>
          <w:bCs/>
          <w:color w:val="auto"/>
          <w:sz w:val="22"/>
        </w:rPr>
        <w:t>）</w:t>
      </w:r>
    </w:p>
    <w:p w14:paraId="0913A10D">
      <w:pPr>
        <w:pStyle w:val="69"/>
        <w:spacing w:line="240" w:lineRule="auto"/>
        <w:ind w:firstLine="442" w:firstLineChars="200"/>
        <w:rPr>
          <w:b/>
          <w:bCs/>
          <w:color w:val="auto"/>
          <w:sz w:val="22"/>
          <w:u w:val="none"/>
        </w:rPr>
      </w:pP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r>
        <w:rPr>
          <w:b/>
          <w:bCs/>
          <w:color w:val="auto"/>
          <w:sz w:val="22"/>
        </w:rPr>
        <w:t xml:space="preserve">                    </w:t>
      </w:r>
      <w:r>
        <w:rPr>
          <w:rFonts w:hAnsi="宋体"/>
          <w:b/>
          <w:bCs/>
          <w:color w:val="auto"/>
          <w:sz w:val="22"/>
        </w:rPr>
        <w:t>法定代表人</w:t>
      </w:r>
      <w:r>
        <w:rPr>
          <w:rFonts w:hAnsi="宋体"/>
          <w:b/>
          <w:bCs/>
          <w:color w:val="auto"/>
          <w:sz w:val="22"/>
          <w:u w:val="none"/>
        </w:rPr>
        <w:t>（</w:t>
      </w:r>
      <w:r>
        <w:rPr>
          <w:rFonts w:hint="eastAsia"/>
          <w:b/>
          <w:bCs/>
          <w:color w:val="auto"/>
          <w:sz w:val="22"/>
          <w:u w:val="none"/>
          <w:lang w:eastAsia="zh-CN"/>
        </w:rPr>
        <w:t>签字或签章</w:t>
      </w:r>
      <w:r>
        <w:rPr>
          <w:rFonts w:hAnsi="宋体"/>
          <w:b/>
          <w:bCs/>
          <w:color w:val="auto"/>
          <w:sz w:val="22"/>
          <w:u w:val="none"/>
        </w:rPr>
        <w:t>）</w:t>
      </w:r>
      <w:r>
        <w:rPr>
          <w:rFonts w:hAnsi="宋体"/>
          <w:b/>
          <w:bCs/>
          <w:color w:val="auto"/>
          <w:sz w:val="22"/>
        </w:rPr>
        <w:t>：</w:t>
      </w:r>
    </w:p>
    <w:p w14:paraId="485AED20">
      <w:pPr>
        <w:pStyle w:val="69"/>
        <w:spacing w:line="240" w:lineRule="auto"/>
        <w:rPr>
          <w:color w:val="auto"/>
          <w:sz w:val="22"/>
          <w:u w:val="none"/>
        </w:rPr>
      </w:pPr>
    </w:p>
    <w:p w14:paraId="05E1345E">
      <w:pPr>
        <w:pStyle w:val="69"/>
        <w:spacing w:line="240" w:lineRule="auto"/>
        <w:rPr>
          <w:color w:val="auto"/>
          <w:sz w:val="22"/>
          <w:u w:val="none"/>
        </w:rPr>
      </w:pPr>
    </w:p>
    <w:p w14:paraId="3F9E5C36">
      <w:pPr>
        <w:tabs>
          <w:tab w:val="left" w:pos="4410"/>
        </w:tabs>
        <w:spacing w:line="400" w:lineRule="exact"/>
        <w:ind w:firstLine="420" w:firstLineChars="200"/>
        <w:rPr>
          <w:rFonts w:ascii="宋体" w:hAnsi="宋体"/>
          <w:color w:val="auto"/>
          <w:szCs w:val="21"/>
          <w:highlight w:val="none"/>
        </w:rPr>
      </w:pPr>
      <w:r>
        <w:rPr>
          <w:rFonts w:ascii="宋体" w:hAnsi="宋体"/>
          <w:color w:val="auto"/>
          <w:szCs w:val="21"/>
          <w:highlight w:val="none"/>
        </w:rPr>
        <w:t>组织机构代码：</w:t>
      </w:r>
      <w:r>
        <w:rPr>
          <w:rFonts w:ascii="宋体" w:hAnsi="宋体"/>
          <w:color w:val="auto"/>
          <w:szCs w:val="21"/>
          <w:highlight w:val="none"/>
          <w:u w:val="single"/>
        </w:rPr>
        <w:t xml:space="preserve">       </w:t>
      </w:r>
      <w:r>
        <w:rPr>
          <w:rFonts w:ascii="宋体" w:hAnsi="宋体"/>
          <w:color w:val="auto"/>
          <w:szCs w:val="21"/>
          <w:highlight w:val="none"/>
        </w:rPr>
        <w:t xml:space="preserve">                  组织机构代码：</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4E4EC3B3">
      <w:pPr>
        <w:spacing w:line="400" w:lineRule="exact"/>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地  址：</w:t>
      </w:r>
      <w:r>
        <w:rPr>
          <w:rFonts w:ascii="宋体" w:hAnsi="宋体"/>
          <w:color w:val="auto"/>
          <w:szCs w:val="21"/>
          <w:highlight w:val="none"/>
          <w:u w:val="single"/>
        </w:rPr>
        <w:t xml:space="preserve">     </w:t>
      </w:r>
      <w:r>
        <w:rPr>
          <w:rFonts w:ascii="宋体" w:hAnsi="宋体"/>
          <w:color w:val="auto"/>
          <w:szCs w:val="21"/>
          <w:highlight w:val="none"/>
        </w:rPr>
        <w:t xml:space="preserve">                  地  址：</w:t>
      </w:r>
      <w:r>
        <w:rPr>
          <w:rFonts w:hint="eastAsia" w:ascii="宋体" w:hAnsi="宋体"/>
          <w:color w:val="auto"/>
          <w:szCs w:val="21"/>
          <w:highlight w:val="none"/>
          <w:u w:val="single"/>
          <w:lang w:val="en-US" w:eastAsia="zh-CN"/>
        </w:rPr>
        <w:t xml:space="preserve">    （公司地址，必填）        </w:t>
      </w:r>
    </w:p>
    <w:p w14:paraId="080EA8D7">
      <w:pPr>
        <w:spacing w:line="400" w:lineRule="exact"/>
        <w:ind w:firstLine="420" w:firstLineChars="2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     </w:t>
      </w:r>
      <w:r>
        <w:rPr>
          <w:rFonts w:ascii="宋体" w:hAnsi="宋体"/>
          <w:color w:val="auto"/>
          <w:szCs w:val="21"/>
          <w:highlight w:val="none"/>
        </w:rPr>
        <w:t xml:space="preserve">                 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4737058">
      <w:pPr>
        <w:spacing w:line="400" w:lineRule="exact"/>
        <w:ind w:firstLine="420" w:firstLineChars="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      </w:t>
      </w:r>
      <w:r>
        <w:rPr>
          <w:rFonts w:ascii="宋体" w:hAnsi="宋体"/>
          <w:color w:val="auto"/>
          <w:szCs w:val="21"/>
          <w:highlight w:val="none"/>
        </w:rPr>
        <w:t xml:space="preserve">                  法定代表人：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39C7546">
      <w:pPr>
        <w:spacing w:line="400" w:lineRule="exact"/>
        <w:ind w:firstLine="420" w:firstLineChars="200"/>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ascii="宋体" w:hAnsi="宋体"/>
          <w:color w:val="auto"/>
          <w:szCs w:val="21"/>
          <w:highlight w:val="none"/>
        </w:rPr>
        <w:t xml:space="preserve">                  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（固定电话，必填）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A0A948E">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电子信箱</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（公司邮箱，必填）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CDC36D">
      <w:pPr>
        <w:spacing w:line="40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开户银行：</w:t>
      </w:r>
      <w:r>
        <w:rPr>
          <w:rFonts w:hint="eastAsia" w:ascii="宋体" w:hAnsi="宋体"/>
          <w:color w:val="auto"/>
          <w:szCs w:val="21"/>
          <w:highlight w:val="none"/>
          <w:u w:val="single"/>
          <w:lang w:val="en-US" w:eastAsia="zh-CN"/>
        </w:rPr>
        <w:t xml:space="preserve">                            </w:t>
      </w:r>
    </w:p>
    <w:p w14:paraId="3611610F">
      <w:pPr>
        <w:spacing w:line="400" w:lineRule="exact"/>
        <w:ind w:firstLine="420" w:firstLineChars="200"/>
        <w:rPr>
          <w:rFonts w:hint="eastAsia"/>
          <w:color w:val="auto"/>
          <w:sz w:val="20"/>
          <w:highlight w:val="white"/>
        </w:rPr>
      </w:pPr>
      <w:r>
        <w:rPr>
          <w:rFonts w:ascii="宋体" w:hAnsi="宋体"/>
          <w:color w:val="auto"/>
          <w:szCs w:val="21"/>
          <w:highlight w:val="none"/>
        </w:rPr>
        <w:t>账  号：</w:t>
      </w:r>
      <w:r>
        <w:rPr>
          <w:rFonts w:ascii="宋体" w:hAnsi="宋体"/>
          <w:color w:val="auto"/>
          <w:szCs w:val="21"/>
          <w:highlight w:val="none"/>
          <w:u w:val="single"/>
        </w:rPr>
        <w:t xml:space="preserve">       </w:t>
      </w:r>
      <w:r>
        <w:rPr>
          <w:rFonts w:ascii="宋体" w:hAnsi="宋体"/>
          <w:color w:val="auto"/>
          <w:szCs w:val="21"/>
          <w:highlight w:val="none"/>
        </w:rPr>
        <w:t xml:space="preserve">                  账  号：</w:t>
      </w:r>
      <w:r>
        <w:rPr>
          <w:rFonts w:hint="eastAsia" w:ascii="宋体" w:hAnsi="宋体"/>
          <w:color w:val="auto"/>
          <w:szCs w:val="21"/>
          <w:highlight w:val="none"/>
          <w:u w:val="single"/>
          <w:lang w:val="en-US" w:eastAsia="zh-CN"/>
        </w:rPr>
        <w:t xml:space="preserve">                              </w:t>
      </w:r>
      <w:r>
        <w:rPr>
          <w:rFonts w:hint="eastAsia"/>
          <w:color w:val="auto"/>
          <w:sz w:val="20"/>
          <w:highlight w:val="white"/>
        </w:rPr>
        <w:t xml:space="preserve"> </w:t>
      </w:r>
      <w:bookmarkEnd w:id="88"/>
    </w:p>
    <w:p w14:paraId="117831AD">
      <w:pPr>
        <w:widowControl/>
        <w:spacing w:line="240" w:lineRule="auto"/>
        <w:jc w:val="left"/>
        <w:rPr>
          <w:color w:val="auto"/>
          <w:u w:val="single"/>
        </w:rPr>
      </w:pPr>
    </w:p>
    <w:p w14:paraId="432D8C00">
      <w:pPr>
        <w:widowControl/>
        <w:spacing w:line="240" w:lineRule="auto"/>
        <w:jc w:val="left"/>
        <w:rPr>
          <w:color w:val="auto"/>
          <w:u w:val="single"/>
        </w:rPr>
      </w:pPr>
    </w:p>
    <w:p w14:paraId="56C1EB5B">
      <w:pPr>
        <w:pStyle w:val="2"/>
        <w:keepNext w:val="0"/>
        <w:ind w:firstLine="602" w:firstLineChars="200"/>
        <w:jc w:val="center"/>
        <w:rPr>
          <w:rFonts w:hint="eastAsia" w:hAnsi="宋体" w:cs="黑体"/>
          <w:color w:val="auto"/>
          <w:sz w:val="30"/>
          <w:szCs w:val="30"/>
          <w:highlight w:val="white"/>
        </w:rPr>
      </w:pPr>
      <w:bookmarkStart w:id="102" w:name="_Toc256000100"/>
      <w:bookmarkStart w:id="103" w:name="_Toc9850520"/>
      <w:bookmarkStart w:id="104" w:name="_Toc389065256"/>
      <w:bookmarkStart w:id="105" w:name="_Toc407135192"/>
      <w:bookmarkStart w:id="106" w:name="_Toc373478338"/>
      <w:bookmarkStart w:id="107" w:name="_Toc351203632"/>
      <w:bookmarkStart w:id="108" w:name="_Toc373227691"/>
      <w:r>
        <w:rPr>
          <w:rFonts w:hint="eastAsia" w:hAnsi="宋体" w:cs="黑体"/>
          <w:color w:val="auto"/>
          <w:sz w:val="30"/>
          <w:szCs w:val="30"/>
          <w:highlight w:val="white"/>
        </w:rPr>
        <w:t>第二部分 通用合同条款</w:t>
      </w:r>
      <w:bookmarkEnd w:id="102"/>
      <w:bookmarkEnd w:id="103"/>
      <w:bookmarkEnd w:id="104"/>
      <w:bookmarkEnd w:id="105"/>
    </w:p>
    <w:p w14:paraId="49392557">
      <w:pPr>
        <w:spacing w:line="360" w:lineRule="auto"/>
        <w:ind w:firstLine="420" w:firstLineChars="200"/>
        <w:rPr>
          <w:rFonts w:hAnsi="宋体"/>
          <w:color w:val="auto"/>
          <w:kern w:val="0"/>
        </w:rPr>
      </w:pPr>
    </w:p>
    <w:p w14:paraId="1E8E2304">
      <w:pPr>
        <w:spacing w:line="360" w:lineRule="auto"/>
        <w:ind w:firstLine="422" w:firstLineChars="200"/>
        <w:rPr>
          <w:rFonts w:hAnsi="宋体"/>
          <w:color w:val="auto"/>
          <w:kern w:val="0"/>
        </w:rPr>
      </w:pPr>
      <w:r>
        <w:rPr>
          <w:rFonts w:hint="eastAsia" w:hAnsi="宋体" w:cs="宋体"/>
          <w:b/>
          <w:bCs/>
          <w:color w:val="auto"/>
          <w:kern w:val="0"/>
          <w:highlight w:val="white"/>
        </w:rPr>
        <w:t>采用《建设工程施工合同（示范文本）》（</w:t>
      </w:r>
      <w:r>
        <w:rPr>
          <w:rFonts w:hAnsi="宋体"/>
          <w:b/>
          <w:bCs/>
          <w:color w:val="auto"/>
          <w:kern w:val="0"/>
          <w:highlight w:val="white"/>
        </w:rPr>
        <w:t>GF</w:t>
      </w:r>
      <w:r>
        <w:rPr>
          <w:rFonts w:hAnsi="宋体" w:cs="宋体"/>
          <w:b/>
          <w:bCs/>
          <w:color w:val="auto"/>
          <w:kern w:val="0"/>
          <w:highlight w:val="white"/>
        </w:rPr>
        <w:t>—</w:t>
      </w:r>
      <w:r>
        <w:rPr>
          <w:rFonts w:hAnsi="宋体"/>
          <w:b/>
          <w:bCs/>
          <w:color w:val="auto"/>
          <w:kern w:val="0"/>
          <w:highlight w:val="white"/>
        </w:rPr>
        <w:t>201</w:t>
      </w:r>
      <w:r>
        <w:rPr>
          <w:rFonts w:hint="eastAsia" w:hAnsi="宋体"/>
          <w:b/>
          <w:bCs/>
          <w:color w:val="auto"/>
          <w:kern w:val="0"/>
          <w:highlight w:val="white"/>
        </w:rPr>
        <w:t>7</w:t>
      </w:r>
      <w:r>
        <w:rPr>
          <w:rFonts w:hAnsi="宋体" w:cs="宋体"/>
          <w:b/>
          <w:bCs/>
          <w:color w:val="auto"/>
          <w:kern w:val="0"/>
          <w:highlight w:val="white"/>
        </w:rPr>
        <w:t>—</w:t>
      </w:r>
      <w:r>
        <w:rPr>
          <w:rFonts w:hAnsi="宋体"/>
          <w:b/>
          <w:bCs/>
          <w:color w:val="auto"/>
          <w:kern w:val="0"/>
          <w:highlight w:val="white"/>
        </w:rPr>
        <w:t>0201</w:t>
      </w:r>
      <w:r>
        <w:rPr>
          <w:rFonts w:hint="eastAsia" w:hAnsi="宋体" w:cs="宋体"/>
          <w:b/>
          <w:bCs/>
          <w:color w:val="auto"/>
          <w:kern w:val="0"/>
          <w:highlight w:val="white"/>
        </w:rPr>
        <w:t>）。</w:t>
      </w:r>
    </w:p>
    <w:p w14:paraId="0855AB6F">
      <w:pPr>
        <w:spacing w:line="360" w:lineRule="auto"/>
        <w:ind w:firstLine="420" w:firstLineChars="200"/>
        <w:rPr>
          <w:rFonts w:hAnsi="宋体"/>
          <w:color w:val="auto"/>
          <w:kern w:val="0"/>
        </w:rPr>
      </w:pPr>
    </w:p>
    <w:p w14:paraId="5E40EA1D">
      <w:pPr>
        <w:spacing w:line="360" w:lineRule="auto"/>
        <w:ind w:firstLine="422" w:firstLineChars="200"/>
        <w:rPr>
          <w:rFonts w:hAnsi="宋体"/>
          <w:b/>
          <w:bCs/>
          <w:color w:val="auto"/>
          <w:kern w:val="0"/>
        </w:rPr>
      </w:pPr>
    </w:p>
    <w:p w14:paraId="185EF129">
      <w:pPr>
        <w:pStyle w:val="2"/>
        <w:keepNext w:val="0"/>
        <w:ind w:firstLine="602" w:firstLineChars="200"/>
        <w:jc w:val="center"/>
        <w:rPr>
          <w:rFonts w:hAnsi="宋体"/>
          <w:color w:val="auto"/>
          <w:sz w:val="30"/>
          <w:szCs w:val="30"/>
        </w:rPr>
      </w:pPr>
      <w:bookmarkStart w:id="109" w:name="_Toc256000101"/>
      <w:bookmarkStart w:id="110" w:name="_Toc9850521"/>
      <w:bookmarkStart w:id="111" w:name="_Toc407135193"/>
      <w:bookmarkStart w:id="112" w:name="_Toc389065257"/>
      <w:r>
        <w:rPr>
          <w:rFonts w:hint="eastAsia" w:hAnsi="宋体" w:cs="黑体"/>
          <w:color w:val="auto"/>
          <w:sz w:val="30"/>
          <w:szCs w:val="30"/>
          <w:highlight w:val="white"/>
        </w:rPr>
        <w:t>第三部分</w:t>
      </w:r>
      <w:r>
        <w:rPr>
          <w:color w:val="auto"/>
          <w:sz w:val="30"/>
          <w:szCs w:val="30"/>
          <w:highlight w:val="white"/>
        </w:rPr>
        <w:t xml:space="preserve"> </w:t>
      </w:r>
      <w:r>
        <w:rPr>
          <w:rFonts w:hint="eastAsia" w:hAnsi="宋体" w:cs="黑体"/>
          <w:color w:val="auto"/>
          <w:sz w:val="30"/>
          <w:szCs w:val="30"/>
          <w:highlight w:val="white"/>
        </w:rPr>
        <w:t>专用合同条款</w:t>
      </w:r>
      <w:bookmarkEnd w:id="106"/>
      <w:bookmarkEnd w:id="107"/>
      <w:bookmarkEnd w:id="108"/>
      <w:bookmarkEnd w:id="109"/>
      <w:bookmarkEnd w:id="110"/>
      <w:bookmarkEnd w:id="111"/>
      <w:bookmarkEnd w:id="112"/>
    </w:p>
    <w:p w14:paraId="29363317">
      <w:pPr>
        <w:spacing w:line="360" w:lineRule="auto"/>
        <w:ind w:firstLine="422" w:firstLineChars="200"/>
        <w:jc w:val="center"/>
        <w:rPr>
          <w:rFonts w:hAnsi="宋体"/>
          <w:b/>
          <w:bCs/>
          <w:color w:val="auto"/>
          <w:kern w:val="0"/>
        </w:rPr>
      </w:pPr>
      <w:r>
        <w:rPr>
          <w:rFonts w:hint="eastAsia" w:hAnsi="宋体" w:cs="宋体"/>
          <w:b/>
          <w:bCs/>
          <w:color w:val="auto"/>
          <w:kern w:val="0"/>
          <w:highlight w:val="white"/>
        </w:rPr>
        <w:t>（注：专用合同条款每一条均应填写完整）</w:t>
      </w:r>
    </w:p>
    <w:p w14:paraId="17D9740A">
      <w:pPr>
        <w:pStyle w:val="71"/>
        <w:spacing w:before="0" w:after="0" w:line="360" w:lineRule="exact"/>
        <w:ind w:firstLine="442" w:firstLineChars="200"/>
        <w:rPr>
          <w:rFonts w:hint="eastAsia" w:ascii="宋体" w:hAnsi="宋体" w:cs="宋体"/>
          <w:color w:val="auto"/>
          <w:sz w:val="22"/>
          <w:szCs w:val="22"/>
        </w:rPr>
      </w:pPr>
      <w:bookmarkStart w:id="113" w:name="_Toc395382494"/>
      <w:bookmarkStart w:id="114" w:name="_Toc12975882"/>
      <w:bookmarkStart w:id="115" w:name="_Toc373478339"/>
      <w:bookmarkStart w:id="116" w:name="_Toc373227692"/>
      <w:bookmarkStart w:id="117" w:name="_Toc533432717"/>
      <w:bookmarkStart w:id="118" w:name="_Toc389065258"/>
      <w:bookmarkStart w:id="119" w:name="_Toc351203633"/>
      <w:bookmarkStart w:id="120" w:name="_Toc351203652"/>
      <w:r>
        <w:rPr>
          <w:rFonts w:hint="eastAsia" w:ascii="宋体" w:hAnsi="宋体" w:cs="宋体"/>
          <w:color w:val="auto"/>
          <w:sz w:val="22"/>
          <w:szCs w:val="22"/>
        </w:rPr>
        <w:t>1</w:t>
      </w:r>
      <w:bookmarkStart w:id="121" w:name="_Toc296891196"/>
      <w:bookmarkStart w:id="122" w:name="_Toc296944495"/>
      <w:bookmarkStart w:id="123" w:name="_Toc292559866"/>
      <w:bookmarkStart w:id="124" w:name="_Toc296346657"/>
      <w:bookmarkStart w:id="125" w:name="_Toc296347155"/>
      <w:bookmarkStart w:id="126" w:name="_Toc297120456"/>
      <w:bookmarkStart w:id="127" w:name="_Toc296503156"/>
      <w:bookmarkStart w:id="128" w:name="_Toc296890984"/>
      <w:bookmarkStart w:id="129" w:name="_Toc297048342"/>
      <w:bookmarkStart w:id="130" w:name="_Toc292559361"/>
      <w:r>
        <w:rPr>
          <w:rFonts w:hint="eastAsia" w:ascii="宋体" w:hAnsi="宋体" w:cs="宋体"/>
          <w:color w:val="auto"/>
          <w:sz w:val="22"/>
          <w:szCs w:val="22"/>
        </w:rPr>
        <w:t>. 一般约定</w:t>
      </w:r>
      <w:bookmarkEnd w:id="113"/>
      <w:bookmarkEnd w:id="114"/>
      <w:bookmarkEnd w:id="115"/>
      <w:bookmarkEnd w:id="116"/>
      <w:bookmarkEnd w:id="117"/>
      <w:bookmarkEnd w:id="118"/>
      <w:bookmarkEnd w:id="119"/>
    </w:p>
    <w:bookmarkEnd w:id="121"/>
    <w:bookmarkEnd w:id="122"/>
    <w:bookmarkEnd w:id="123"/>
    <w:bookmarkEnd w:id="124"/>
    <w:bookmarkEnd w:id="125"/>
    <w:bookmarkEnd w:id="126"/>
    <w:bookmarkEnd w:id="127"/>
    <w:bookmarkEnd w:id="128"/>
    <w:bookmarkEnd w:id="129"/>
    <w:bookmarkEnd w:id="130"/>
    <w:p w14:paraId="2F58CCAA">
      <w:pPr>
        <w:pStyle w:val="40"/>
        <w:spacing w:line="360" w:lineRule="exact"/>
        <w:ind w:firstLine="442" w:firstLineChars="200"/>
        <w:rPr>
          <w:rFonts w:hint="eastAsia" w:ascii="宋体" w:hAnsi="宋体" w:cs="宋体"/>
          <w:color w:val="auto"/>
          <w:sz w:val="22"/>
          <w:szCs w:val="22"/>
        </w:rPr>
      </w:pPr>
      <w:bookmarkStart w:id="131" w:name="_Toc389065259"/>
      <w:bookmarkStart w:id="132" w:name="_Toc373478340"/>
      <w:bookmarkStart w:id="133" w:name="_Toc12975883"/>
      <w:bookmarkStart w:id="134" w:name="_Toc533432718"/>
      <w:bookmarkStart w:id="135" w:name="_Toc395382495"/>
      <w:bookmarkStart w:id="136" w:name="_Toc373227693"/>
      <w:r>
        <w:rPr>
          <w:rFonts w:hint="eastAsia" w:ascii="宋体" w:hAnsi="宋体" w:cs="宋体"/>
          <w:color w:val="auto"/>
          <w:sz w:val="22"/>
          <w:szCs w:val="22"/>
        </w:rPr>
        <w:t>1.1 词语定义</w:t>
      </w:r>
      <w:bookmarkEnd w:id="131"/>
      <w:bookmarkEnd w:id="132"/>
      <w:bookmarkEnd w:id="133"/>
      <w:bookmarkEnd w:id="134"/>
      <w:bookmarkEnd w:id="135"/>
      <w:bookmarkEnd w:id="136"/>
    </w:p>
    <w:p w14:paraId="0CDDC8B8">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 合同</w:t>
      </w:r>
    </w:p>
    <w:p w14:paraId="2AE7B001">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1.1.1.10 其他合同文件包括：</w:t>
      </w:r>
      <w:r>
        <w:rPr>
          <w:rFonts w:hint="eastAsia" w:ascii="宋体" w:hAnsi="宋体" w:cs="宋体"/>
          <w:color w:val="auto"/>
          <w:kern w:val="0"/>
          <w:sz w:val="22"/>
          <w:u w:val="single"/>
        </w:rPr>
        <w:t>响应文件及其附件，磋商文件（含补充通知和答疑），农民工工资保证金缴纳证明；履行合同过程中双方法定代表人书面确认的对合同内容有实质性影响的补充协议。任何形式的会议纪要均不能作为合同的组成部分，也不能作为修改合同的依据。发包人及监理人作出的口头承诺均不属于合同的组成部分</w:t>
      </w:r>
      <w:r>
        <w:rPr>
          <w:rFonts w:hint="eastAsia" w:ascii="宋体" w:hAnsi="宋体" w:cs="宋体"/>
          <w:color w:val="auto"/>
          <w:sz w:val="22"/>
          <w:u w:val="none"/>
        </w:rPr>
        <w:t>。</w:t>
      </w:r>
    </w:p>
    <w:p w14:paraId="1391B9E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1.1.2 合同当事人及其他相关方</w:t>
      </w:r>
    </w:p>
    <w:p w14:paraId="28BCA21C">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1.1.2.4 监理人：</w:t>
      </w:r>
    </w:p>
    <w:p w14:paraId="7F769BD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待定              </w:t>
      </w:r>
      <w:r>
        <w:rPr>
          <w:rFonts w:hint="eastAsia" w:ascii="宋体" w:hAnsi="宋体" w:cs="宋体"/>
          <w:color w:val="auto"/>
          <w:sz w:val="22"/>
        </w:rPr>
        <w:t>；</w:t>
      </w:r>
    </w:p>
    <w:p w14:paraId="116E24D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0DCB264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0A1951F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w:t>
      </w:r>
      <w:r>
        <w:rPr>
          <w:rFonts w:hint="eastAsia" w:ascii="宋体" w:hAnsi="宋体" w:cs="宋体"/>
          <w:color w:val="auto"/>
          <w:sz w:val="22"/>
        </w:rPr>
        <w:t>；</w:t>
      </w:r>
    </w:p>
    <w:p w14:paraId="694D97DC">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43DD9CC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1.1.2.5 设计人：</w:t>
      </w:r>
    </w:p>
    <w:p w14:paraId="7E53613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名    称：</w:t>
      </w:r>
      <w:r>
        <w:rPr>
          <w:rFonts w:hint="eastAsia" w:ascii="宋体" w:hAnsi="宋体" w:cs="宋体"/>
          <w:color w:val="auto"/>
          <w:sz w:val="22"/>
          <w:u w:val="single"/>
        </w:rPr>
        <w:t xml:space="preserve">                 </w:t>
      </w:r>
      <w:r>
        <w:rPr>
          <w:rFonts w:hint="eastAsia" w:ascii="宋体" w:hAnsi="宋体" w:cs="宋体"/>
          <w:color w:val="auto"/>
          <w:sz w:val="22"/>
        </w:rPr>
        <w:t>；</w:t>
      </w:r>
    </w:p>
    <w:p w14:paraId="4DCD732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资质类别和等级：</w:t>
      </w:r>
      <w:r>
        <w:rPr>
          <w:rFonts w:hint="eastAsia" w:ascii="宋体" w:hAnsi="宋体" w:cs="宋体"/>
          <w:color w:val="auto"/>
          <w:sz w:val="22"/>
          <w:u w:val="single"/>
        </w:rPr>
        <w:t>               </w:t>
      </w:r>
      <w:r>
        <w:rPr>
          <w:rFonts w:hint="eastAsia" w:ascii="宋体" w:hAnsi="宋体" w:cs="宋体"/>
          <w:color w:val="auto"/>
          <w:sz w:val="22"/>
        </w:rPr>
        <w:t>；</w:t>
      </w:r>
    </w:p>
    <w:p w14:paraId="5182AF2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2F07809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xml:space="preserve">                    </w:t>
      </w:r>
      <w:r>
        <w:rPr>
          <w:rFonts w:hint="eastAsia" w:ascii="宋体" w:hAnsi="宋体" w:cs="宋体"/>
          <w:color w:val="auto"/>
          <w:sz w:val="22"/>
        </w:rPr>
        <w:t>；</w:t>
      </w:r>
    </w:p>
    <w:p w14:paraId="0D70B63B">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3B287798">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1.1.3 工程和设备</w:t>
      </w:r>
    </w:p>
    <w:p w14:paraId="212F027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1.1.3.7 作为施工现场组成部分的其他场所包括：</w:t>
      </w:r>
      <w:r>
        <w:rPr>
          <w:rFonts w:hint="eastAsia" w:ascii="宋体" w:hAnsi="宋体" w:cs="宋体"/>
          <w:color w:val="auto"/>
          <w:sz w:val="22"/>
          <w:u w:val="single"/>
        </w:rPr>
        <w:t xml:space="preserve"> 指用于合同工程施工的场所，以及在合同中指定作为施工场地组成部分的其他场所，包括永久占地和临时占地。</w:t>
      </w:r>
    </w:p>
    <w:p w14:paraId="37B47CE3">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1.1.3.9 永久占地包括：</w:t>
      </w:r>
      <w:r>
        <w:rPr>
          <w:rFonts w:hint="eastAsia" w:ascii="宋体" w:hAnsi="宋体" w:cs="宋体"/>
          <w:color w:val="auto"/>
          <w:sz w:val="22"/>
          <w:u w:val="single"/>
        </w:rPr>
        <w:t xml:space="preserve">  依据选址图、设计图纸或其他文件规定的范围 </w:t>
      </w:r>
      <w:r>
        <w:rPr>
          <w:rFonts w:hint="eastAsia" w:ascii="宋体" w:hAnsi="宋体" w:cs="宋体"/>
          <w:color w:val="auto"/>
          <w:kern w:val="0"/>
          <w:sz w:val="22"/>
        </w:rPr>
        <w:t>。</w:t>
      </w:r>
    </w:p>
    <w:p w14:paraId="2AD91BB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kern w:val="0"/>
          <w:sz w:val="22"/>
          <w:szCs w:val="22"/>
        </w:rPr>
        <w:t>1.1.3.10 临时占地包括：</w:t>
      </w:r>
      <w:r>
        <w:rPr>
          <w:rFonts w:hint="eastAsia" w:ascii="宋体" w:hAnsi="宋体" w:cs="宋体"/>
          <w:color w:val="auto"/>
          <w:kern w:val="0"/>
          <w:sz w:val="22"/>
          <w:szCs w:val="22"/>
          <w:u w:val="single"/>
        </w:rPr>
        <w:t>指为完成合同约定的永久工程所修建的各类临时性工程所占用的土地</w:t>
      </w:r>
      <w:r>
        <w:rPr>
          <w:rFonts w:hint="eastAsia" w:ascii="宋体" w:hAnsi="宋体" w:cs="宋体"/>
          <w:color w:val="auto"/>
          <w:sz w:val="22"/>
          <w:szCs w:val="22"/>
          <w:u w:val="none"/>
        </w:rPr>
        <w:t>。</w:t>
      </w:r>
    </w:p>
    <w:p w14:paraId="62D90E55">
      <w:pPr>
        <w:pStyle w:val="40"/>
        <w:spacing w:line="360" w:lineRule="exact"/>
        <w:ind w:firstLine="442" w:firstLineChars="200"/>
        <w:rPr>
          <w:rFonts w:hint="eastAsia" w:ascii="宋体" w:hAnsi="宋体" w:cs="宋体"/>
          <w:color w:val="auto"/>
          <w:sz w:val="22"/>
          <w:szCs w:val="22"/>
        </w:rPr>
      </w:pPr>
      <w:bookmarkStart w:id="137" w:name="_Toc395382496"/>
      <w:bookmarkStart w:id="138" w:name="_Toc373478341"/>
      <w:bookmarkStart w:id="139" w:name="_Toc533432719"/>
      <w:bookmarkStart w:id="140" w:name="_Toc373227694"/>
      <w:bookmarkStart w:id="141" w:name="_Toc389065260"/>
      <w:bookmarkStart w:id="142" w:name="_Toc12975884"/>
      <w:r>
        <w:rPr>
          <w:rFonts w:hint="eastAsia" w:ascii="宋体" w:hAnsi="宋体" w:cs="宋体"/>
          <w:color w:val="auto"/>
          <w:sz w:val="22"/>
          <w:szCs w:val="22"/>
        </w:rPr>
        <w:t>1.3 法律</w:t>
      </w:r>
      <w:bookmarkEnd w:id="137"/>
      <w:bookmarkEnd w:id="138"/>
      <w:bookmarkEnd w:id="139"/>
      <w:bookmarkEnd w:id="140"/>
      <w:bookmarkEnd w:id="141"/>
      <w:bookmarkEnd w:id="142"/>
    </w:p>
    <w:p w14:paraId="13EE5785">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适用于合同的其他规范性文件：</w:t>
      </w:r>
      <w:r>
        <w:rPr>
          <w:rFonts w:hint="eastAsia" w:ascii="宋体" w:hAnsi="宋体" w:cs="宋体"/>
          <w:color w:val="auto"/>
          <w:sz w:val="22"/>
          <w:u w:val="single"/>
        </w:rPr>
        <w:t>现行的国家法律、行政法规及部门规章，工程所在地的政府及相关主管部门制定的规范性文件</w:t>
      </w:r>
      <w:r>
        <w:rPr>
          <w:rFonts w:hint="eastAsia" w:ascii="宋体" w:hAnsi="宋体" w:cs="宋体"/>
          <w:color w:val="auto"/>
          <w:sz w:val="22"/>
        </w:rPr>
        <w:t>。</w:t>
      </w:r>
    </w:p>
    <w:p w14:paraId="1858A238">
      <w:pPr>
        <w:pStyle w:val="40"/>
        <w:spacing w:line="360" w:lineRule="exact"/>
        <w:ind w:firstLine="442" w:firstLineChars="200"/>
        <w:rPr>
          <w:rFonts w:hint="eastAsia" w:ascii="宋体" w:hAnsi="宋体" w:cs="宋体"/>
          <w:color w:val="auto"/>
          <w:sz w:val="22"/>
          <w:szCs w:val="22"/>
        </w:rPr>
      </w:pPr>
      <w:bookmarkStart w:id="143" w:name="_Toc533432720"/>
      <w:bookmarkStart w:id="144" w:name="_Toc389065261"/>
      <w:bookmarkStart w:id="145" w:name="_Toc373478342"/>
      <w:bookmarkStart w:id="146" w:name="_Toc373227695"/>
      <w:bookmarkStart w:id="147" w:name="_Toc12975885"/>
      <w:bookmarkStart w:id="148" w:name="_Toc395382497"/>
      <w:r>
        <w:rPr>
          <w:rFonts w:hint="eastAsia" w:ascii="宋体" w:hAnsi="宋体" w:cs="宋体"/>
          <w:color w:val="auto"/>
          <w:sz w:val="22"/>
          <w:szCs w:val="22"/>
        </w:rPr>
        <w:t>1.4 标准和规范</w:t>
      </w:r>
      <w:bookmarkEnd w:id="143"/>
      <w:bookmarkEnd w:id="144"/>
      <w:bookmarkEnd w:id="145"/>
      <w:bookmarkEnd w:id="146"/>
      <w:bookmarkEnd w:id="147"/>
      <w:bookmarkEnd w:id="148"/>
    </w:p>
    <w:p w14:paraId="2B9600EF">
      <w:pPr>
        <w:pStyle w:val="41"/>
        <w:spacing w:line="360" w:lineRule="exact"/>
        <w:ind w:firstLine="440" w:firstLineChars="200"/>
        <w:rPr>
          <w:rFonts w:hint="eastAsia" w:ascii="宋体" w:hAnsi="宋体" w:cs="宋体"/>
          <w:color w:val="auto"/>
          <w:sz w:val="22"/>
          <w:u w:val="none"/>
        </w:rPr>
      </w:pPr>
      <w:r>
        <w:rPr>
          <w:rFonts w:hint="eastAsia" w:ascii="宋体" w:hAnsi="宋体" w:cs="宋体"/>
          <w:color w:val="auto"/>
          <w:sz w:val="22"/>
        </w:rPr>
        <w:t>1.4.1 适用于工程的标准规范包括：</w:t>
      </w:r>
      <w:r>
        <w:rPr>
          <w:rFonts w:hint="eastAsia" w:ascii="宋体" w:hAnsi="宋体" w:cs="宋体"/>
          <w:color w:val="auto"/>
          <w:sz w:val="22"/>
          <w:u w:val="single"/>
        </w:rPr>
        <w:t>国家现行的施工规范、验收规范、验收标准</w:t>
      </w:r>
      <w:r>
        <w:rPr>
          <w:rFonts w:hint="eastAsia" w:ascii="宋体" w:hAnsi="宋体" w:cs="宋体"/>
          <w:color w:val="auto"/>
          <w:sz w:val="22"/>
          <w:u w:val="none"/>
        </w:rPr>
        <w:t>。</w:t>
      </w:r>
    </w:p>
    <w:p w14:paraId="6E19DD08">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1.4.2 发包人提供国外标准、规范的名称：</w:t>
      </w:r>
      <w:r>
        <w:rPr>
          <w:rFonts w:hint="eastAsia" w:ascii="宋体" w:hAnsi="宋体" w:cs="宋体"/>
          <w:color w:val="auto"/>
          <w:sz w:val="22"/>
          <w:u w:val="single"/>
        </w:rPr>
        <w:t>无</w:t>
      </w:r>
      <w:r>
        <w:rPr>
          <w:rFonts w:hint="eastAsia" w:ascii="宋体" w:hAnsi="宋体" w:cs="宋体"/>
          <w:color w:val="auto"/>
          <w:sz w:val="22"/>
        </w:rPr>
        <w:t>；</w:t>
      </w:r>
    </w:p>
    <w:p w14:paraId="7F377840">
      <w:pPr>
        <w:pStyle w:val="41"/>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发包人提供国外标准、规范的份数：</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58F9A4B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1.4.3 发包人对工程的技术标准和功能要求的特殊要求：</w:t>
      </w:r>
      <w:r>
        <w:rPr>
          <w:rFonts w:hint="eastAsia" w:ascii="宋体" w:hAnsi="宋体" w:cs="宋体"/>
          <w:color w:val="auto"/>
          <w:sz w:val="22"/>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rPr>
        <w:t>。</w:t>
      </w:r>
    </w:p>
    <w:p w14:paraId="4C7BD1E3">
      <w:pPr>
        <w:pStyle w:val="40"/>
        <w:spacing w:line="360" w:lineRule="exact"/>
        <w:ind w:firstLine="442" w:firstLineChars="200"/>
        <w:rPr>
          <w:rFonts w:hint="eastAsia" w:ascii="宋体" w:hAnsi="宋体" w:cs="宋体"/>
          <w:color w:val="auto"/>
          <w:sz w:val="22"/>
          <w:szCs w:val="22"/>
        </w:rPr>
      </w:pPr>
      <w:bookmarkStart w:id="149" w:name="_Toc389065262"/>
      <w:bookmarkStart w:id="150" w:name="_Toc373478343"/>
      <w:bookmarkStart w:id="151" w:name="_Toc533432721"/>
      <w:bookmarkStart w:id="152" w:name="_Toc373227696"/>
      <w:bookmarkStart w:id="153" w:name="_Toc395382498"/>
      <w:bookmarkStart w:id="154" w:name="_Toc12975886"/>
      <w:r>
        <w:rPr>
          <w:rFonts w:hint="eastAsia" w:ascii="宋体" w:hAnsi="宋体" w:cs="宋体"/>
          <w:color w:val="auto"/>
          <w:sz w:val="22"/>
          <w:szCs w:val="22"/>
        </w:rPr>
        <w:t>1.5 合同文件的优先顺序</w:t>
      </w:r>
      <w:bookmarkEnd w:id="149"/>
      <w:bookmarkEnd w:id="150"/>
      <w:bookmarkEnd w:id="151"/>
      <w:bookmarkEnd w:id="152"/>
      <w:bookmarkEnd w:id="153"/>
      <w:bookmarkEnd w:id="154"/>
    </w:p>
    <w:p w14:paraId="5800CB4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合同文件组成及优先顺序为：</w:t>
      </w:r>
    </w:p>
    <w:p w14:paraId="475A7854">
      <w:pPr>
        <w:pStyle w:val="41"/>
        <w:numPr>
          <w:ilvl w:val="0"/>
          <w:numId w:val="0"/>
        </w:numPr>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1</w:t>
      </w:r>
      <w:r>
        <w:rPr>
          <w:rFonts w:hint="eastAsia" w:ascii="宋体" w:hAnsi="宋体" w:cs="宋体"/>
          <w:color w:val="auto"/>
          <w:kern w:val="0"/>
          <w:sz w:val="22"/>
          <w:lang w:eastAsia="zh-CN"/>
        </w:rPr>
        <w:t>）</w:t>
      </w:r>
      <w:r>
        <w:rPr>
          <w:rFonts w:hint="eastAsia" w:ascii="宋体" w:hAnsi="宋体" w:cs="宋体"/>
          <w:color w:val="auto"/>
          <w:kern w:val="0"/>
          <w:sz w:val="22"/>
        </w:rPr>
        <w:t>合同协议书</w:t>
      </w:r>
    </w:p>
    <w:p w14:paraId="3E2D71FD">
      <w:pPr>
        <w:pStyle w:val="41"/>
        <w:spacing w:line="360" w:lineRule="exact"/>
        <w:ind w:left="420" w:leftChars="200" w:firstLine="440" w:firstLineChars="200"/>
        <w:rPr>
          <w:rFonts w:hint="eastAsia" w:ascii="宋体" w:hAnsi="宋体" w:cs="宋体"/>
          <w:color w:val="auto"/>
          <w:kern w:val="0"/>
          <w:sz w:val="22"/>
        </w:rPr>
      </w:pPr>
      <w:r>
        <w:rPr>
          <w:rFonts w:hint="eastAsia" w:ascii="宋体" w:hAnsi="宋体" w:cs="宋体"/>
          <w:color w:val="auto"/>
          <w:kern w:val="0"/>
          <w:sz w:val="22"/>
        </w:rPr>
        <w:t>（2）成交通知书；</w:t>
      </w:r>
    </w:p>
    <w:p w14:paraId="3F79FC85">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（3）磋商函及其附录；</w:t>
      </w:r>
    </w:p>
    <w:p w14:paraId="71FB3FFA">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（4）专用合同条款及其附件；</w:t>
      </w:r>
    </w:p>
    <w:p w14:paraId="1F1E4400">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（5）通用合同条款；</w:t>
      </w:r>
    </w:p>
    <w:p w14:paraId="0EB657A1">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（6）</w:t>
      </w:r>
      <w:r>
        <w:rPr>
          <w:rFonts w:hint="eastAsia" w:ascii="宋体" w:hAnsi="宋体" w:cs="宋体"/>
          <w:color w:val="auto"/>
          <w:kern w:val="0"/>
          <w:sz w:val="22"/>
          <w:u w:val="single"/>
        </w:rPr>
        <w:t xml:space="preserve">  技术标准和要求 </w:t>
      </w:r>
      <w:r>
        <w:rPr>
          <w:rFonts w:hint="eastAsia" w:ascii="宋体" w:hAnsi="宋体" w:cs="宋体"/>
          <w:color w:val="auto"/>
          <w:kern w:val="0"/>
          <w:sz w:val="22"/>
        </w:rPr>
        <w:t>；</w:t>
      </w:r>
    </w:p>
    <w:p w14:paraId="5400D79D">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（7）</w:t>
      </w:r>
      <w:r>
        <w:rPr>
          <w:rFonts w:hint="eastAsia" w:ascii="宋体" w:hAnsi="宋体" w:cs="宋体"/>
          <w:color w:val="auto"/>
          <w:kern w:val="0"/>
          <w:sz w:val="22"/>
          <w:u w:val="single"/>
        </w:rPr>
        <w:t xml:space="preserve">  已标价工程量清单或预算书 </w:t>
      </w:r>
      <w:r>
        <w:rPr>
          <w:rFonts w:hint="eastAsia" w:ascii="宋体" w:hAnsi="宋体" w:cs="宋体"/>
          <w:color w:val="auto"/>
          <w:kern w:val="0"/>
          <w:sz w:val="22"/>
        </w:rPr>
        <w:t>；</w:t>
      </w:r>
    </w:p>
    <w:p w14:paraId="2BD0AC81">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（8）</w:t>
      </w:r>
      <w:r>
        <w:rPr>
          <w:rFonts w:hint="eastAsia" w:ascii="宋体" w:hAnsi="宋体" w:cs="宋体"/>
          <w:color w:val="auto"/>
          <w:kern w:val="0"/>
          <w:sz w:val="22"/>
          <w:u w:val="single"/>
        </w:rPr>
        <w:t xml:space="preserve">  图纸  </w:t>
      </w:r>
      <w:r>
        <w:rPr>
          <w:rFonts w:hint="eastAsia" w:ascii="宋体" w:hAnsi="宋体" w:cs="宋体"/>
          <w:color w:val="auto"/>
          <w:kern w:val="0"/>
          <w:sz w:val="22"/>
        </w:rPr>
        <w:t>；</w:t>
      </w:r>
    </w:p>
    <w:p w14:paraId="44733D09">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（9）</w:t>
      </w:r>
      <w:r>
        <w:rPr>
          <w:rFonts w:hint="eastAsia" w:ascii="宋体" w:hAnsi="宋体" w:cs="宋体"/>
          <w:color w:val="auto"/>
          <w:kern w:val="0"/>
          <w:sz w:val="22"/>
          <w:u w:val="single"/>
        </w:rPr>
        <w:t xml:space="preserve">  其他合同文件</w:t>
      </w:r>
      <w:r>
        <w:rPr>
          <w:rFonts w:hint="eastAsia" w:ascii="宋体" w:hAnsi="宋体" w:cs="宋体"/>
          <w:color w:val="auto"/>
          <w:kern w:val="0"/>
          <w:sz w:val="22"/>
        </w:rPr>
        <w:t>。</w:t>
      </w:r>
    </w:p>
    <w:p w14:paraId="11192922">
      <w:pPr>
        <w:pStyle w:val="40"/>
        <w:spacing w:line="360" w:lineRule="exact"/>
        <w:ind w:firstLine="442" w:firstLineChars="200"/>
        <w:rPr>
          <w:rFonts w:hint="eastAsia" w:ascii="宋体" w:hAnsi="宋体" w:cs="宋体"/>
          <w:color w:val="auto"/>
          <w:sz w:val="22"/>
          <w:szCs w:val="22"/>
        </w:rPr>
      </w:pPr>
      <w:bookmarkStart w:id="155" w:name="_Toc373478344"/>
      <w:bookmarkStart w:id="156" w:name="_Toc389065263"/>
      <w:bookmarkStart w:id="157" w:name="_Toc373227697"/>
      <w:bookmarkStart w:id="158" w:name="_Toc533432722"/>
      <w:bookmarkStart w:id="159" w:name="_Toc395382499"/>
      <w:bookmarkStart w:id="160" w:name="_Toc12975887"/>
      <w:r>
        <w:rPr>
          <w:rFonts w:hint="eastAsia" w:ascii="宋体" w:hAnsi="宋体" w:cs="宋体"/>
          <w:color w:val="auto"/>
          <w:sz w:val="22"/>
          <w:szCs w:val="22"/>
        </w:rPr>
        <w:t>1.6 图纸和承包人文件</w:t>
      </w:r>
      <w:bookmarkEnd w:id="155"/>
      <w:bookmarkEnd w:id="156"/>
      <w:bookmarkEnd w:id="157"/>
      <w:bookmarkEnd w:id="158"/>
      <w:bookmarkEnd w:id="159"/>
      <w:bookmarkEnd w:id="160"/>
      <w:r>
        <w:rPr>
          <w:rFonts w:hint="eastAsia" w:ascii="宋体" w:hAnsi="宋体" w:cs="宋体"/>
          <w:color w:val="auto"/>
          <w:sz w:val="22"/>
          <w:szCs w:val="22"/>
        </w:rPr>
        <w:tab/>
      </w:r>
    </w:p>
    <w:p w14:paraId="09ADDBA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1.6.1 图纸的提供</w:t>
      </w:r>
    </w:p>
    <w:p w14:paraId="5FBC3D3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合同签订</w:t>
      </w:r>
      <w:r>
        <w:rPr>
          <w:rFonts w:hint="eastAsia" w:ascii="宋体" w:hAnsi="宋体" w:cs="宋体"/>
          <w:color w:val="auto"/>
          <w:sz w:val="22"/>
          <w:highlight w:val="none"/>
          <w:u w:val="single"/>
        </w:rPr>
        <w:t>后</w:t>
      </w:r>
      <w:r>
        <w:rPr>
          <w:rFonts w:hint="eastAsia" w:ascii="宋体" w:hAnsi="宋体" w:cs="宋体"/>
          <w:color w:val="auto"/>
          <w:sz w:val="22"/>
          <w:highlight w:val="none"/>
          <w:u w:val="single"/>
          <w:lang w:val="en-US" w:eastAsia="zh-CN"/>
        </w:rPr>
        <w:t>14</w:t>
      </w:r>
      <w:r>
        <w:rPr>
          <w:rFonts w:hint="eastAsia" w:ascii="宋体" w:hAnsi="宋体" w:cs="宋体"/>
          <w:color w:val="auto"/>
          <w:sz w:val="22"/>
          <w:highlight w:val="none"/>
          <w:u w:val="single"/>
        </w:rPr>
        <w:t>天</w:t>
      </w:r>
      <w:r>
        <w:rPr>
          <w:rFonts w:hint="eastAsia" w:ascii="宋体" w:hAnsi="宋体" w:cs="宋体"/>
          <w:color w:val="auto"/>
          <w:sz w:val="22"/>
          <w:u w:val="single"/>
        </w:rPr>
        <w:t>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C576B70">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发包人向承包人提供图纸的数量：</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一套，承包人需要增加图纸套数的，发包人应代为复制，复制费用由承包人承担</w:t>
      </w:r>
      <w:r>
        <w:rPr>
          <w:rFonts w:hint="eastAsia" w:ascii="宋体" w:hAnsi="宋体" w:cs="宋体"/>
          <w:color w:val="auto"/>
          <w:sz w:val="22"/>
        </w:rPr>
        <w:t>；</w:t>
      </w:r>
    </w:p>
    <w:p w14:paraId="567364C6">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发包人向承包人提供图纸的内容：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以图纸内容为准 </w:t>
      </w:r>
      <w:r>
        <w:rPr>
          <w:rFonts w:hint="eastAsia" w:ascii="宋体" w:hAnsi="宋体" w:cs="宋体"/>
          <w:color w:val="auto"/>
          <w:sz w:val="22"/>
        </w:rPr>
        <w:t>。</w:t>
      </w:r>
    </w:p>
    <w:p w14:paraId="11843948">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1.6.4 承包人文件</w:t>
      </w:r>
    </w:p>
    <w:p w14:paraId="2245F839">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需要由承包人提供的文件，包括：</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（1）合同生效后15天内提供报建、报监及办理施工许可证等所需要的所有资料；（2）除另有约定外，合同生效后7天内应提供完善的（实施性）施工组织设计和安全专项方案及双方另行确定的其他文件</w:t>
      </w:r>
      <w:r>
        <w:rPr>
          <w:rFonts w:hint="eastAsia" w:ascii="宋体" w:hAnsi="宋体" w:cs="宋体"/>
          <w:color w:val="auto"/>
          <w:sz w:val="22"/>
          <w:szCs w:val="22"/>
        </w:rPr>
        <w:t>；</w:t>
      </w:r>
    </w:p>
    <w:p w14:paraId="2D63E886">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承包人提供的文件的期限为：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报建手续开始前7天内</w:t>
      </w:r>
      <w:r>
        <w:rPr>
          <w:rFonts w:hint="eastAsia" w:ascii="宋体" w:hAnsi="宋体" w:cs="宋体"/>
          <w:color w:val="auto"/>
          <w:sz w:val="22"/>
        </w:rPr>
        <w:t>；</w:t>
      </w:r>
    </w:p>
    <w:p w14:paraId="2B93606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承包人提供的文件的数量为：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按实提供</w:t>
      </w:r>
      <w:r>
        <w:rPr>
          <w:rFonts w:hint="eastAsia" w:ascii="宋体" w:hAnsi="宋体" w:cs="宋体"/>
          <w:color w:val="auto"/>
          <w:sz w:val="22"/>
        </w:rPr>
        <w:t>；</w:t>
      </w:r>
    </w:p>
    <w:p w14:paraId="15F048C1">
      <w:pPr>
        <w:pStyle w:val="41"/>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rPr>
        <w:t>承包人提供的文件的形式为：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 xml:space="preserve">及电子文档 </w:t>
      </w:r>
      <w:r>
        <w:rPr>
          <w:rFonts w:hint="eastAsia" w:ascii="宋体" w:hAnsi="宋体" w:cs="宋体"/>
          <w:color w:val="auto"/>
          <w:sz w:val="22"/>
          <w:highlight w:val="none"/>
        </w:rPr>
        <w:t>；</w:t>
      </w:r>
    </w:p>
    <w:p w14:paraId="1D2A8F20">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发包人审批承包人文件的期限：</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收到承包人提供的文件后</w:t>
      </w:r>
      <w:r>
        <w:rPr>
          <w:rFonts w:hint="eastAsia" w:ascii="宋体" w:hAnsi="宋体" w:cs="宋体"/>
          <w:color w:val="auto"/>
          <w:sz w:val="22"/>
          <w:highlight w:val="none"/>
          <w:u w:val="single"/>
          <w:lang w:val="en-US" w:eastAsia="zh-CN"/>
        </w:rPr>
        <w:t>28</w:t>
      </w:r>
      <w:r>
        <w:rPr>
          <w:rFonts w:hint="eastAsia" w:ascii="宋体" w:hAnsi="宋体" w:cs="宋体"/>
          <w:color w:val="auto"/>
          <w:sz w:val="22"/>
          <w:highlight w:val="none"/>
          <w:u w:val="single"/>
        </w:rPr>
        <w:t>天</w:t>
      </w:r>
      <w:r>
        <w:rPr>
          <w:rFonts w:hint="eastAsia" w:ascii="宋体" w:hAnsi="宋体" w:cs="宋体"/>
          <w:color w:val="auto"/>
          <w:sz w:val="22"/>
          <w:u w:val="single"/>
        </w:rPr>
        <w:t></w:t>
      </w:r>
      <w:r>
        <w:rPr>
          <w:rFonts w:hint="eastAsia" w:ascii="宋体" w:hAnsi="宋体" w:cs="宋体"/>
          <w:color w:val="auto"/>
          <w:sz w:val="22"/>
        </w:rPr>
        <w:t>。</w:t>
      </w:r>
    </w:p>
    <w:p w14:paraId="77AD109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1.6.5 现场图纸准备</w:t>
      </w:r>
    </w:p>
    <w:p w14:paraId="59C4815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关于现场图纸准备的约定：</w:t>
      </w:r>
      <w:r>
        <w:rPr>
          <w:rFonts w:hint="eastAsia" w:ascii="宋体" w:hAnsi="宋体" w:cs="宋体"/>
          <w:color w:val="auto"/>
          <w:sz w:val="22"/>
          <w:u w:val="single"/>
        </w:rPr>
        <w:t>承包人在施工现场保留一份完整的设计文件，供发包人及有关人员进行工程检查时使用</w:t>
      </w:r>
      <w:r>
        <w:rPr>
          <w:rFonts w:hint="eastAsia" w:ascii="宋体" w:hAnsi="宋体" w:cs="宋体"/>
          <w:color w:val="auto"/>
          <w:sz w:val="22"/>
        </w:rPr>
        <w:t>。</w:t>
      </w:r>
    </w:p>
    <w:p w14:paraId="65F9D630">
      <w:pPr>
        <w:pStyle w:val="40"/>
        <w:spacing w:line="360" w:lineRule="exact"/>
        <w:ind w:firstLine="442" w:firstLineChars="200"/>
        <w:rPr>
          <w:rFonts w:hint="eastAsia" w:ascii="宋体" w:hAnsi="宋体" w:cs="宋体"/>
          <w:color w:val="auto"/>
          <w:sz w:val="22"/>
          <w:szCs w:val="22"/>
        </w:rPr>
      </w:pPr>
      <w:bookmarkStart w:id="161" w:name="_Toc533432723"/>
      <w:bookmarkStart w:id="162" w:name="_Toc389065264"/>
      <w:bookmarkStart w:id="163" w:name="_Toc12975888"/>
      <w:bookmarkStart w:id="164" w:name="_Toc395382500"/>
      <w:bookmarkStart w:id="165" w:name="_Toc373227698"/>
      <w:bookmarkStart w:id="166" w:name="_Toc373478345"/>
      <w:r>
        <w:rPr>
          <w:rFonts w:hint="eastAsia" w:ascii="宋体" w:hAnsi="宋体" w:cs="宋体"/>
          <w:color w:val="auto"/>
          <w:sz w:val="22"/>
          <w:szCs w:val="22"/>
        </w:rPr>
        <w:t>1.7 联络</w:t>
      </w:r>
      <w:bookmarkEnd w:id="161"/>
      <w:bookmarkEnd w:id="162"/>
      <w:bookmarkEnd w:id="163"/>
      <w:bookmarkEnd w:id="164"/>
      <w:bookmarkEnd w:id="165"/>
      <w:bookmarkEnd w:id="166"/>
    </w:p>
    <w:p w14:paraId="2FED704F">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1.7.1发包人和承包人应当在</w:t>
      </w:r>
      <w:r>
        <w:rPr>
          <w:rFonts w:hint="eastAsia" w:ascii="宋体" w:hAnsi="宋体" w:cs="宋体"/>
          <w:color w:val="auto"/>
          <w:sz w:val="22"/>
          <w:u w:val="single"/>
        </w:rPr>
        <w:t xml:space="preserve"> 5 </w:t>
      </w:r>
      <w:r>
        <w:rPr>
          <w:rFonts w:hint="eastAsia" w:ascii="宋体" w:hAnsi="宋体" w:cs="宋体"/>
          <w:color w:val="auto"/>
          <w:kern w:val="0"/>
          <w:sz w:val="22"/>
        </w:rPr>
        <w:t>天内将与合同有关的通知、批准、证明、证书、指示、指令、要求、请求、同意、意见、确定和决定等书面函件送达对方当事人。</w:t>
      </w:r>
    </w:p>
    <w:p w14:paraId="7BB3AB8A">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1.7.2 发包人接收文件的地点：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7C8E174E">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发包人指定的接收人为：</w:t>
      </w:r>
      <w:r>
        <w:rPr>
          <w:rFonts w:hint="eastAsia" w:ascii="宋体" w:hAnsi="宋体" w:cs="宋体"/>
          <w:color w:val="auto"/>
          <w:sz w:val="22"/>
          <w:u w:val="single"/>
        </w:rPr>
        <w:t xml:space="preserve"> </w:t>
      </w:r>
      <w:r>
        <w:rPr>
          <w:rFonts w:hint="eastAsia" w:ascii="宋体" w:hAnsi="宋体" w:cs="宋体"/>
          <w:color w:val="auto"/>
          <w:sz w:val="22"/>
          <w:highlight w:val="none"/>
          <w:u w:val="single"/>
        </w:rPr>
        <w:t>发包人现场代表</w:t>
      </w:r>
      <w:r>
        <w:rPr>
          <w:rFonts w:hint="eastAsia" w:ascii="宋体" w:hAnsi="宋体" w:cs="宋体"/>
          <w:color w:val="auto"/>
          <w:sz w:val="22"/>
          <w:u w:val="single"/>
        </w:rPr>
        <w:t xml:space="preserve"> </w:t>
      </w:r>
      <w:r>
        <w:rPr>
          <w:rFonts w:hint="eastAsia" w:ascii="宋体" w:hAnsi="宋体" w:cs="宋体"/>
          <w:color w:val="auto"/>
          <w:kern w:val="0"/>
          <w:sz w:val="22"/>
        </w:rPr>
        <w:t>。</w:t>
      </w:r>
    </w:p>
    <w:p w14:paraId="791D9438">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项目所在地承包人项目部</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61CFD327">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承包人指定的接收人为：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承包人项目经理</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A77684F">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监理人接收文件的地点：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项目所在地监理人办公室</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17046F4A">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监理人指定的接收人为：</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总监理工程师</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w:t>
      </w:r>
    </w:p>
    <w:p w14:paraId="2876124F">
      <w:pPr>
        <w:pStyle w:val="61"/>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与合同有关的工程联系单、变更申请、变更建议、通知、批准、证明、证书、指示、要求、请求、同意、意见、确定和决定等，均应采用书面</w:t>
      </w:r>
      <w:r>
        <w:rPr>
          <w:rFonts w:hint="eastAsia" w:ascii="宋体" w:hAnsi="宋体" w:cs="宋体"/>
          <w:color w:val="auto"/>
          <w:sz w:val="22"/>
          <w:szCs w:val="22"/>
          <w:highlight w:val="none"/>
          <w:u w:val="single"/>
        </w:rPr>
        <w:t>形式</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同时提供电子扫描版</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w:t>
      </w:r>
    </w:p>
    <w:p w14:paraId="523338EA">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适用于：（1）通知、批准、证明、指示、要求、请求、同意、意见和确定等管理文件是有效的。（2）工程技术资料，包括所有与工程有关的技术资料。</w:t>
      </w:r>
    </w:p>
    <w:p w14:paraId="7EFB3F66">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发包人的工程管理部的印章（公章名称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不适用于：不适用于任何修改合同、减轻（或增加）双方合同权利和义务的文件，如以上所述文件涉及到修改合同、减轻（或增加）双方合同权利和义务时，该工作无效。涉及到修改合同、减轻（或增加）双方合同权利和义务时，必须加盖发包人的公司公章</w:t>
      </w:r>
      <w:r>
        <w:rPr>
          <w:rFonts w:hint="eastAsia" w:ascii="宋体" w:hAnsi="宋体" w:cs="宋体"/>
          <w:color w:val="auto"/>
          <w:sz w:val="22"/>
          <w:szCs w:val="22"/>
          <w:u w:val="none"/>
        </w:rPr>
        <w:t>。</w:t>
      </w:r>
    </w:p>
    <w:p w14:paraId="3861FB3B">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本合同一方按照本合同约定向另一方送达的任何文件、通知、回复及其他任何文件，可采用以下任一方式送达：</w:t>
      </w:r>
      <w:r>
        <w:rPr>
          <w:rFonts w:hint="eastAsia" w:ascii="宋体" w:hAnsi="宋体" w:cs="宋体"/>
          <w:color w:val="auto"/>
          <w:sz w:val="22"/>
          <w:szCs w:val="22"/>
          <w:lang w:eastAsia="zh-CN"/>
        </w:rPr>
        <w:t>（1）</w:t>
      </w:r>
      <w:r>
        <w:rPr>
          <w:rFonts w:hint="eastAsia" w:ascii="宋体" w:hAnsi="宋体" w:cs="宋体"/>
          <w:color w:val="auto"/>
          <w:sz w:val="22"/>
          <w:szCs w:val="22"/>
        </w:rPr>
        <w:t>一方采用书面形式直接送达，另一方签收时视为已送达；</w:t>
      </w:r>
      <w:r>
        <w:rPr>
          <w:rFonts w:hint="eastAsia" w:ascii="宋体" w:hAnsi="宋体" w:cs="宋体"/>
          <w:color w:val="auto"/>
          <w:sz w:val="22"/>
          <w:szCs w:val="22"/>
          <w:lang w:eastAsia="zh-CN"/>
        </w:rPr>
        <w:t>（2）</w:t>
      </w:r>
      <w:r>
        <w:rPr>
          <w:rFonts w:hint="eastAsia" w:ascii="宋体" w:hAnsi="宋体" w:cs="宋体"/>
          <w:color w:val="auto"/>
          <w:sz w:val="22"/>
          <w:szCs w:val="22"/>
        </w:rPr>
        <w:t>一方采用传真形式送达，收到另一方确认时视为已送达；双方送达传真号以本合同注明号码为准，如果一方信息有变更的，须向另一方以书面形式通知更改后的信息。</w:t>
      </w:r>
      <w:r>
        <w:rPr>
          <w:rFonts w:hint="eastAsia" w:ascii="宋体" w:hAnsi="宋体" w:cs="宋体"/>
          <w:color w:val="auto"/>
          <w:sz w:val="22"/>
          <w:szCs w:val="22"/>
          <w:lang w:eastAsia="zh-CN"/>
        </w:rPr>
        <w:t>（3）</w:t>
      </w:r>
      <w:r>
        <w:rPr>
          <w:rFonts w:hint="eastAsia" w:ascii="宋体" w:hAnsi="宋体" w:cs="宋体"/>
          <w:color w:val="auto"/>
          <w:sz w:val="22"/>
          <w:szCs w:val="22"/>
        </w:rPr>
        <w:t>一方采用快递邮寄的方式送达，另一方已经签收时视为已送达另一方。双方送达地址以本合同落款地址为准，如果一方地址有变更的，须向另一方以书面形式通知更改后的地址。</w:t>
      </w:r>
      <w:r>
        <w:rPr>
          <w:rFonts w:hint="eastAsia" w:ascii="宋体" w:hAnsi="宋体" w:cs="宋体"/>
          <w:color w:val="auto"/>
          <w:sz w:val="22"/>
          <w:szCs w:val="22"/>
          <w:lang w:eastAsia="zh-CN"/>
        </w:rPr>
        <w:t>（4）</w:t>
      </w:r>
      <w:r>
        <w:rPr>
          <w:rFonts w:hint="eastAsia" w:ascii="宋体" w:hAnsi="宋体" w:cs="宋体"/>
          <w:color w:val="auto"/>
          <w:sz w:val="22"/>
          <w:szCs w:val="22"/>
        </w:rPr>
        <w:t>一方向对方送达的文件、通知、回复，受送达方应即时签收，如由于受送达方的原因不能送达或拒绝签收的，送达方可在《防城港日报》上公告送达，刊登文件、通知、回复的《防城港日报》作为受送达方收悉的证据，刊登7日后即视为已经送达。</w:t>
      </w:r>
    </w:p>
    <w:p w14:paraId="2EBDB58D">
      <w:pPr>
        <w:pStyle w:val="72"/>
        <w:spacing w:line="360" w:lineRule="exact"/>
        <w:ind w:firstLine="442" w:firstLineChars="200"/>
        <w:rPr>
          <w:rFonts w:hint="eastAsia" w:ascii="宋体" w:hAnsi="宋体" w:eastAsia="宋体" w:cs="宋体"/>
          <w:color w:val="auto"/>
          <w:sz w:val="22"/>
          <w:szCs w:val="22"/>
        </w:rPr>
      </w:pPr>
      <w:bookmarkStart w:id="167" w:name="_Toc529202535"/>
      <w:bookmarkStart w:id="168" w:name="_Toc54862501"/>
      <w:bookmarkStart w:id="169" w:name="_Toc513041281"/>
      <w:r>
        <w:rPr>
          <w:rFonts w:hint="eastAsia" w:ascii="宋体" w:hAnsi="宋体" w:eastAsia="宋体" w:cs="宋体"/>
          <w:color w:val="auto"/>
          <w:sz w:val="22"/>
          <w:szCs w:val="22"/>
        </w:rPr>
        <w:t>1.8严禁贿赂</w:t>
      </w:r>
      <w:bookmarkEnd w:id="167"/>
      <w:bookmarkEnd w:id="168"/>
      <w:bookmarkEnd w:id="169"/>
    </w:p>
    <w:p w14:paraId="35F83657">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u w:val="single"/>
        </w:rPr>
        <w:t>如果承包人或承包人的工作人员（不论承包人是否知晓）以贿赂或变相贿赂的方式，谋取不当利益或损害发包人权益的。承包人发生前述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同时向发包人支付违约金每次50万元</w:t>
      </w:r>
      <w:r>
        <w:rPr>
          <w:rFonts w:hint="eastAsia" w:ascii="宋体" w:hAnsi="宋体" w:cs="宋体"/>
          <w:color w:val="auto"/>
          <w:sz w:val="22"/>
          <w:szCs w:val="22"/>
          <w:u w:val="none"/>
        </w:rPr>
        <w:t>。</w:t>
      </w:r>
    </w:p>
    <w:p w14:paraId="7F351748">
      <w:pPr>
        <w:pStyle w:val="40"/>
        <w:spacing w:line="360" w:lineRule="exact"/>
        <w:ind w:firstLine="442" w:firstLineChars="200"/>
        <w:rPr>
          <w:rFonts w:hint="eastAsia" w:ascii="宋体" w:hAnsi="宋体" w:cs="宋体"/>
          <w:color w:val="auto"/>
          <w:sz w:val="22"/>
          <w:szCs w:val="22"/>
        </w:rPr>
      </w:pPr>
      <w:bookmarkStart w:id="170" w:name="_Toc389065265"/>
      <w:bookmarkStart w:id="171" w:name="_Toc373227699"/>
      <w:bookmarkStart w:id="172" w:name="_Toc12975889"/>
      <w:bookmarkStart w:id="173" w:name="_Toc533432724"/>
      <w:bookmarkStart w:id="174" w:name="_Toc373478346"/>
      <w:bookmarkStart w:id="175" w:name="_Toc395382501"/>
      <w:r>
        <w:rPr>
          <w:rFonts w:hint="eastAsia" w:ascii="宋体" w:hAnsi="宋体" w:cs="宋体"/>
          <w:color w:val="auto"/>
          <w:sz w:val="22"/>
          <w:szCs w:val="22"/>
        </w:rPr>
        <w:t>1.10 交通运输</w:t>
      </w:r>
      <w:bookmarkEnd w:id="170"/>
      <w:bookmarkEnd w:id="171"/>
      <w:bookmarkEnd w:id="172"/>
      <w:bookmarkEnd w:id="173"/>
      <w:bookmarkEnd w:id="174"/>
      <w:bookmarkEnd w:id="175"/>
    </w:p>
    <w:p w14:paraId="0128D25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w:t>
      </w:r>
      <w:bookmarkStart w:id="176" w:name="_Toc303539100"/>
      <w:bookmarkStart w:id="177" w:name="_Toc304295521"/>
      <w:bookmarkStart w:id="178" w:name="_Toc318581155"/>
      <w:bookmarkStart w:id="179" w:name="_Toc312677986"/>
      <w:bookmarkStart w:id="180" w:name="_Toc300934943"/>
      <w:r>
        <w:rPr>
          <w:rFonts w:hint="eastAsia" w:ascii="宋体" w:hAnsi="宋体" w:cs="宋体"/>
          <w:color w:val="auto"/>
          <w:sz w:val="22"/>
        </w:rPr>
        <w:t>.10.1 出入现场的权利</w:t>
      </w:r>
    </w:p>
    <w:p w14:paraId="5E112901">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关于出入现场的权利的约定：</w:t>
      </w:r>
      <w:r>
        <w:rPr>
          <w:rFonts w:hint="eastAsia" w:ascii="宋体" w:hAnsi="宋体" w:cs="宋体"/>
          <w:color w:val="auto"/>
          <w:sz w:val="22"/>
          <w:u w:val="single"/>
        </w:rPr>
        <w:t>由承包人按发包人要求负责取得出入施工现场所需的批准手续和全部权利，以及取得因施工所需修建道路、桥梁以及其他基础设施的权利，相关权利取得的手续费用和建设费用由承包人承担</w:t>
      </w:r>
      <w:r>
        <w:rPr>
          <w:rFonts w:hint="eastAsia" w:ascii="宋体" w:hAnsi="宋体" w:cs="宋体"/>
          <w:color w:val="auto"/>
          <w:sz w:val="22"/>
        </w:rPr>
        <w:t>。</w:t>
      </w:r>
    </w:p>
    <w:bookmarkEnd w:id="176"/>
    <w:bookmarkEnd w:id="177"/>
    <w:bookmarkEnd w:id="178"/>
    <w:bookmarkEnd w:id="179"/>
    <w:bookmarkEnd w:id="180"/>
    <w:p w14:paraId="04B3D2F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181" w:name="_Toc300934944"/>
      <w:bookmarkStart w:id="182" w:name="_Toc318581156"/>
      <w:bookmarkStart w:id="183" w:name="_Toc304295522"/>
      <w:bookmarkStart w:id="184" w:name="_Toc312677987"/>
      <w:bookmarkStart w:id="185" w:name="_Toc303539101"/>
      <w:r>
        <w:rPr>
          <w:rFonts w:hint="eastAsia" w:ascii="宋体" w:hAnsi="宋体" w:cs="宋体"/>
          <w:color w:val="auto"/>
          <w:sz w:val="22"/>
        </w:rPr>
        <w:t>.10.3 场内交通</w:t>
      </w:r>
    </w:p>
    <w:p w14:paraId="525D3039">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关于场外交通和场内交通的边界的约定：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以规划批复总平用地红线为界 </w:t>
      </w:r>
      <w:r>
        <w:rPr>
          <w:rFonts w:hint="eastAsia" w:ascii="宋体" w:hAnsi="宋体" w:cs="宋体"/>
          <w:color w:val="auto"/>
          <w:sz w:val="22"/>
        </w:rPr>
        <w:t>。</w:t>
      </w:r>
    </w:p>
    <w:p w14:paraId="68352870">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关于发包人向承包人免费提供满足工程施工需要的场内道路和交通设施的约定：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发包人不提供任何满足工程施工需要的场内、场外道路和交通设施，由承包人根据实际需要自行解决</w:t>
      </w:r>
      <w:r>
        <w:rPr>
          <w:rFonts w:hint="eastAsia" w:ascii="宋体" w:hAnsi="宋体" w:cs="宋体"/>
          <w:color w:val="auto"/>
          <w:sz w:val="22"/>
        </w:rPr>
        <w:t>。</w:t>
      </w:r>
      <w:bookmarkEnd w:id="181"/>
      <w:bookmarkEnd w:id="182"/>
      <w:bookmarkEnd w:id="183"/>
      <w:bookmarkEnd w:id="184"/>
      <w:bookmarkEnd w:id="185"/>
      <w:bookmarkStart w:id="186" w:name="_Toc318581157"/>
    </w:p>
    <w:p w14:paraId="3929B7E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1.10.4 超大件和超重件的运输</w:t>
      </w:r>
    </w:p>
    <w:p w14:paraId="28D1ABBC">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运输超大件或超重件所需的道路和桥梁临时加固改造费用和其他有关费用由</w:t>
      </w:r>
      <w:r>
        <w:rPr>
          <w:rFonts w:hint="eastAsia" w:ascii="宋体" w:hAnsi="宋体" w:cs="宋体"/>
          <w:color w:val="auto"/>
          <w:sz w:val="22"/>
          <w:u w:val="single"/>
        </w:rPr>
        <w:t xml:space="preserve"> 承包人</w:t>
      </w:r>
      <w:r>
        <w:rPr>
          <w:rFonts w:hint="eastAsia" w:ascii="宋体" w:hAnsi="宋体" w:cs="宋体"/>
          <w:color w:val="auto"/>
          <w:sz w:val="22"/>
        </w:rPr>
        <w:t>承担。</w:t>
      </w:r>
    </w:p>
    <w:bookmarkEnd w:id="186"/>
    <w:p w14:paraId="2A89A491">
      <w:pPr>
        <w:pStyle w:val="40"/>
        <w:spacing w:line="360" w:lineRule="exact"/>
        <w:ind w:firstLine="442" w:firstLineChars="200"/>
        <w:rPr>
          <w:rFonts w:hint="eastAsia" w:ascii="宋体" w:hAnsi="宋体" w:cs="宋体"/>
          <w:color w:val="auto"/>
          <w:sz w:val="22"/>
          <w:szCs w:val="22"/>
        </w:rPr>
      </w:pPr>
      <w:bookmarkStart w:id="187" w:name="_Toc373478347"/>
      <w:bookmarkStart w:id="188" w:name="_Toc395382502"/>
      <w:bookmarkStart w:id="189" w:name="_Toc373227700"/>
      <w:bookmarkStart w:id="190" w:name="_Toc389065266"/>
      <w:bookmarkStart w:id="191" w:name="_Toc533432725"/>
      <w:bookmarkStart w:id="192" w:name="_Toc12975890"/>
      <w:r>
        <w:rPr>
          <w:rFonts w:hint="eastAsia" w:ascii="宋体" w:hAnsi="宋体" w:cs="宋体"/>
          <w:color w:val="auto"/>
          <w:sz w:val="22"/>
          <w:szCs w:val="22"/>
        </w:rPr>
        <w:t>1.11 知识产权</w:t>
      </w:r>
      <w:bookmarkEnd w:id="187"/>
      <w:bookmarkEnd w:id="188"/>
      <w:bookmarkEnd w:id="189"/>
      <w:bookmarkEnd w:id="190"/>
      <w:bookmarkEnd w:id="191"/>
      <w:bookmarkEnd w:id="192"/>
    </w:p>
    <w:p w14:paraId="1630B6BC">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归属发包人所有，承包人不得向其他人转借、出售或泄露与本项目有关的上述文件资料情况</w:t>
      </w:r>
      <w:r>
        <w:rPr>
          <w:rFonts w:hint="eastAsia" w:ascii="宋体" w:hAnsi="宋体" w:cs="宋体"/>
          <w:b/>
          <w:bCs/>
          <w:color w:val="auto"/>
          <w:sz w:val="22"/>
          <w:u w:val="single"/>
          <w:lang w:val="en-US" w:eastAsia="zh-CN"/>
        </w:rPr>
        <w:t xml:space="preserve"> </w:t>
      </w:r>
      <w:r>
        <w:rPr>
          <w:rFonts w:hint="eastAsia" w:ascii="宋体" w:hAnsi="宋体" w:cs="宋体"/>
          <w:color w:val="auto"/>
          <w:sz w:val="22"/>
        </w:rPr>
        <w:t>。</w:t>
      </w:r>
    </w:p>
    <w:p w14:paraId="7973D7A3">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关于发包人提供的上述文件的使用限制的要求：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仅使用于本项目的建设</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3B8A8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1.11.2 关于承包人为实施工程所编制文件的著作权的归属：</w:t>
      </w:r>
      <w:r>
        <w:rPr>
          <w:rFonts w:hint="eastAsia" w:ascii="宋体" w:hAnsi="宋体" w:cs="宋体"/>
          <w:b/>
          <w:bCs/>
          <w:color w:val="auto"/>
          <w:sz w:val="22"/>
          <w:u w:val="single"/>
        </w:rPr>
        <w:t>发包人</w:t>
      </w:r>
      <w:r>
        <w:rPr>
          <w:rFonts w:hint="eastAsia" w:ascii="宋体" w:hAnsi="宋体" w:cs="宋体"/>
          <w:color w:val="auto"/>
          <w:sz w:val="22"/>
          <w:u w:val="single"/>
        </w:rPr>
        <w:t xml:space="preserve"> </w:t>
      </w:r>
      <w:r>
        <w:rPr>
          <w:rFonts w:hint="eastAsia" w:ascii="宋体" w:hAnsi="宋体" w:cs="宋体"/>
          <w:color w:val="auto"/>
          <w:sz w:val="22"/>
        </w:rPr>
        <w:t>。</w:t>
      </w:r>
    </w:p>
    <w:p w14:paraId="7C9835AE">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关于承包人提供的上述文件的使用限制的要求：</w:t>
      </w:r>
      <w:r>
        <w:rPr>
          <w:rFonts w:hint="eastAsia" w:ascii="宋体" w:hAnsi="宋体" w:cs="宋体"/>
          <w:color w:val="auto"/>
          <w:sz w:val="22"/>
          <w:u w:val="single"/>
          <w:lang w:val="en-US" w:eastAsia="zh-CN"/>
        </w:rPr>
        <w:t xml:space="preserve"> </w:t>
      </w:r>
      <w:r>
        <w:rPr>
          <w:rFonts w:hint="eastAsia" w:ascii="宋体" w:hAnsi="宋体" w:cs="宋体"/>
          <w:b/>
          <w:bCs/>
          <w:color w:val="auto"/>
          <w:sz w:val="22"/>
          <w:u w:val="single"/>
        </w:rPr>
        <w:t>仅限本项目使用</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FC04594">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sz w:val="22"/>
        </w:rPr>
        <w:t>1.11.4 承包人在施工过程中所采用的专利、专有技术、技术秘密的使用费的承担方式：</w:t>
      </w:r>
      <w:r>
        <w:rPr>
          <w:rFonts w:hint="eastAsia" w:ascii="宋体" w:hAnsi="宋体" w:cs="宋体"/>
          <w:b/>
          <w:bCs/>
          <w:color w:val="auto"/>
          <w:sz w:val="22"/>
          <w:u w:val="single"/>
        </w:rPr>
        <w:t>由承包人承担</w:t>
      </w:r>
      <w:r>
        <w:rPr>
          <w:rFonts w:hint="eastAsia" w:ascii="宋体" w:hAnsi="宋体" w:cs="宋体"/>
          <w:color w:val="auto"/>
          <w:sz w:val="22"/>
          <w:u w:val="single"/>
        </w:rPr>
        <w:t xml:space="preserve"> </w:t>
      </w:r>
      <w:r>
        <w:rPr>
          <w:rFonts w:hint="eastAsia" w:ascii="宋体" w:hAnsi="宋体" w:cs="宋体"/>
          <w:color w:val="auto"/>
          <w:kern w:val="0"/>
          <w:sz w:val="22"/>
        </w:rPr>
        <w:t>。</w:t>
      </w:r>
    </w:p>
    <w:p w14:paraId="3B620D18">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承包人在实施、完成并保修合同工程过程中使用任何材料设备或采用施工工艺时，因侵犯他人专利权或其他知识产权所引起的责任，由承包人承担。</w:t>
      </w:r>
    </w:p>
    <w:p w14:paraId="360E44EF">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承包人为实施本工程而采用专利技术等知识产权，知识产权的使用费已包含在签约合同价内。且承包人同意不受知识产权使用费限制</w:t>
      </w:r>
      <w:r>
        <w:rPr>
          <w:rFonts w:hint="eastAsia" w:ascii="宋体" w:hAnsi="宋体" w:cs="宋体"/>
          <w:color w:val="auto"/>
          <w:sz w:val="22"/>
          <w:szCs w:val="22"/>
          <w:lang w:eastAsia="zh-CN"/>
        </w:rPr>
        <w:t>，</w:t>
      </w:r>
      <w:r>
        <w:rPr>
          <w:rFonts w:hint="eastAsia" w:ascii="宋体" w:hAnsi="宋体" w:cs="宋体"/>
          <w:color w:val="auto"/>
          <w:sz w:val="22"/>
          <w:szCs w:val="22"/>
        </w:rPr>
        <w:t>许可发包人及其发包人集团公司内部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公司免费使用承包人所有或受其控制的有关知识产权。该知识产权包括发包人所需的任何与本项目有关的设备、机械、材料或与本项目有关或部分有关的任何方法、技术和工艺的实际经验。</w:t>
      </w:r>
    </w:p>
    <w:p w14:paraId="1E2DD4F1">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工程施工过程中，承包人应注意收集有关数据、资料和经验，工程施工完成后，承包人应向发包人提交完整的施工总结报告，包括对上述施工工艺、专利技术等的使用，承包人不得以任何理由拒绝。承包人收集相关数据、信息和编制施工总结报告的相关费用已包含在签约合同价内。</w:t>
      </w:r>
    </w:p>
    <w:p w14:paraId="333A3231">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在施工过程中形成的新的施工工艺的权属属于承包人，但如果发包人参与了该施工工艺形成主要决策过程的，则该施工工艺的权属属于承包人与发包人共有。无论该施工工艺属于承包人所有还是由承包人与发包人共有的情形下，发包人及其发包人集团公司内部</w:t>
      </w:r>
      <w:r>
        <w:rPr>
          <w:rFonts w:hint="eastAsia" w:ascii="宋体" w:hAnsi="宋体" w:cs="宋体"/>
          <w:color w:val="auto"/>
          <w:sz w:val="22"/>
          <w:szCs w:val="22"/>
          <w:lang w:eastAsia="zh-CN"/>
        </w:rPr>
        <w:t>其他成员</w:t>
      </w:r>
      <w:r>
        <w:rPr>
          <w:rFonts w:hint="eastAsia" w:ascii="宋体" w:hAnsi="宋体" w:cs="宋体"/>
          <w:color w:val="auto"/>
          <w:sz w:val="22"/>
          <w:szCs w:val="22"/>
        </w:rPr>
        <w:t>公司均可以永久免费使用该施工工艺。</w:t>
      </w:r>
    </w:p>
    <w:p w14:paraId="7CD3AE1B">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承包人为本工程制作或提供的深化设计图纸等文件的知识产权均归发包人所有。</w:t>
      </w:r>
    </w:p>
    <w:p w14:paraId="546DCD28">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如果发生因承包人责任造成的任何知识产权侵权而造成第三方向发包人索赔或诉讼，发包人应立即通知承包人，承包人则应在收到通知后7天内，自费处理上述问题并以发包人名义及时对由此而引起的诉讼进行协商或抗诉。承包人进行这种协商或争讼必须首先以保护发包人为条件，这种保护在任何时候都是必需的，承包人应设法保护发包人利益，避免或减少可能成为发包人责任义务的任何赔偿、损害、费用和损失。在承包人请求时，发包人应给予一切可能的协助，来争取索赔诉讼的顺利解决。若承包人未按时处理，发包人有权自行处理有关纠纷，发包人因此遭受的赔偿、损害、费用及损失，发包人有权从应付或拟付给承包人的任何款项中直接扣回。</w:t>
      </w:r>
    </w:p>
    <w:p w14:paraId="7CA63EAB">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7</w:t>
      </w:r>
      <w:r>
        <w:rPr>
          <w:rFonts w:hint="eastAsia" w:ascii="宋体" w:hAnsi="宋体" w:cs="宋体"/>
          <w:color w:val="auto"/>
          <w:sz w:val="22"/>
          <w:szCs w:val="22"/>
          <w:lang w:eastAsia="zh-CN"/>
        </w:rPr>
        <w:t>）</w:t>
      </w:r>
      <w:r>
        <w:rPr>
          <w:rFonts w:hint="eastAsia" w:ascii="宋体" w:hAnsi="宋体" w:cs="宋体"/>
          <w:color w:val="auto"/>
          <w:sz w:val="22"/>
          <w:szCs w:val="22"/>
        </w:rPr>
        <w:t>在任何时候，如果发包人有理由认为上一条的保护不充分或者发包人对承包人在涉及发包人利益所进行争讼不满意时，发包人有权自行应讼，但并不因此减轻承包人任何责任和义务，并且，与之有关的全部费用由承包人承担。</w:t>
      </w:r>
    </w:p>
    <w:p w14:paraId="3AB8BC79">
      <w:pPr>
        <w:pStyle w:val="72"/>
        <w:spacing w:line="360" w:lineRule="exact"/>
        <w:ind w:firstLine="442" w:firstLineChars="200"/>
        <w:rPr>
          <w:rFonts w:hint="eastAsia" w:ascii="宋体" w:hAnsi="宋体" w:eastAsia="宋体" w:cs="宋体"/>
          <w:color w:val="auto"/>
          <w:sz w:val="22"/>
          <w:szCs w:val="22"/>
        </w:rPr>
      </w:pPr>
      <w:bookmarkStart w:id="193" w:name="_Toc54862504"/>
      <w:bookmarkStart w:id="194" w:name="_Toc513041284"/>
      <w:bookmarkStart w:id="195" w:name="_Toc529202538"/>
      <w:r>
        <w:rPr>
          <w:rFonts w:hint="eastAsia" w:ascii="宋体" w:hAnsi="宋体" w:eastAsia="宋体" w:cs="宋体"/>
          <w:color w:val="auto"/>
          <w:sz w:val="22"/>
          <w:szCs w:val="22"/>
        </w:rPr>
        <w:t>1.12保密</w:t>
      </w:r>
      <w:bookmarkEnd w:id="193"/>
      <w:bookmarkEnd w:id="194"/>
      <w:bookmarkEnd w:id="195"/>
    </w:p>
    <w:p w14:paraId="295050DF">
      <w:pPr>
        <w:pStyle w:val="61"/>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u w:val="single"/>
        </w:rPr>
        <w:t>除法律规定外，未经发包人同意，承包人不得将发包人提供的图纸、文件以及声明需要保密的资料信息等商业秘密泄露给第三方。</w:t>
      </w:r>
    </w:p>
    <w:p w14:paraId="4D482897">
      <w:pPr>
        <w:pStyle w:val="40"/>
        <w:spacing w:line="360" w:lineRule="exact"/>
        <w:ind w:firstLine="442" w:firstLineChars="200"/>
        <w:rPr>
          <w:rFonts w:hint="eastAsia" w:ascii="宋体" w:hAnsi="宋体" w:cs="宋体"/>
          <w:color w:val="auto"/>
          <w:sz w:val="22"/>
          <w:szCs w:val="22"/>
        </w:rPr>
      </w:pPr>
      <w:bookmarkStart w:id="196" w:name="_Toc373227701"/>
      <w:bookmarkStart w:id="197" w:name="_Toc373478348"/>
      <w:bookmarkStart w:id="198" w:name="_Toc395382503"/>
      <w:bookmarkStart w:id="199" w:name="_Toc389065267"/>
      <w:bookmarkStart w:id="200" w:name="_Toc533432726"/>
      <w:bookmarkStart w:id="201" w:name="_Toc12975891"/>
      <w:r>
        <w:rPr>
          <w:rFonts w:hint="eastAsia" w:ascii="宋体" w:hAnsi="宋体" w:cs="宋体"/>
          <w:color w:val="auto"/>
          <w:sz w:val="22"/>
          <w:szCs w:val="22"/>
        </w:rPr>
        <w:t>1.13工程量清单错误的修正</w:t>
      </w:r>
      <w:bookmarkEnd w:id="196"/>
      <w:bookmarkEnd w:id="197"/>
      <w:bookmarkEnd w:id="198"/>
      <w:bookmarkEnd w:id="199"/>
      <w:bookmarkEnd w:id="200"/>
      <w:bookmarkEnd w:id="201"/>
    </w:p>
    <w:p w14:paraId="592F8DA3">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出现工程量清单工程量偏差时，是否调整合同价格：</w:t>
      </w:r>
      <w:r>
        <w:rPr>
          <w:rFonts w:hint="eastAsia" w:ascii="宋体" w:hAnsi="宋体" w:cs="宋体"/>
          <w:color w:val="auto"/>
          <w:sz w:val="22"/>
          <w:szCs w:val="22"/>
          <w:u w:val="single"/>
        </w:rPr>
        <w:t>合同履行期间，由于磋商工程量清单错误、缺项、漏项，（1）新增部分项工程清单项目的，按照以下规定确定单价，并调整合同价格：1）合同中已有适用的综合单价，按合同中已有的综合单价确定；2）合同中有类似的综合单价，参照类似的综合单价确定；3）合同中没有适用或类似的综合单价，依据“专用合同条款10.4.1变更估价原则”执行。（2）由于磋商工程量清单项目多列或重复列项的，按照承包人磋商综合单价确定单价，并调整合同价格</w:t>
      </w:r>
    </w:p>
    <w:p w14:paraId="095797E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除以上情况之外出现工程量清单错误的，不调整合同价格。</w:t>
      </w:r>
      <w:r>
        <w:rPr>
          <w:rFonts w:hint="eastAsia" w:ascii="宋体" w:hAnsi="宋体" w:cs="宋体"/>
          <w:color w:val="auto"/>
          <w:sz w:val="22"/>
          <w:szCs w:val="22"/>
          <w:u w:val="single"/>
        </w:rPr>
        <w:t>发包人提供的措施费用清单仅供承包人参考，承包人可根据自身实际情况对措施项目进行增减，磋商工程量清单中的所有措施项目出现错误、缺项、漏项情况时，不属于调整价格范围。磋商图纸中的所有项目的措施费均包含在本合同价格中，承包人不得以措施项目漏项为由提出任何补偿及图纸修改</w:t>
      </w:r>
      <w:r>
        <w:rPr>
          <w:rFonts w:hint="eastAsia" w:ascii="宋体" w:hAnsi="宋体" w:cs="宋体"/>
          <w:color w:val="auto"/>
          <w:sz w:val="22"/>
          <w:szCs w:val="22"/>
        </w:rPr>
        <w:t>。</w:t>
      </w:r>
    </w:p>
    <w:p w14:paraId="58E11028">
      <w:pPr>
        <w:pStyle w:val="61"/>
        <w:spacing w:line="360" w:lineRule="exact"/>
        <w:ind w:firstLine="440" w:firstLineChars="200"/>
        <w:rPr>
          <w:rFonts w:hint="eastAsia" w:ascii="宋体" w:hAnsi="宋体" w:cs="宋体"/>
          <w:b/>
          <w:color w:val="auto"/>
          <w:sz w:val="22"/>
          <w:szCs w:val="22"/>
        </w:rPr>
      </w:pPr>
      <w:r>
        <w:rPr>
          <w:rFonts w:hint="eastAsia" w:ascii="宋体" w:hAnsi="宋体" w:cs="宋体"/>
          <w:color w:val="auto"/>
          <w:sz w:val="22"/>
          <w:szCs w:val="22"/>
        </w:rPr>
        <w:t>允许调整合同价格的工程量偏差范围及其调整办法：</w:t>
      </w:r>
      <w:r>
        <w:rPr>
          <w:rFonts w:hint="eastAsia" w:ascii="宋体" w:hAnsi="宋体" w:cs="宋体"/>
          <w:color w:val="auto"/>
          <w:sz w:val="22"/>
          <w:szCs w:val="22"/>
          <w:u w:val="single"/>
        </w:rPr>
        <w:t>无。</w:t>
      </w:r>
    </w:p>
    <w:p w14:paraId="74F30EB0">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承包人承诺，磋商合同总价中包含了本项目全部已</w:t>
      </w:r>
      <w:r>
        <w:rPr>
          <w:rFonts w:hint="eastAsia" w:ascii="宋体" w:hAnsi="宋体" w:cs="宋体"/>
          <w:color w:val="auto"/>
          <w:sz w:val="22"/>
          <w:szCs w:val="22"/>
          <w:u w:val="single"/>
          <w:lang w:val="en-US" w:eastAsia="zh-CN"/>
        </w:rPr>
        <w:t>预</w:t>
      </w:r>
      <w:r>
        <w:rPr>
          <w:rFonts w:hint="eastAsia" w:ascii="宋体" w:hAnsi="宋体" w:cs="宋体"/>
          <w:color w:val="auto"/>
          <w:sz w:val="22"/>
          <w:szCs w:val="22"/>
          <w:u w:val="single"/>
        </w:rPr>
        <w:t>料的和（或）未预料到的单价措施和总价措施费用，包括但不限于如下项目：临时设施、施工用电、柴油发电、围堰、基坑支护、作业平台、大型机械进出场</w:t>
      </w:r>
      <w:r>
        <w:rPr>
          <w:rFonts w:hint="eastAsia" w:ascii="宋体" w:hAnsi="宋体" w:cs="宋体"/>
          <w:color w:val="auto"/>
          <w:sz w:val="22"/>
          <w:szCs w:val="22"/>
          <w:u w:val="single"/>
          <w:lang w:val="en-US" w:eastAsia="zh-CN"/>
        </w:rPr>
        <w:t>及</w:t>
      </w:r>
      <w:r>
        <w:rPr>
          <w:rFonts w:hint="eastAsia" w:ascii="宋体" w:hAnsi="宋体" w:cs="宋体"/>
          <w:color w:val="auto"/>
          <w:sz w:val="22"/>
          <w:szCs w:val="22"/>
          <w:u w:val="single"/>
        </w:rPr>
        <w:t>安拆、便道及便桥、施工降排水、安全文明施工及其他措施项目，未按期竣工（其中包括承包人原因和征地拆迁等承包人原因引起的工期顺延）增加的全部费用。</w:t>
      </w:r>
    </w:p>
    <w:p w14:paraId="79D60CAF">
      <w:pPr>
        <w:pStyle w:val="71"/>
        <w:spacing w:before="0" w:after="0" w:line="360" w:lineRule="exact"/>
        <w:ind w:firstLine="442" w:firstLineChars="200"/>
        <w:rPr>
          <w:rFonts w:hint="eastAsia" w:ascii="宋体" w:hAnsi="宋体" w:cs="宋体"/>
          <w:color w:val="auto"/>
          <w:sz w:val="22"/>
          <w:szCs w:val="22"/>
        </w:rPr>
      </w:pPr>
      <w:bookmarkStart w:id="202" w:name="_Toc395382504"/>
      <w:bookmarkStart w:id="203" w:name="_Toc12975892"/>
      <w:bookmarkStart w:id="204" w:name="_Toc533432727"/>
      <w:bookmarkStart w:id="205" w:name="_Toc373227702"/>
      <w:bookmarkStart w:id="206" w:name="_Toc389065268"/>
      <w:bookmarkStart w:id="207" w:name="_Toc351203634"/>
      <w:bookmarkStart w:id="208" w:name="_Toc373478349"/>
      <w:r>
        <w:rPr>
          <w:rFonts w:hint="eastAsia" w:ascii="宋体" w:hAnsi="宋体" w:cs="宋体"/>
          <w:color w:val="auto"/>
          <w:sz w:val="22"/>
          <w:szCs w:val="22"/>
        </w:rPr>
        <w:t>2</w:t>
      </w:r>
      <w:bookmarkStart w:id="209" w:name="_Toc292559362"/>
      <w:bookmarkStart w:id="210" w:name="_Toc292559867"/>
      <w:bookmarkStart w:id="211" w:name="_Toc296890985"/>
      <w:bookmarkStart w:id="212" w:name="_Toc296503157"/>
      <w:bookmarkStart w:id="213" w:name="_Toc296347156"/>
      <w:bookmarkStart w:id="214" w:name="_Toc296346658"/>
      <w:bookmarkStart w:id="215" w:name="_Toc297120457"/>
      <w:bookmarkStart w:id="216" w:name="_Toc296944496"/>
      <w:bookmarkStart w:id="217" w:name="_Toc296891197"/>
      <w:bookmarkStart w:id="218" w:name="_Toc297048343"/>
      <w:r>
        <w:rPr>
          <w:rFonts w:hint="eastAsia" w:ascii="宋体" w:hAnsi="宋体" w:cs="宋体"/>
          <w:color w:val="auto"/>
          <w:sz w:val="22"/>
          <w:szCs w:val="22"/>
        </w:rPr>
        <w:t>. 发包人</w:t>
      </w:r>
      <w:bookmarkEnd w:id="202"/>
      <w:bookmarkEnd w:id="203"/>
      <w:bookmarkEnd w:id="204"/>
      <w:bookmarkEnd w:id="205"/>
      <w:bookmarkEnd w:id="206"/>
      <w:bookmarkEnd w:id="207"/>
      <w:bookmarkEnd w:id="208"/>
    </w:p>
    <w:bookmarkEnd w:id="209"/>
    <w:bookmarkEnd w:id="210"/>
    <w:bookmarkEnd w:id="211"/>
    <w:bookmarkEnd w:id="212"/>
    <w:bookmarkEnd w:id="213"/>
    <w:bookmarkEnd w:id="214"/>
    <w:bookmarkEnd w:id="215"/>
    <w:bookmarkEnd w:id="216"/>
    <w:bookmarkEnd w:id="217"/>
    <w:bookmarkEnd w:id="218"/>
    <w:p w14:paraId="3F91F293">
      <w:pPr>
        <w:pStyle w:val="40"/>
        <w:spacing w:line="360" w:lineRule="exact"/>
        <w:ind w:firstLine="442" w:firstLineChars="200"/>
        <w:rPr>
          <w:rFonts w:hint="eastAsia" w:ascii="宋体" w:hAnsi="宋体" w:cs="宋体"/>
          <w:color w:val="auto"/>
          <w:sz w:val="22"/>
          <w:szCs w:val="22"/>
        </w:rPr>
      </w:pPr>
      <w:bookmarkStart w:id="219" w:name="_Toc373227703"/>
      <w:bookmarkStart w:id="220" w:name="_Toc12975893"/>
      <w:bookmarkStart w:id="221" w:name="_Toc533432728"/>
      <w:bookmarkStart w:id="222" w:name="_Toc395382505"/>
      <w:bookmarkStart w:id="223" w:name="_Toc373478350"/>
      <w:bookmarkStart w:id="224" w:name="_Toc389065269"/>
      <w:r>
        <w:rPr>
          <w:rFonts w:hint="eastAsia" w:ascii="宋体" w:hAnsi="宋体" w:cs="宋体"/>
          <w:color w:val="auto"/>
          <w:sz w:val="22"/>
          <w:szCs w:val="22"/>
        </w:rPr>
        <w:t>2.2 发包人代表</w:t>
      </w:r>
      <w:bookmarkEnd w:id="219"/>
      <w:bookmarkEnd w:id="220"/>
      <w:bookmarkEnd w:id="221"/>
      <w:bookmarkEnd w:id="222"/>
      <w:bookmarkEnd w:id="223"/>
      <w:bookmarkEnd w:id="224"/>
    </w:p>
    <w:p w14:paraId="176B3A3C">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发包人代表：</w:t>
      </w:r>
    </w:p>
    <w:p w14:paraId="4BBBB51F">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404EC01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2A66DED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272D1AF1">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 </w:t>
      </w:r>
      <w:r>
        <w:rPr>
          <w:rFonts w:hint="eastAsia" w:ascii="宋体" w:hAnsi="宋体" w:cs="宋体"/>
          <w:color w:val="auto"/>
          <w:sz w:val="22"/>
        </w:rPr>
        <w:t>；</w:t>
      </w:r>
    </w:p>
    <w:p w14:paraId="799A78E3">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  </w:t>
      </w:r>
      <w:r>
        <w:rPr>
          <w:rFonts w:hint="eastAsia" w:ascii="宋体" w:hAnsi="宋体" w:cs="宋体"/>
          <w:color w:val="auto"/>
          <w:sz w:val="22"/>
        </w:rPr>
        <w:t>；</w:t>
      </w:r>
    </w:p>
    <w:p w14:paraId="35DD417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9A61B4">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发包人对发包人代表的授权范围如下：</w:t>
      </w:r>
      <w:r>
        <w:rPr>
          <w:rFonts w:hint="eastAsia" w:ascii="宋体" w:hAnsi="宋体" w:cs="宋体"/>
          <w:color w:val="auto"/>
          <w:sz w:val="22"/>
          <w:u w:val="single"/>
        </w:rPr>
        <w:t></w:t>
      </w:r>
      <w:r>
        <w:rPr>
          <w:rFonts w:hint="eastAsia" w:ascii="宋体" w:hAnsi="宋体" w:cs="宋体"/>
          <w:bCs/>
          <w:color w:val="auto"/>
          <w:sz w:val="22"/>
          <w:u w:val="single"/>
        </w:rPr>
        <w:t>对本工程质量、工期、进度、安全、文明施工及材料和设备进场进行监督检查；对涉及工期延长、设计变更和现场收方等的相关事项作出处理；办理中间交工工程验收手续；协调施工现场及外部有关事宜</w:t>
      </w:r>
      <w:r>
        <w:rPr>
          <w:rFonts w:hint="eastAsia" w:ascii="宋体" w:hAnsi="宋体" w:cs="宋体"/>
          <w:color w:val="auto"/>
          <w:sz w:val="22"/>
          <w:u w:val="single"/>
        </w:rPr>
        <w:t xml:space="preserve"> </w:t>
      </w:r>
      <w:r>
        <w:rPr>
          <w:rFonts w:hint="eastAsia" w:ascii="宋体" w:hAnsi="宋体" w:cs="宋体"/>
          <w:color w:val="auto"/>
          <w:sz w:val="22"/>
        </w:rPr>
        <w:t>。</w:t>
      </w:r>
    </w:p>
    <w:p w14:paraId="0865FC46">
      <w:pPr>
        <w:pStyle w:val="40"/>
        <w:spacing w:line="360" w:lineRule="exact"/>
        <w:ind w:firstLine="442" w:firstLineChars="200"/>
        <w:rPr>
          <w:rFonts w:hint="eastAsia" w:ascii="宋体" w:hAnsi="宋体" w:cs="宋体"/>
          <w:color w:val="auto"/>
          <w:sz w:val="22"/>
          <w:szCs w:val="22"/>
        </w:rPr>
      </w:pPr>
      <w:bookmarkStart w:id="225" w:name="_Toc12975894"/>
      <w:bookmarkStart w:id="226" w:name="_Toc533432729"/>
      <w:bookmarkStart w:id="227" w:name="_Toc373227704"/>
      <w:bookmarkStart w:id="228" w:name="_Toc373478351"/>
      <w:bookmarkStart w:id="229" w:name="_Toc395382506"/>
      <w:bookmarkStart w:id="230" w:name="_Toc389065270"/>
      <w:r>
        <w:rPr>
          <w:rFonts w:hint="eastAsia" w:ascii="宋体" w:hAnsi="宋体" w:cs="宋体"/>
          <w:color w:val="auto"/>
          <w:sz w:val="22"/>
          <w:szCs w:val="22"/>
        </w:rPr>
        <w:t>2.4 施工现场、施工条件和基础资料的提供</w:t>
      </w:r>
      <w:bookmarkEnd w:id="225"/>
      <w:bookmarkEnd w:id="226"/>
      <w:bookmarkEnd w:id="227"/>
      <w:bookmarkEnd w:id="228"/>
      <w:bookmarkEnd w:id="229"/>
      <w:bookmarkEnd w:id="230"/>
    </w:p>
    <w:p w14:paraId="4D3F6C2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2.4.1 提供施工现场</w:t>
      </w:r>
    </w:p>
    <w:p w14:paraId="620D1439">
      <w:pPr>
        <w:pStyle w:val="61"/>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szCs w:val="22"/>
        </w:rPr>
        <w:t>关于发包人移交施工现场的期限要求：</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发包人应最迟于开工</w:t>
      </w:r>
      <w:r>
        <w:rPr>
          <w:rFonts w:hint="eastAsia" w:ascii="宋体" w:hAnsi="宋体" w:cs="宋体"/>
          <w:color w:val="auto"/>
          <w:sz w:val="22"/>
          <w:szCs w:val="22"/>
          <w:highlight w:val="none"/>
          <w:u w:val="single"/>
        </w:rPr>
        <w:t>日期</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天前</w:t>
      </w:r>
      <w:r>
        <w:rPr>
          <w:rFonts w:hint="eastAsia" w:ascii="宋体" w:hAnsi="宋体" w:cs="宋体"/>
          <w:color w:val="auto"/>
          <w:sz w:val="22"/>
          <w:szCs w:val="22"/>
          <w:u w:val="single"/>
        </w:rPr>
        <w:t>向承包人移交部分施工现场。发包人根据征地进展安排，分期</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也可以一次</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将施工所需的永久占地办妥征用以及拆迁赔偿手续，通知承包人使用，以使承包人能够连续不间断地施工</w:t>
      </w:r>
      <w:r>
        <w:rPr>
          <w:rFonts w:hint="eastAsia" w:ascii="宋体" w:hAnsi="宋体" w:cs="宋体"/>
          <w:color w:val="auto"/>
          <w:sz w:val="22"/>
          <w:szCs w:val="22"/>
          <w:u w:val="none"/>
        </w:rPr>
        <w:t>。</w:t>
      </w:r>
    </w:p>
    <w:p w14:paraId="5FC5FFEE">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本工程可供承包人使用的场地仅为经规划部门批准的红线范围或借地范围（具体以发包人提供的初步设计文件及资料为准），承包人应无条件接受现场条件。超出上述范围需要使用的场地，均由承包人自行解决，并自行办妥一切需要办理的手续，由此引起的一切纠纷、事故和赔偿责任，均由承包人承担。如果由于发包人未能按照本款规定办妥永久占地征用手续，而影响承包人工程的施工，承包人须及时调整工程施工组织安排并报监理人批准，合理组织和安排工程施工。因此导致承包人延误工期或增加费用时，发包人仅考虑适当延长工期作为补偿。</w:t>
      </w:r>
    </w:p>
    <w:p w14:paraId="61FBD90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2.4.2 提供施工条件</w:t>
      </w:r>
    </w:p>
    <w:p w14:paraId="6F84C858">
      <w:pPr>
        <w:pStyle w:val="61"/>
        <w:spacing w:line="360" w:lineRule="exact"/>
        <w:ind w:firstLine="440" w:firstLineChars="200"/>
        <w:rPr>
          <w:rFonts w:hint="eastAsia" w:ascii="宋体" w:hAnsi="宋体" w:cs="宋体"/>
          <w:bCs/>
          <w:color w:val="auto"/>
          <w:sz w:val="22"/>
          <w:szCs w:val="22"/>
          <w:u w:val="single"/>
        </w:rPr>
      </w:pPr>
      <w:r>
        <w:rPr>
          <w:rFonts w:hint="eastAsia" w:ascii="宋体" w:hAnsi="宋体" w:cs="宋体"/>
          <w:color w:val="auto"/>
          <w:sz w:val="22"/>
          <w:szCs w:val="22"/>
        </w:rPr>
        <w:t>关于发包人应负责提供施工所需要的条件，包括：</w:t>
      </w:r>
      <w:r>
        <w:rPr>
          <w:rFonts w:hint="eastAsia" w:ascii="宋体" w:hAnsi="宋体" w:cs="宋体"/>
          <w:bCs/>
          <w:color w:val="auto"/>
          <w:sz w:val="22"/>
          <w:szCs w:val="22"/>
          <w:u w:val="single"/>
        </w:rPr>
        <w:t>施工所需的水、电、气、通讯等管线接至施工场地的均由承包人自行负责，并承担相关费用。若供电和供水部门的原因造成停电停水或承包人未能及时报装，承包人必须自行解决，费用由承包人负责。发包人的协助不能免除或减轻承包人的任何责任</w:t>
      </w:r>
      <w:r>
        <w:rPr>
          <w:rFonts w:hint="eastAsia" w:ascii="宋体" w:hAnsi="宋体" w:cs="宋体"/>
          <w:bCs/>
          <w:color w:val="auto"/>
          <w:sz w:val="22"/>
          <w:szCs w:val="22"/>
          <w:u w:val="none"/>
        </w:rPr>
        <w:t>。</w:t>
      </w:r>
    </w:p>
    <w:p w14:paraId="0ACCD35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临时占地属于本合同内容的一部分，费用已包含在合同总价中，临时占地由承包人向当地政府土地管理部门申请，并办理租用手续，承包人按有关规定直接支付其费用。</w:t>
      </w:r>
    </w:p>
    <w:p w14:paraId="1C98224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范围包括承包人驻地的办公室、食堂、宿舍、道路和机械设备停放场、材料堆放场地、取土场、弃土场、预制场、拌和场、仓库、进场临时道路、临时便道、便桥等与本工程有关的临时占地。承包人应在“临时占地计划表”范围内按实际需要与先后次序，提出具体计划报监理人和发包人。临时占地的面积和使用期应满足工程需要，费用包括临时占地数量、时间及因此而发生的协调、租用、复耕、地面附着物的拆迁补偿等相关费用。尽管承包人按照磋商文件中的“临时占地计划表”所述用地开展施工，但仍不满足实际需要时，承包人需自费增加临时占地的面积和使用期。</w:t>
      </w:r>
    </w:p>
    <w:p w14:paraId="4DCD6521">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临时占地退还前，承包人应自费恢复到临时占地使用前的状况。如因承包人撤离后未按要求对临时占地进行恢复或虽进行了恢复但未达到使用标准的，将由发包人委托第三方对其恢复，所发生的费用将从应付或拟付给承包人的任何款项内扣除</w:t>
      </w:r>
      <w:r>
        <w:rPr>
          <w:rFonts w:hint="eastAsia" w:ascii="宋体" w:hAnsi="宋体" w:cs="宋体"/>
          <w:color w:val="auto"/>
          <w:sz w:val="22"/>
          <w:szCs w:val="22"/>
          <w:u w:val="none"/>
        </w:rPr>
        <w:t>。</w:t>
      </w:r>
    </w:p>
    <w:p w14:paraId="06C66A9D">
      <w:pPr>
        <w:pStyle w:val="40"/>
        <w:spacing w:line="360" w:lineRule="exact"/>
        <w:ind w:firstLine="442" w:firstLineChars="200"/>
        <w:rPr>
          <w:rFonts w:hint="eastAsia" w:ascii="宋体" w:hAnsi="宋体" w:cs="宋体"/>
          <w:color w:val="auto"/>
          <w:sz w:val="22"/>
          <w:szCs w:val="22"/>
        </w:rPr>
      </w:pPr>
      <w:bookmarkStart w:id="231" w:name="_Toc395382507"/>
      <w:bookmarkStart w:id="232" w:name="_Toc373478352"/>
      <w:bookmarkStart w:id="233" w:name="_Toc12975895"/>
      <w:bookmarkStart w:id="234" w:name="_Toc533432730"/>
      <w:bookmarkStart w:id="235" w:name="_Toc373227705"/>
      <w:bookmarkStart w:id="236" w:name="_Toc389065271"/>
      <w:r>
        <w:rPr>
          <w:rFonts w:hint="eastAsia" w:ascii="宋体" w:hAnsi="宋体" w:cs="宋体"/>
          <w:color w:val="auto"/>
          <w:sz w:val="22"/>
          <w:szCs w:val="22"/>
        </w:rPr>
        <w:t>2.5 资金来源证明及支付担保</w:t>
      </w:r>
      <w:bookmarkEnd w:id="231"/>
      <w:bookmarkEnd w:id="232"/>
      <w:bookmarkEnd w:id="233"/>
      <w:bookmarkEnd w:id="234"/>
      <w:bookmarkEnd w:id="235"/>
      <w:bookmarkEnd w:id="236"/>
    </w:p>
    <w:p w14:paraId="74FC754F">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发包人提供资金来源证明的期限要求：</w:t>
      </w:r>
      <w:r>
        <w:rPr>
          <w:rFonts w:hint="eastAsia" w:ascii="宋体" w:hAnsi="宋体" w:cs="宋体"/>
          <w:color w:val="auto"/>
          <w:sz w:val="22"/>
          <w:u w:val="single"/>
        </w:rPr>
        <w:t xml:space="preserve">不提供  </w:t>
      </w:r>
      <w:r>
        <w:rPr>
          <w:rFonts w:hint="eastAsia" w:ascii="宋体" w:hAnsi="宋体" w:cs="宋体"/>
          <w:color w:val="auto"/>
          <w:sz w:val="22"/>
        </w:rPr>
        <w:t>。</w:t>
      </w:r>
    </w:p>
    <w:p w14:paraId="1E7F2A6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发包人是否提供支付担保：</w:t>
      </w:r>
      <w:r>
        <w:rPr>
          <w:rFonts w:hint="eastAsia" w:ascii="宋体" w:hAnsi="宋体" w:cs="宋体"/>
          <w:color w:val="auto"/>
          <w:sz w:val="22"/>
          <w:u w:val="single"/>
        </w:rPr>
        <w:t xml:space="preserve">不提供  </w:t>
      </w:r>
      <w:r>
        <w:rPr>
          <w:rFonts w:hint="eastAsia" w:ascii="宋体" w:hAnsi="宋体" w:cs="宋体"/>
          <w:color w:val="auto"/>
          <w:sz w:val="22"/>
        </w:rPr>
        <w:t>。</w:t>
      </w:r>
    </w:p>
    <w:p w14:paraId="47BB35A1">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发包人提供支付担保的形式：</w:t>
      </w:r>
      <w:r>
        <w:rPr>
          <w:rFonts w:hint="eastAsia" w:ascii="宋体" w:hAnsi="宋体" w:cs="宋体"/>
          <w:color w:val="auto"/>
          <w:sz w:val="22"/>
          <w:u w:val="single"/>
        </w:rPr>
        <w:t>无</w:t>
      </w:r>
      <w:r>
        <w:rPr>
          <w:rFonts w:hint="eastAsia" w:ascii="宋体" w:hAnsi="宋体" w:cs="宋体"/>
          <w:color w:val="auto"/>
          <w:sz w:val="22"/>
        </w:rPr>
        <w:t>。</w:t>
      </w:r>
    </w:p>
    <w:p w14:paraId="5F6D765B">
      <w:pPr>
        <w:pStyle w:val="41"/>
        <w:spacing w:line="360" w:lineRule="exact"/>
        <w:ind w:firstLine="440" w:firstLineChars="200"/>
        <w:rPr>
          <w:rFonts w:hint="eastAsia" w:ascii="宋体" w:hAnsi="宋体" w:cs="宋体"/>
          <w:color w:val="auto"/>
          <w:sz w:val="22"/>
          <w:u w:val="single"/>
        </w:rPr>
      </w:pPr>
    </w:p>
    <w:p w14:paraId="0441EA2D">
      <w:pPr>
        <w:pStyle w:val="71"/>
        <w:spacing w:before="0" w:after="0" w:line="360" w:lineRule="exact"/>
        <w:ind w:firstLine="442" w:firstLineChars="200"/>
        <w:rPr>
          <w:rFonts w:hint="eastAsia" w:ascii="宋体" w:hAnsi="宋体" w:cs="宋体"/>
          <w:color w:val="auto"/>
          <w:sz w:val="22"/>
          <w:szCs w:val="22"/>
        </w:rPr>
      </w:pPr>
      <w:bookmarkStart w:id="237" w:name="_Toc351203635"/>
      <w:bookmarkStart w:id="238" w:name="_Toc389065272"/>
      <w:bookmarkStart w:id="239" w:name="_Toc373478353"/>
      <w:bookmarkStart w:id="240" w:name="_Toc373227706"/>
      <w:bookmarkStart w:id="241" w:name="_Toc395382508"/>
      <w:bookmarkStart w:id="242" w:name="_Toc533432731"/>
      <w:bookmarkStart w:id="243" w:name="_Toc12975896"/>
      <w:r>
        <w:rPr>
          <w:rFonts w:hint="eastAsia" w:ascii="宋体" w:hAnsi="宋体" w:cs="宋体"/>
          <w:color w:val="auto"/>
          <w:sz w:val="22"/>
          <w:szCs w:val="22"/>
        </w:rPr>
        <w:t>3</w:t>
      </w:r>
      <w:bookmarkStart w:id="244" w:name="_Toc296944497"/>
      <w:bookmarkStart w:id="245" w:name="_Toc297048344"/>
      <w:bookmarkStart w:id="246" w:name="_Toc296890986"/>
      <w:bookmarkStart w:id="247" w:name="_Toc292559868"/>
      <w:bookmarkStart w:id="248" w:name="_Toc297120458"/>
      <w:bookmarkStart w:id="249" w:name="_Toc296346659"/>
      <w:bookmarkStart w:id="250" w:name="_Toc296347157"/>
      <w:bookmarkStart w:id="251" w:name="_Toc292559363"/>
      <w:bookmarkStart w:id="252" w:name="_Toc296891198"/>
      <w:bookmarkStart w:id="253" w:name="_Toc296503158"/>
      <w:r>
        <w:rPr>
          <w:rFonts w:hint="eastAsia" w:ascii="宋体" w:hAnsi="宋体" w:cs="宋体"/>
          <w:color w:val="auto"/>
          <w:sz w:val="22"/>
          <w:szCs w:val="22"/>
        </w:rPr>
        <w:t>. 承包人</w:t>
      </w:r>
      <w:bookmarkEnd w:id="237"/>
      <w:bookmarkEnd w:id="238"/>
      <w:bookmarkEnd w:id="239"/>
      <w:bookmarkEnd w:id="240"/>
      <w:bookmarkEnd w:id="241"/>
      <w:bookmarkEnd w:id="242"/>
      <w:bookmarkEnd w:id="243"/>
    </w:p>
    <w:bookmarkEnd w:id="244"/>
    <w:bookmarkEnd w:id="245"/>
    <w:bookmarkEnd w:id="246"/>
    <w:bookmarkEnd w:id="247"/>
    <w:bookmarkEnd w:id="248"/>
    <w:bookmarkEnd w:id="249"/>
    <w:bookmarkEnd w:id="250"/>
    <w:bookmarkEnd w:id="251"/>
    <w:bookmarkEnd w:id="252"/>
    <w:bookmarkEnd w:id="253"/>
    <w:p w14:paraId="61BAB3E1">
      <w:pPr>
        <w:pStyle w:val="40"/>
        <w:spacing w:line="360" w:lineRule="exact"/>
        <w:ind w:firstLine="442" w:firstLineChars="200"/>
        <w:rPr>
          <w:rFonts w:hint="eastAsia" w:ascii="宋体" w:hAnsi="宋体" w:cs="宋体"/>
          <w:color w:val="auto"/>
          <w:sz w:val="22"/>
          <w:szCs w:val="22"/>
        </w:rPr>
      </w:pPr>
      <w:bookmarkStart w:id="254" w:name="_Toc373478354"/>
      <w:bookmarkStart w:id="255" w:name="_Toc389065273"/>
      <w:bookmarkStart w:id="256" w:name="_Toc395382509"/>
      <w:bookmarkStart w:id="257" w:name="_Toc533432732"/>
      <w:bookmarkStart w:id="258" w:name="_Toc373227707"/>
      <w:bookmarkStart w:id="259" w:name="_Toc12975897"/>
      <w:r>
        <w:rPr>
          <w:rFonts w:hint="eastAsia" w:ascii="宋体" w:hAnsi="宋体" w:cs="宋体"/>
          <w:color w:val="auto"/>
          <w:sz w:val="22"/>
          <w:szCs w:val="22"/>
        </w:rPr>
        <w:t>3.1 承包人的一般义务</w:t>
      </w:r>
      <w:bookmarkEnd w:id="254"/>
      <w:bookmarkEnd w:id="255"/>
      <w:bookmarkEnd w:id="256"/>
      <w:bookmarkEnd w:id="257"/>
      <w:bookmarkEnd w:id="258"/>
      <w:bookmarkEnd w:id="259"/>
    </w:p>
    <w:p w14:paraId="7A5009C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（9）</w:t>
      </w:r>
      <w:r>
        <w:rPr>
          <w:rFonts w:hint="eastAsia" w:ascii="宋体" w:hAnsi="宋体" w:cs="宋体"/>
          <w:color w:val="auto"/>
          <w:sz w:val="22"/>
        </w:rPr>
        <w:t>承包人提交的竣工资料的内容：</w:t>
      </w:r>
      <w:r>
        <w:rPr>
          <w:rFonts w:hint="eastAsia" w:ascii="宋体" w:hAnsi="宋体" w:cs="宋体"/>
          <w:color w:val="auto"/>
          <w:sz w:val="22"/>
          <w:u w:val="single"/>
        </w:rPr>
        <w:t>工程施工技术资料、工程质量资料、工程检验评定资料、竣工图，项目所在地建设主管部门规定的其他应交资料</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451E0A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承包人需要提交的竣工资料套数：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四套</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84DD88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承包人提交的竣工资料的费用承担：</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由承包人承担</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461AF29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承包人提交的竣工资料移交时间：</w:t>
      </w:r>
      <w:r>
        <w:rPr>
          <w:rFonts w:hint="eastAsia" w:ascii="宋体" w:hAnsi="宋体" w:cs="宋体"/>
          <w:color w:val="auto"/>
          <w:sz w:val="22"/>
          <w:u w:val="single"/>
        </w:rPr>
        <w:t xml:space="preserve">竣工验收合格之日起30天内 </w:t>
      </w:r>
      <w:r>
        <w:rPr>
          <w:rFonts w:hint="eastAsia" w:ascii="宋体" w:hAnsi="宋体" w:cs="宋体"/>
          <w:color w:val="auto"/>
          <w:sz w:val="22"/>
        </w:rPr>
        <w:t>。</w:t>
      </w:r>
    </w:p>
    <w:p w14:paraId="5E35B59B">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承包人提交的竣工资料形式要求：</w:t>
      </w:r>
      <w:r>
        <w:rPr>
          <w:rFonts w:hint="eastAsia" w:ascii="宋体" w:hAnsi="宋体" w:cs="宋体"/>
          <w:color w:val="auto"/>
          <w:sz w:val="22"/>
          <w:u w:val="single"/>
        </w:rPr>
        <w:t>书</w:t>
      </w:r>
      <w:r>
        <w:rPr>
          <w:rFonts w:hint="eastAsia" w:ascii="宋体" w:hAnsi="宋体" w:cs="宋体"/>
          <w:color w:val="auto"/>
          <w:sz w:val="22"/>
          <w:highlight w:val="none"/>
          <w:u w:val="single"/>
        </w:rPr>
        <w:t>面</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含电子扫描版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及电子文</w:t>
      </w:r>
      <w:r>
        <w:rPr>
          <w:rFonts w:hint="eastAsia" w:ascii="宋体" w:hAnsi="宋体" w:cs="宋体"/>
          <w:color w:val="auto"/>
          <w:sz w:val="22"/>
          <w:u w:val="single"/>
        </w:rPr>
        <w:t xml:space="preserve">档 </w:t>
      </w:r>
      <w:r>
        <w:rPr>
          <w:rFonts w:hint="eastAsia" w:ascii="宋体" w:hAnsi="宋体" w:cs="宋体"/>
          <w:color w:val="auto"/>
          <w:sz w:val="22"/>
        </w:rPr>
        <w:t>。</w:t>
      </w:r>
    </w:p>
    <w:p w14:paraId="7D43061C">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rPr>
        <w:t>（10）承包人应履行的其他义务：</w:t>
      </w:r>
      <w:r>
        <w:rPr>
          <w:rFonts w:hint="eastAsia" w:ascii="宋体" w:hAnsi="宋体" w:cs="宋体"/>
          <w:color w:val="auto"/>
          <w:kern w:val="0"/>
          <w:sz w:val="22"/>
          <w:szCs w:val="22"/>
          <w:u w:val="single"/>
        </w:rPr>
        <w:t>1）协调处理施工场地内及场地周围地下管线和邻近市政公用物、构筑物（含文物保护市政公用）、古树名木的保护工作；若发生上述情况所产生的费用，由承包人承担（包含于合同总价中）。2）充分考虑工地现场的周围环境、交通道路、现场条件、施工图纸、施工组织设计、施工技术措施、安全文明施工措施等因素，应积极做好综合组织和协调，负责解决施工扰民和</w:t>
      </w:r>
      <w:r>
        <w:rPr>
          <w:rFonts w:hint="eastAsia" w:ascii="宋体" w:hAnsi="宋体" w:cs="宋体"/>
          <w:color w:val="auto"/>
          <w:kern w:val="0"/>
          <w:sz w:val="22"/>
          <w:szCs w:val="22"/>
          <w:u w:val="single"/>
          <w:lang w:eastAsia="zh-CN"/>
        </w:rPr>
        <w:t>扰民</w:t>
      </w:r>
      <w:r>
        <w:rPr>
          <w:rFonts w:hint="eastAsia" w:ascii="宋体" w:hAnsi="宋体" w:cs="宋体"/>
          <w:color w:val="auto"/>
          <w:kern w:val="0"/>
          <w:sz w:val="22"/>
          <w:szCs w:val="22"/>
          <w:u w:val="single"/>
        </w:rPr>
        <w:t>问题。3）承包人负责补遗工作，即对于任何属于本工程的工作范围，但未以文字形式明确约定属于承包人的工作，且未在合同中以文字形式明确约定为属于发包人自行完成的工作范围，此类工作应由承包人作为本工程的责任和义务自行完成。4）对于施工过程中有需发包人配合完成的工作，承包人应提前足够时间通知发包人。5) 施工区内临时设施、水电管线安装和保养，施工现场内地下管线和临近市政公用物、构筑物及临街交通要道、人行道的保护，费用由承包人负担。因承包人防护不力而发生事故，相关责任和费用由承包人承担。承包人施工完毕后，对所破坏的公共设施、劳动成果及道路应修复原貌，若承包人无能力或未在规定的时间内修复，由发包人代为修复，费用由承包人承担，由工程款中相应核减。6) 承包人须在现场踏勘的基础上充分考虑场内临时道路的施工维护，并在合同总价中包含。7) 档案管理要求：</w:t>
      </w:r>
    </w:p>
    <w:p w14:paraId="7FD36900">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①承包人应设置负责施工档案管理的负责人。</w:t>
      </w:r>
    </w:p>
    <w:p w14:paraId="2521E565">
      <w:pPr>
        <w:pStyle w:val="61"/>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u w:val="single"/>
        </w:rPr>
        <w:t>②承包人应确保本单位施工档案的形</w:t>
      </w:r>
      <w:r>
        <w:rPr>
          <w:rFonts w:hint="eastAsia" w:ascii="宋体" w:hAnsi="宋体" w:cs="宋体"/>
          <w:color w:val="auto"/>
          <w:kern w:val="0"/>
          <w:sz w:val="22"/>
          <w:szCs w:val="22"/>
          <w:highlight w:val="none"/>
          <w:u w:val="single"/>
        </w:rPr>
        <w:t>成与施工进度同步，发包人在支付进度款时</w:t>
      </w:r>
      <w:r>
        <w:rPr>
          <w:rFonts w:hint="eastAsia" w:ascii="宋体" w:hAnsi="宋体" w:cs="宋体"/>
          <w:color w:val="auto"/>
          <w:kern w:val="0"/>
          <w:sz w:val="22"/>
          <w:szCs w:val="22"/>
          <w:highlight w:val="none"/>
          <w:u w:val="single"/>
          <w:lang w:val="en-US" w:eastAsia="zh-CN"/>
        </w:rPr>
        <w:t>同时提供施工档案（电子扫描版）</w:t>
      </w:r>
      <w:r>
        <w:rPr>
          <w:rFonts w:hint="eastAsia" w:ascii="宋体" w:hAnsi="宋体" w:cs="宋体"/>
          <w:color w:val="auto"/>
          <w:kern w:val="0"/>
          <w:sz w:val="22"/>
          <w:szCs w:val="22"/>
          <w:highlight w:val="none"/>
          <w:u w:val="single"/>
        </w:rPr>
        <w:t>，如发现档案形成未与施工进度同步，可延迟支付相应进度款，直至同步为止。</w:t>
      </w:r>
    </w:p>
    <w:p w14:paraId="70BD363E">
      <w:pPr>
        <w:pStyle w:val="61"/>
        <w:spacing w:line="3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③承包人应在发包人组织的竣工验收后30日内，将本单位施工过程中形成的所有施工档案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，经监理单位审核确认后，移交给发包人，否则发包人拒绝向其颁发工程接收证书。</w:t>
      </w:r>
    </w:p>
    <w:p w14:paraId="39C1ECEA">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highlight w:val="none"/>
          <w:u w:val="single"/>
        </w:rPr>
        <w:t>④承包人在发包人组织的工程竣工投产验收（初验）前，将经监理单位审核确认的施工档案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含电子扫描版</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rPr>
        <w:t>移交给发包人，是发包人完全支付除质量保证金外剩余款项</w:t>
      </w:r>
      <w:r>
        <w:rPr>
          <w:rFonts w:hint="eastAsia" w:ascii="宋体" w:hAnsi="宋体" w:cs="宋体"/>
          <w:color w:val="auto"/>
          <w:kern w:val="0"/>
          <w:sz w:val="22"/>
          <w:szCs w:val="22"/>
          <w:u w:val="single"/>
        </w:rPr>
        <w:t>的必要条件之一，否则，发包人有权扣除一定比例款项。</w:t>
      </w:r>
    </w:p>
    <w:p w14:paraId="35CDA97A">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 xml:space="preserve">⑤移交给发包人的施工档案应符合以下要求： </w:t>
      </w:r>
    </w:p>
    <w:p w14:paraId="1923C9B1">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移交范围：承包人在合同约定的工程施工过程中形成的所有档案，包括但不限于发包人《科技文件归档范围与整理细则》附件3所列相应的清单及所有资料的电子版；</w:t>
      </w:r>
    </w:p>
    <w:p w14:paraId="13C62331">
      <w:pPr>
        <w:pStyle w:val="61"/>
        <w:spacing w:line="360" w:lineRule="exact"/>
        <w:ind w:firstLine="440" w:firstLineChars="200"/>
        <w:rPr>
          <w:rFonts w:hint="eastAsia" w:ascii="宋体" w:hAnsi="宋体" w:cs="宋体"/>
          <w:color w:val="auto"/>
          <w:kern w:val="0"/>
          <w:sz w:val="22"/>
          <w:szCs w:val="22"/>
          <w:u w:val="single"/>
        </w:rPr>
      </w:pPr>
      <w:r>
        <w:rPr>
          <w:rFonts w:hint="eastAsia" w:ascii="宋体" w:hAnsi="宋体" w:cs="宋体"/>
          <w:color w:val="auto"/>
          <w:kern w:val="0"/>
          <w:sz w:val="22"/>
          <w:szCs w:val="22"/>
          <w:u w:val="single"/>
        </w:rPr>
        <w:t>移交档案质量要求：移交的档案应是原件而非复印件，每份档案齐全、无漏页与破损等情况，签字与盖章手续完备，档案清晰，档案载体能长久保存。</w:t>
      </w:r>
    </w:p>
    <w:p w14:paraId="6CB18CF0">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承包人的项目经理部是民工工资支付行为的主体，承包人的项目经理是民工工资支付的责任人。项目经理部要建立全体民工花名册和工资支付表，确保将工资直接发放给</w:t>
      </w:r>
      <w:r>
        <w:rPr>
          <w:rFonts w:hint="eastAsia" w:ascii="宋体" w:hAnsi="宋体" w:cs="宋体"/>
          <w:color w:val="auto"/>
          <w:sz w:val="22"/>
          <w:szCs w:val="22"/>
          <w:u w:val="single"/>
          <w:lang w:eastAsia="zh-CN"/>
        </w:rPr>
        <w:t>农民工</w:t>
      </w:r>
      <w:r>
        <w:rPr>
          <w:rFonts w:hint="eastAsia" w:ascii="宋体" w:hAnsi="宋体" w:cs="宋体"/>
          <w:color w:val="auto"/>
          <w:sz w:val="22"/>
          <w:szCs w:val="22"/>
          <w:u w:val="single"/>
        </w:rPr>
        <w:t>本人，或委托银行发放民工工资，严禁发放给“包工头”或其他不具备用工主体资格的组织和个人。</w:t>
      </w:r>
    </w:p>
    <w:p w14:paraId="21A117F1">
      <w:pPr>
        <w:pStyle w:val="61"/>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u w:val="single"/>
        </w:rPr>
        <w:t>工资支付表应如实记录支付单位、支付时</w:t>
      </w:r>
      <w:r>
        <w:rPr>
          <w:rFonts w:hint="eastAsia" w:ascii="宋体" w:hAnsi="宋体" w:cs="宋体"/>
          <w:color w:val="auto"/>
          <w:sz w:val="22"/>
          <w:szCs w:val="22"/>
          <w:highlight w:val="none"/>
          <w:u w:val="single"/>
        </w:rPr>
        <w:t>间、支付对象、支付数额、支付对象的身份证号</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工种、联系电话</w:t>
      </w:r>
      <w:r>
        <w:rPr>
          <w:rFonts w:hint="eastAsia" w:ascii="宋体" w:hAnsi="宋体" w:cs="宋体"/>
          <w:color w:val="auto"/>
          <w:sz w:val="22"/>
          <w:szCs w:val="22"/>
          <w:highlight w:val="none"/>
          <w:u w:val="single"/>
        </w:rPr>
        <w:t>和签字等信息。民工花名册和工资支付表应报监理人</w:t>
      </w:r>
      <w:r>
        <w:rPr>
          <w:rFonts w:hint="eastAsia" w:ascii="宋体" w:hAnsi="宋体" w:cs="宋体"/>
          <w:color w:val="auto"/>
          <w:sz w:val="22"/>
          <w:szCs w:val="22"/>
          <w:highlight w:val="none"/>
          <w:u w:val="single"/>
          <w:lang w:val="en-US" w:eastAsia="zh-CN"/>
        </w:rPr>
        <w:t>签字、</w:t>
      </w:r>
      <w:r>
        <w:rPr>
          <w:rFonts w:hint="eastAsia" w:ascii="宋体" w:hAnsi="宋体" w:cs="宋体"/>
          <w:color w:val="auto"/>
          <w:sz w:val="22"/>
          <w:szCs w:val="22"/>
          <w:highlight w:val="none"/>
          <w:u w:val="single"/>
        </w:rPr>
        <w:t>备查</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在申请工程款时同时提交一份给发包方</w:t>
      </w:r>
      <w:r>
        <w:rPr>
          <w:rFonts w:hint="eastAsia" w:ascii="宋体" w:hAnsi="宋体" w:cs="宋体"/>
          <w:color w:val="auto"/>
          <w:sz w:val="22"/>
          <w:szCs w:val="22"/>
          <w:highlight w:val="none"/>
          <w:u w:val="single"/>
        </w:rPr>
        <w:t>。</w:t>
      </w:r>
    </w:p>
    <w:p w14:paraId="3B8506D2">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承包人需根据国家相关法律法规要求提供正式的二次设计施工图及相关计算书，包括但不限于：设计说明、立面图、平面图、大样图、节点图及计算书等。此项费用已包含在合同总价中，承包人不得再要求发包人承担。</w:t>
      </w:r>
    </w:p>
    <w:p w14:paraId="67B76CBF">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u w:val="single"/>
        </w:rPr>
        <w:t>财政局和审计局在处理本项目的造价文件时，可能由于核减率超过相应范围，尽管造成超出部分评审费名义上理应由发包人承担，但由于此部分费用是承包人主张追加合同价款造成的，因此此部分费用双方约定由承包人承担。</w:t>
      </w:r>
    </w:p>
    <w:p w14:paraId="0A7739A1">
      <w:pPr>
        <w:pStyle w:val="61"/>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u w:val="single"/>
        </w:rPr>
        <w:t>发包人不提供取土和弃土场，承包人自行解决，并且需符合相关规定要求。</w:t>
      </w:r>
    </w:p>
    <w:p w14:paraId="27313025">
      <w:pPr>
        <w:pStyle w:val="40"/>
        <w:spacing w:line="360" w:lineRule="exact"/>
        <w:ind w:firstLine="442" w:firstLineChars="200"/>
        <w:rPr>
          <w:rFonts w:hint="eastAsia" w:ascii="宋体" w:hAnsi="宋体" w:cs="宋体"/>
          <w:color w:val="auto"/>
          <w:sz w:val="22"/>
          <w:szCs w:val="22"/>
        </w:rPr>
      </w:pPr>
      <w:bookmarkStart w:id="260" w:name="_Toc533432733"/>
      <w:bookmarkStart w:id="261" w:name="_Toc12975898"/>
      <w:bookmarkStart w:id="262" w:name="_Toc389065274"/>
      <w:bookmarkStart w:id="263" w:name="_Toc395382510"/>
      <w:bookmarkStart w:id="264" w:name="_Toc373227708"/>
      <w:bookmarkStart w:id="265" w:name="_Toc373478355"/>
      <w:r>
        <w:rPr>
          <w:rFonts w:hint="eastAsia" w:ascii="宋体" w:hAnsi="宋体" w:cs="宋体"/>
          <w:color w:val="auto"/>
          <w:sz w:val="22"/>
          <w:szCs w:val="22"/>
        </w:rPr>
        <w:t>3.2 项目经理</w:t>
      </w:r>
      <w:bookmarkEnd w:id="260"/>
      <w:bookmarkEnd w:id="261"/>
      <w:bookmarkEnd w:id="262"/>
      <w:bookmarkEnd w:id="263"/>
      <w:bookmarkEnd w:id="264"/>
      <w:bookmarkEnd w:id="265"/>
    </w:p>
    <w:p w14:paraId="5E8BF720">
      <w:pPr>
        <w:pStyle w:val="41"/>
        <w:spacing w:line="360" w:lineRule="exact"/>
        <w:ind w:firstLine="440" w:firstLineChars="200"/>
        <w:rPr>
          <w:rFonts w:hint="eastAsia" w:ascii="宋体" w:hAnsi="宋体" w:cs="宋体"/>
          <w:color w:val="auto"/>
          <w:sz w:val="22"/>
        </w:rPr>
      </w:pPr>
      <w:r>
        <w:rPr>
          <w:rFonts w:hint="eastAsia" w:ascii="宋体" w:hAnsi="宋体" w:cs="宋体"/>
          <w:color w:val="auto"/>
          <w:kern w:val="0"/>
          <w:sz w:val="22"/>
        </w:rPr>
        <w:t xml:space="preserve">3.2.1 </w:t>
      </w:r>
      <w:r>
        <w:rPr>
          <w:rFonts w:hint="eastAsia" w:ascii="宋体" w:hAnsi="宋体" w:cs="宋体"/>
          <w:color w:val="auto"/>
          <w:sz w:val="22"/>
        </w:rPr>
        <w:t>项目经理：</w:t>
      </w:r>
    </w:p>
    <w:p w14:paraId="11F3AC0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 </w:t>
      </w:r>
      <w:r>
        <w:rPr>
          <w:rFonts w:hint="eastAsia" w:ascii="宋体" w:hAnsi="宋体" w:cs="宋体"/>
          <w:color w:val="auto"/>
          <w:sz w:val="22"/>
        </w:rPr>
        <w:t>；</w:t>
      </w:r>
    </w:p>
    <w:p w14:paraId="2D12F86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身份证号：</w:t>
      </w:r>
      <w:r>
        <w:rPr>
          <w:rFonts w:hint="eastAsia" w:ascii="宋体" w:hAnsi="宋体" w:cs="宋体"/>
          <w:color w:val="auto"/>
          <w:sz w:val="22"/>
          <w:u w:val="single"/>
        </w:rPr>
        <w:t>         </w:t>
      </w:r>
      <w:r>
        <w:rPr>
          <w:rFonts w:hint="eastAsia" w:ascii="宋体" w:hAnsi="宋体" w:cs="宋体"/>
          <w:color w:val="auto"/>
          <w:sz w:val="22"/>
        </w:rPr>
        <w:t>；</w:t>
      </w:r>
    </w:p>
    <w:p w14:paraId="5DA9F70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建造师执业资格等级：</w:t>
      </w:r>
      <w:r>
        <w:rPr>
          <w:rFonts w:hint="eastAsia" w:ascii="宋体" w:hAnsi="宋体" w:cs="宋体"/>
          <w:color w:val="auto"/>
          <w:sz w:val="22"/>
          <w:u w:val="single"/>
        </w:rPr>
        <w:t>   </w:t>
      </w:r>
      <w:r>
        <w:rPr>
          <w:rFonts w:hint="eastAsia" w:ascii="宋体" w:hAnsi="宋体" w:cs="宋体"/>
          <w:color w:val="auto"/>
          <w:sz w:val="22"/>
        </w:rPr>
        <w:t>；</w:t>
      </w:r>
    </w:p>
    <w:p w14:paraId="539809E8">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建造师注册证书号：</w:t>
      </w:r>
      <w:r>
        <w:rPr>
          <w:rFonts w:hint="eastAsia" w:ascii="宋体" w:hAnsi="宋体" w:cs="宋体"/>
          <w:color w:val="auto"/>
          <w:sz w:val="22"/>
          <w:u w:val="single"/>
        </w:rPr>
        <w:t> </w:t>
      </w:r>
      <w:r>
        <w:rPr>
          <w:rFonts w:hint="eastAsia" w:ascii="宋体" w:hAnsi="宋体" w:cs="宋体"/>
          <w:color w:val="auto"/>
          <w:sz w:val="22"/>
        </w:rPr>
        <w:t>；</w:t>
      </w:r>
    </w:p>
    <w:p w14:paraId="6753681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建造师执业印章号：</w:t>
      </w:r>
      <w:r>
        <w:rPr>
          <w:rFonts w:hint="eastAsia" w:ascii="宋体" w:hAnsi="宋体" w:cs="宋体"/>
          <w:color w:val="auto"/>
          <w:sz w:val="22"/>
          <w:u w:val="single"/>
        </w:rPr>
        <w:t> </w:t>
      </w:r>
      <w:r>
        <w:rPr>
          <w:rFonts w:hint="eastAsia" w:ascii="宋体" w:hAnsi="宋体" w:cs="宋体"/>
          <w:color w:val="auto"/>
          <w:sz w:val="22"/>
        </w:rPr>
        <w:t>；</w:t>
      </w:r>
    </w:p>
    <w:p w14:paraId="2CC4D2C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安全生产考核合格证书号：</w:t>
      </w:r>
      <w:r>
        <w:rPr>
          <w:rFonts w:hint="eastAsia" w:ascii="宋体" w:hAnsi="宋体" w:cs="宋体"/>
          <w:color w:val="auto"/>
          <w:sz w:val="22"/>
          <w:u w:val="single"/>
        </w:rPr>
        <w:t> </w:t>
      </w:r>
      <w:r>
        <w:rPr>
          <w:rFonts w:hint="eastAsia" w:ascii="宋体" w:hAnsi="宋体" w:cs="宋体"/>
          <w:color w:val="auto"/>
          <w:sz w:val="22"/>
        </w:rPr>
        <w:t>；</w:t>
      </w:r>
    </w:p>
    <w:p w14:paraId="7CF4F69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196B0048">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 </w:t>
      </w:r>
      <w:r>
        <w:rPr>
          <w:rFonts w:hint="eastAsia" w:ascii="宋体" w:hAnsi="宋体" w:cs="宋体"/>
          <w:color w:val="auto"/>
          <w:sz w:val="22"/>
        </w:rPr>
        <w:t>；</w:t>
      </w:r>
    </w:p>
    <w:p w14:paraId="307A492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440A3E9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09620B2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承包人对项目经理的授权范围如下：  </w:t>
      </w:r>
      <w:r>
        <w:rPr>
          <w:rFonts w:hint="eastAsia" w:ascii="宋体" w:hAnsi="宋体" w:cs="宋体"/>
          <w:color w:val="auto"/>
          <w:sz w:val="22"/>
          <w:u w:val="single"/>
        </w:rPr>
        <w:t>代表承包人全面履行合同，但仅限于工程的现场施工管理，但未经过承包</w:t>
      </w:r>
      <w:r>
        <w:rPr>
          <w:rFonts w:hint="eastAsia" w:ascii="宋体" w:hAnsi="宋体" w:cs="宋体"/>
          <w:color w:val="auto"/>
          <w:sz w:val="22"/>
          <w:highlight w:val="none"/>
          <w:u w:val="single"/>
        </w:rPr>
        <w:t>人签</w:t>
      </w:r>
      <w:r>
        <w:rPr>
          <w:rFonts w:hint="eastAsia" w:ascii="宋体" w:hAnsi="宋体" w:cs="宋体"/>
          <w:color w:val="auto"/>
          <w:sz w:val="22"/>
          <w:highlight w:val="none"/>
          <w:u w:val="single"/>
          <w:lang w:val="en-US" w:eastAsia="zh-CN"/>
        </w:rPr>
        <w:t>字</w:t>
      </w:r>
      <w:r>
        <w:rPr>
          <w:rFonts w:hint="eastAsia" w:ascii="宋体" w:hAnsi="宋体" w:cs="宋体"/>
          <w:color w:val="auto"/>
          <w:sz w:val="22"/>
          <w:highlight w:val="none"/>
          <w:u w:val="single"/>
        </w:rPr>
        <w:t>、盖章同意，不得以承包人名义向外采购材料设备、租用建筑周转材料、雇佣劳动力、签订分包合同等从事一切为</w:t>
      </w:r>
      <w:r>
        <w:rPr>
          <w:rFonts w:hint="eastAsia" w:ascii="宋体" w:hAnsi="宋体" w:cs="宋体"/>
          <w:color w:val="auto"/>
          <w:sz w:val="22"/>
          <w:u w:val="single"/>
        </w:rPr>
        <w:t>承包人设立义务或责任的行为</w:t>
      </w:r>
      <w:r>
        <w:rPr>
          <w:rFonts w:hint="eastAsia" w:ascii="宋体" w:hAnsi="宋体" w:cs="宋体"/>
          <w:color w:val="auto"/>
          <w:sz w:val="22"/>
        </w:rPr>
        <w:t>。</w:t>
      </w:r>
    </w:p>
    <w:p w14:paraId="64F8143D">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关于项目经理每月在施工现场的时间要求：</w:t>
      </w:r>
      <w:r>
        <w:rPr>
          <w:rFonts w:hint="eastAsia" w:ascii="宋体" w:hAnsi="宋体" w:cs="宋体"/>
          <w:color w:val="auto"/>
          <w:sz w:val="22"/>
          <w:u w:val="single"/>
        </w:rPr>
        <w:t>21天以上，如磋商文件承诺时间超过21天的，按磋商文件执行</w:t>
      </w:r>
      <w:r>
        <w:rPr>
          <w:rFonts w:hint="eastAsia" w:ascii="宋体" w:hAnsi="宋体" w:cs="宋体"/>
          <w:color w:val="auto"/>
          <w:sz w:val="22"/>
        </w:rPr>
        <w:t>。</w:t>
      </w:r>
    </w:p>
    <w:p w14:paraId="40FE7EE9">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承包人未提交劳动合同，以及没有为项目经理缴纳社会保险证明的违约责任：</w:t>
      </w:r>
      <w:r>
        <w:rPr>
          <w:rFonts w:hint="eastAsia" w:ascii="宋体" w:hAnsi="宋体" w:cs="宋体"/>
          <w:color w:val="auto"/>
          <w:sz w:val="22"/>
          <w:u w:val="single"/>
        </w:rPr>
        <w:t>处以3万元罚款，责令限期提交劳动合同并补缴社会保险</w:t>
      </w:r>
      <w:r>
        <w:rPr>
          <w:rFonts w:hint="eastAsia" w:ascii="宋体" w:hAnsi="宋体" w:cs="宋体"/>
          <w:color w:val="auto"/>
          <w:sz w:val="22"/>
        </w:rPr>
        <w:t>。</w:t>
      </w:r>
    </w:p>
    <w:p w14:paraId="4B484951">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kern w:val="0"/>
          <w:sz w:val="22"/>
        </w:rPr>
        <w:t>项目经理未经批准，擅自离开施工现场的违约责任：</w:t>
      </w:r>
      <w:r>
        <w:rPr>
          <w:rFonts w:hint="eastAsia" w:ascii="宋体" w:hAnsi="宋体" w:cs="宋体"/>
          <w:color w:val="auto"/>
          <w:sz w:val="22"/>
          <w:u w:val="single"/>
        </w:rPr>
        <w:t>未经发包人同意或正当理由，项目经理每月在岗带班时间少于每月在施工现场的时间要求的，少在岗带班一天，发包人有权处违约金5000元/日（人民币）</w:t>
      </w:r>
      <w:r>
        <w:rPr>
          <w:rFonts w:hint="eastAsia" w:ascii="宋体" w:hAnsi="宋体" w:cs="宋体"/>
          <w:color w:val="auto"/>
          <w:sz w:val="22"/>
        </w:rPr>
        <w:t>。</w:t>
      </w:r>
    </w:p>
    <w:p w14:paraId="31FD726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3.2.3 承包人擅自更换项目经理的违约责任：</w:t>
      </w:r>
      <w:r>
        <w:rPr>
          <w:rFonts w:hint="eastAsia" w:ascii="宋体" w:hAnsi="宋体" w:cs="宋体"/>
          <w:color w:val="auto"/>
          <w:sz w:val="22"/>
          <w:u w:val="single"/>
        </w:rPr>
        <w:t>承包人项目经理必须与承包人磋商时所承诺的人员一致，并在 本工程开工前到任。在监理人向承包人颁发经发包人签认的竣工验收证书前，项目经理不得同时兼任其他任何项目的项目经理</w:t>
      </w:r>
      <w:r>
        <w:rPr>
          <w:rFonts w:hint="eastAsia" w:ascii="宋体" w:hAnsi="宋体" w:cs="宋体"/>
          <w:color w:val="auto"/>
          <w:kern w:val="0"/>
          <w:sz w:val="22"/>
          <w:u w:val="single"/>
        </w:rPr>
        <w:t>（符合桂建管</w:t>
      </w:r>
      <w:r>
        <w:rPr>
          <w:rFonts w:hint="eastAsia" w:ascii="宋体" w:hAnsi="宋体" w:cs="宋体"/>
          <w:color w:val="auto"/>
          <w:sz w:val="22"/>
          <w:u w:val="single"/>
        </w:rPr>
        <w:t>﹝2013﹞</w:t>
      </w:r>
      <w:r>
        <w:rPr>
          <w:rFonts w:hint="eastAsia" w:ascii="宋体" w:hAnsi="宋体" w:cs="宋体"/>
          <w:color w:val="auto"/>
          <w:kern w:val="0"/>
          <w:sz w:val="22"/>
          <w:u w:val="single"/>
        </w:rPr>
        <w:t>17号和</w:t>
      </w:r>
      <w:r>
        <w:rPr>
          <w:rFonts w:hint="eastAsia" w:ascii="宋体" w:hAnsi="宋体" w:cs="宋体"/>
          <w:color w:val="auto"/>
          <w:sz w:val="22"/>
          <w:u w:val="single"/>
        </w:rPr>
        <w:t>桂建管﹝2014﹞25号</w:t>
      </w:r>
      <w:r>
        <w:rPr>
          <w:rFonts w:hint="eastAsia" w:ascii="宋体" w:hAnsi="宋体" w:cs="宋体"/>
          <w:color w:val="auto"/>
          <w:kern w:val="0"/>
          <w:sz w:val="22"/>
          <w:u w:val="single"/>
        </w:rPr>
        <w:t>文除外）</w:t>
      </w:r>
      <w:r>
        <w:rPr>
          <w:rFonts w:hint="eastAsia" w:ascii="宋体" w:hAnsi="宋体" w:cs="宋体"/>
          <w:color w:val="auto"/>
          <w:sz w:val="22"/>
          <w:u w:val="single"/>
        </w:rPr>
        <w:t>。未经发包人书面同意，承包人擅自更换项目经理的视为违约，违约金处20000元/人•次（人民币）</w:t>
      </w:r>
      <w:r>
        <w:rPr>
          <w:rFonts w:hint="eastAsia" w:ascii="宋体" w:hAnsi="宋体" w:cs="宋体"/>
          <w:color w:val="auto"/>
          <w:sz w:val="22"/>
        </w:rPr>
        <w:t>。</w:t>
      </w:r>
    </w:p>
    <w:p w14:paraId="569F810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3.2.4 承包人无正当理由拒绝更换项目经理的违约责任：</w:t>
      </w:r>
      <w:r>
        <w:rPr>
          <w:rFonts w:hint="eastAsia" w:ascii="宋体" w:hAnsi="宋体" w:cs="宋体"/>
          <w:color w:val="auto"/>
          <w:sz w:val="22"/>
          <w:u w:val="single"/>
        </w:rPr>
        <w:t>因承包人项目经理不称职（项目管理机构人员不称职的定义包括但不限于：本项目出现偷工减料现象的、出现人员死亡事故的、重复出现相同质量事故或出现问题不积极整改的、被相关部门要求停工整改的、进度</w:t>
      </w:r>
      <w:r>
        <w:rPr>
          <w:rFonts w:hint="eastAsia" w:ascii="宋体" w:hAnsi="宋体" w:cs="宋体"/>
          <w:color w:val="auto"/>
          <w:sz w:val="22"/>
          <w:highlight w:val="none"/>
          <w:u w:val="single"/>
        </w:rPr>
        <w:t>比原计划滞后</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0天以上的、拒绝执行监理人或发包人指令的、违反合同约定及相关规定擅自离开施工现场累计超过</w:t>
      </w:r>
      <w:r>
        <w:rPr>
          <w:rFonts w:hint="eastAsia" w:ascii="宋体" w:hAnsi="宋体" w:cs="宋体"/>
          <w:color w:val="auto"/>
          <w:sz w:val="22"/>
          <w:highlight w:val="none"/>
          <w:u w:val="single"/>
          <w:lang w:val="en-US" w:eastAsia="zh-CN"/>
        </w:rPr>
        <w:t>3</w:t>
      </w:r>
      <w:r>
        <w:rPr>
          <w:rFonts w:hint="eastAsia" w:ascii="宋体" w:hAnsi="宋体" w:cs="宋体"/>
          <w:color w:val="auto"/>
          <w:sz w:val="22"/>
          <w:highlight w:val="none"/>
          <w:u w:val="single"/>
        </w:rPr>
        <w:t>0天的、现场安全文明施工未达到规定要求的、出现打架斗殴的、违反相关法律法规的其他情形），发包人要求调换而未及时调换的，视为承包人违约，必须</w:t>
      </w:r>
      <w:r>
        <w:rPr>
          <w:rFonts w:hint="eastAsia" w:ascii="宋体" w:hAnsi="宋体" w:cs="宋体"/>
          <w:color w:val="auto"/>
          <w:sz w:val="22"/>
          <w:u w:val="single"/>
        </w:rPr>
        <w:t>向发包人</w:t>
      </w:r>
      <w:r>
        <w:rPr>
          <w:rFonts w:hint="eastAsia" w:ascii="宋体" w:hAnsi="宋体" w:cs="宋体"/>
          <w:color w:val="auto"/>
          <w:sz w:val="22"/>
          <w:u w:val="single"/>
          <w:lang w:eastAsia="zh-CN"/>
        </w:rPr>
        <w:t>缴纳</w:t>
      </w:r>
      <w:r>
        <w:rPr>
          <w:rFonts w:hint="eastAsia" w:ascii="宋体" w:hAnsi="宋体" w:cs="宋体"/>
          <w:color w:val="auto"/>
          <w:sz w:val="22"/>
          <w:u w:val="single"/>
        </w:rPr>
        <w:t>处罚金20000元/人•次（人民币）</w:t>
      </w:r>
      <w:r>
        <w:rPr>
          <w:rFonts w:hint="eastAsia" w:ascii="宋体" w:hAnsi="宋体" w:cs="宋体"/>
          <w:color w:val="auto"/>
          <w:sz w:val="22"/>
        </w:rPr>
        <w:t>。</w:t>
      </w:r>
    </w:p>
    <w:p w14:paraId="5DDF4CA6">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3.2.5 项目管理机构的主要人员（含项目经理、项目总工、质量员、安全员）必须是磋商文件中确认的人员，施工之后不能更换，确需更换人员的，须向发包人提出申请，并提供相关证明材料，经发包人同意后方可换人。尽管合同有其他约定，但新</w:t>
      </w:r>
      <w:r>
        <w:rPr>
          <w:rFonts w:hint="eastAsia" w:ascii="宋体" w:hAnsi="宋体" w:cs="宋体"/>
          <w:color w:val="auto"/>
          <w:sz w:val="22"/>
          <w:szCs w:val="22"/>
          <w:lang w:eastAsia="zh-CN"/>
        </w:rPr>
        <w:t>换的</w:t>
      </w:r>
      <w:r>
        <w:rPr>
          <w:rFonts w:hint="eastAsia" w:ascii="宋体" w:hAnsi="宋体" w:cs="宋体"/>
          <w:color w:val="auto"/>
          <w:sz w:val="22"/>
          <w:szCs w:val="22"/>
        </w:rPr>
        <w:t>项目经理及其余人员获得执业证书的时间、等级、学历、工作业绩等全部优于原项目经理。</w:t>
      </w:r>
    </w:p>
    <w:p w14:paraId="67B505D4">
      <w:pPr>
        <w:pStyle w:val="40"/>
        <w:spacing w:line="360" w:lineRule="exact"/>
        <w:ind w:firstLine="442" w:firstLineChars="200"/>
        <w:rPr>
          <w:rFonts w:hint="eastAsia" w:ascii="宋体" w:hAnsi="宋体" w:cs="宋体"/>
          <w:color w:val="auto"/>
          <w:sz w:val="22"/>
          <w:szCs w:val="22"/>
        </w:rPr>
      </w:pPr>
      <w:bookmarkStart w:id="266" w:name="_Toc12975899"/>
      <w:bookmarkStart w:id="267" w:name="_Toc389065275"/>
      <w:bookmarkStart w:id="268" w:name="_Toc373478356"/>
      <w:bookmarkStart w:id="269" w:name="_Toc373227709"/>
      <w:bookmarkStart w:id="270" w:name="_Toc533432734"/>
      <w:bookmarkStart w:id="271" w:name="_Toc395382511"/>
      <w:r>
        <w:rPr>
          <w:rFonts w:hint="eastAsia" w:ascii="宋体" w:hAnsi="宋体" w:cs="宋体"/>
          <w:color w:val="auto"/>
          <w:sz w:val="22"/>
          <w:szCs w:val="22"/>
        </w:rPr>
        <w:t>3.3 承包人人员</w:t>
      </w:r>
      <w:bookmarkEnd w:id="266"/>
      <w:bookmarkEnd w:id="267"/>
      <w:bookmarkEnd w:id="268"/>
      <w:bookmarkEnd w:id="269"/>
      <w:bookmarkEnd w:id="270"/>
      <w:bookmarkEnd w:id="271"/>
    </w:p>
    <w:p w14:paraId="0C2E13D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3.3.1 承包人提交项目管理机构及施工现场管理人员安排报告（格式见合同附件</w:t>
      </w:r>
      <w:r>
        <w:rPr>
          <w:rFonts w:hint="eastAsia" w:ascii="宋体" w:hAnsi="宋体" w:cs="宋体"/>
          <w:color w:val="auto"/>
          <w:sz w:val="22"/>
          <w:lang w:val="en-US" w:eastAsia="zh-CN"/>
        </w:rPr>
        <w:t>5</w:t>
      </w:r>
      <w:r>
        <w:rPr>
          <w:rFonts w:hint="eastAsia" w:ascii="宋体" w:hAnsi="宋体" w:cs="宋体"/>
          <w:color w:val="auto"/>
          <w:sz w:val="22"/>
        </w:rPr>
        <w:t>）的期限：</w:t>
      </w:r>
    </w:p>
    <w:p w14:paraId="6A82107C">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u w:val="single"/>
        </w:rPr>
        <w:t>开工时间前7</w:t>
      </w:r>
      <w:r>
        <w:rPr>
          <w:rFonts w:hint="eastAsia" w:ascii="宋体" w:hAnsi="宋体" w:cs="宋体"/>
          <w:color w:val="auto"/>
          <w:sz w:val="22"/>
          <w:u w:val="single"/>
          <w:lang w:eastAsia="zh-CN"/>
        </w:rPr>
        <w:t>天</w:t>
      </w:r>
      <w:r>
        <w:rPr>
          <w:rFonts w:hint="eastAsia" w:ascii="宋体" w:hAnsi="宋体" w:cs="宋体"/>
          <w:color w:val="auto"/>
          <w:sz w:val="22"/>
          <w:u w:val="single"/>
        </w:rPr>
        <w:t>。项目管理机构的主要人员必须是磋商文件中确认的人员，施工之后不能更换，确需更换人员的，更换后的人员相关资质及业绩、职称等要求不得低于磋商文件最低要求，且须向发包人提出申请，并提供相关证明</w:t>
      </w:r>
      <w:r>
        <w:rPr>
          <w:rFonts w:hint="eastAsia" w:ascii="宋体" w:hAnsi="宋体" w:cs="宋体"/>
          <w:color w:val="auto"/>
          <w:sz w:val="22"/>
          <w:highlight w:val="none"/>
          <w:u w:val="single"/>
        </w:rPr>
        <w:t>材料，经发包人</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同意后</w:t>
      </w:r>
      <w:r>
        <w:rPr>
          <w:rFonts w:hint="eastAsia" w:ascii="宋体" w:hAnsi="宋体" w:cs="宋体"/>
          <w:color w:val="auto"/>
          <w:sz w:val="22"/>
          <w:u w:val="single"/>
        </w:rPr>
        <w:t>方可换人。</w:t>
      </w:r>
    </w:p>
    <w:p w14:paraId="00623332">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u w:val="single"/>
        </w:rPr>
        <w:t>关于项目管理机构及施工现场管理人员每月在施工现场的时间要求：21天以上，如磋商文件承诺时间超过21天的，按磋商文件执行</w:t>
      </w:r>
      <w:r>
        <w:rPr>
          <w:rFonts w:hint="eastAsia" w:ascii="宋体" w:hAnsi="宋体" w:cs="宋体"/>
          <w:color w:val="auto"/>
          <w:sz w:val="22"/>
        </w:rPr>
        <w:t>。</w:t>
      </w:r>
    </w:p>
    <w:p w14:paraId="1872E59D">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3.3.3 承包人无正当理由拒绝撤换主要施工管理人员的违约责任：</w:t>
      </w:r>
      <w:r>
        <w:rPr>
          <w:rFonts w:hint="eastAsia" w:ascii="宋体" w:hAnsi="宋体" w:cs="宋体"/>
          <w:color w:val="auto"/>
          <w:sz w:val="22"/>
          <w:u w:val="single"/>
        </w:rPr>
        <w:t>因承包人主要施工管理人员不称职，发包人要求调换而无正当理由拒绝撤换或未及时调换的，视为承包人违约，必须向发包人交纳处罚金，处罚标准：技术负责人20000元/人•次（人民币）；专业工程师10000元/人•次（人民币）</w:t>
      </w:r>
      <w:r>
        <w:rPr>
          <w:rFonts w:hint="eastAsia" w:ascii="宋体" w:hAnsi="宋体" w:cs="宋体"/>
          <w:color w:val="auto"/>
          <w:sz w:val="22"/>
        </w:rPr>
        <w:t>。</w:t>
      </w:r>
    </w:p>
    <w:p w14:paraId="0247E6E9">
      <w:pPr>
        <w:pStyle w:val="41"/>
        <w:spacing w:line="360" w:lineRule="exact"/>
        <w:ind w:firstLine="440" w:firstLineChars="200"/>
        <w:rPr>
          <w:rFonts w:hint="eastAsia" w:ascii="宋体" w:hAnsi="宋体" w:cs="宋体"/>
          <w:color w:val="auto"/>
          <w:sz w:val="22"/>
          <w:highlight w:val="none"/>
          <w:u w:val="single"/>
        </w:rPr>
      </w:pPr>
      <w:r>
        <w:rPr>
          <w:rFonts w:hint="eastAsia" w:ascii="宋体" w:hAnsi="宋体" w:cs="宋体"/>
          <w:color w:val="auto"/>
          <w:sz w:val="22"/>
        </w:rPr>
        <w:t>3.3.4 承包人主要施工管理人员离开施工现场的批准要求：</w:t>
      </w:r>
      <w:r>
        <w:rPr>
          <w:rFonts w:hint="eastAsia" w:ascii="宋体" w:hAnsi="宋体" w:cs="宋体"/>
          <w:color w:val="auto"/>
          <w:sz w:val="22"/>
          <w:u w:val="single"/>
        </w:rPr>
        <w:t>由总监理</w:t>
      </w:r>
      <w:r>
        <w:rPr>
          <w:rFonts w:hint="eastAsia" w:ascii="宋体" w:hAnsi="宋体" w:cs="宋体"/>
          <w:color w:val="auto"/>
          <w:sz w:val="22"/>
          <w:highlight w:val="none"/>
          <w:u w:val="single"/>
        </w:rPr>
        <w:t>工程师</w:t>
      </w:r>
      <w:r>
        <w:rPr>
          <w:rFonts w:hint="eastAsia" w:ascii="宋体" w:hAnsi="宋体" w:cs="宋体"/>
          <w:color w:val="auto"/>
          <w:sz w:val="22"/>
          <w:highlight w:val="none"/>
          <w:u w:val="single"/>
          <w:lang w:val="en-US" w:eastAsia="zh-CN"/>
        </w:rPr>
        <w:t>签字</w:t>
      </w:r>
      <w:r>
        <w:rPr>
          <w:rFonts w:hint="eastAsia" w:ascii="宋体" w:hAnsi="宋体" w:cs="宋体"/>
          <w:color w:val="auto"/>
          <w:sz w:val="22"/>
          <w:highlight w:val="none"/>
          <w:u w:val="single"/>
        </w:rPr>
        <w:t>批准，</w:t>
      </w:r>
      <w:r>
        <w:rPr>
          <w:rFonts w:hint="eastAsia" w:ascii="宋体" w:hAnsi="宋体" w:cs="宋体"/>
          <w:color w:val="auto"/>
          <w:sz w:val="22"/>
          <w:highlight w:val="none"/>
          <w:u w:val="single"/>
          <w:lang w:val="en-US" w:eastAsia="zh-CN"/>
        </w:rPr>
        <w:t>报</w:t>
      </w:r>
      <w:r>
        <w:rPr>
          <w:rFonts w:hint="eastAsia" w:ascii="宋体" w:hAnsi="宋体" w:cs="宋体"/>
          <w:color w:val="auto"/>
          <w:sz w:val="22"/>
          <w:highlight w:val="none"/>
          <w:u w:val="single"/>
        </w:rPr>
        <w:t>发包人</w:t>
      </w:r>
      <w:r>
        <w:rPr>
          <w:rFonts w:hint="eastAsia" w:ascii="宋体" w:hAnsi="宋体" w:cs="宋体"/>
          <w:color w:val="auto"/>
          <w:sz w:val="22"/>
          <w:highlight w:val="none"/>
          <w:u w:val="single"/>
          <w:lang w:val="en-US" w:eastAsia="zh-CN"/>
        </w:rPr>
        <w:t>确认同意</w:t>
      </w:r>
      <w:r>
        <w:rPr>
          <w:rFonts w:hint="eastAsia" w:ascii="宋体" w:hAnsi="宋体" w:cs="宋体"/>
          <w:color w:val="auto"/>
          <w:sz w:val="22"/>
          <w:highlight w:val="none"/>
          <w:u w:val="single"/>
        </w:rPr>
        <w:t xml:space="preserve">后方可离开 </w:t>
      </w:r>
      <w:r>
        <w:rPr>
          <w:rFonts w:hint="eastAsia" w:ascii="宋体" w:hAnsi="宋体" w:cs="宋体"/>
          <w:color w:val="auto"/>
          <w:sz w:val="22"/>
          <w:highlight w:val="none"/>
        </w:rPr>
        <w:t>。</w:t>
      </w:r>
    </w:p>
    <w:p w14:paraId="17BB1CD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highlight w:val="none"/>
        </w:rPr>
        <w:t>3.3.5 承包人擅自更换主要施工管理人员的违约责任：</w:t>
      </w:r>
      <w:r>
        <w:rPr>
          <w:rFonts w:hint="eastAsia" w:ascii="宋体" w:hAnsi="宋体" w:cs="宋体"/>
          <w:color w:val="auto"/>
          <w:sz w:val="22"/>
          <w:highlight w:val="none"/>
          <w:u w:val="single"/>
        </w:rPr>
        <w:t>项目技术负责人、专职安全员及其承诺的</w:t>
      </w:r>
      <w:r>
        <w:rPr>
          <w:rFonts w:hint="eastAsia" w:ascii="宋体" w:hAnsi="宋体" w:cs="宋体"/>
          <w:color w:val="auto"/>
          <w:sz w:val="22"/>
          <w:highlight w:val="none"/>
          <w:u w:val="single"/>
          <w:lang w:eastAsia="zh-CN"/>
        </w:rPr>
        <w:t>其他</w:t>
      </w:r>
      <w:r>
        <w:rPr>
          <w:rFonts w:hint="eastAsia" w:ascii="宋体" w:hAnsi="宋体" w:cs="宋体"/>
          <w:color w:val="auto"/>
          <w:sz w:val="22"/>
          <w:highlight w:val="none"/>
          <w:u w:val="single"/>
        </w:rPr>
        <w:t>在场管理人员未经发包人书面同意不准擅自更换，擅自更换项目技术负责人处</w:t>
      </w:r>
      <w:r>
        <w:rPr>
          <w:rFonts w:hint="eastAsia" w:ascii="宋体" w:hAnsi="宋体" w:cs="宋体"/>
          <w:color w:val="auto"/>
          <w:sz w:val="22"/>
          <w:highlight w:val="none"/>
          <w:u w:val="single"/>
          <w:lang w:val="en-US" w:eastAsia="zh-CN"/>
        </w:rPr>
        <w:t>2</w:t>
      </w:r>
      <w:r>
        <w:rPr>
          <w:rFonts w:hint="eastAsia" w:ascii="宋体" w:hAnsi="宋体" w:cs="宋体"/>
          <w:color w:val="auto"/>
          <w:sz w:val="22"/>
          <w:highlight w:val="none"/>
          <w:u w:val="single"/>
        </w:rPr>
        <w:t>000</w:t>
      </w:r>
      <w:r>
        <w:rPr>
          <w:rFonts w:hint="eastAsia" w:ascii="宋体" w:hAnsi="宋体" w:cs="宋体"/>
          <w:color w:val="auto"/>
          <w:sz w:val="22"/>
          <w:u w:val="single"/>
        </w:rPr>
        <w:t>0元/人•次（人民币）违约金；擅自更换专职安全员处20000元/人•次（人民币）违约金；擅自更换</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在场管理人员处10000元/人•次（人民币）违约金</w:t>
      </w:r>
      <w:r>
        <w:rPr>
          <w:rFonts w:hint="eastAsia" w:ascii="宋体" w:hAnsi="宋体" w:cs="宋体"/>
          <w:color w:val="auto"/>
          <w:sz w:val="22"/>
        </w:rPr>
        <w:t>。</w:t>
      </w:r>
    </w:p>
    <w:p w14:paraId="4D22F23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承包人主要施工管理人员擅自离开施工现场的违约责任：</w:t>
      </w:r>
      <w:r>
        <w:rPr>
          <w:rFonts w:hint="eastAsia" w:ascii="宋体" w:hAnsi="宋体" w:cs="宋体"/>
          <w:color w:val="auto"/>
          <w:sz w:val="22"/>
          <w:u w:val="single"/>
        </w:rPr>
        <w:t>未经发包人同意，项目技术负责人擅自离岗的，视为承包人违约，发包人有权处违约金5000元/人•次（人民币）；未经发包人同意，专职安全员擅自离岗的，视为承包人违约，发包人有权处违约金3000元/人•次（人民币）；</w:t>
      </w:r>
      <w:r>
        <w:rPr>
          <w:rFonts w:hint="eastAsia" w:ascii="宋体" w:hAnsi="宋体" w:cs="宋体"/>
          <w:color w:val="auto"/>
          <w:sz w:val="22"/>
          <w:u w:val="single"/>
          <w:lang w:eastAsia="zh-CN"/>
        </w:rPr>
        <w:t>其他</w:t>
      </w:r>
      <w:r>
        <w:rPr>
          <w:rFonts w:hint="eastAsia" w:ascii="宋体" w:hAnsi="宋体" w:cs="宋体"/>
          <w:color w:val="auto"/>
          <w:sz w:val="22"/>
          <w:u w:val="single"/>
        </w:rPr>
        <w:t>在场管理人员擅自离岗的，视为承包人违约，发包人有权处违约金3000元/人•次（人民币）</w:t>
      </w:r>
      <w:r>
        <w:rPr>
          <w:rFonts w:hint="eastAsia" w:ascii="宋体" w:hAnsi="宋体" w:cs="宋体"/>
          <w:color w:val="auto"/>
          <w:sz w:val="22"/>
        </w:rPr>
        <w:t>。</w:t>
      </w:r>
    </w:p>
    <w:p w14:paraId="2CB1016A">
      <w:pPr>
        <w:pStyle w:val="40"/>
        <w:spacing w:line="360" w:lineRule="exact"/>
        <w:ind w:firstLine="442" w:firstLineChars="200"/>
        <w:rPr>
          <w:rFonts w:hint="eastAsia" w:ascii="宋体" w:hAnsi="宋体" w:cs="宋体"/>
          <w:color w:val="auto"/>
          <w:sz w:val="22"/>
          <w:szCs w:val="22"/>
        </w:rPr>
      </w:pPr>
      <w:bookmarkStart w:id="272" w:name="_Toc12975900"/>
      <w:bookmarkStart w:id="273" w:name="_Toc373227710"/>
      <w:bookmarkStart w:id="274" w:name="_Toc389065276"/>
      <w:bookmarkStart w:id="275" w:name="_Toc395382512"/>
      <w:bookmarkStart w:id="276" w:name="_Toc533432735"/>
      <w:bookmarkStart w:id="277" w:name="_Toc373478357"/>
      <w:r>
        <w:rPr>
          <w:rFonts w:hint="eastAsia" w:ascii="宋体" w:hAnsi="宋体" w:cs="宋体"/>
          <w:color w:val="auto"/>
          <w:sz w:val="22"/>
          <w:szCs w:val="22"/>
        </w:rPr>
        <w:t>3</w:t>
      </w:r>
      <w:bookmarkStart w:id="278" w:name="_Toc304295523"/>
      <w:bookmarkStart w:id="279" w:name="_Toc297216151"/>
      <w:bookmarkStart w:id="280" w:name="_Toc300934945"/>
      <w:bookmarkStart w:id="281" w:name="_Toc296891199"/>
      <w:bookmarkStart w:id="282" w:name="_Toc297048345"/>
      <w:bookmarkStart w:id="283" w:name="_Toc312677988"/>
      <w:bookmarkStart w:id="284" w:name="_Toc297120459"/>
      <w:bookmarkStart w:id="285" w:name="_Toc297123492"/>
      <w:bookmarkStart w:id="286" w:name="_Toc296944498"/>
      <w:bookmarkStart w:id="287" w:name="_Toc296346660"/>
      <w:bookmarkStart w:id="288" w:name="_Toc296890987"/>
      <w:bookmarkStart w:id="289" w:name="_Toc292559364"/>
      <w:bookmarkStart w:id="290" w:name="_Toc292559869"/>
      <w:bookmarkStart w:id="291" w:name="_Toc296503159"/>
      <w:bookmarkStart w:id="292" w:name="_Toc303539102"/>
      <w:bookmarkStart w:id="293" w:name="_Toc296347158"/>
      <w:r>
        <w:rPr>
          <w:rFonts w:hint="eastAsia" w:ascii="宋体" w:hAnsi="宋体" w:cs="宋体"/>
          <w:color w:val="auto"/>
          <w:sz w:val="22"/>
          <w:szCs w:val="22"/>
        </w:rPr>
        <w:t>.5 分包</w:t>
      </w:r>
      <w:bookmarkEnd w:id="272"/>
      <w:bookmarkEnd w:id="273"/>
      <w:bookmarkEnd w:id="274"/>
      <w:bookmarkEnd w:id="275"/>
      <w:bookmarkEnd w:id="276"/>
      <w:bookmarkEnd w:id="277"/>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55707B9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w:t>
      </w:r>
      <w:bookmarkStart w:id="294" w:name="_Toc297216152"/>
      <w:bookmarkStart w:id="295" w:name="_Toc296503160"/>
      <w:bookmarkStart w:id="296" w:name="_Toc304295524"/>
      <w:bookmarkStart w:id="297" w:name="_Toc296346661"/>
      <w:bookmarkStart w:id="298" w:name="_Toc296944499"/>
      <w:bookmarkStart w:id="299" w:name="_Toc297120460"/>
      <w:bookmarkStart w:id="300" w:name="_Toc292559870"/>
      <w:bookmarkStart w:id="301" w:name="_Toc318581158"/>
      <w:bookmarkStart w:id="302" w:name="_Toc297048346"/>
      <w:bookmarkStart w:id="303" w:name="_Toc292559365"/>
      <w:bookmarkStart w:id="304" w:name="_Toc312677989"/>
      <w:bookmarkStart w:id="305" w:name="_Toc297123493"/>
      <w:bookmarkStart w:id="306" w:name="_Toc296891200"/>
      <w:bookmarkStart w:id="307" w:name="_Toc296347159"/>
      <w:bookmarkStart w:id="308" w:name="_Toc300934946"/>
      <w:bookmarkStart w:id="309" w:name="_Toc303539103"/>
      <w:bookmarkStart w:id="310" w:name="_Toc296890988"/>
      <w:r>
        <w:rPr>
          <w:rFonts w:hint="eastAsia" w:ascii="宋体" w:hAnsi="宋体" w:cs="宋体"/>
          <w:color w:val="auto"/>
          <w:sz w:val="22"/>
        </w:rPr>
        <w:t>.5.1 分包的一般约定</w:t>
      </w:r>
    </w:p>
    <w:p w14:paraId="2E7FD88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禁止分包的工程包括：</w:t>
      </w:r>
      <w:r>
        <w:rPr>
          <w:rFonts w:hint="eastAsia" w:ascii="宋体" w:hAnsi="宋体" w:cs="宋体"/>
          <w:color w:val="auto"/>
          <w:sz w:val="22"/>
          <w:u w:val="single"/>
        </w:rPr>
        <w:t xml:space="preserve">本项目未经发包人批准禁止分包 </w:t>
      </w:r>
      <w:r>
        <w:rPr>
          <w:rFonts w:hint="eastAsia" w:ascii="宋体" w:hAnsi="宋体" w:cs="宋体"/>
          <w:color w:val="auto"/>
          <w:sz w:val="22"/>
        </w:rPr>
        <w:t>。</w:t>
      </w:r>
    </w:p>
    <w:p w14:paraId="2F97251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主体结构、关键性工作的范围：</w:t>
      </w:r>
      <w:r>
        <w:rPr>
          <w:rFonts w:hint="eastAsia" w:ascii="宋体" w:hAnsi="宋体" w:cs="宋体"/>
          <w:color w:val="auto"/>
          <w:sz w:val="22"/>
          <w:u w:val="single"/>
        </w:rPr>
        <w:t xml:space="preserve"> 无 </w:t>
      </w:r>
      <w:r>
        <w:rPr>
          <w:rFonts w:hint="eastAsia" w:ascii="宋体" w:hAnsi="宋体" w:cs="宋体"/>
          <w:color w:val="auto"/>
          <w:sz w:val="22"/>
        </w:rPr>
        <w: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0B6F49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w:t>
      </w:r>
      <w:bookmarkStart w:id="311" w:name="_Toc312677990"/>
      <w:bookmarkStart w:id="312" w:name="_Toc318581159"/>
      <w:r>
        <w:rPr>
          <w:rFonts w:hint="eastAsia" w:ascii="宋体" w:hAnsi="宋体" w:cs="宋体"/>
          <w:color w:val="auto"/>
          <w:sz w:val="22"/>
        </w:rPr>
        <w:t>.5.2 分包的确定</w:t>
      </w:r>
    </w:p>
    <w:p w14:paraId="21EFBC13">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允许分包的专业工程包括：</w:t>
      </w:r>
      <w:r>
        <w:rPr>
          <w:rFonts w:hint="eastAsia" w:ascii="宋体" w:hAnsi="宋体" w:cs="宋体"/>
          <w:color w:val="auto"/>
          <w:sz w:val="22"/>
          <w:u w:val="single"/>
        </w:rPr>
        <w:t xml:space="preserve">无  </w:t>
      </w:r>
      <w:r>
        <w:rPr>
          <w:rFonts w:hint="eastAsia" w:ascii="宋体" w:hAnsi="宋体" w:cs="宋体"/>
          <w:color w:val="auto"/>
          <w:sz w:val="22"/>
        </w:rPr>
        <w:t>。</w:t>
      </w:r>
    </w:p>
    <w:p w14:paraId="11129BD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其他关于分包的约定：</w:t>
      </w:r>
    </w:p>
    <w:p w14:paraId="78AE181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如本项目允许合法分包的，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宋体" w:hAnsi="宋体" w:cs="宋体"/>
          <w:color w:val="auto"/>
          <w:sz w:val="22"/>
          <w:lang w:val="en-US" w:eastAsia="zh-CN"/>
        </w:rPr>
        <w:t>6</w:t>
      </w:r>
      <w:r>
        <w:rPr>
          <w:rFonts w:hint="eastAsia" w:ascii="宋体" w:hAnsi="宋体" w:cs="宋体"/>
          <w:color w:val="auto"/>
          <w:sz w:val="22"/>
        </w:rPr>
        <w:t>。</w:t>
      </w:r>
    </w:p>
    <w:p w14:paraId="200C7F54">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（2）在相关分包合同签订并报送有关建设行政主管部门备案后7天内，承包人应当将一份副本提交给监理人，承包人应保障分包工作不得再次分包。</w:t>
      </w:r>
    </w:p>
    <w:p w14:paraId="6C60DC2E">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（3）未经承包人和监理人审批同意的分包工程和分包人，承包人有权拒绝验收分包工程和支付相应款项，由此引起的发包人费用增加和</w:t>
      </w:r>
      <w:r>
        <w:rPr>
          <w:rFonts w:hint="eastAsia" w:ascii="宋体" w:hAnsi="宋体" w:cs="宋体"/>
          <w:color w:val="auto"/>
          <w:sz w:val="22"/>
          <w:lang w:eastAsia="zh-CN"/>
        </w:rPr>
        <w:t>（</w:t>
      </w:r>
      <w:r>
        <w:rPr>
          <w:rFonts w:hint="eastAsia" w:ascii="宋体" w:hAnsi="宋体" w:cs="宋体"/>
          <w:color w:val="auto"/>
          <w:sz w:val="22"/>
        </w:rPr>
        <w:t>或</w:t>
      </w:r>
      <w:r>
        <w:rPr>
          <w:rFonts w:hint="eastAsia" w:ascii="宋体" w:hAnsi="宋体" w:cs="宋体"/>
          <w:color w:val="auto"/>
          <w:sz w:val="22"/>
          <w:lang w:eastAsia="zh-CN"/>
        </w:rPr>
        <w:t>）</w:t>
      </w:r>
      <w:r>
        <w:rPr>
          <w:rFonts w:hint="eastAsia" w:ascii="宋体" w:hAnsi="宋体" w:cs="宋体"/>
          <w:color w:val="auto"/>
          <w:sz w:val="22"/>
        </w:rPr>
        <w:t>延误的工期由发包人承担。</w:t>
      </w:r>
    </w:p>
    <w:p w14:paraId="3329555C">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（4）承包人有以下情况之一者，发包人有权解除合同：</w:t>
      </w:r>
    </w:p>
    <w:p w14:paraId="4F4BDAF6">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①个人承包工程，包括本人单位及外单位人员承包，发包人不承认其个人拥有任何资质等级及营业许可资格。</w:t>
      </w:r>
    </w:p>
    <w:p w14:paraId="56D395F8">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②几个人联合承包工程，就地组织暗分包队伍，不具备完成本工程的技术、机械能力，被发包人判定为没有能力履行的承包人。</w:t>
      </w:r>
    </w:p>
    <w:p w14:paraId="7E3D63B7">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③就地转包全部的工程，以谋取高额转让费、管理费的承包人。</w:t>
      </w:r>
    </w:p>
    <w:p w14:paraId="22C1EA33">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④承包人有部分分包现象（其中包括冒充承包人下属单位的挂勾单位，凭口头协议参与施工的分包人及其他暗分包个体户），一经发现核实，发包人将采取驱逐该暗分包人措施。</w:t>
      </w:r>
    </w:p>
    <w:p w14:paraId="6F28EDEB">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3.5.4 分包合同价款</w:t>
      </w:r>
    </w:p>
    <w:bookmarkEnd w:id="311"/>
    <w:bookmarkEnd w:id="312"/>
    <w:p w14:paraId="045536E8">
      <w:pPr>
        <w:pStyle w:val="41"/>
        <w:spacing w:line="360" w:lineRule="exact"/>
        <w:ind w:firstLine="440" w:firstLineChars="200"/>
        <w:rPr>
          <w:rFonts w:hint="eastAsia" w:ascii="宋体" w:hAnsi="宋体" w:cs="宋体"/>
          <w:color w:val="auto"/>
          <w:sz w:val="22"/>
        </w:rPr>
      </w:pPr>
      <w:bookmarkStart w:id="313" w:name="_Toc373227711"/>
      <w:bookmarkStart w:id="314" w:name="_Toc389065277"/>
      <w:bookmarkStart w:id="315" w:name="_Toc373478358"/>
      <w:r>
        <w:rPr>
          <w:rFonts w:hint="eastAsia" w:ascii="宋体" w:hAnsi="宋体" w:cs="宋体"/>
          <w:color w:val="auto"/>
          <w:sz w:val="22"/>
        </w:rPr>
        <w:t>关于分包合同价款支付的约定：</w:t>
      </w:r>
      <w:r>
        <w:rPr>
          <w:rFonts w:hint="eastAsia" w:ascii="宋体" w:hAnsi="宋体" w:cs="宋体"/>
          <w:color w:val="auto"/>
          <w:sz w:val="22"/>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4492056">
      <w:pPr>
        <w:pStyle w:val="40"/>
        <w:spacing w:line="360" w:lineRule="exact"/>
        <w:ind w:firstLine="442" w:firstLineChars="200"/>
        <w:rPr>
          <w:rFonts w:hint="eastAsia" w:ascii="宋体" w:hAnsi="宋体" w:cs="宋体"/>
          <w:color w:val="auto"/>
          <w:sz w:val="22"/>
          <w:szCs w:val="22"/>
        </w:rPr>
      </w:pPr>
      <w:bookmarkStart w:id="316" w:name="_Toc12975901"/>
      <w:bookmarkStart w:id="317" w:name="_Toc395382513"/>
      <w:bookmarkStart w:id="318" w:name="_Toc533432736"/>
      <w:r>
        <w:rPr>
          <w:rFonts w:hint="eastAsia" w:ascii="宋体" w:hAnsi="宋体" w:cs="宋体"/>
          <w:color w:val="auto"/>
          <w:sz w:val="22"/>
          <w:szCs w:val="22"/>
        </w:rPr>
        <w:t>3.6 工程照管与成品、半成品保护</w:t>
      </w:r>
      <w:bookmarkEnd w:id="313"/>
      <w:bookmarkEnd w:id="314"/>
      <w:bookmarkEnd w:id="315"/>
      <w:bookmarkEnd w:id="316"/>
      <w:bookmarkEnd w:id="317"/>
      <w:bookmarkEnd w:id="318"/>
    </w:p>
    <w:p w14:paraId="37959853">
      <w:pPr>
        <w:pStyle w:val="41"/>
        <w:spacing w:line="360" w:lineRule="exact"/>
        <w:ind w:firstLine="440" w:firstLineChars="200"/>
        <w:rPr>
          <w:rFonts w:hint="eastAsia" w:ascii="宋体" w:hAnsi="宋体" w:cs="宋体"/>
          <w:color w:val="auto"/>
          <w:kern w:val="0"/>
          <w:sz w:val="22"/>
          <w:u w:val="single"/>
        </w:rPr>
      </w:pPr>
      <w:r>
        <w:rPr>
          <w:rFonts w:hint="eastAsia" w:ascii="宋体" w:hAnsi="宋体" w:cs="宋体"/>
          <w:color w:val="auto"/>
          <w:kern w:val="0"/>
          <w:sz w:val="22"/>
        </w:rPr>
        <w:t>承包人负责照管工程及工程相关的材料、工程设备的起始时间：</w:t>
      </w:r>
      <w:r>
        <w:rPr>
          <w:rFonts w:hint="eastAsia" w:ascii="宋体" w:hAnsi="宋体" w:cs="宋体"/>
          <w:color w:val="auto"/>
          <w:kern w:val="0"/>
          <w:sz w:val="22"/>
          <w:u w:val="single"/>
        </w:rPr>
        <w:t xml:space="preserve">设备、人员进场至验收交付使用前由承包人负责保修，无其他特殊要求的，费用由承包人承担 </w:t>
      </w:r>
      <w:r>
        <w:rPr>
          <w:rFonts w:hint="eastAsia" w:ascii="宋体" w:hAnsi="宋体" w:cs="宋体"/>
          <w:color w:val="auto"/>
          <w:kern w:val="0"/>
          <w:sz w:val="22"/>
        </w:rPr>
        <w:t>。</w:t>
      </w:r>
    </w:p>
    <w:p w14:paraId="5120540A">
      <w:pPr>
        <w:pStyle w:val="40"/>
        <w:spacing w:line="360" w:lineRule="exact"/>
        <w:ind w:firstLine="442" w:firstLineChars="200"/>
        <w:rPr>
          <w:rFonts w:hint="eastAsia" w:ascii="宋体" w:hAnsi="宋体" w:cs="宋体"/>
          <w:color w:val="auto"/>
          <w:sz w:val="22"/>
          <w:szCs w:val="22"/>
        </w:rPr>
      </w:pPr>
      <w:bookmarkStart w:id="319" w:name="_Toc389065278"/>
      <w:bookmarkStart w:id="320" w:name="_Toc373478359"/>
      <w:bookmarkStart w:id="321" w:name="_Toc373227712"/>
      <w:bookmarkStart w:id="322" w:name="_Toc12975902"/>
      <w:bookmarkStart w:id="323" w:name="_Toc395382514"/>
      <w:bookmarkStart w:id="324" w:name="_Toc533432737"/>
      <w:r>
        <w:rPr>
          <w:rFonts w:hint="eastAsia" w:ascii="宋体" w:hAnsi="宋体" w:cs="宋体"/>
          <w:color w:val="auto"/>
          <w:sz w:val="22"/>
          <w:szCs w:val="22"/>
        </w:rPr>
        <w:t>3.7 履约</w:t>
      </w:r>
      <w:bookmarkEnd w:id="319"/>
      <w:bookmarkEnd w:id="320"/>
      <w:bookmarkEnd w:id="321"/>
      <w:r>
        <w:rPr>
          <w:rFonts w:hint="eastAsia" w:ascii="宋体" w:hAnsi="宋体" w:cs="宋体"/>
          <w:color w:val="auto"/>
          <w:sz w:val="22"/>
          <w:szCs w:val="22"/>
        </w:rPr>
        <w:t>保证金</w:t>
      </w:r>
      <w:bookmarkEnd w:id="322"/>
      <w:bookmarkEnd w:id="323"/>
      <w:bookmarkEnd w:id="324"/>
    </w:p>
    <w:p w14:paraId="7CD71AB6">
      <w:pPr>
        <w:pStyle w:val="71"/>
        <w:spacing w:before="0" w:after="0" w:line="360" w:lineRule="exact"/>
        <w:ind w:firstLine="440" w:firstLineChars="200"/>
        <w:rPr>
          <w:rFonts w:hint="default" w:ascii="宋体" w:hAnsi="宋体" w:eastAsia="宋体" w:cs="宋体"/>
          <w:b w:val="0"/>
          <w:bCs w:val="0"/>
          <w:color w:val="auto"/>
          <w:kern w:val="0"/>
          <w:sz w:val="22"/>
          <w:szCs w:val="22"/>
          <w:lang w:val="en-US" w:eastAsia="zh-CN" w:bidi="ar-SA"/>
        </w:rPr>
      </w:pPr>
      <w:bookmarkStart w:id="325" w:name="_Toc373478360"/>
      <w:bookmarkStart w:id="326" w:name="_Toc389065279"/>
      <w:bookmarkStart w:id="327" w:name="_Toc373227713"/>
      <w:bookmarkStart w:id="328" w:name="_Toc12975903"/>
      <w:bookmarkStart w:id="329" w:name="_Toc351203636"/>
      <w:bookmarkStart w:id="330" w:name="_Toc395382515"/>
      <w:bookmarkStart w:id="331" w:name="_Toc533432738"/>
      <w:r>
        <w:rPr>
          <w:rFonts w:hint="eastAsia" w:ascii="宋体" w:hAnsi="宋体" w:eastAsia="宋体" w:cs="宋体"/>
          <w:b w:val="0"/>
          <w:bCs w:val="0"/>
          <w:color w:val="auto"/>
          <w:kern w:val="0"/>
          <w:sz w:val="22"/>
          <w:szCs w:val="22"/>
          <w:lang w:val="en-US" w:eastAsia="zh-CN" w:bidi="ar-SA"/>
        </w:rPr>
        <w:t>本项目不收取履约保证金</w:t>
      </w:r>
    </w:p>
    <w:p w14:paraId="595FEEF3">
      <w:pPr>
        <w:pStyle w:val="71"/>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4</w:t>
      </w:r>
      <w:bookmarkStart w:id="332" w:name="_Toc296890990"/>
      <w:bookmarkStart w:id="333" w:name="_Toc292559871"/>
      <w:bookmarkStart w:id="334" w:name="_Toc297048348"/>
      <w:bookmarkStart w:id="335" w:name="_Toc296346663"/>
      <w:bookmarkStart w:id="336" w:name="_Toc296944501"/>
      <w:bookmarkStart w:id="337" w:name="_Toc296891202"/>
      <w:bookmarkStart w:id="338" w:name="_Toc292559366"/>
      <w:bookmarkStart w:id="339" w:name="_Toc297120462"/>
      <w:bookmarkStart w:id="340" w:name="_Toc296347161"/>
      <w:bookmarkStart w:id="341" w:name="_Toc267251413"/>
      <w:bookmarkStart w:id="342" w:name="_Toc296503162"/>
      <w:r>
        <w:rPr>
          <w:rFonts w:hint="eastAsia" w:ascii="宋体" w:hAnsi="宋体" w:cs="宋体"/>
          <w:color w:val="auto"/>
          <w:sz w:val="22"/>
          <w:szCs w:val="22"/>
        </w:rPr>
        <w:t>. 监</w:t>
      </w:r>
      <w:bookmarkEnd w:id="332"/>
      <w:bookmarkEnd w:id="333"/>
      <w:bookmarkEnd w:id="334"/>
      <w:bookmarkEnd w:id="335"/>
      <w:bookmarkEnd w:id="336"/>
      <w:bookmarkEnd w:id="337"/>
      <w:bookmarkEnd w:id="338"/>
      <w:bookmarkEnd w:id="339"/>
      <w:bookmarkEnd w:id="340"/>
      <w:bookmarkEnd w:id="341"/>
      <w:bookmarkEnd w:id="342"/>
      <w:r>
        <w:rPr>
          <w:rFonts w:hint="eastAsia" w:ascii="宋体" w:hAnsi="宋体" w:cs="宋体"/>
          <w:color w:val="auto"/>
          <w:sz w:val="22"/>
          <w:szCs w:val="22"/>
        </w:rPr>
        <w:t>理人</w:t>
      </w:r>
      <w:bookmarkEnd w:id="325"/>
      <w:bookmarkEnd w:id="326"/>
      <w:bookmarkEnd w:id="327"/>
      <w:bookmarkEnd w:id="328"/>
      <w:bookmarkEnd w:id="329"/>
      <w:bookmarkEnd w:id="330"/>
      <w:bookmarkEnd w:id="331"/>
    </w:p>
    <w:p w14:paraId="0FDD0D43">
      <w:pPr>
        <w:pStyle w:val="40"/>
        <w:spacing w:line="360" w:lineRule="exact"/>
        <w:ind w:firstLine="442" w:firstLineChars="200"/>
        <w:rPr>
          <w:rFonts w:hint="eastAsia" w:ascii="宋体" w:hAnsi="宋体" w:cs="宋体"/>
          <w:color w:val="auto"/>
          <w:sz w:val="22"/>
          <w:szCs w:val="22"/>
        </w:rPr>
      </w:pPr>
      <w:bookmarkStart w:id="343" w:name="_Toc395382516"/>
      <w:bookmarkStart w:id="344" w:name="_Toc373227714"/>
      <w:bookmarkStart w:id="345" w:name="_Toc533432739"/>
      <w:bookmarkStart w:id="346" w:name="_Toc12975904"/>
      <w:bookmarkStart w:id="347" w:name="_Toc389065280"/>
      <w:bookmarkStart w:id="348" w:name="_Toc373478361"/>
      <w:r>
        <w:rPr>
          <w:rFonts w:hint="eastAsia" w:ascii="宋体" w:hAnsi="宋体" w:cs="宋体"/>
          <w:color w:val="auto"/>
          <w:sz w:val="22"/>
          <w:szCs w:val="22"/>
        </w:rPr>
        <w:t>4.1 监理人的一般规定</w:t>
      </w:r>
      <w:bookmarkEnd w:id="343"/>
      <w:bookmarkEnd w:id="344"/>
      <w:bookmarkEnd w:id="345"/>
      <w:bookmarkEnd w:id="346"/>
      <w:bookmarkEnd w:id="347"/>
      <w:bookmarkEnd w:id="348"/>
    </w:p>
    <w:p w14:paraId="3287E910">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关于监理人的监理内容：</w:t>
      </w:r>
      <w:r>
        <w:rPr>
          <w:rFonts w:hint="eastAsia" w:ascii="宋体" w:hAnsi="宋体" w:cs="宋体"/>
          <w:color w:val="auto"/>
          <w:sz w:val="22"/>
          <w:szCs w:val="22"/>
          <w:u w:val="single"/>
        </w:rPr>
        <w:t>三控三管一协调（主要指：工程进度控制、工程质量、安全控制、工程投资（成本）控制；合同管理、职业健康安全与环境管理、信息管理；与本项目有关的全面组织协调）</w:t>
      </w:r>
      <w:r>
        <w:rPr>
          <w:rFonts w:hint="eastAsia" w:ascii="宋体" w:hAnsi="宋体" w:cs="宋体"/>
          <w:color w:val="auto"/>
          <w:sz w:val="22"/>
          <w:szCs w:val="22"/>
        </w:rPr>
        <w:t>。</w:t>
      </w:r>
    </w:p>
    <w:p w14:paraId="2A08590B">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rPr>
        <w:t>关于监理人的监理权限：</w:t>
      </w:r>
      <w:r>
        <w:rPr>
          <w:rFonts w:hint="eastAsia" w:ascii="宋体" w:hAnsi="宋体" w:cs="宋体"/>
          <w:color w:val="auto"/>
          <w:sz w:val="22"/>
          <w:szCs w:val="22"/>
          <w:u w:val="single"/>
        </w:rPr>
        <w:t>（1）监理人行使下列职权之前必须征得发包人的书面认可：①批准承包人的书面开工请求或延期开工申请，发布暂停施工指示、复工令或批准复工申请；②批准合同进度计划及合同进度计划的修订；③批准承包人的深化设计；④批准承包人的重大施工技术方案和技术规范的变更；⑤批准承包人或其分包人提出更换项目经理、技术负责人或</w:t>
      </w:r>
      <w:r>
        <w:rPr>
          <w:rFonts w:hint="eastAsia" w:ascii="宋体" w:hAnsi="宋体" w:cs="宋体"/>
          <w:color w:val="auto"/>
          <w:sz w:val="22"/>
          <w:szCs w:val="22"/>
          <w:u w:val="single"/>
          <w:lang w:eastAsia="zh-CN"/>
        </w:rPr>
        <w:t>其他主要</w:t>
      </w:r>
      <w:r>
        <w:rPr>
          <w:rFonts w:hint="eastAsia" w:ascii="宋体" w:hAnsi="宋体" w:cs="宋体"/>
          <w:color w:val="auto"/>
          <w:sz w:val="22"/>
          <w:szCs w:val="22"/>
          <w:u w:val="single"/>
        </w:rPr>
        <w:t>管理人员；⑥批准主要材料设备或替换材料设备的使用及分包人的选择；⑦工程量计量、工程款的审核和确认权；⑧发出可能导致增加合同价款或费用或延误或延长工期的任何指示或建议；⑨批准承包人拆除垂直运输设备、外墙脚手架及其他重要施工设备；⑩质量缺陷补救措施的认可；⑪签发工程竣工证书、单位工程验收证明书；⑫专用条款约定的需经发包人批准方能行使的职权。</w:t>
      </w:r>
    </w:p>
    <w:p w14:paraId="2695D8D5">
      <w:pPr>
        <w:pStyle w:val="61"/>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当监理人行使上述职权时，监理人应当提供经发包人认可的相关配套文件，承包人应当核实其真实性。如果无发包人事先认可文件时，发包人不承担由此产生的义务和责任，由此产生的一切后果（不限于工期延误和成本、费用支出等）均由承包人承担。</w:t>
      </w:r>
    </w:p>
    <w:p w14:paraId="5ED8AD8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监理人无权行使下列权利：①提出或批准变更、索赔（含工期、费用）；②批准暂列金额的使用；③暂估价费用确定；④同意分包本工程的某些非主体和非关键性主体；⑤专用条款约定的监理人无权行使的权力。</w:t>
      </w:r>
    </w:p>
    <w:p w14:paraId="24582893">
      <w:pPr>
        <w:pStyle w:val="61"/>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承包人在接到监理人指示时，应自行审核该指示是否属于上述监理人无权行使的权力的范围，因承包人疏于审核监理人指示所产生的一切后果均由承包人承担。</w:t>
      </w:r>
    </w:p>
    <w:p w14:paraId="3213A4D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监理人无权免除、减轻或变更合同约定的承包人的义务和责任。合同约定应由承包人承担的义务和责任，也不因监理人对承包人提交文件的审查或批准，对工程、材料设备的检查和检验，以及为实施监理作出的指示等职务行为而减轻、免除或变更。</w:t>
      </w:r>
    </w:p>
    <w:p w14:paraId="39607238">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（4）发包人有权单方修改监理人的职权，并书面通知承包人，修改的监理人的职权自通知到达承包人之日起生效。</w:t>
      </w:r>
    </w:p>
    <w:p w14:paraId="0834E4B1">
      <w:pPr>
        <w:pStyle w:val="61"/>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5）如果发生紧急情况，监理人认为将造成人员伤亡，或危及本工程或邻近的财产需立即采取行动，监理人有权在未征得发包人的批准的情况下发布处理紧急情况所必需的指令，承包人应予执行，由此造成的费用增加由监</w:t>
      </w:r>
      <w:r>
        <w:rPr>
          <w:rFonts w:hint="eastAsia" w:ascii="宋体" w:hAnsi="宋体" w:cs="宋体"/>
          <w:bCs/>
          <w:color w:val="auto"/>
          <w:sz w:val="22"/>
          <w:szCs w:val="22"/>
          <w:highlight w:val="none"/>
          <w:u w:val="single"/>
        </w:rPr>
        <w:t>理人按合同中的</w:t>
      </w:r>
      <w:r>
        <w:rPr>
          <w:rFonts w:hint="eastAsia" w:ascii="宋体" w:hAnsi="宋体" w:cs="宋体"/>
          <w:bCs/>
          <w:color w:val="auto"/>
          <w:sz w:val="22"/>
          <w:szCs w:val="22"/>
          <w:u w:val="single"/>
        </w:rPr>
        <w:t>其余条款商定或确定。</w:t>
      </w:r>
      <w:r>
        <w:rPr>
          <w:rFonts w:hint="eastAsia" w:ascii="宋体" w:hAnsi="宋体" w:cs="宋体"/>
          <w:color w:val="auto"/>
          <w:sz w:val="22"/>
          <w:szCs w:val="22"/>
        </w:rPr>
        <w:t xml:space="preserve"> </w:t>
      </w:r>
    </w:p>
    <w:p w14:paraId="1C9D54FA">
      <w:pPr>
        <w:pStyle w:val="41"/>
        <w:spacing w:line="360" w:lineRule="exact"/>
        <w:ind w:firstLine="440" w:firstLineChars="200"/>
        <w:rPr>
          <w:rFonts w:hint="eastAsia" w:ascii="宋体" w:hAnsi="宋体" w:cs="宋体"/>
          <w:color w:val="auto"/>
          <w:sz w:val="22"/>
          <w:u w:val="single"/>
        </w:rPr>
      </w:pPr>
      <w:r>
        <w:rPr>
          <w:rFonts w:hint="eastAsia" w:ascii="宋体" w:hAnsi="宋体" w:cs="宋体"/>
          <w:color w:val="auto"/>
          <w:sz w:val="22"/>
        </w:rPr>
        <w:t>关于监理人在施工现场的办公场所、生活场所的提供和费用承担的约定：</w:t>
      </w:r>
      <w:r>
        <w:rPr>
          <w:rFonts w:hint="eastAsia" w:ascii="宋体" w:hAnsi="宋体" w:cs="宋体"/>
          <w:color w:val="auto"/>
          <w:sz w:val="22"/>
          <w:u w:val="single"/>
        </w:rPr>
        <w:t xml:space="preserve">承包人免费提供 </w:t>
      </w:r>
      <w:r>
        <w:rPr>
          <w:rFonts w:hint="eastAsia" w:ascii="宋体" w:hAnsi="宋体" w:cs="宋体"/>
          <w:color w:val="auto"/>
          <w:sz w:val="22"/>
        </w:rPr>
        <w:t>。</w:t>
      </w:r>
    </w:p>
    <w:p w14:paraId="0D56A290">
      <w:pPr>
        <w:pStyle w:val="40"/>
        <w:spacing w:line="360" w:lineRule="exact"/>
        <w:ind w:firstLine="442" w:firstLineChars="200"/>
        <w:rPr>
          <w:rFonts w:hint="eastAsia" w:ascii="宋体" w:hAnsi="宋体" w:cs="宋体"/>
          <w:color w:val="auto"/>
          <w:sz w:val="22"/>
          <w:szCs w:val="22"/>
        </w:rPr>
      </w:pPr>
      <w:bookmarkStart w:id="349" w:name="_Toc373227715"/>
      <w:bookmarkStart w:id="350" w:name="_Toc373478362"/>
      <w:bookmarkStart w:id="351" w:name="_Toc533432740"/>
      <w:bookmarkStart w:id="352" w:name="_Toc12975905"/>
      <w:bookmarkStart w:id="353" w:name="_Toc395382517"/>
      <w:bookmarkStart w:id="354" w:name="_Toc389065281"/>
      <w:r>
        <w:rPr>
          <w:rFonts w:hint="eastAsia" w:ascii="宋体" w:hAnsi="宋体" w:cs="宋体"/>
          <w:color w:val="auto"/>
          <w:sz w:val="22"/>
          <w:szCs w:val="22"/>
        </w:rPr>
        <w:t>4.2 监理人员</w:t>
      </w:r>
      <w:bookmarkEnd w:id="349"/>
      <w:bookmarkEnd w:id="350"/>
      <w:bookmarkEnd w:id="351"/>
      <w:bookmarkEnd w:id="352"/>
      <w:bookmarkEnd w:id="353"/>
      <w:bookmarkEnd w:id="354"/>
    </w:p>
    <w:p w14:paraId="6396C13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总监理工程师：</w:t>
      </w:r>
    </w:p>
    <w:p w14:paraId="6EC42F9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姓    名：</w:t>
      </w:r>
      <w:r>
        <w:rPr>
          <w:rFonts w:hint="eastAsia" w:ascii="宋体" w:hAnsi="宋体" w:cs="宋体"/>
          <w:color w:val="auto"/>
          <w:sz w:val="22"/>
          <w:u w:val="single"/>
        </w:rPr>
        <w:t>   </w:t>
      </w:r>
      <w:r>
        <w:rPr>
          <w:rFonts w:hint="eastAsia" w:ascii="宋体" w:hAnsi="宋体" w:cs="宋体"/>
          <w:color w:val="auto"/>
          <w:sz w:val="22"/>
        </w:rPr>
        <w:t>；</w:t>
      </w:r>
    </w:p>
    <w:p w14:paraId="19CD816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职    务：</w:t>
      </w:r>
      <w:r>
        <w:rPr>
          <w:rFonts w:hint="eastAsia" w:ascii="宋体" w:hAnsi="宋体" w:cs="宋体"/>
          <w:color w:val="auto"/>
          <w:sz w:val="22"/>
          <w:u w:val="single"/>
        </w:rPr>
        <w:t>   </w:t>
      </w:r>
      <w:r>
        <w:rPr>
          <w:rFonts w:hint="eastAsia" w:ascii="宋体" w:hAnsi="宋体" w:cs="宋体"/>
          <w:color w:val="auto"/>
          <w:sz w:val="22"/>
        </w:rPr>
        <w:t>；</w:t>
      </w:r>
    </w:p>
    <w:p w14:paraId="76ACD98C">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监理工程师执业资格证书号：</w:t>
      </w:r>
      <w:r>
        <w:rPr>
          <w:rFonts w:hint="eastAsia" w:ascii="宋体" w:hAnsi="宋体" w:cs="宋体"/>
          <w:color w:val="auto"/>
          <w:sz w:val="22"/>
          <w:u w:val="single"/>
        </w:rPr>
        <w:t> </w:t>
      </w:r>
      <w:r>
        <w:rPr>
          <w:rFonts w:hint="eastAsia" w:ascii="宋体" w:hAnsi="宋体" w:cs="宋体"/>
          <w:color w:val="auto"/>
          <w:sz w:val="22"/>
        </w:rPr>
        <w:t>；</w:t>
      </w:r>
    </w:p>
    <w:p w14:paraId="718F982B">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广西建筑市场诚信卡卡号：</w:t>
      </w:r>
      <w:r>
        <w:rPr>
          <w:rFonts w:hint="eastAsia" w:ascii="宋体" w:hAnsi="宋体" w:cs="宋体"/>
          <w:color w:val="auto"/>
          <w:sz w:val="22"/>
          <w:u w:val="single"/>
        </w:rPr>
        <w:t xml:space="preserve">                 </w:t>
      </w:r>
      <w:r>
        <w:rPr>
          <w:rFonts w:hint="eastAsia" w:ascii="宋体" w:hAnsi="宋体" w:cs="宋体"/>
          <w:color w:val="auto"/>
          <w:sz w:val="22"/>
        </w:rPr>
        <w:t>；</w:t>
      </w:r>
    </w:p>
    <w:p w14:paraId="5ED2318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联系电话：</w:t>
      </w:r>
      <w:r>
        <w:rPr>
          <w:rFonts w:hint="eastAsia" w:ascii="宋体" w:hAnsi="宋体" w:cs="宋体"/>
          <w:color w:val="auto"/>
          <w:sz w:val="22"/>
          <w:u w:val="single"/>
        </w:rPr>
        <w:t>   </w:t>
      </w:r>
      <w:r>
        <w:rPr>
          <w:rFonts w:hint="eastAsia" w:ascii="宋体" w:hAnsi="宋体" w:cs="宋体"/>
          <w:color w:val="auto"/>
          <w:sz w:val="22"/>
        </w:rPr>
        <w:t>；</w:t>
      </w:r>
    </w:p>
    <w:p w14:paraId="585D3CD7">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电子信箱：</w:t>
      </w:r>
      <w:r>
        <w:rPr>
          <w:rFonts w:hint="eastAsia" w:ascii="宋体" w:hAnsi="宋体" w:cs="宋体"/>
          <w:color w:val="auto"/>
          <w:sz w:val="22"/>
          <w:u w:val="single"/>
        </w:rPr>
        <w:t>   </w:t>
      </w:r>
      <w:r>
        <w:rPr>
          <w:rFonts w:hint="eastAsia" w:ascii="宋体" w:hAnsi="宋体" w:cs="宋体"/>
          <w:color w:val="auto"/>
          <w:sz w:val="22"/>
        </w:rPr>
        <w:t>；</w:t>
      </w:r>
    </w:p>
    <w:p w14:paraId="2BDD8C49">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通信地址：</w:t>
      </w:r>
      <w:r>
        <w:rPr>
          <w:rFonts w:hint="eastAsia" w:ascii="宋体" w:hAnsi="宋体" w:cs="宋体"/>
          <w:color w:val="auto"/>
          <w:sz w:val="22"/>
          <w:u w:val="single"/>
        </w:rPr>
        <w:t>   </w:t>
      </w:r>
      <w:r>
        <w:rPr>
          <w:rFonts w:hint="eastAsia" w:ascii="宋体" w:hAnsi="宋体" w:cs="宋体"/>
          <w:color w:val="auto"/>
          <w:sz w:val="22"/>
        </w:rPr>
        <w:t>；</w:t>
      </w:r>
    </w:p>
    <w:p w14:paraId="2A548442">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关于监理人的其他约定：</w:t>
      </w:r>
      <w:r>
        <w:rPr>
          <w:rFonts w:hint="eastAsia" w:ascii="宋体" w:hAnsi="宋体" w:cs="宋体"/>
          <w:color w:val="auto"/>
          <w:sz w:val="22"/>
          <w:u w:val="single"/>
        </w:rPr>
        <w:t>   </w:t>
      </w:r>
      <w:r>
        <w:rPr>
          <w:rFonts w:hint="eastAsia" w:ascii="宋体" w:hAnsi="宋体" w:cs="宋体"/>
          <w:color w:val="auto"/>
          <w:sz w:val="22"/>
        </w:rPr>
        <w:t>。</w:t>
      </w:r>
    </w:p>
    <w:p w14:paraId="26298AF5">
      <w:pPr>
        <w:pStyle w:val="40"/>
        <w:spacing w:line="360" w:lineRule="exact"/>
        <w:ind w:firstLine="442" w:firstLineChars="200"/>
        <w:rPr>
          <w:rFonts w:hint="eastAsia" w:ascii="宋体" w:hAnsi="宋体" w:cs="宋体"/>
          <w:color w:val="auto"/>
          <w:sz w:val="22"/>
          <w:szCs w:val="22"/>
        </w:rPr>
      </w:pPr>
      <w:bookmarkStart w:id="355" w:name="_Toc12975906"/>
      <w:bookmarkStart w:id="356" w:name="_Toc533432741"/>
      <w:bookmarkStart w:id="357" w:name="_Toc373227716"/>
      <w:bookmarkStart w:id="358" w:name="_Toc389065282"/>
      <w:bookmarkStart w:id="359" w:name="_Toc373478363"/>
      <w:bookmarkStart w:id="360" w:name="_Toc395382518"/>
      <w:r>
        <w:rPr>
          <w:rFonts w:hint="eastAsia" w:ascii="宋体" w:hAnsi="宋体" w:cs="宋体"/>
          <w:color w:val="auto"/>
          <w:sz w:val="22"/>
          <w:szCs w:val="22"/>
        </w:rPr>
        <w:t>4.4 商定或确定</w:t>
      </w:r>
      <w:bookmarkEnd w:id="355"/>
      <w:bookmarkEnd w:id="356"/>
      <w:bookmarkEnd w:id="357"/>
      <w:bookmarkEnd w:id="358"/>
      <w:bookmarkEnd w:id="359"/>
      <w:bookmarkEnd w:id="360"/>
    </w:p>
    <w:p w14:paraId="2180BDE3">
      <w:pPr>
        <w:pStyle w:val="41"/>
        <w:spacing w:line="360" w:lineRule="exact"/>
        <w:ind w:firstLine="440" w:firstLineChars="200"/>
        <w:rPr>
          <w:rFonts w:hint="eastAsia" w:ascii="宋体" w:hAnsi="宋体" w:cs="宋体"/>
          <w:color w:val="auto"/>
          <w:sz w:val="22"/>
        </w:rPr>
      </w:pPr>
      <w:bookmarkStart w:id="361" w:name="_Toc267251418"/>
      <w:r>
        <w:rPr>
          <w:rFonts w:hint="eastAsia" w:ascii="宋体" w:hAnsi="宋体" w:cs="宋体"/>
          <w:color w:val="auto"/>
          <w:sz w:val="22"/>
        </w:rPr>
        <w:t>在发包人和承包人不能通过协商达成一致意见时，发包人授权监理人对以下事项进行确定：</w:t>
      </w:r>
    </w:p>
    <w:p w14:paraId="2787190F">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2152535">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EB884EF">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C9AF4C6">
      <w:pPr>
        <w:pStyle w:val="71"/>
        <w:spacing w:before="0" w:after="0" w:line="360" w:lineRule="exact"/>
        <w:ind w:firstLine="442" w:firstLineChars="200"/>
        <w:rPr>
          <w:rFonts w:hint="eastAsia" w:ascii="宋体" w:hAnsi="宋体" w:cs="宋体"/>
          <w:color w:val="auto"/>
          <w:sz w:val="22"/>
          <w:szCs w:val="22"/>
        </w:rPr>
      </w:pPr>
      <w:bookmarkStart w:id="362" w:name="_Toc373227717"/>
      <w:bookmarkStart w:id="363" w:name="_Toc395382519"/>
      <w:bookmarkStart w:id="364" w:name="_Toc533432742"/>
      <w:bookmarkStart w:id="365" w:name="_Toc12975907"/>
      <w:bookmarkStart w:id="366" w:name="_Toc389065283"/>
      <w:bookmarkStart w:id="367" w:name="_Toc351203637"/>
      <w:bookmarkStart w:id="368" w:name="_Toc373478364"/>
      <w:r>
        <w:rPr>
          <w:rFonts w:hint="eastAsia" w:ascii="宋体" w:hAnsi="宋体" w:cs="宋体"/>
          <w:color w:val="auto"/>
          <w:sz w:val="22"/>
          <w:szCs w:val="22"/>
        </w:rPr>
        <w:t>5</w:t>
      </w:r>
      <w:bookmarkEnd w:id="361"/>
      <w:bookmarkStart w:id="369" w:name="_Toc297120463"/>
      <w:bookmarkStart w:id="370" w:name="_Toc296346664"/>
      <w:bookmarkStart w:id="371" w:name="_Toc296944502"/>
      <w:bookmarkStart w:id="372" w:name="_Toc296891203"/>
      <w:bookmarkStart w:id="373" w:name="_Toc292559872"/>
      <w:bookmarkStart w:id="374" w:name="_Toc296503163"/>
      <w:bookmarkStart w:id="375" w:name="_Toc296347162"/>
      <w:bookmarkStart w:id="376" w:name="_Toc296890991"/>
      <w:bookmarkStart w:id="377" w:name="_Toc292559367"/>
      <w:bookmarkStart w:id="378" w:name="_Toc297048349"/>
      <w:r>
        <w:rPr>
          <w:rFonts w:hint="eastAsia" w:ascii="宋体" w:hAnsi="宋体" w:cs="宋体"/>
          <w:color w:val="auto"/>
          <w:sz w:val="22"/>
          <w:szCs w:val="22"/>
        </w:rPr>
        <w:t>. 工程质量</w:t>
      </w:r>
      <w:bookmarkEnd w:id="362"/>
      <w:bookmarkEnd w:id="363"/>
      <w:bookmarkEnd w:id="364"/>
      <w:bookmarkEnd w:id="365"/>
      <w:bookmarkEnd w:id="366"/>
      <w:bookmarkEnd w:id="367"/>
      <w:bookmarkEnd w:id="368"/>
    </w:p>
    <w:p w14:paraId="02A58D11">
      <w:pPr>
        <w:pStyle w:val="40"/>
        <w:spacing w:line="360" w:lineRule="exact"/>
        <w:ind w:firstLine="442" w:firstLineChars="200"/>
        <w:rPr>
          <w:rFonts w:hint="eastAsia" w:ascii="宋体" w:hAnsi="宋体" w:cs="宋体"/>
          <w:color w:val="auto"/>
          <w:sz w:val="22"/>
          <w:szCs w:val="22"/>
        </w:rPr>
      </w:pPr>
      <w:bookmarkStart w:id="379" w:name="_Toc533432743"/>
      <w:bookmarkStart w:id="380" w:name="_Toc373478365"/>
      <w:bookmarkStart w:id="381" w:name="_Toc395382520"/>
      <w:bookmarkStart w:id="382" w:name="_Toc373227718"/>
      <w:bookmarkStart w:id="383" w:name="_Toc12975908"/>
      <w:bookmarkStart w:id="384" w:name="_Toc389065284"/>
      <w:r>
        <w:rPr>
          <w:rFonts w:hint="eastAsia" w:ascii="宋体" w:hAnsi="宋体" w:cs="宋体"/>
          <w:color w:val="auto"/>
          <w:sz w:val="22"/>
          <w:szCs w:val="22"/>
        </w:rPr>
        <w:t>5.1 质量要求</w:t>
      </w:r>
      <w:bookmarkEnd w:id="379"/>
      <w:bookmarkEnd w:id="380"/>
      <w:bookmarkEnd w:id="381"/>
      <w:bookmarkEnd w:id="382"/>
      <w:bookmarkEnd w:id="383"/>
      <w:bookmarkEnd w:id="384"/>
    </w:p>
    <w:p w14:paraId="4CEAB656">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w:t>
      </w:r>
      <w:bookmarkStart w:id="385" w:name="_Toc297123496"/>
      <w:bookmarkStart w:id="386" w:name="_Toc303539106"/>
      <w:bookmarkStart w:id="387" w:name="_Toc318581164"/>
      <w:bookmarkStart w:id="388" w:name="_Toc304295527"/>
      <w:bookmarkStart w:id="389" w:name="_Toc300934949"/>
      <w:bookmarkStart w:id="390" w:name="_Toc297216155"/>
      <w:bookmarkStart w:id="391" w:name="_Toc312677997"/>
      <w:r>
        <w:rPr>
          <w:rFonts w:hint="eastAsia" w:ascii="宋体" w:hAnsi="宋体" w:cs="宋体"/>
          <w:color w:val="auto"/>
          <w:sz w:val="22"/>
        </w:rPr>
        <w:t>.1.1 特殊质量标准和要求：</w:t>
      </w:r>
      <w:r>
        <w:rPr>
          <w:rFonts w:hint="eastAsia" w:ascii="宋体" w:hAnsi="宋体" w:cs="宋体"/>
          <w:color w:val="auto"/>
          <w:sz w:val="22"/>
          <w:u w:val="single"/>
        </w:rPr>
        <w:t xml:space="preserve">   合格  </w:t>
      </w:r>
      <w:r>
        <w:rPr>
          <w:rFonts w:hint="eastAsia" w:ascii="宋体" w:hAnsi="宋体" w:cs="宋体"/>
          <w:color w:val="auto"/>
          <w:sz w:val="22"/>
        </w:rPr>
        <w:t>。</w:t>
      </w:r>
    </w:p>
    <w:p w14:paraId="0307B73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关于工程奖项的约定：</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无 </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BBAE79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5.1.3因承包人原因造成工程质量未达到合同约定标准的，发包人有权要求承包人返工直至工程质量达到合同约定的标准为止，并由承包人承担由此增加的费用和（或）延误的工期。承包人必须在发包人规定的合理时间内完成，否则发包人有权扣罚该分项工程10%的工程款作为处罚。</w:t>
      </w:r>
    </w:p>
    <w:p w14:paraId="0152C11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5.3 隐蔽工程检查</w:t>
      </w:r>
    </w:p>
    <w:p w14:paraId="75D5786D">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5.3.2承包人提前通知监理人隐蔽工程检查的期限的约定：</w:t>
      </w:r>
      <w:r>
        <w:rPr>
          <w:rFonts w:hint="eastAsia" w:ascii="宋体" w:hAnsi="宋体" w:cs="宋体"/>
          <w:bCs/>
          <w:color w:val="auto"/>
          <w:sz w:val="22"/>
        </w:rPr>
        <w:t>工程隐蔽或中间验</w:t>
      </w:r>
      <w:r>
        <w:rPr>
          <w:rFonts w:hint="eastAsia" w:ascii="宋体" w:hAnsi="宋体" w:cs="宋体"/>
          <w:bCs/>
          <w:color w:val="auto"/>
          <w:sz w:val="22"/>
          <w:highlight w:val="none"/>
        </w:rPr>
        <w:t>收前</w:t>
      </w:r>
      <w:r>
        <w:rPr>
          <w:rFonts w:hint="eastAsia" w:ascii="宋体" w:hAnsi="宋体" w:cs="宋体"/>
          <w:bCs/>
          <w:color w:val="auto"/>
          <w:sz w:val="22"/>
          <w:highlight w:val="none"/>
          <w:lang w:val="en-US" w:eastAsia="zh-CN"/>
        </w:rPr>
        <w:t>24</w:t>
      </w:r>
      <w:r>
        <w:rPr>
          <w:rFonts w:hint="eastAsia" w:ascii="宋体" w:hAnsi="宋体" w:cs="宋体"/>
          <w:bCs/>
          <w:color w:val="auto"/>
          <w:sz w:val="22"/>
          <w:highlight w:val="none"/>
        </w:rPr>
        <w:t>小时</w:t>
      </w:r>
      <w:r>
        <w:rPr>
          <w:rFonts w:hint="eastAsia" w:ascii="宋体" w:hAnsi="宋体" w:cs="宋体"/>
          <w:bCs/>
          <w:color w:val="auto"/>
          <w:sz w:val="22"/>
        </w:rPr>
        <w:t>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6EBD60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监理人不能按时进行检查时，应提前</w:t>
      </w:r>
      <w:r>
        <w:rPr>
          <w:rFonts w:hint="eastAsia" w:ascii="宋体" w:hAnsi="宋体" w:cs="宋体"/>
          <w:color w:val="auto"/>
          <w:sz w:val="22"/>
          <w:u w:val="single"/>
        </w:rPr>
        <w:t xml:space="preserve"> 12 </w:t>
      </w:r>
      <w:r>
        <w:rPr>
          <w:rFonts w:hint="eastAsia" w:ascii="宋体" w:hAnsi="宋体" w:cs="宋体"/>
          <w:color w:val="auto"/>
          <w:sz w:val="22"/>
        </w:rPr>
        <w:t>小时提交书面延期要求。</w:t>
      </w:r>
    </w:p>
    <w:p w14:paraId="11AD6B5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24  </w:t>
      </w:r>
      <w:r>
        <w:rPr>
          <w:rFonts w:hint="eastAsia" w:ascii="宋体" w:hAnsi="宋体" w:cs="宋体"/>
          <w:color w:val="auto"/>
          <w:sz w:val="22"/>
        </w:rPr>
        <w:t>小时。</w:t>
      </w:r>
    </w:p>
    <w:p w14:paraId="5B3CD6C1">
      <w:pPr>
        <w:pStyle w:val="41"/>
        <w:spacing w:line="360" w:lineRule="exact"/>
        <w:ind w:firstLine="440" w:firstLineChars="200"/>
        <w:jc w:val="left"/>
        <w:rPr>
          <w:rFonts w:hint="eastAsia" w:ascii="宋体" w:hAnsi="宋体" w:cs="宋体"/>
          <w:color w:val="auto"/>
          <w:sz w:val="22"/>
        </w:rPr>
      </w:pPr>
    </w:p>
    <w:p w14:paraId="0B45B0CF">
      <w:pPr>
        <w:pStyle w:val="71"/>
        <w:spacing w:before="0" w:after="0" w:line="360" w:lineRule="exact"/>
        <w:ind w:firstLine="442" w:firstLineChars="200"/>
        <w:rPr>
          <w:rFonts w:hint="eastAsia" w:ascii="宋体" w:hAnsi="宋体" w:cs="宋体"/>
          <w:color w:val="auto"/>
          <w:sz w:val="22"/>
          <w:szCs w:val="22"/>
        </w:rPr>
      </w:pPr>
      <w:bookmarkStart w:id="392" w:name="_Toc389065285"/>
      <w:bookmarkStart w:id="393" w:name="_Toc533432744"/>
      <w:bookmarkStart w:id="394" w:name="_Toc373478366"/>
      <w:bookmarkStart w:id="395" w:name="_Toc395382521"/>
      <w:bookmarkStart w:id="396" w:name="_Toc373227719"/>
      <w:bookmarkStart w:id="397" w:name="_Toc351203638"/>
      <w:bookmarkStart w:id="398" w:name="_Toc12975909"/>
      <w:r>
        <w:rPr>
          <w:rFonts w:hint="eastAsia" w:ascii="宋体" w:hAnsi="宋体" w:cs="宋体"/>
          <w:color w:val="auto"/>
          <w:sz w:val="22"/>
          <w:szCs w:val="22"/>
        </w:rPr>
        <w:t>6. 安全文明施工与环境保护</w:t>
      </w:r>
      <w:bookmarkEnd w:id="392"/>
      <w:bookmarkEnd w:id="393"/>
      <w:bookmarkEnd w:id="394"/>
      <w:bookmarkEnd w:id="395"/>
      <w:bookmarkEnd w:id="396"/>
      <w:bookmarkEnd w:id="397"/>
      <w:bookmarkEnd w:id="398"/>
    </w:p>
    <w:p w14:paraId="143598E3">
      <w:pPr>
        <w:pStyle w:val="40"/>
        <w:spacing w:line="360" w:lineRule="exact"/>
        <w:ind w:firstLine="442" w:firstLineChars="200"/>
        <w:rPr>
          <w:rFonts w:hint="eastAsia" w:ascii="宋体" w:hAnsi="宋体" w:cs="宋体"/>
          <w:color w:val="auto"/>
          <w:sz w:val="22"/>
          <w:szCs w:val="22"/>
        </w:rPr>
      </w:pPr>
      <w:bookmarkStart w:id="399" w:name="_Toc373478367"/>
      <w:bookmarkStart w:id="400" w:name="_Toc395382522"/>
      <w:bookmarkStart w:id="401" w:name="_Toc373227720"/>
      <w:bookmarkStart w:id="402" w:name="_Toc12975910"/>
      <w:bookmarkStart w:id="403" w:name="_Toc533432745"/>
      <w:bookmarkStart w:id="404" w:name="_Toc389065286"/>
      <w:r>
        <w:rPr>
          <w:rFonts w:hint="eastAsia" w:ascii="宋体" w:hAnsi="宋体" w:cs="宋体"/>
          <w:color w:val="auto"/>
          <w:sz w:val="22"/>
          <w:szCs w:val="22"/>
        </w:rPr>
        <w:t>6.1 安全文明施工</w:t>
      </w:r>
      <w:bookmarkEnd w:id="399"/>
      <w:bookmarkEnd w:id="400"/>
      <w:bookmarkEnd w:id="401"/>
      <w:bookmarkEnd w:id="402"/>
      <w:bookmarkEnd w:id="403"/>
      <w:bookmarkEnd w:id="404"/>
    </w:p>
    <w:p w14:paraId="124B29A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6.1.1 项目安全生产的达标目标及相应事项的约定：</w:t>
      </w:r>
      <w:r>
        <w:rPr>
          <w:rFonts w:hint="eastAsia" w:ascii="宋体" w:hAnsi="宋体" w:cs="宋体"/>
          <w:color w:val="auto"/>
          <w:sz w:val="22"/>
          <w:u w:val="single"/>
        </w:rPr>
        <w:t>要求达到《建筑施工安全检查标准》（JGJ59-2011）的标准和符合《广西壮族自治区建设工程安全文明施工措施费及使用管理细则》（桂建质安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6EA47A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关于安全文明施工奖项的约定：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1DFFE3BD">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6.1.4 关于治安保卫的特别约定：</w:t>
      </w:r>
      <w:r>
        <w:rPr>
          <w:rFonts w:hint="eastAsia" w:ascii="宋体" w:hAnsi="宋体" w:cs="宋体"/>
          <w:color w:val="auto"/>
          <w:sz w:val="22"/>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C49B36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关于编制施工场地治安管理计划的约定：</w:t>
      </w:r>
      <w:r>
        <w:rPr>
          <w:rFonts w:hint="eastAsia" w:ascii="宋体" w:hAnsi="宋体" w:cs="宋体"/>
          <w:color w:val="auto"/>
          <w:sz w:val="22"/>
          <w:u w:val="single"/>
        </w:rPr>
        <w:t xml:space="preserve">  开工前3天提供  </w:t>
      </w:r>
      <w:r>
        <w:rPr>
          <w:rFonts w:hint="eastAsia" w:ascii="宋体" w:hAnsi="宋体" w:cs="宋体"/>
          <w:color w:val="auto"/>
          <w:sz w:val="22"/>
        </w:rPr>
        <w:t>。</w:t>
      </w:r>
    </w:p>
    <w:p w14:paraId="678C1CC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6.1.5 文明施工</w:t>
      </w:r>
    </w:p>
    <w:p w14:paraId="1C43A5D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合同当事人对文明施工的要求：</w:t>
      </w:r>
      <w:r>
        <w:rPr>
          <w:rFonts w:hint="eastAsia" w:ascii="宋体" w:hAnsi="宋体" w:cs="宋体"/>
          <w:color w:val="auto"/>
          <w:sz w:val="22"/>
          <w:u w:val="single"/>
        </w:rPr>
        <w:t>要求达到《建筑施工现场环境与卫生标准》（JGJ146-20</w:t>
      </w:r>
      <w:r>
        <w:rPr>
          <w:rFonts w:hint="eastAsia" w:ascii="宋体" w:hAnsi="宋体" w:cs="宋体"/>
          <w:color w:val="auto"/>
          <w:sz w:val="22"/>
          <w:u w:val="single"/>
          <w:lang w:val="en-US" w:eastAsia="zh-CN"/>
        </w:rPr>
        <w:t>13</w:t>
      </w:r>
      <w:r>
        <w:rPr>
          <w:rFonts w:hint="eastAsia" w:ascii="宋体" w:hAnsi="宋体" w:cs="宋体"/>
          <w:color w:val="auto"/>
          <w:sz w:val="22"/>
          <w:u w:val="single"/>
        </w:rPr>
        <w:t>）的标准和符合《广西壮族自治区建筑工程安全文明施工措施费及使用管理细则》（桂建质安</w:t>
      </w:r>
      <w:r>
        <w:rPr>
          <w:rFonts w:hint="eastAsia" w:ascii="宋体" w:hAnsi="宋体" w:cs="宋体"/>
          <w:color w:val="auto"/>
          <w:sz w:val="22"/>
          <w:u w:val="single"/>
          <w:lang w:eastAsia="zh-CN"/>
        </w:rPr>
        <w:t>〔2015〕16号</w:t>
      </w:r>
      <w:r>
        <w:rPr>
          <w:rFonts w:hint="eastAsia" w:ascii="宋体" w:hAnsi="宋体" w:cs="宋体"/>
          <w:color w:val="auto"/>
          <w:sz w:val="22"/>
          <w:u w:val="single"/>
        </w:rPr>
        <w:t xml:space="preserve">文）的要求 </w:t>
      </w:r>
      <w:r>
        <w:rPr>
          <w:rFonts w:hint="eastAsia" w:ascii="宋体" w:hAnsi="宋体" w:cs="宋体"/>
          <w:color w:val="auto"/>
          <w:sz w:val="22"/>
        </w:rPr>
        <w:t>。</w:t>
      </w:r>
    </w:p>
    <w:p w14:paraId="7E08C0F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6.1.6 关于安全文明施工费支付比例和支付期限的约定：</w:t>
      </w:r>
    </w:p>
    <w:p w14:paraId="3D5BA1B7">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（1）本合同价款已包含安全文明施工费</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元。</w:t>
      </w:r>
    </w:p>
    <w:p w14:paraId="05D6A6C0">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（2）使用要求：专款专用。具体按《广西壮族自治区建设工程安全文明施工措施费及管理细则》（桂建质〔2015〕16号）和</w:t>
      </w:r>
      <w:r>
        <w:rPr>
          <w:rFonts w:hint="eastAsia" w:ascii="宋体" w:hAnsi="宋体" w:cs="宋体"/>
          <w:color w:val="auto"/>
          <w:kern w:val="0"/>
          <w:sz w:val="22"/>
          <w:u w:val="single"/>
        </w:rPr>
        <w:t xml:space="preserve">   防城港  </w:t>
      </w:r>
      <w:r>
        <w:rPr>
          <w:rFonts w:hint="eastAsia" w:ascii="宋体" w:hAnsi="宋体" w:cs="宋体"/>
          <w:color w:val="auto"/>
          <w:kern w:val="0"/>
          <w:sz w:val="22"/>
        </w:rPr>
        <w:t>市相关规定执行。</w:t>
      </w:r>
    </w:p>
    <w:p w14:paraId="05A79D3D">
      <w:pPr>
        <w:pStyle w:val="61"/>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（3）支付约定：</w:t>
      </w:r>
      <w:r>
        <w:rPr>
          <w:rFonts w:hint="eastAsia" w:ascii="宋体" w:hAnsi="宋体" w:cs="宋体"/>
          <w:color w:val="auto"/>
          <w:kern w:val="0"/>
          <w:sz w:val="22"/>
          <w:szCs w:val="22"/>
          <w:u w:val="single"/>
        </w:rPr>
        <w:t>安全文明施工费与进度款同期支付。（1）但如承包人某个时期的安全文明施工费投入不足或未达到磋商文件和合同要求的，发包人可根据承包人实际投入及履行情况扣除部分费用，此部分费用被扣除后承包人无权要求发包人再支付。（2）发包人如果认为有必要，可以要求承包人提供满足发包人要求的安全投入详细清单</w:t>
      </w:r>
      <w:r>
        <w:rPr>
          <w:rFonts w:hint="eastAsia" w:ascii="宋体" w:hAnsi="宋体" w:cs="宋体"/>
          <w:color w:val="auto"/>
          <w:kern w:val="0"/>
          <w:sz w:val="22"/>
          <w:szCs w:val="22"/>
        </w:rPr>
        <w:t>。</w:t>
      </w:r>
    </w:p>
    <w:p w14:paraId="73425F72">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（1）</w:t>
      </w:r>
      <w:r>
        <w:rPr>
          <w:rFonts w:hint="eastAsia" w:ascii="宋体" w:hAnsi="宋体" w:cs="宋体"/>
          <w:b/>
          <w:color w:val="auto"/>
          <w:sz w:val="22"/>
          <w:szCs w:val="22"/>
        </w:rPr>
        <w:t>人员基本素质</w:t>
      </w:r>
    </w:p>
    <w:p w14:paraId="3E46DF22">
      <w:pPr>
        <w:pStyle w:val="61"/>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承包商应保证参与本工程人员的基本素质满足下列要求：</w:t>
      </w:r>
    </w:p>
    <w:p w14:paraId="2A0D61B0">
      <w:pPr>
        <w:pStyle w:val="61"/>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身体健康，无影响工作的残疾、无工作</w:t>
      </w:r>
      <w:r>
        <w:rPr>
          <w:rFonts w:hint="eastAsia" w:ascii="宋体" w:hAnsi="宋体" w:cs="宋体"/>
          <w:color w:val="auto"/>
          <w:sz w:val="22"/>
          <w:szCs w:val="22"/>
          <w:lang w:eastAsia="zh-CN"/>
        </w:rPr>
        <w:t>禁忌</w:t>
      </w:r>
      <w:r>
        <w:rPr>
          <w:rFonts w:hint="eastAsia" w:ascii="宋体" w:hAnsi="宋体" w:eastAsia="宋体" w:cs="宋体"/>
          <w:color w:val="auto"/>
          <w:sz w:val="22"/>
          <w:szCs w:val="22"/>
          <w:lang w:val="en-US" w:eastAsia="zh-CN"/>
        </w:rPr>
        <w:t>症</w:t>
      </w:r>
      <w:r>
        <w:rPr>
          <w:rFonts w:hint="eastAsia" w:ascii="宋体" w:hAnsi="宋体" w:eastAsia="宋体" w:cs="宋体"/>
          <w:color w:val="auto"/>
          <w:sz w:val="22"/>
          <w:szCs w:val="22"/>
        </w:rPr>
        <w:t>、</w:t>
      </w:r>
      <w:r>
        <w:rPr>
          <w:rFonts w:hint="eastAsia" w:ascii="宋体" w:hAnsi="宋体" w:cs="宋体"/>
          <w:color w:val="auto"/>
          <w:sz w:val="22"/>
          <w:szCs w:val="22"/>
        </w:rPr>
        <w:t>无传染病和其他重大疾病。</w:t>
      </w:r>
    </w:p>
    <w:p w14:paraId="3BE73212">
      <w:pPr>
        <w:pStyle w:val="61"/>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无刑事案件牵连。</w:t>
      </w:r>
    </w:p>
    <w:p w14:paraId="5BB6587B">
      <w:pPr>
        <w:pStyle w:val="61"/>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无吸毒、酗酒、赌博、嫖娼等恶习。</w:t>
      </w:r>
    </w:p>
    <w:p w14:paraId="7F38BE56">
      <w:pPr>
        <w:pStyle w:val="61"/>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文化程度（教育水平）或技能水平与所从事的工种相适应（说明主要工种的文化水平、技能水平要求）。</w:t>
      </w:r>
    </w:p>
    <w:p w14:paraId="0E588573">
      <w:pPr>
        <w:pStyle w:val="61"/>
        <w:numPr>
          <w:ilvl w:val="0"/>
          <w:numId w:val="6"/>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工作经验（经历）与所从事的工种相适应（说明主要工种的工作经验/经历基本要求）</w:t>
      </w:r>
    </w:p>
    <w:p w14:paraId="0053957F">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（2）</w:t>
      </w:r>
      <w:r>
        <w:rPr>
          <w:rFonts w:hint="eastAsia" w:ascii="宋体" w:hAnsi="宋体" w:cs="宋体"/>
          <w:b/>
          <w:color w:val="auto"/>
          <w:sz w:val="22"/>
          <w:szCs w:val="22"/>
        </w:rPr>
        <w:t>职业健康与卫生防疫</w:t>
      </w:r>
    </w:p>
    <w:p w14:paraId="4B88B372">
      <w:pPr>
        <w:pStyle w:val="61"/>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承包商应根据发包人要求提供以下文件：</w:t>
      </w:r>
    </w:p>
    <w:p w14:paraId="34DB7293">
      <w:pPr>
        <w:pStyle w:val="61"/>
        <w:numPr>
          <w:ilvl w:val="0"/>
          <w:numId w:val="7"/>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承包商应有职工体检制度和健康推进计划，其中应包括工时控制、休息娱乐、体育活动方面的内容。</w:t>
      </w:r>
    </w:p>
    <w:p w14:paraId="6BE582EC">
      <w:pPr>
        <w:pStyle w:val="61"/>
        <w:numPr>
          <w:ilvl w:val="0"/>
          <w:numId w:val="7"/>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承包商应有特殊健康检查制度，预防有</w:t>
      </w:r>
      <w:r>
        <w:rPr>
          <w:rFonts w:hint="eastAsia" w:ascii="宋体" w:hAnsi="宋体" w:cs="宋体"/>
          <w:color w:val="auto"/>
          <w:sz w:val="22"/>
          <w:szCs w:val="22"/>
          <w:lang w:eastAsia="zh-CN"/>
        </w:rPr>
        <w:t>禁忌证</w:t>
      </w:r>
      <w:r>
        <w:rPr>
          <w:rFonts w:hint="eastAsia" w:ascii="宋体" w:hAnsi="宋体" w:cs="宋体"/>
          <w:color w:val="auto"/>
          <w:sz w:val="22"/>
          <w:szCs w:val="22"/>
        </w:rPr>
        <w:t>患者从事有关职业，如恐高 症患者不得从事高处作业，患有心血管疾病的人员不得从事繁重的体力劳动，特殊工种人员的体检应符合国家的规定。</w:t>
      </w:r>
    </w:p>
    <w:p w14:paraId="0158E5DF">
      <w:pPr>
        <w:pStyle w:val="61"/>
        <w:numPr>
          <w:ilvl w:val="0"/>
          <w:numId w:val="7"/>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卫生防疫措施计划，做好生活区和施工区的卫生防疫工作。有灭蚊、灭鼠和消毒的专项工作计划，有针对性地制订预防SARS、H1N1流感、禽流感、疟疾、霍乱、肠道传染病、肝炎等传染性疾病的措施，有确保饮水卫生、饮食卫生、环境卫生和预防集体食物中毒的措施。</w:t>
      </w:r>
    </w:p>
    <w:p w14:paraId="22D3DB45">
      <w:pPr>
        <w:pStyle w:val="61"/>
        <w:numPr>
          <w:ilvl w:val="0"/>
          <w:numId w:val="7"/>
        </w:numPr>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承包商应服从发包人卫生防疫部门的统一协调和管理。</w:t>
      </w:r>
    </w:p>
    <w:p w14:paraId="6D0980EC">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（3）</w:t>
      </w:r>
      <w:r>
        <w:rPr>
          <w:rFonts w:hint="eastAsia" w:ascii="宋体" w:hAnsi="宋体" w:cs="宋体"/>
          <w:b/>
          <w:color w:val="auto"/>
          <w:sz w:val="22"/>
          <w:szCs w:val="22"/>
        </w:rPr>
        <w:t>交通、运输安全、环境管理</w:t>
      </w:r>
    </w:p>
    <w:p w14:paraId="7C7D93AA">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承包商应充分考虑本工程的特点，采取科学的施工工艺和有效的安全防护措施，确保施工期间道路的畅通及安全。</w:t>
      </w:r>
    </w:p>
    <w:p w14:paraId="18E40D3F">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上山道路的最小曲率半径不得小于15米；最大纵向坡度不得超过12％。</w:t>
      </w:r>
    </w:p>
    <w:p w14:paraId="11F85D73">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双车道的路面宽度，应保证会车安全。陡长坡道的尽端弯道，不宜采用最小平曲线半径。弯道处会车视距若不能满足要求，则应分设车道。</w:t>
      </w:r>
    </w:p>
    <w:p w14:paraId="63380469">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山坡填方的弯道、坡度较大的填方地段以及高堤路基路段外侧应设置护栏、挡车墙、挡车防护土坎、安全标志牌等。</w:t>
      </w:r>
    </w:p>
    <w:p w14:paraId="5A44C4FC">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上山道路应经常维护，保持道路畅通；上山道路的排水系统经常维护，保持其有效可用。</w:t>
      </w:r>
    </w:p>
    <w:p w14:paraId="36C8892B">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通向装卸地点道路的坡度大于10％时，禁止汽车倒车行驶。</w:t>
      </w:r>
    </w:p>
    <w:p w14:paraId="425896D0">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驾驶员必须严格执行</w:t>
      </w:r>
      <w:r>
        <w:rPr>
          <w:rFonts w:hint="eastAsia" w:ascii="宋体" w:hAnsi="宋体" w:cs="宋体"/>
          <w:color w:val="auto"/>
          <w:sz w:val="22"/>
          <w:szCs w:val="22"/>
          <w:lang w:eastAsia="zh-CN"/>
        </w:rPr>
        <w:t>交通运输部</w:t>
      </w:r>
      <w:r>
        <w:rPr>
          <w:rFonts w:hint="eastAsia" w:ascii="宋体" w:hAnsi="宋体" w:cs="宋体"/>
          <w:color w:val="auto"/>
          <w:sz w:val="22"/>
          <w:szCs w:val="22"/>
        </w:rPr>
        <w:t>颁布的交通规则和技术操作规程，严禁无证、酒后、超速、超载、抢道、遗洒等违章行为。</w:t>
      </w:r>
    </w:p>
    <w:p w14:paraId="4BFE5DB6">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驾驶机动车辆时严禁服用国家管制的精神药品或麻醉药品。</w:t>
      </w:r>
    </w:p>
    <w:p w14:paraId="167AB445">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装车时驾驶员禁止检查、维护车辆。</w:t>
      </w:r>
    </w:p>
    <w:p w14:paraId="50154637">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装车时驾驶员不宜离开驾驶室，禁止将头和手臂伸出驾驶室外。</w:t>
      </w:r>
    </w:p>
    <w:p w14:paraId="0BD0B898">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严禁穿拖鞋驾驶车辆，或拖拉工作鞋驾驶车辆。</w:t>
      </w:r>
    </w:p>
    <w:p w14:paraId="117899C5">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卸载作业场地应经常保持平整，并保有3%</w:t>
      </w:r>
      <w:r>
        <w:rPr>
          <w:rFonts w:hint="eastAsia" w:ascii="宋体" w:hAnsi="宋体" w:cs="宋体"/>
          <w:color w:val="auto"/>
          <w:sz w:val="22"/>
          <w:szCs w:val="22"/>
          <w:lang w:eastAsia="zh-CN"/>
        </w:rPr>
        <w:t>～</w:t>
      </w:r>
      <w:r>
        <w:rPr>
          <w:rFonts w:hint="eastAsia" w:ascii="宋体" w:hAnsi="宋体" w:cs="宋体"/>
          <w:color w:val="auto"/>
          <w:sz w:val="22"/>
          <w:szCs w:val="22"/>
        </w:rPr>
        <w:t>5%的反坡。</w:t>
      </w:r>
    </w:p>
    <w:p w14:paraId="569449E9">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卸载作业场地应有专人指挥，在同一地段不准同时进行卸载和推排作业。</w:t>
      </w:r>
    </w:p>
    <w:p w14:paraId="139563A3">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卸载场地的倒车指挥人员，须穿反光衣、手持指挥小红旗、夜间配手持照明工具。</w:t>
      </w:r>
    </w:p>
    <w:p w14:paraId="3CBCBAC7">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车辆外缘至平台临边应保持3米以上距离。</w:t>
      </w:r>
    </w:p>
    <w:p w14:paraId="3798E73F">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承包商的车辆必须证照齐全，车容车貌良好、车辆安全附属装置完好；严禁使用报废车辆或无牌无证车辆。</w:t>
      </w:r>
    </w:p>
    <w:p w14:paraId="5071552C">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车辆超长、超宽、超高运输，必须征得发包人的许可。</w:t>
      </w:r>
    </w:p>
    <w:p w14:paraId="44B78097">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承包商的运输车辆必须满足安全要求，刹车系统、灯光系统良好。</w:t>
      </w:r>
    </w:p>
    <w:p w14:paraId="3E7740BA">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载重土石方运输车辆的土、石不得超过车厢边沿。</w:t>
      </w:r>
    </w:p>
    <w:p w14:paraId="7936E6EF">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车辆的装载必须符合车辆装载规定的要求，禁止超高、超宽、超重装载，禁止车辆在道路上的遗洒。</w:t>
      </w:r>
    </w:p>
    <w:p w14:paraId="1F2ACA3A">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车辆的检查、保养、维修必须有本质的安全防护措施。</w:t>
      </w:r>
    </w:p>
    <w:p w14:paraId="47035DB9">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w:t>
      </w:r>
      <w:r>
        <w:rPr>
          <w:rFonts w:hint="eastAsia" w:ascii="宋体" w:hAnsi="宋体" w:cs="宋体"/>
          <w:color w:val="auto"/>
          <w:sz w:val="22"/>
          <w:szCs w:val="22"/>
          <w:lang w:eastAsia="zh-CN"/>
        </w:rPr>
        <w:t>行驶</w:t>
      </w:r>
      <w:r>
        <w:rPr>
          <w:rFonts w:hint="eastAsia" w:ascii="宋体" w:hAnsi="宋体" w:cs="宋体"/>
          <w:color w:val="auto"/>
          <w:sz w:val="22"/>
          <w:szCs w:val="22"/>
        </w:rPr>
        <w:t>中故障，必须有警示措施，这些警示措施需符合道路交通安全的规定。</w:t>
      </w:r>
    </w:p>
    <w:p w14:paraId="1F8D3AAE">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土石方运输车辆的转向轮胎严禁使用翻新胎或套胎；中、后桥的轮胎使用翻新胎或套胎的，需制定发包人许可的更换标准并严格遵守。</w:t>
      </w:r>
    </w:p>
    <w:p w14:paraId="37B2D6A6">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承包商必须对施工道路、运输道路进行日常的保养和维护，防止坑洼不平。</w:t>
      </w:r>
    </w:p>
    <w:p w14:paraId="2DAE7BF5">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承包商应配备洒水车对施工道路、运输道路进行洒水除尘；当洒水除尘效果不能满足发包人的环保要求时，承包商有责任增加洒水车洒水除尘。</w:t>
      </w:r>
    </w:p>
    <w:p w14:paraId="6BEBFA73">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上山道路雨天泥泞、湿滑应停止施工。</w:t>
      </w:r>
    </w:p>
    <w:p w14:paraId="54D61A12">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车辆在运输时不能</w:t>
      </w:r>
      <w:r>
        <w:rPr>
          <w:rFonts w:hint="eastAsia" w:ascii="宋体" w:hAnsi="宋体" w:cs="宋体"/>
          <w:color w:val="auto"/>
          <w:sz w:val="22"/>
          <w:szCs w:val="22"/>
          <w:lang w:eastAsia="zh-CN"/>
        </w:rPr>
        <w:t>装得</w:t>
      </w:r>
      <w:r>
        <w:rPr>
          <w:rFonts w:hint="eastAsia" w:ascii="宋体" w:hAnsi="宋体" w:cs="宋体"/>
          <w:color w:val="auto"/>
          <w:sz w:val="22"/>
          <w:szCs w:val="22"/>
        </w:rPr>
        <w:t>太满导致沿路遗洒，对洒落的渣料应及时清理。</w:t>
      </w:r>
    </w:p>
    <w:p w14:paraId="0E1CF4AF">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车辆在运输过程中应依限速要求行驶，严禁超速、超载。</w:t>
      </w:r>
    </w:p>
    <w:p w14:paraId="6BE3E11A">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承包商应建立占用公用道路施工控制程序，实施占道施工许可证管理并得到发包人的书面批准。</w:t>
      </w:r>
    </w:p>
    <w:p w14:paraId="32EE392F">
      <w:pPr>
        <w:pStyle w:val="61"/>
        <w:numPr>
          <w:ilvl w:val="0"/>
          <w:numId w:val="8"/>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根据属地管理的原则，对进入施工区的人员和车辆进行统一的协调和管理。</w:t>
      </w:r>
    </w:p>
    <w:p w14:paraId="199EE92A">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（4）</w:t>
      </w:r>
      <w:r>
        <w:rPr>
          <w:rFonts w:hint="eastAsia" w:ascii="宋体" w:hAnsi="宋体" w:cs="宋体"/>
          <w:color w:val="auto"/>
          <w:sz w:val="22"/>
          <w:szCs w:val="22"/>
        </w:rPr>
        <w:t xml:space="preserve"> </w:t>
      </w:r>
      <w:r>
        <w:rPr>
          <w:rFonts w:hint="eastAsia" w:ascii="宋体" w:hAnsi="宋体" w:cs="宋体"/>
          <w:b/>
          <w:color w:val="auto"/>
          <w:sz w:val="22"/>
          <w:szCs w:val="22"/>
        </w:rPr>
        <w:t>施工队劳务（劳务工）安全、环境管理</w:t>
      </w:r>
    </w:p>
    <w:p w14:paraId="07AB2305">
      <w:pPr>
        <w:pStyle w:val="61"/>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承包商应向发包人提供施工队伍中分包商、劳务工的信息。这些信息应包括活动的内容、人数、与承包商合作的历史、劳务工来源等。</w:t>
      </w:r>
    </w:p>
    <w:p w14:paraId="1016350A">
      <w:pPr>
        <w:pStyle w:val="61"/>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承包商应对分包商、施工队、劳务提供单位的安全、环境资质实行有效控制，其安全、环境资质的审查文件应提供给发包人检查。</w:t>
      </w:r>
    </w:p>
    <w:p w14:paraId="1F50F4DE">
      <w:pPr>
        <w:pStyle w:val="61"/>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承包商的安全、环境管理组织机构和岗位职责必须覆盖到分包队伍和所有人员。</w:t>
      </w:r>
    </w:p>
    <w:p w14:paraId="39A895DB">
      <w:pPr>
        <w:pStyle w:val="61"/>
        <w:numPr>
          <w:ilvl w:val="0"/>
          <w:numId w:val="9"/>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承包商必须确保以下各方面的安全、环境管理：</w:t>
      </w:r>
    </w:p>
    <w:p w14:paraId="1AB1D9FA">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不得使用童工。</w:t>
      </w:r>
    </w:p>
    <w:p w14:paraId="652B48FA">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保障妇女的劳动保护权益。</w:t>
      </w:r>
    </w:p>
    <w:p w14:paraId="21260928">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施工队的劳务工工资按时足量发放，不得克扣、拖延。</w:t>
      </w:r>
    </w:p>
    <w:p w14:paraId="5884C802">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施工队员工和临时劳务工的工作时间合理，不得超量加班，避免疲劳过度而发生事故。</w:t>
      </w:r>
    </w:p>
    <w:p w14:paraId="7261E660">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为劳务工免费提供满足本合同要求的劳动保护用品。</w:t>
      </w:r>
    </w:p>
    <w:p w14:paraId="07F7B782">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为施工队劳务工提供符合三防、卫生、消防、安全要求的生活居住条件，并将居住场所和人数以书面形式报给发包人。</w:t>
      </w:r>
    </w:p>
    <w:p w14:paraId="5CA26B89">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必须为劳务人员购买工伤保险或意外伤害保险、办理暂住证，并将证明文件的复印件提交给发包人备案。</w:t>
      </w:r>
    </w:p>
    <w:p w14:paraId="0D00B828">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必须为劳务人员提供符合安全要求的上下班交通客车。</w:t>
      </w:r>
    </w:p>
    <w:p w14:paraId="63CBAA86">
      <w:pPr>
        <w:pStyle w:val="61"/>
        <w:numPr>
          <w:ilvl w:val="0"/>
          <w:numId w:val="10"/>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劳务工必须和职工一起编队分配工作并进行管理，严禁没有工作经验的劳务工单独承担独立工作。</w:t>
      </w:r>
    </w:p>
    <w:p w14:paraId="48111703">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（5）</w:t>
      </w:r>
      <w:r>
        <w:rPr>
          <w:rFonts w:hint="eastAsia" w:ascii="宋体" w:hAnsi="宋体" w:cs="宋体"/>
          <w:b/>
          <w:color w:val="auto"/>
          <w:sz w:val="22"/>
          <w:szCs w:val="22"/>
        </w:rPr>
        <w:t>施工临建安全</w:t>
      </w:r>
    </w:p>
    <w:p w14:paraId="0FC4613D">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承包商禁止擅动现场公用设施，如占据消防通道、非事故情况下动用消防水、拆除安全围栏和标志、揭开沟道、堵塞泄洪道、私接电源、擅自堆放物料等等。</w:t>
      </w:r>
    </w:p>
    <w:p w14:paraId="1122818C">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承包商应维持责任范围内的道路、给排水、厕所、污水处理等基础设施的安全状态。</w:t>
      </w:r>
    </w:p>
    <w:p w14:paraId="2DD83DF3">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在发包人管辖区域内所建立的临建设施，如车间、仓库、加工场地、预制场地等等，必须满足发包人的规划要求，这些临建设施必须具备基本的安全性能，包括抗震、防台、防雷、消防、逃生通道、安全距离、应急照明、通风空调、卫生、安全标志、防盗等性能。对于有特殊风险的厂房，则必须配置专设安全装置。厂房内使用的特种机械，如行车、机床、充电设备等，必须符合国家强制性标准和特种设备的监察要求。存放危险化学品、压缩气体、射线探伤装置和放射源的设施，必须满足分隔存放等安全要求，禁止混放。</w:t>
      </w:r>
    </w:p>
    <w:p w14:paraId="044378E8">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长期使用（超过半年）的临时施工建筑的建设标准应不低于地方规范，建筑设计应报送消防大队进行建筑设计消防审查。禁止使用毛竹、芦席、油毛毡等可燃材料搭制临时工棚和仓库。</w:t>
      </w:r>
    </w:p>
    <w:p w14:paraId="13E90CE1">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建立“施工区域安全管理”制度，包括指定施工区域的安全负责人或协调人，建立安全检查制度，包括防火、照明、通风、防雷、防涝、防台风、物料管理、危险品管理、用电安全管理、灭火器材管理、安全警示牌管理、清洁卫生等内容。</w:t>
      </w:r>
    </w:p>
    <w:p w14:paraId="110368C2">
      <w:pPr>
        <w:pStyle w:val="61"/>
        <w:numPr>
          <w:ilvl w:val="1"/>
          <w:numId w:val="11"/>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禁止使用或出租发包人管辖区域内的设施从事与合同无关的活动，与设施的安全生产条件不符的活动或</w:t>
      </w:r>
      <w:r>
        <w:rPr>
          <w:rFonts w:hint="eastAsia" w:ascii="宋体" w:hAnsi="宋体" w:cs="宋体"/>
          <w:color w:val="auto"/>
          <w:sz w:val="22"/>
          <w:szCs w:val="22"/>
          <w:lang w:eastAsia="zh-CN"/>
        </w:rPr>
        <w:t>改作</w:t>
      </w:r>
      <w:r>
        <w:rPr>
          <w:rFonts w:hint="eastAsia" w:ascii="宋体" w:hAnsi="宋体" w:cs="宋体"/>
          <w:color w:val="auto"/>
          <w:sz w:val="22"/>
          <w:szCs w:val="22"/>
        </w:rPr>
        <w:t>与设施的安全生产条件不符的用途。</w:t>
      </w:r>
    </w:p>
    <w:p w14:paraId="2679C1BA">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lang w:eastAsia="zh-CN"/>
        </w:rPr>
        <w:t>（6）</w:t>
      </w:r>
      <w:r>
        <w:rPr>
          <w:rFonts w:hint="eastAsia" w:ascii="宋体" w:hAnsi="宋体" w:cs="宋体"/>
          <w:b/>
          <w:color w:val="auto"/>
          <w:sz w:val="22"/>
          <w:szCs w:val="22"/>
        </w:rPr>
        <w:t xml:space="preserve"> 生活区安全、环境管理</w:t>
      </w:r>
    </w:p>
    <w:p w14:paraId="451BD2D3">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承包商应制定生活营地管理规定（包括劳务工的生活营地）并报发包人备案。</w:t>
      </w:r>
    </w:p>
    <w:p w14:paraId="661E0B44">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开工前承包商需将所有人员的居住场所和人员数量以书面的形式提交给发包人，发包人方将进行核查，如不满足安全、环境保护要求，将建议整改，在限期内达不到要求的，发包人将不予支付临建经费。</w:t>
      </w:r>
    </w:p>
    <w:p w14:paraId="505EE01A">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施工现场不允许安排生活临建。</w:t>
      </w:r>
    </w:p>
    <w:p w14:paraId="40DF29A1">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承包商的生活临建不允许是工棚、铁皮房、石棉瓦房等不符合三防要求的建筑物，严禁租赁“危房”做生活营地。</w:t>
      </w:r>
    </w:p>
    <w:p w14:paraId="40B666EC">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生活营地应满足消防、安全用电、卫生防疫、防抗台风、暴雨、雷击等方面的安全条件，并建立相应的管理制度；尤其严格消防管理，禁止封锁逃生通道，禁止使用工作场所、仓库、生活场所“三合一”的设施。</w:t>
      </w:r>
    </w:p>
    <w:p w14:paraId="6FD6D6AD">
      <w:pPr>
        <w:pStyle w:val="61"/>
        <w:numPr>
          <w:ilvl w:val="0"/>
          <w:numId w:val="12"/>
        </w:numPr>
        <w:autoSpaceDE w:val="0"/>
        <w:autoSpaceDN w:val="0"/>
        <w:adjustRightInd w:val="0"/>
        <w:spacing w:line="360" w:lineRule="exact"/>
        <w:ind w:left="0" w:firstLine="440" w:firstLineChars="200"/>
        <w:jc w:val="left"/>
        <w:rPr>
          <w:rFonts w:hint="eastAsia" w:ascii="宋体" w:hAnsi="宋体" w:cs="宋体"/>
          <w:color w:val="auto"/>
          <w:sz w:val="22"/>
          <w:szCs w:val="22"/>
        </w:rPr>
      </w:pPr>
      <w:r>
        <w:rPr>
          <w:rFonts w:hint="eastAsia" w:ascii="宋体" w:hAnsi="宋体" w:cs="宋体"/>
          <w:color w:val="auto"/>
          <w:sz w:val="22"/>
          <w:szCs w:val="22"/>
        </w:rPr>
        <w:t>承包商的食堂要满足卫生要求，人员要定期体检，不能有传染病；要有消毒、冷藏设施，生、熟食要分开。</w:t>
      </w:r>
    </w:p>
    <w:p w14:paraId="5618CF22">
      <w:pPr>
        <w:pStyle w:val="61"/>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sz w:val="22"/>
          <w:szCs w:val="22"/>
        </w:rPr>
        <w:t>在采购食品时要注意食品安全，禁止提供变质、过期食品，防止集体食物中毒。</w:t>
      </w:r>
    </w:p>
    <w:p w14:paraId="2C466AFA">
      <w:pPr>
        <w:pStyle w:val="40"/>
        <w:spacing w:line="360" w:lineRule="exact"/>
        <w:ind w:firstLine="442" w:firstLineChars="200"/>
        <w:rPr>
          <w:rFonts w:hint="eastAsia" w:ascii="宋体" w:hAnsi="宋体" w:cs="宋体"/>
          <w:color w:val="auto"/>
          <w:sz w:val="22"/>
          <w:szCs w:val="22"/>
        </w:rPr>
      </w:pPr>
      <w:bookmarkStart w:id="405" w:name="_Toc12975911"/>
      <w:bookmarkStart w:id="406" w:name="_Toc395382523"/>
      <w:bookmarkStart w:id="407" w:name="_Toc389065287"/>
      <w:bookmarkStart w:id="408" w:name="_Toc533432746"/>
      <w:bookmarkStart w:id="409" w:name="_Toc373227721"/>
      <w:bookmarkStart w:id="410" w:name="_Toc373478368"/>
      <w:r>
        <w:rPr>
          <w:rFonts w:hint="eastAsia" w:ascii="宋体" w:hAnsi="宋体" w:cs="宋体"/>
          <w:color w:val="auto"/>
          <w:sz w:val="22"/>
          <w:szCs w:val="22"/>
        </w:rPr>
        <w:t>6.3 环境保护</w:t>
      </w:r>
      <w:bookmarkEnd w:id="405"/>
      <w:bookmarkEnd w:id="406"/>
      <w:bookmarkEnd w:id="407"/>
      <w:bookmarkEnd w:id="408"/>
      <w:bookmarkEnd w:id="409"/>
      <w:bookmarkEnd w:id="410"/>
    </w:p>
    <w:p w14:paraId="0CAF0716">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因施工需要，经发包人批准，由承包人办理有关施工场地交通、环卫和施工噪音管理等手续，费用由承包人负责。</w:t>
      </w:r>
    </w:p>
    <w:p w14:paraId="17B116E0">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经过城市道路的施工车辆，必须按交警、城管、运输等部门相关规定执行。由于施工车辆造成的道路、环境等污染，其责任和费用均由承包人承担。</w:t>
      </w:r>
    </w:p>
    <w:p w14:paraId="5C137CE4">
      <w:pPr>
        <w:pStyle w:val="61"/>
        <w:spacing w:line="360" w:lineRule="exact"/>
        <w:ind w:firstLine="442" w:firstLineChars="200"/>
        <w:jc w:val="left"/>
        <w:rPr>
          <w:rFonts w:hint="eastAsia" w:ascii="宋体" w:hAnsi="宋体" w:cs="宋体"/>
          <w:b/>
          <w:color w:val="auto"/>
          <w:sz w:val="22"/>
          <w:szCs w:val="22"/>
          <w:u w:val="single"/>
        </w:rPr>
      </w:pPr>
      <w:r>
        <w:rPr>
          <w:rFonts w:hint="eastAsia" w:ascii="宋体" w:hAnsi="宋体" w:cs="宋体"/>
          <w:b/>
          <w:color w:val="auto"/>
          <w:sz w:val="22"/>
          <w:szCs w:val="22"/>
          <w:u w:val="single"/>
        </w:rPr>
        <w:t>一、土地资源的保护</w:t>
      </w:r>
    </w:p>
    <w:p w14:paraId="10615BC4">
      <w:pPr>
        <w:pStyle w:val="61"/>
        <w:numPr>
          <w:ilvl w:val="0"/>
          <w:numId w:val="13"/>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妥善处理废方，山坡弃土应尽量避免破坏或掩埋路基（场地）下侧的林木、农田</w:t>
      </w:r>
      <w:r>
        <w:rPr>
          <w:rFonts w:hint="eastAsia" w:ascii="宋体" w:hAnsi="宋体" w:cs="宋体"/>
          <w:color w:val="auto"/>
          <w:sz w:val="22"/>
          <w:szCs w:val="22"/>
          <w:u w:val="single"/>
          <w:lang w:eastAsia="zh-CN"/>
        </w:rPr>
        <w:t>及其他</w:t>
      </w:r>
      <w:r>
        <w:rPr>
          <w:rFonts w:hint="eastAsia" w:ascii="宋体" w:hAnsi="宋体" w:cs="宋体"/>
          <w:color w:val="auto"/>
          <w:sz w:val="22"/>
          <w:szCs w:val="22"/>
          <w:u w:val="single"/>
        </w:rPr>
        <w:t>工程设施。沿河弃土应避免壅塞河道、改变水流方向和抬高水位而淹没或冲毁农田、房屋。应重视弃土堆的复垦，有条件时，宜在弃土堆顶面绿化，或整平成为耕地。</w:t>
      </w:r>
    </w:p>
    <w:p w14:paraId="12D646CA">
      <w:pPr>
        <w:pStyle w:val="61"/>
        <w:numPr>
          <w:ilvl w:val="0"/>
          <w:numId w:val="13"/>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取土坑应选在高地、荒地上，尽量不占耕地；当必须从耕地取土时，应将表面种植土铲除，集中成堆保存，并在工程交工前做好还地工作。对于深而宽的取土坑，可根据当地需要，用作蓄水池或鱼塘。在多年的经济作物区或重要的绿化带，不得设置取土坑。</w:t>
      </w:r>
    </w:p>
    <w:p w14:paraId="3539F51C">
      <w:pPr>
        <w:pStyle w:val="61"/>
        <w:numPr>
          <w:ilvl w:val="0"/>
          <w:numId w:val="13"/>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在河床采砂砾材料时，必须注意防止对河流状态的改变，并应符合</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中华人民共和国水法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的规定，即：“在行洪、排涝河流和航道范围内开采砂石、砂金，必须经河道主管部门批准，按照批准的范围和作业方式开采，涉及航道的，由河道主管部门会</w:t>
      </w:r>
      <w:r>
        <w:rPr>
          <w:rFonts w:hint="eastAsia" w:ascii="宋体" w:hAnsi="宋体" w:eastAsia="宋体" w:cs="宋体"/>
          <w:color w:val="auto"/>
          <w:sz w:val="22"/>
          <w:szCs w:val="22"/>
          <w:u w:val="single"/>
        </w:rPr>
        <w:t>同</w:t>
      </w:r>
      <w:r>
        <w:rPr>
          <w:rFonts w:hint="eastAsia" w:ascii="宋体" w:hAnsi="宋体" w:eastAsia="宋体" w:cs="宋体"/>
          <w:color w:val="auto"/>
          <w:sz w:val="22"/>
          <w:szCs w:val="22"/>
          <w:u w:val="single"/>
          <w:lang w:val="en-US" w:eastAsia="zh-CN"/>
        </w:rPr>
        <w:t>航</w:t>
      </w:r>
      <w:r>
        <w:rPr>
          <w:rFonts w:hint="eastAsia" w:ascii="宋体" w:hAnsi="宋体" w:eastAsia="宋体" w:cs="宋体"/>
          <w:color w:val="auto"/>
          <w:sz w:val="22"/>
          <w:szCs w:val="22"/>
          <w:u w:val="single"/>
        </w:rPr>
        <w:t>道主管部门</w:t>
      </w:r>
      <w:r>
        <w:rPr>
          <w:rFonts w:hint="eastAsia" w:ascii="宋体" w:hAnsi="宋体" w:cs="宋体"/>
          <w:color w:val="auto"/>
          <w:sz w:val="22"/>
          <w:szCs w:val="22"/>
          <w:u w:val="single"/>
        </w:rPr>
        <w:t>批准”的规定。</w:t>
      </w:r>
    </w:p>
    <w:p w14:paraId="5D93533F">
      <w:pPr>
        <w:pStyle w:val="61"/>
        <w:numPr>
          <w:ilvl w:val="0"/>
          <w:numId w:val="13"/>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采石场的位置，应结合环境保护的要求选择，其中包括噪声、爆破引起的地下振动、公共安全问题等。采石场的位置，应征得当地政府及环境管理部门的同意并办理必要的手续。</w:t>
      </w:r>
    </w:p>
    <w:p w14:paraId="1E854290">
      <w:pPr>
        <w:pStyle w:val="61"/>
        <w:numPr>
          <w:ilvl w:val="0"/>
          <w:numId w:val="13"/>
        </w:numPr>
        <w:spacing w:line="360" w:lineRule="exact"/>
        <w:ind w:left="0"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对施工人员加强保护自然资源及野生植物的教育，在雇用合同中规定严禁偷猎和随意砍伐树木。</w:t>
      </w:r>
    </w:p>
    <w:p w14:paraId="2C4A0D4C">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二、防止水土流失和废料废方处理</w:t>
      </w:r>
    </w:p>
    <w:p w14:paraId="59738553">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防水排水</w:t>
      </w:r>
    </w:p>
    <w:p w14:paraId="5BCAA76D">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1）在施工期间应始终保持工地的良好的排水状态，修建必要的临时排水渠道，并与永久性排水设施相连接，且不得引起淤积和冲刷。</w:t>
      </w:r>
    </w:p>
    <w:p w14:paraId="5950B2B2">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2）因承包商未设置足够的排水设施致使土方工程遭受破坏时，其责任由承包商自负。</w:t>
      </w:r>
    </w:p>
    <w:p w14:paraId="3E936A9A">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3）雨季填筑路堤应随挖、随运、随填、随压实，依次进行；每层表面应筑成适当的横坡，使不积水。</w:t>
      </w:r>
    </w:p>
    <w:p w14:paraId="13163B72">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冲刷与淤积</w:t>
      </w:r>
    </w:p>
    <w:p w14:paraId="65D0408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1）承包商应采取有效预防措施，防止施工场所占用的土地或临时使用的土地受到冲刷。</w:t>
      </w:r>
    </w:p>
    <w:p w14:paraId="56069C4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2）承包商应采取有效预防措施，防止从本工程施工中开挖的土石材料，对河流、水道、灌溉或排水系统产生淤积或堵塞。</w:t>
      </w:r>
    </w:p>
    <w:p w14:paraId="2D0B5355">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3）施工中的临时排水系统，应能最大限度地减少水土流失及对水文状态的改变。</w:t>
      </w:r>
    </w:p>
    <w:p w14:paraId="1D1B29D5">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4）开挖或填筑的土质路基边坡应及时采取防护措施，防止雨季到来时水流对坡面的冲刷而影响排水系统的功能，减少对附近水域的污染。</w:t>
      </w:r>
    </w:p>
    <w:p w14:paraId="19E825FB">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5）承包商不管出于任何需要，未经发包人的事先书面同意，不得干扰河道、水道或现有灌溉或排水系统的自然流动，以免导致冲刷与淤积的发生。</w:t>
      </w:r>
    </w:p>
    <w:p w14:paraId="742570C0">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废料废方的处理</w:t>
      </w:r>
    </w:p>
    <w:p w14:paraId="6AB2CF7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1）清理场地的废料和土石方工程的废方处理，不得影响排灌系统及农田水利设施，不得向江河、湖泊、水库和专门堆放地以外的</w:t>
      </w:r>
      <w:r>
        <w:rPr>
          <w:rFonts w:hint="eastAsia" w:ascii="宋体" w:hAnsi="宋体" w:cs="宋体"/>
          <w:color w:val="auto"/>
          <w:sz w:val="22"/>
          <w:szCs w:val="22"/>
          <w:u w:val="single"/>
          <w:lang w:eastAsia="zh-CN"/>
        </w:rPr>
        <w:t>地方</w:t>
      </w:r>
      <w:r>
        <w:rPr>
          <w:rFonts w:hint="eastAsia" w:ascii="宋体" w:hAnsi="宋体" w:cs="宋体"/>
          <w:color w:val="auto"/>
          <w:sz w:val="22"/>
          <w:szCs w:val="22"/>
          <w:u w:val="single"/>
        </w:rPr>
        <w:t>倾倒。应按图纸规定或发包人的指示在适当地点设置弃土场，有条件时，力求少占土地，并对弃土进行整治利用。</w:t>
      </w:r>
    </w:p>
    <w:p w14:paraId="3647E8E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2）当设置弃土堆时，应按相关规定执行。</w:t>
      </w:r>
    </w:p>
    <w:p w14:paraId="7C3865C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桥梁施工过程中的泥浆及废弃物等，应在工程完工时即时清除干净，以免堵塞河道和妨碍交通，禁止直接排放到原有水系。</w:t>
      </w:r>
    </w:p>
    <w:p w14:paraId="4C0E5ED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挖方工程及隧道工程的大型弃方场地，应采取以下水土保持措施：</w:t>
      </w:r>
    </w:p>
    <w:p w14:paraId="69542E18">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a.废方堆放点应统筹安排，堆放点应远离河道，尽量不要压盖植被，尽可能选择荒地；</w:t>
      </w:r>
    </w:p>
    <w:p w14:paraId="3B93961A">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b.及时对弃方进行压实，并在其表面植被覆盖。可以种植草皮、灌木或树木，达到防止水土流失、美化环境的目的；</w:t>
      </w:r>
    </w:p>
    <w:p w14:paraId="7F48DAA8">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c.尽可能对弃土方整平用作耕地；</w:t>
      </w:r>
    </w:p>
    <w:p w14:paraId="5B124B7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d.隧道度渣点应选择植被稀疏的荒地，弃渣的下部和边角宜砌筑拦渣坝或墙，以防止水土流失。</w:t>
      </w:r>
    </w:p>
    <w:p w14:paraId="2AAB1860">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三、防止和减轻水、大气受污染</w:t>
      </w:r>
    </w:p>
    <w:p w14:paraId="663B6821">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保护水质</w:t>
      </w:r>
    </w:p>
    <w:p w14:paraId="63637941">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1）施工废水、生活污水不得直接排入农田、耕地、灌溉渠和水库。严禁排入饮用水源。</w:t>
      </w:r>
    </w:p>
    <w:p w14:paraId="54C11233">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2）工程施工区域、砂石料场，在施工期间和完工以后，应妥善处理以减少对河道、溪流的侵蚀，防止沉渣进入河道或溪流。</w:t>
      </w:r>
    </w:p>
    <w:p w14:paraId="6582D8FA">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3）冲洗集料或含有沉积物的操作用水，应采取过滤、沉淀池处理或</w:t>
      </w:r>
      <w:r>
        <w:rPr>
          <w:rFonts w:hint="eastAsia" w:ascii="宋体" w:hAnsi="宋体" w:cs="宋体"/>
          <w:color w:val="auto"/>
          <w:sz w:val="22"/>
          <w:szCs w:val="22"/>
          <w:u w:val="single"/>
          <w:lang w:eastAsia="zh-CN"/>
        </w:rPr>
        <w:t>其他</w:t>
      </w:r>
      <w:r>
        <w:rPr>
          <w:rFonts w:hint="eastAsia" w:ascii="宋体" w:hAnsi="宋体" w:cs="宋体"/>
          <w:color w:val="auto"/>
          <w:sz w:val="22"/>
          <w:szCs w:val="22"/>
          <w:u w:val="single"/>
        </w:rPr>
        <w:t>措施，做到达标排放。</w:t>
      </w:r>
    </w:p>
    <w:p w14:paraId="714B642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4）施工期间，施工物料如水泥、油料、化学品等应堆放管理严格，防止在雨季或暴雨将物料随雨水径流排入地表及附近水域造成污染。</w:t>
      </w:r>
    </w:p>
    <w:p w14:paraId="729A302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5）施工机械应防止严重漏油，禁止机械在</w:t>
      </w:r>
      <w:r>
        <w:rPr>
          <w:rFonts w:hint="eastAsia" w:ascii="宋体" w:hAnsi="宋体" w:cs="宋体"/>
          <w:color w:val="auto"/>
          <w:sz w:val="22"/>
          <w:szCs w:val="22"/>
          <w:u w:val="single"/>
          <w:lang w:eastAsia="zh-CN"/>
        </w:rPr>
        <w:t>运转</w:t>
      </w:r>
      <w:r>
        <w:rPr>
          <w:rFonts w:hint="eastAsia" w:ascii="宋体" w:hAnsi="宋体" w:cs="宋体"/>
          <w:color w:val="auto"/>
          <w:sz w:val="22"/>
          <w:szCs w:val="22"/>
          <w:u w:val="single"/>
        </w:rPr>
        <w:t>中产生的油污水未经处理就直接排放，或维修施工机械时油污水直接排放。</w:t>
      </w:r>
    </w:p>
    <w:p w14:paraId="12C45CA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控制扬尘</w:t>
      </w:r>
    </w:p>
    <w:p w14:paraId="5D5E7829">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1）为了减少施工作业产生的灰尘，在施工区域内应随时进行洒水或其他抑尘措施，使不出现明显的降尘。</w:t>
      </w:r>
    </w:p>
    <w:p w14:paraId="7BCBA371">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2）易于引起粉尘的细料或松散料应予遮盖或适当洒水润湿。运输时应用帆布、盖套及类似遮盖物覆盖。</w:t>
      </w:r>
    </w:p>
    <w:p w14:paraId="6ABE3D4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3）运转时有粉尘发生的施工场地，如水泥混凝土拌和机站</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场</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、大型轧石机场等投料器均应有防尘设备，在这些场所作业的工作人员，应配备必要的劳保防护用品。</w:t>
      </w:r>
    </w:p>
    <w:p w14:paraId="4B234A8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4）如果承包商预防措施不力，并已对邻近的河流、湖泊、池塘、农田或卫生环境造成了危害，则由此而引起的一切损失及后果，应有承包商负责。</w:t>
      </w:r>
    </w:p>
    <w:p w14:paraId="133CD34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减少噪声、废气污染</w:t>
      </w:r>
    </w:p>
    <w:p w14:paraId="13972B65">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1）各种临时设施和场地，如堆料场、加工厂、轧石厂等距居民区不宜小于300 mm，而且应设于居民区主要风向的下风处。</w:t>
      </w:r>
    </w:p>
    <w:p w14:paraId="237E3066">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2）使用机械设备的工艺操作，要尽量减少噪声、废气等污染；建筑施工场地的噪声应符合《建筑施工场界噪声限值》</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GB 12523-1990</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的规定，并应遵守当地有关部门对夜间施工的规定。</w:t>
      </w:r>
    </w:p>
    <w:p w14:paraId="576331DA">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3</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如果承包商预防措施不力，并已对邻近区域的环境卫生造成了危害，则由此而引起的一切损失及后果，应有承包商负责。</w:t>
      </w:r>
    </w:p>
    <w:p w14:paraId="2BC1A8F1">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四、保护绿色植被</w:t>
      </w:r>
    </w:p>
    <w:p w14:paraId="33217CB9">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（1）</w:t>
      </w:r>
      <w:r>
        <w:rPr>
          <w:rFonts w:hint="eastAsia" w:ascii="宋体" w:hAnsi="宋体" w:cs="宋体"/>
          <w:color w:val="auto"/>
          <w:sz w:val="22"/>
          <w:szCs w:val="22"/>
          <w:u w:val="single"/>
        </w:rPr>
        <w:t>承包商应尽量保护公路用地范围之外的现有绿色植被。若因修建临时工程破坏了现有的绿色植被，应负责在拆除临时工程时予以恢复。</w:t>
      </w:r>
    </w:p>
    <w:p w14:paraId="359D776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（2）</w:t>
      </w:r>
      <w:r>
        <w:rPr>
          <w:rFonts w:hint="eastAsia" w:ascii="宋体" w:hAnsi="宋体" w:cs="宋体"/>
          <w:color w:val="auto"/>
          <w:sz w:val="22"/>
          <w:szCs w:val="22"/>
          <w:u w:val="single"/>
        </w:rPr>
        <w:t>要保护道路两旁的古树、名木和法定保护的树种，即使处在用地范围内，有可能时也要尽量设法保护。</w:t>
      </w:r>
    </w:p>
    <w:p w14:paraId="7BB8F039">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lang w:eastAsia="zh-CN"/>
        </w:rPr>
        <w:t>（3）</w:t>
      </w:r>
      <w:r>
        <w:rPr>
          <w:rFonts w:hint="eastAsia" w:ascii="宋体" w:hAnsi="宋体" w:cs="宋体"/>
          <w:color w:val="auto"/>
          <w:sz w:val="22"/>
          <w:szCs w:val="22"/>
          <w:u w:val="single"/>
        </w:rPr>
        <w:t>施工期间工程破坏植被的面积应严格控制，除了不可避免的工程占地、砍伐以外，不应再发生</w:t>
      </w:r>
      <w:r>
        <w:rPr>
          <w:rFonts w:hint="eastAsia" w:ascii="宋体" w:hAnsi="宋体" w:cs="宋体"/>
          <w:color w:val="auto"/>
          <w:sz w:val="22"/>
          <w:szCs w:val="22"/>
          <w:u w:val="single"/>
          <w:lang w:eastAsia="zh-CN"/>
        </w:rPr>
        <w:t>其他形式的</w:t>
      </w:r>
      <w:r>
        <w:rPr>
          <w:rFonts w:hint="eastAsia" w:ascii="宋体" w:hAnsi="宋体" w:cs="宋体"/>
          <w:color w:val="auto"/>
          <w:sz w:val="22"/>
          <w:szCs w:val="22"/>
          <w:u w:val="single"/>
        </w:rPr>
        <w:t>人为破坏。</w:t>
      </w:r>
    </w:p>
    <w:p w14:paraId="5492B017">
      <w:pPr>
        <w:pStyle w:val="41"/>
        <w:spacing w:line="360" w:lineRule="exact"/>
        <w:ind w:firstLine="440" w:firstLineChars="200"/>
        <w:jc w:val="left"/>
        <w:rPr>
          <w:rFonts w:hint="eastAsia" w:ascii="宋体" w:hAnsi="宋体" w:cs="宋体"/>
          <w:color w:val="auto"/>
          <w:sz w:val="22"/>
          <w:u w:val="single"/>
        </w:rPr>
      </w:pPr>
    </w:p>
    <w:bookmarkEnd w:id="385"/>
    <w:bookmarkEnd w:id="386"/>
    <w:bookmarkEnd w:id="387"/>
    <w:bookmarkEnd w:id="388"/>
    <w:bookmarkEnd w:id="389"/>
    <w:bookmarkEnd w:id="390"/>
    <w:bookmarkEnd w:id="391"/>
    <w:p w14:paraId="2B0DEA7D">
      <w:pPr>
        <w:pStyle w:val="71"/>
        <w:spacing w:before="0" w:after="0" w:line="360" w:lineRule="exact"/>
        <w:ind w:firstLine="442" w:firstLineChars="200"/>
        <w:rPr>
          <w:rFonts w:hint="eastAsia" w:ascii="宋体" w:hAnsi="宋体" w:cs="宋体"/>
          <w:color w:val="auto"/>
          <w:sz w:val="22"/>
          <w:szCs w:val="22"/>
        </w:rPr>
      </w:pPr>
      <w:bookmarkStart w:id="411" w:name="_Toc12975912"/>
      <w:bookmarkStart w:id="412" w:name="_Toc395382524"/>
      <w:bookmarkStart w:id="413" w:name="_Toc351203639"/>
      <w:bookmarkStart w:id="414" w:name="_Toc533432747"/>
      <w:bookmarkStart w:id="415" w:name="_Toc373227722"/>
      <w:bookmarkStart w:id="416" w:name="_Toc373478369"/>
      <w:bookmarkStart w:id="417" w:name="_Toc389065288"/>
      <w:r>
        <w:rPr>
          <w:rFonts w:hint="eastAsia" w:ascii="宋体" w:hAnsi="宋体" w:cs="宋体"/>
          <w:color w:val="auto"/>
          <w:sz w:val="22"/>
          <w:szCs w:val="22"/>
        </w:rPr>
        <w:t>7. 工期和进度</w:t>
      </w:r>
      <w:bookmarkEnd w:id="411"/>
      <w:bookmarkEnd w:id="412"/>
      <w:bookmarkEnd w:id="413"/>
      <w:bookmarkEnd w:id="414"/>
      <w:bookmarkEnd w:id="415"/>
      <w:bookmarkEnd w:id="416"/>
      <w:bookmarkEnd w:id="417"/>
    </w:p>
    <w:p w14:paraId="69850ABE">
      <w:pPr>
        <w:pStyle w:val="40"/>
        <w:spacing w:line="360" w:lineRule="exact"/>
        <w:ind w:firstLine="442" w:firstLineChars="200"/>
        <w:rPr>
          <w:rFonts w:hint="eastAsia" w:ascii="宋体" w:hAnsi="宋体" w:cs="宋体"/>
          <w:color w:val="auto"/>
          <w:sz w:val="22"/>
          <w:szCs w:val="22"/>
        </w:rPr>
      </w:pPr>
      <w:bookmarkStart w:id="418" w:name="_Toc395382525"/>
      <w:bookmarkStart w:id="419" w:name="_Toc389065289"/>
      <w:bookmarkStart w:id="420" w:name="_Toc373227723"/>
      <w:bookmarkStart w:id="421" w:name="_Toc12975913"/>
      <w:bookmarkStart w:id="422" w:name="_Toc533432748"/>
      <w:bookmarkStart w:id="423" w:name="_Toc373478370"/>
      <w:r>
        <w:rPr>
          <w:rFonts w:hint="eastAsia" w:ascii="宋体" w:hAnsi="宋体" w:cs="宋体"/>
          <w:color w:val="auto"/>
          <w:sz w:val="22"/>
          <w:szCs w:val="22"/>
        </w:rPr>
        <w:t>7.1 施工组织设计</w:t>
      </w:r>
      <w:bookmarkEnd w:id="418"/>
      <w:bookmarkEnd w:id="419"/>
      <w:bookmarkEnd w:id="420"/>
      <w:bookmarkEnd w:id="421"/>
      <w:bookmarkEnd w:id="422"/>
      <w:bookmarkEnd w:id="423"/>
    </w:p>
    <w:p w14:paraId="0AE7A505">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7.1.1 合</w:t>
      </w:r>
      <w:r>
        <w:rPr>
          <w:rFonts w:hint="eastAsia" w:ascii="宋体" w:hAnsi="宋体" w:cs="宋体"/>
          <w:color w:val="auto"/>
          <w:kern w:val="0"/>
          <w:sz w:val="22"/>
          <w:szCs w:val="22"/>
        </w:rPr>
        <w:t>同当事人约定的施工组织设计应包括的其他内容：</w:t>
      </w:r>
      <w:r>
        <w:rPr>
          <w:rFonts w:hint="eastAsia" w:ascii="宋体" w:hAnsi="宋体" w:cs="宋体"/>
          <w:color w:val="auto"/>
          <w:sz w:val="22"/>
          <w:szCs w:val="22"/>
          <w:u w:val="single"/>
        </w:rPr>
        <w:t xml:space="preserve">  按磋商文件约定，磋商文件无约定的按通用合同条款或双方另行约定 。</w:t>
      </w:r>
      <w:r>
        <w:rPr>
          <w:rFonts w:hint="eastAsia" w:ascii="宋体" w:hAnsi="宋体" w:cs="宋体"/>
          <w:b/>
          <w:bCs/>
          <w:color w:val="auto"/>
          <w:sz w:val="22"/>
          <w:szCs w:val="22"/>
          <w:u w:val="single"/>
        </w:rPr>
        <w:t>如实际施工时发现承包人提供的施工组织设计方案存在缺陷，发包人可要求其对方案进行完善、修改，承包人必须无条件执行，直到发包人、监理人批准通过，承包人不能以施工组织设计方案调整为由要求调整合同单价子目单价或总价子目合价，也不能以此为由提出任何变更或索赔。发包人、监理人认为有必要，承包人除完善施工组织设计以外，还需编制临时工程或永久性工程的专项方案。但发包人及监理人的任何同意并不减轻或免除承包人的任何责任</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108AE6C7">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 xml:space="preserve">7.1.2 </w:t>
      </w:r>
      <w:r>
        <w:rPr>
          <w:rFonts w:hint="eastAsia" w:ascii="宋体" w:hAnsi="宋体" w:cs="宋体"/>
          <w:color w:val="auto"/>
          <w:kern w:val="0"/>
          <w:sz w:val="22"/>
        </w:rPr>
        <w:t>施工组织设计的提交和修改</w:t>
      </w:r>
    </w:p>
    <w:p w14:paraId="4F06245A">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承包人提交详细施工组织设计的期限的约定：</w:t>
      </w:r>
      <w:r>
        <w:rPr>
          <w:rFonts w:hint="eastAsia" w:ascii="宋体" w:hAnsi="宋体" w:cs="宋体"/>
          <w:color w:val="auto"/>
          <w:sz w:val="22"/>
          <w:u w:val="single"/>
        </w:rPr>
        <w:t>开工前7天</w:t>
      </w:r>
      <w:r>
        <w:rPr>
          <w:rFonts w:hint="eastAsia" w:ascii="宋体" w:hAnsi="宋体" w:cs="宋体"/>
          <w:color w:val="auto"/>
          <w:sz w:val="22"/>
        </w:rPr>
        <w:t>。</w:t>
      </w:r>
    </w:p>
    <w:p w14:paraId="1170D5B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发包人和监理人在收到详细的施工组织设计后确认或提出修改意见的期限：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3AE0778A">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应在合同生效后14天内（但至迟不得晚于开工日期前7天），承包人应编制详细的施工进度计划、施工组织设计和施工方案说明以及详细的分阶段或分项进度计划报送监理人和发包人审查批准，该施工进度计划须涵盖整个工程施工各阶段的详细施工计划安排（包括主要材料采购及人员进场计划）。该详细施工进度计划应采用P3E/C或Project2000以上版本软件编制。监理人和发包人的批准或回复意见，不解除承包人的任何责任。其中，施工组织设计不应对磋商文件的施工组织设计做实质性改变，只能是对其进一步细化。同时，在施工过程中，承包人应按发包人的要求提交发包人认为有必要进一步细化的方案和操作规程的文件。施工组织设计应当说明相应的施工方案、流程、人员组织、技术、设备力量、技术措施、质量保证措施、进度控制措施、安全生产的技术组织措施，经发包人审核批准后执行。施工组织设计中应有明确的施工组织机构图，应建立以其项目经理为核心的进度控制体系，并明确落实包括项目经理、技术负责人、各专业工程师、质检员、安全员在内的各具体负责人员。组织机构中必须设置进度控制部门并配置具有相应资历的人员；并且项目经理、质检员、安全员必须是专职人员，不得兼职。</w:t>
      </w:r>
    </w:p>
    <w:p w14:paraId="24560B6C">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（2）承包人提供的劳力和施工机械应不低于磋商文件或经批准的施工组织设计中承诺的标准</w:t>
      </w:r>
      <w:r>
        <w:rPr>
          <w:rFonts w:hint="eastAsia" w:ascii="宋体" w:hAnsi="宋体" w:cs="宋体"/>
          <w:color w:val="auto"/>
          <w:sz w:val="22"/>
          <w:szCs w:val="22"/>
          <w:lang w:eastAsia="zh-CN"/>
        </w:rPr>
        <w:t>，</w:t>
      </w:r>
      <w:r>
        <w:rPr>
          <w:rFonts w:hint="eastAsia" w:ascii="宋体" w:hAnsi="宋体" w:cs="宋体"/>
          <w:color w:val="auto"/>
          <w:sz w:val="22"/>
          <w:szCs w:val="22"/>
        </w:rPr>
        <w:t>以实现工程进度的需要。承包人应按发包人代表要求的格式和时间填写劳力和施工机械报表并呈送，该报表详细说明承包人及其分包人在各个时期雇用在现场的各类劳力数量、管理</w:t>
      </w:r>
      <w:r>
        <w:rPr>
          <w:rFonts w:hint="eastAsia" w:ascii="宋体" w:hAnsi="宋体" w:cs="宋体"/>
          <w:color w:val="auto"/>
          <w:sz w:val="22"/>
          <w:szCs w:val="22"/>
          <w:lang w:val="en-US" w:eastAsia="zh-CN"/>
        </w:rPr>
        <w:t>人员</w:t>
      </w:r>
      <w:r>
        <w:rPr>
          <w:rFonts w:hint="eastAsia" w:ascii="宋体" w:hAnsi="宋体" w:cs="宋体"/>
          <w:color w:val="auto"/>
          <w:sz w:val="22"/>
          <w:szCs w:val="22"/>
        </w:rPr>
        <w:t>姓名、以及施工机械，包括但不限于名称及识别号码，这些号码应在施工机械的明显位置上，并指示出它是自备的还是租用的。对于承包人投入本工程的施工机械，在发包人要求时，承包人应向发包人提供该施工机械的所有权或使用权归属于承包人的证明。对于承包人投入本工程的</w:t>
      </w:r>
      <w:r>
        <w:rPr>
          <w:rFonts w:hint="eastAsia" w:ascii="宋体" w:hAnsi="宋体" w:cs="宋体"/>
          <w:color w:val="auto"/>
          <w:sz w:val="22"/>
          <w:szCs w:val="22"/>
          <w:lang w:val="en-US" w:eastAsia="zh-CN"/>
        </w:rPr>
        <w:t>劳动力</w:t>
      </w:r>
      <w:r>
        <w:rPr>
          <w:rFonts w:hint="eastAsia" w:ascii="宋体" w:hAnsi="宋体" w:cs="宋体"/>
          <w:color w:val="auto"/>
          <w:sz w:val="22"/>
          <w:szCs w:val="22"/>
        </w:rPr>
        <w:t>，在发包人要求时，承包人应向发包人提供雇佣证明，其中：承包人自有雇员：应提供劳动合同（或聘用合同）或该人员在承包人单位半年以上社保缴费证明；劳务分包人的雇员：应提供劳务分包合同；劳务分包人的雇员的人身意外伤害保险投保证明。承包人未按要求提供前述机械和人员的真实有效的证明文件的，视为承包人未足额投入劳力和施工机械，发包人有权参照本合同中承包人未能按约定足额投入劳力和施工机械的条款处理。</w:t>
      </w:r>
    </w:p>
    <w:p w14:paraId="28387C76">
      <w:pPr>
        <w:pStyle w:val="40"/>
        <w:spacing w:line="360" w:lineRule="exact"/>
        <w:ind w:firstLine="442" w:firstLineChars="200"/>
        <w:rPr>
          <w:rFonts w:hint="eastAsia" w:ascii="宋体" w:hAnsi="宋体" w:cs="宋体"/>
          <w:color w:val="auto"/>
          <w:sz w:val="22"/>
          <w:szCs w:val="22"/>
        </w:rPr>
      </w:pPr>
      <w:bookmarkStart w:id="424" w:name="_Toc389065290"/>
      <w:bookmarkStart w:id="425" w:name="_Toc373478371"/>
      <w:bookmarkStart w:id="426" w:name="_Toc395382526"/>
      <w:bookmarkStart w:id="427" w:name="_Toc533432749"/>
      <w:bookmarkStart w:id="428" w:name="_Toc12975914"/>
      <w:bookmarkStart w:id="429" w:name="_Toc373227724"/>
      <w:r>
        <w:rPr>
          <w:rFonts w:hint="eastAsia" w:ascii="宋体" w:hAnsi="宋体" w:cs="宋体"/>
          <w:color w:val="auto"/>
          <w:sz w:val="22"/>
          <w:szCs w:val="22"/>
        </w:rPr>
        <w:t>7</w:t>
      </w:r>
      <w:bookmarkStart w:id="430" w:name="_Toc312677479"/>
      <w:bookmarkStart w:id="431" w:name="_Toc303539123"/>
      <w:bookmarkStart w:id="432" w:name="_Toc300934966"/>
      <w:bookmarkStart w:id="433" w:name="_Toc297216173"/>
      <w:bookmarkStart w:id="434" w:name="_Toc297123514"/>
      <w:bookmarkStart w:id="435" w:name="_Toc312678005"/>
      <w:bookmarkStart w:id="436" w:name="_Toc304295541"/>
      <w:r>
        <w:rPr>
          <w:rFonts w:hint="eastAsia" w:ascii="宋体" w:hAnsi="宋体" w:cs="宋体"/>
          <w:color w:val="auto"/>
          <w:sz w:val="22"/>
          <w:szCs w:val="22"/>
        </w:rPr>
        <w:t>.2 施工进度计划</w:t>
      </w:r>
      <w:bookmarkEnd w:id="424"/>
      <w:bookmarkEnd w:id="425"/>
      <w:bookmarkEnd w:id="426"/>
      <w:bookmarkEnd w:id="427"/>
      <w:bookmarkEnd w:id="428"/>
      <w:bookmarkEnd w:id="429"/>
    </w:p>
    <w:p w14:paraId="12DF8E5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7.2.2 施工进度计划的修订</w:t>
      </w:r>
    </w:p>
    <w:p w14:paraId="663AD69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发包人和监理人在收到修订的施工进度计划后确认或提出修改意见的期限：</w:t>
      </w:r>
      <w:r>
        <w:rPr>
          <w:rFonts w:hint="eastAsia" w:ascii="宋体" w:hAnsi="宋体" w:cs="宋体"/>
          <w:color w:val="auto"/>
          <w:sz w:val="22"/>
          <w:u w:val="single"/>
        </w:rPr>
        <w:t>收到后5天内</w:t>
      </w:r>
      <w:r>
        <w:rPr>
          <w:rFonts w:hint="eastAsia" w:ascii="宋体" w:hAnsi="宋体" w:cs="宋体"/>
          <w:color w:val="auto"/>
          <w:sz w:val="22"/>
        </w:rPr>
        <w:t>。</w:t>
      </w:r>
    </w:p>
    <w:p w14:paraId="5EDCF539">
      <w:pPr>
        <w:pStyle w:val="40"/>
        <w:spacing w:line="360" w:lineRule="exact"/>
        <w:ind w:firstLine="442" w:firstLineChars="200"/>
        <w:rPr>
          <w:rFonts w:hint="eastAsia" w:ascii="宋体" w:hAnsi="宋体" w:cs="宋体"/>
          <w:color w:val="auto"/>
          <w:sz w:val="22"/>
          <w:szCs w:val="22"/>
        </w:rPr>
      </w:pPr>
      <w:bookmarkStart w:id="437" w:name="_Toc389065291"/>
      <w:bookmarkStart w:id="438" w:name="_Toc533432750"/>
      <w:bookmarkStart w:id="439" w:name="_Toc395382527"/>
      <w:bookmarkStart w:id="440" w:name="_Toc373227725"/>
      <w:bookmarkStart w:id="441" w:name="_Toc373478372"/>
      <w:bookmarkStart w:id="442" w:name="_Toc12975915"/>
      <w:r>
        <w:rPr>
          <w:rFonts w:hint="eastAsia" w:ascii="宋体" w:hAnsi="宋体" w:cs="宋体"/>
          <w:color w:val="auto"/>
          <w:sz w:val="22"/>
          <w:szCs w:val="22"/>
        </w:rPr>
        <w:t>7.3 开工</w:t>
      </w:r>
      <w:bookmarkEnd w:id="437"/>
      <w:bookmarkEnd w:id="438"/>
      <w:bookmarkEnd w:id="439"/>
      <w:bookmarkEnd w:id="440"/>
      <w:bookmarkEnd w:id="441"/>
      <w:bookmarkEnd w:id="442"/>
    </w:p>
    <w:p w14:paraId="157779C4">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7.3.1 开工准备</w:t>
      </w:r>
    </w:p>
    <w:p w14:paraId="608AE206">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关于承包人提交</w:t>
      </w:r>
      <w:r>
        <w:rPr>
          <w:rFonts w:hint="eastAsia" w:ascii="宋体" w:hAnsi="宋体" w:cs="宋体"/>
          <w:color w:val="auto"/>
          <w:kern w:val="0"/>
          <w:sz w:val="22"/>
        </w:rPr>
        <w:t>工程开工报审表的期限：</w:t>
      </w:r>
      <w:r>
        <w:rPr>
          <w:rFonts w:hint="eastAsia" w:ascii="宋体" w:hAnsi="宋体" w:cs="宋体"/>
          <w:color w:val="auto"/>
          <w:sz w:val="22"/>
          <w:u w:val="single"/>
        </w:rPr>
        <w:t>开工前7天</w:t>
      </w:r>
      <w:r>
        <w:rPr>
          <w:rFonts w:hint="eastAsia" w:ascii="宋体" w:hAnsi="宋体" w:cs="宋体"/>
          <w:color w:val="auto"/>
          <w:sz w:val="22"/>
        </w:rPr>
        <w:t>。</w:t>
      </w:r>
    </w:p>
    <w:p w14:paraId="0511D822">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关于发包人应完成的其他开工准备工作及期限：</w:t>
      </w:r>
      <w:r>
        <w:rPr>
          <w:rFonts w:hint="eastAsia" w:ascii="宋体" w:hAnsi="宋体" w:cs="宋体"/>
          <w:color w:val="auto"/>
          <w:sz w:val="22"/>
          <w:u w:val="single"/>
        </w:rPr>
        <w:t>开工前7天</w:t>
      </w:r>
      <w:r>
        <w:rPr>
          <w:rFonts w:hint="eastAsia" w:ascii="宋体" w:hAnsi="宋体" w:cs="宋体"/>
          <w:color w:val="auto"/>
          <w:sz w:val="22"/>
        </w:rPr>
        <w:t>。</w:t>
      </w:r>
    </w:p>
    <w:p w14:paraId="2592FEBB">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关于承包人应完成的其他开工准备工作及期限：</w:t>
      </w:r>
      <w:r>
        <w:rPr>
          <w:rFonts w:hint="eastAsia" w:ascii="宋体" w:hAnsi="宋体" w:cs="宋体"/>
          <w:color w:val="auto"/>
          <w:sz w:val="22"/>
          <w:u w:val="single"/>
        </w:rPr>
        <w:t>开工前3天</w:t>
      </w:r>
      <w:r>
        <w:rPr>
          <w:rFonts w:hint="eastAsia" w:ascii="宋体" w:hAnsi="宋体" w:cs="宋体"/>
          <w:color w:val="auto"/>
          <w:sz w:val="22"/>
        </w:rPr>
        <w:t>。</w:t>
      </w:r>
    </w:p>
    <w:p w14:paraId="51D9AD6D">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7.3.2 开工通知</w:t>
      </w:r>
    </w:p>
    <w:p w14:paraId="3F355D4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因发包人原因造成监理人未能在计划开工日期之日起</w:t>
      </w:r>
      <w:r>
        <w:rPr>
          <w:rFonts w:hint="eastAsia" w:ascii="宋体" w:hAnsi="宋体" w:cs="宋体"/>
          <w:color w:val="auto"/>
          <w:sz w:val="22"/>
          <w:u w:val="single"/>
        </w:rPr>
        <w:t xml:space="preserve"> 90 </w:t>
      </w:r>
      <w:r>
        <w:rPr>
          <w:rFonts w:hint="eastAsia" w:ascii="宋体" w:hAnsi="宋体" w:cs="宋体"/>
          <w:color w:val="auto"/>
          <w:sz w:val="22"/>
        </w:rPr>
        <w:t>天内发出开工通知的，承包人有权提出价格调整要求，或者解除合同。</w:t>
      </w:r>
    </w:p>
    <w:bookmarkEnd w:id="430"/>
    <w:bookmarkEnd w:id="431"/>
    <w:bookmarkEnd w:id="432"/>
    <w:bookmarkEnd w:id="433"/>
    <w:bookmarkEnd w:id="434"/>
    <w:bookmarkEnd w:id="435"/>
    <w:bookmarkEnd w:id="436"/>
    <w:p w14:paraId="4982787A">
      <w:pPr>
        <w:pStyle w:val="40"/>
        <w:spacing w:line="360" w:lineRule="exact"/>
        <w:ind w:firstLine="442" w:firstLineChars="200"/>
        <w:rPr>
          <w:rFonts w:hint="eastAsia" w:ascii="宋体" w:hAnsi="宋体" w:cs="宋体"/>
          <w:color w:val="auto"/>
          <w:sz w:val="22"/>
          <w:szCs w:val="22"/>
        </w:rPr>
      </w:pPr>
      <w:bookmarkStart w:id="443" w:name="_Toc373478373"/>
      <w:bookmarkStart w:id="444" w:name="_Toc533432751"/>
      <w:bookmarkStart w:id="445" w:name="_Toc395382528"/>
      <w:bookmarkStart w:id="446" w:name="_Toc12975916"/>
      <w:bookmarkStart w:id="447" w:name="_Toc373227726"/>
      <w:bookmarkStart w:id="448" w:name="_Toc389065292"/>
      <w:r>
        <w:rPr>
          <w:rFonts w:hint="eastAsia" w:ascii="宋体" w:hAnsi="宋体" w:cs="宋体"/>
          <w:color w:val="auto"/>
          <w:sz w:val="22"/>
          <w:szCs w:val="22"/>
        </w:rPr>
        <w:t>7.4 测量放线</w:t>
      </w:r>
      <w:bookmarkEnd w:id="443"/>
      <w:bookmarkEnd w:id="444"/>
      <w:bookmarkEnd w:id="445"/>
      <w:bookmarkEnd w:id="446"/>
      <w:bookmarkEnd w:id="447"/>
      <w:bookmarkEnd w:id="448"/>
    </w:p>
    <w:p w14:paraId="6EFF42A2">
      <w:pPr>
        <w:pStyle w:val="4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rPr>
        <w:t>7.4.1发包人通过监理人向承包人提供测量基准点、基准线和水准点及其书面资料的期限：</w:t>
      </w:r>
      <w:r>
        <w:rPr>
          <w:rFonts w:hint="eastAsia" w:ascii="宋体" w:hAnsi="宋体" w:cs="宋体"/>
          <w:color w:val="auto"/>
          <w:sz w:val="22"/>
          <w:szCs w:val="22"/>
          <w:u w:val="single"/>
        </w:rPr>
        <w:t>计划开工日期之日起7天内提供测量基准点和水准点，测量基准点和水准点距离本项目最近红线距离小于2km。如承包人需发包人增加测量基准点和水准点时，每增加一个点需向发包人支付1万元</w:t>
      </w:r>
      <w:r>
        <w:rPr>
          <w:rFonts w:hint="eastAsia" w:ascii="宋体" w:hAnsi="宋体" w:cs="宋体"/>
          <w:color w:val="auto"/>
          <w:sz w:val="22"/>
          <w:szCs w:val="22"/>
        </w:rPr>
        <w:t>。</w:t>
      </w:r>
    </w:p>
    <w:p w14:paraId="166C9534">
      <w:pPr>
        <w:pStyle w:val="40"/>
        <w:spacing w:line="360" w:lineRule="exact"/>
        <w:ind w:firstLine="442" w:firstLineChars="200"/>
        <w:rPr>
          <w:rFonts w:hint="eastAsia" w:ascii="宋体" w:hAnsi="宋体" w:cs="宋体"/>
          <w:color w:val="auto"/>
          <w:sz w:val="22"/>
          <w:szCs w:val="22"/>
        </w:rPr>
      </w:pPr>
      <w:bookmarkStart w:id="449" w:name="_Toc373227727"/>
      <w:bookmarkStart w:id="450" w:name="_Toc373478374"/>
      <w:bookmarkStart w:id="451" w:name="_Toc533432752"/>
      <w:bookmarkStart w:id="452" w:name="_Toc12975917"/>
      <w:bookmarkStart w:id="453" w:name="_Toc389065293"/>
      <w:bookmarkStart w:id="454" w:name="_Toc395382529"/>
      <w:r>
        <w:rPr>
          <w:rFonts w:hint="eastAsia" w:ascii="宋体" w:hAnsi="宋体" w:cs="宋体"/>
          <w:color w:val="auto"/>
          <w:sz w:val="22"/>
          <w:szCs w:val="22"/>
        </w:rPr>
        <w:t>7</w:t>
      </w:r>
      <w:bookmarkStart w:id="455" w:name="_Toc300934968"/>
      <w:bookmarkStart w:id="456" w:name="_Toc303539125"/>
      <w:bookmarkStart w:id="457" w:name="_Toc304295546"/>
      <w:bookmarkStart w:id="458" w:name="_Toc312678010"/>
      <w:bookmarkStart w:id="459" w:name="_Toc312677484"/>
      <w:bookmarkStart w:id="460" w:name="_Toc297123516"/>
      <w:bookmarkStart w:id="461" w:name="_Toc297216175"/>
      <w:r>
        <w:rPr>
          <w:rFonts w:hint="eastAsia" w:ascii="宋体" w:hAnsi="宋体" w:cs="宋体"/>
          <w:color w:val="auto"/>
          <w:sz w:val="22"/>
          <w:szCs w:val="22"/>
        </w:rPr>
        <w:t>.5 工期延误</w:t>
      </w:r>
      <w:bookmarkEnd w:id="449"/>
      <w:bookmarkEnd w:id="450"/>
      <w:bookmarkEnd w:id="451"/>
      <w:bookmarkEnd w:id="452"/>
      <w:bookmarkEnd w:id="453"/>
      <w:bookmarkEnd w:id="454"/>
    </w:p>
    <w:bookmarkEnd w:id="455"/>
    <w:bookmarkEnd w:id="456"/>
    <w:bookmarkEnd w:id="457"/>
    <w:bookmarkEnd w:id="458"/>
    <w:bookmarkEnd w:id="459"/>
    <w:bookmarkEnd w:id="460"/>
    <w:bookmarkEnd w:id="461"/>
    <w:p w14:paraId="3E816BE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7.5.1 因发包人原因导致工期延误</w:t>
      </w:r>
    </w:p>
    <w:p w14:paraId="73AF6CF8">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（7）因发包人原因导致工期延误的其他情形：</w:t>
      </w:r>
      <w:r>
        <w:rPr>
          <w:rFonts w:hint="eastAsia" w:ascii="宋体" w:hAnsi="宋体" w:cs="宋体"/>
          <w:color w:val="auto"/>
          <w:sz w:val="22"/>
          <w:u w:val="single"/>
        </w:rPr>
        <w:t>①图纸变更影响关</w:t>
      </w:r>
      <w:r>
        <w:rPr>
          <w:rFonts w:hint="eastAsia" w:ascii="宋体" w:hAnsi="宋体" w:cs="宋体"/>
          <w:color w:val="auto"/>
          <w:sz w:val="22"/>
          <w:u w:val="single"/>
          <w:lang w:val="en-US" w:eastAsia="zh-CN"/>
        </w:rPr>
        <w:t>键</w:t>
      </w:r>
      <w:r>
        <w:rPr>
          <w:rFonts w:hint="eastAsia" w:ascii="宋体" w:hAnsi="宋体" w:cs="宋体"/>
          <w:color w:val="auto"/>
          <w:sz w:val="22"/>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2"/>
        </w:rPr>
        <w:t>。</w:t>
      </w:r>
    </w:p>
    <w:p w14:paraId="482F9A2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因发包人原因导致工期延误的，发包人不承担任何费用，不支付承包人合理的利润，工期相应顺延。</w:t>
      </w:r>
    </w:p>
    <w:p w14:paraId="1491844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w:t>
      </w:r>
      <w:bookmarkStart w:id="462" w:name="_Toc312678012"/>
      <w:bookmarkStart w:id="463" w:name="_Toc318581169"/>
      <w:bookmarkStart w:id="464" w:name="_Toc312677486"/>
      <w:bookmarkStart w:id="465" w:name="_Toc297216177"/>
      <w:bookmarkStart w:id="466" w:name="_Toc303539127"/>
      <w:bookmarkStart w:id="467" w:name="_Toc304295548"/>
      <w:bookmarkStart w:id="468" w:name="_Toc300934970"/>
      <w:bookmarkStart w:id="469" w:name="_Toc297123518"/>
      <w:r>
        <w:rPr>
          <w:rFonts w:hint="eastAsia" w:ascii="宋体" w:hAnsi="宋体" w:cs="宋体"/>
          <w:color w:val="auto"/>
          <w:sz w:val="22"/>
        </w:rPr>
        <w:t>.5.2 因承包人原因导致工期延误</w:t>
      </w:r>
    </w:p>
    <w:bookmarkEnd w:id="462"/>
    <w:bookmarkEnd w:id="463"/>
    <w:bookmarkEnd w:id="464"/>
    <w:p w14:paraId="7954EAE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双方约定经监理工程师确认，工期相应顺延的情况：</w:t>
      </w:r>
      <w:r>
        <w:rPr>
          <w:rFonts w:hint="eastAsia" w:ascii="宋体" w:hAnsi="宋体" w:cs="宋体"/>
          <w:color w:val="auto"/>
          <w:sz w:val="22"/>
          <w:u w:val="single"/>
        </w:rPr>
        <w:t xml:space="preserve"> 因发包人原因或不可抗力或不利物质条件造成的工期顺延，其他因承包人原因造成的工期不得相应顺延</w:t>
      </w:r>
      <w:r>
        <w:rPr>
          <w:rFonts w:hint="eastAsia" w:ascii="宋体" w:hAnsi="宋体" w:cs="宋体"/>
          <w:color w:val="auto"/>
          <w:sz w:val="22"/>
        </w:rPr>
        <w:t>。</w:t>
      </w:r>
    </w:p>
    <w:p w14:paraId="7014D342">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因</w:t>
      </w:r>
      <w:bookmarkStart w:id="470" w:name="_Toc312678013"/>
      <w:bookmarkStart w:id="471" w:name="_Toc312677487"/>
      <w:bookmarkStart w:id="472" w:name="_Toc318581170"/>
      <w:r>
        <w:rPr>
          <w:rFonts w:hint="eastAsia" w:ascii="宋体" w:hAnsi="宋体" w:cs="宋体"/>
          <w:color w:val="auto"/>
          <w:sz w:val="22"/>
        </w:rPr>
        <w:t>承包人原因造成工期延误，逾期竣工违约金的计算方法为：</w:t>
      </w:r>
      <w:r>
        <w:rPr>
          <w:rFonts w:hint="eastAsia" w:ascii="宋体" w:hAnsi="宋体" w:cs="宋体"/>
          <w:color w:val="auto"/>
          <w:sz w:val="22"/>
          <w:u w:val="single"/>
        </w:rPr>
        <w:t>非上述原因，承包人不能按合同约定的时间竣工，承包人应承担违约责任。应向发包人支付误期赔偿费（每天赔偿金额为合同价款扣除建安劳保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w:t>
      </w:r>
      <w:r>
        <w:rPr>
          <w:rFonts w:hint="eastAsia" w:ascii="宋体" w:hAnsi="宋体" w:cs="宋体"/>
          <w:color w:val="auto"/>
          <w:sz w:val="22"/>
          <w:u w:val="single"/>
          <w:lang w:val="en-US" w:eastAsia="zh-CN"/>
        </w:rPr>
        <w:t>偿</w:t>
      </w:r>
      <w:r>
        <w:rPr>
          <w:rFonts w:hint="eastAsia" w:ascii="宋体" w:hAnsi="宋体" w:cs="宋体"/>
          <w:color w:val="auto"/>
          <w:sz w:val="22"/>
          <w:u w:val="single"/>
        </w:rPr>
        <w:t>费或其他方式收回此款，此赔偿款的支付并不能解除承包人应完成工程的责任或合同规定的其他责任。</w:t>
      </w:r>
    </w:p>
    <w:bookmarkEnd w:id="465"/>
    <w:bookmarkEnd w:id="466"/>
    <w:bookmarkEnd w:id="467"/>
    <w:bookmarkEnd w:id="468"/>
    <w:bookmarkEnd w:id="469"/>
    <w:bookmarkEnd w:id="470"/>
    <w:bookmarkEnd w:id="471"/>
    <w:bookmarkEnd w:id="472"/>
    <w:p w14:paraId="160167B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w:t>
      </w:r>
      <w:bookmarkStart w:id="473" w:name="OLE_LINK5"/>
      <w:r>
        <w:rPr>
          <w:rFonts w:hint="eastAsia" w:ascii="宋体" w:hAnsi="宋体" w:cs="宋体"/>
          <w:color w:val="auto"/>
          <w:sz w:val="22"/>
        </w:rPr>
        <w:t>承包人</w:t>
      </w:r>
      <w:bookmarkEnd w:id="473"/>
      <w:r>
        <w:rPr>
          <w:rFonts w:hint="eastAsia" w:ascii="宋体" w:hAnsi="宋体" w:cs="宋体"/>
          <w:color w:val="auto"/>
          <w:sz w:val="22"/>
        </w:rPr>
        <w:t>原因造成工期延误，逾</w:t>
      </w:r>
      <w:bookmarkStart w:id="474" w:name="_Toc318581171"/>
      <w:bookmarkStart w:id="475" w:name="_Toc312678014"/>
      <w:r>
        <w:rPr>
          <w:rFonts w:hint="eastAsia" w:ascii="宋体" w:hAnsi="宋体" w:cs="宋体"/>
          <w:color w:val="auto"/>
          <w:sz w:val="22"/>
        </w:rPr>
        <w:t>期竣工违约金的上限：</w:t>
      </w:r>
      <w:r>
        <w:rPr>
          <w:rFonts w:hint="eastAsia" w:ascii="宋体" w:hAnsi="宋体" w:cs="宋体"/>
          <w:color w:val="auto"/>
          <w:sz w:val="22"/>
          <w:u w:val="single"/>
        </w:rPr>
        <w:t>合同价扣除建安劳保费、发包人材料价款、暂估专业工程、暂列金额后的 4 %</w:t>
      </w:r>
      <w:r>
        <w:rPr>
          <w:rFonts w:hint="eastAsia" w:ascii="宋体" w:hAnsi="宋体" w:cs="宋体"/>
          <w:color w:val="auto"/>
          <w:sz w:val="22"/>
        </w:rPr>
        <w:t>。</w:t>
      </w:r>
    </w:p>
    <w:p w14:paraId="018E2CB0">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施工过程中，因承包人的原因造成工程进度严重滞后并有可能</w:t>
      </w:r>
      <w:r>
        <w:rPr>
          <w:rFonts w:hint="eastAsia" w:ascii="宋体" w:hAnsi="宋体" w:cs="宋体"/>
          <w:color w:val="auto"/>
          <w:sz w:val="22"/>
          <w:highlight w:val="none"/>
          <w:u w:val="single"/>
        </w:rPr>
        <w:t>导致延误工期的，经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人民政府分管领导审定后，业主有权分割部分工程进行发包，单价按承包人原成交价格执行，如确需上调价格，经分管领导审定，款项从总包单位的工程款扣除；造成施工中断或延误累计超过21天的，经</w:t>
      </w:r>
      <w:r>
        <w:rPr>
          <w:rFonts w:hint="eastAsia" w:ascii="宋体" w:hAnsi="宋体" w:cs="宋体"/>
          <w:color w:val="auto"/>
          <w:sz w:val="22"/>
          <w:highlight w:val="none"/>
          <w:u w:val="single"/>
          <w:lang w:val="en-US" w:eastAsia="zh-CN"/>
        </w:rPr>
        <w:t>港口区</w:t>
      </w:r>
      <w:r>
        <w:rPr>
          <w:rFonts w:hint="eastAsia" w:ascii="宋体" w:hAnsi="宋体" w:cs="宋体"/>
          <w:color w:val="auto"/>
          <w:sz w:val="22"/>
          <w:highlight w:val="none"/>
          <w:u w:val="single"/>
        </w:rPr>
        <w:t>人民政府分管领导审定后，业主有权终止合同，将未完</w:t>
      </w:r>
      <w:r>
        <w:rPr>
          <w:rFonts w:hint="eastAsia" w:ascii="宋体" w:hAnsi="宋体" w:cs="宋体"/>
          <w:color w:val="auto"/>
          <w:sz w:val="22"/>
          <w:u w:val="single"/>
        </w:rPr>
        <w:t>工工程另行发包，单价按承包人原成交价格执行，已完工程经双方验收确认后，待整个工程竣工后结算。</w:t>
      </w:r>
    </w:p>
    <w:bookmarkEnd w:id="474"/>
    <w:bookmarkEnd w:id="475"/>
    <w:p w14:paraId="13AF12E7">
      <w:pPr>
        <w:pStyle w:val="40"/>
        <w:spacing w:line="360" w:lineRule="exact"/>
        <w:ind w:firstLine="442" w:firstLineChars="200"/>
        <w:rPr>
          <w:rFonts w:hint="eastAsia" w:ascii="宋体" w:hAnsi="宋体" w:cs="宋体"/>
          <w:color w:val="auto"/>
          <w:sz w:val="22"/>
          <w:szCs w:val="22"/>
        </w:rPr>
      </w:pPr>
      <w:bookmarkStart w:id="476" w:name="_Toc12975918"/>
      <w:bookmarkStart w:id="477" w:name="_Toc533432753"/>
      <w:bookmarkStart w:id="478" w:name="_Toc373478375"/>
      <w:bookmarkStart w:id="479" w:name="_Toc395382530"/>
      <w:bookmarkStart w:id="480" w:name="_Toc373227728"/>
      <w:bookmarkStart w:id="481" w:name="_Toc389065294"/>
      <w:r>
        <w:rPr>
          <w:rFonts w:hint="eastAsia" w:ascii="宋体" w:hAnsi="宋体" w:cs="宋体"/>
          <w:color w:val="auto"/>
          <w:sz w:val="22"/>
          <w:szCs w:val="22"/>
        </w:rPr>
        <w:t>7</w:t>
      </w:r>
      <w:bookmarkStart w:id="482" w:name="_Toc297123519"/>
      <w:bookmarkStart w:id="483" w:name="_Toc304295549"/>
      <w:bookmarkStart w:id="484" w:name="_Toc300934971"/>
      <w:bookmarkStart w:id="485" w:name="_Toc297216178"/>
      <w:bookmarkStart w:id="486" w:name="_Toc312678015"/>
      <w:bookmarkStart w:id="487" w:name="_Toc303539128"/>
      <w:r>
        <w:rPr>
          <w:rFonts w:hint="eastAsia" w:ascii="宋体" w:hAnsi="宋体" w:cs="宋体"/>
          <w:color w:val="auto"/>
          <w:sz w:val="22"/>
          <w:szCs w:val="22"/>
        </w:rPr>
        <w:t>.6 不</w:t>
      </w:r>
      <w:bookmarkEnd w:id="482"/>
      <w:bookmarkEnd w:id="483"/>
      <w:bookmarkEnd w:id="484"/>
      <w:bookmarkEnd w:id="485"/>
      <w:bookmarkEnd w:id="486"/>
      <w:bookmarkEnd w:id="487"/>
      <w:r>
        <w:rPr>
          <w:rFonts w:hint="eastAsia" w:ascii="宋体" w:hAnsi="宋体" w:cs="宋体"/>
          <w:color w:val="auto"/>
          <w:sz w:val="22"/>
          <w:szCs w:val="22"/>
        </w:rPr>
        <w:t>利物质条件</w:t>
      </w:r>
      <w:bookmarkEnd w:id="476"/>
      <w:bookmarkEnd w:id="477"/>
      <w:bookmarkEnd w:id="478"/>
      <w:bookmarkEnd w:id="479"/>
      <w:bookmarkEnd w:id="480"/>
      <w:bookmarkEnd w:id="481"/>
    </w:p>
    <w:p w14:paraId="1AD12D21">
      <w:pPr>
        <w:pStyle w:val="41"/>
        <w:spacing w:line="360" w:lineRule="exact"/>
        <w:ind w:firstLine="440" w:firstLineChars="200"/>
        <w:jc w:val="left"/>
        <w:rPr>
          <w:rFonts w:hint="eastAsia" w:ascii="宋体" w:hAnsi="宋体" w:cs="宋体"/>
          <w:color w:val="auto"/>
          <w:sz w:val="22"/>
          <w:u w:val="single"/>
        </w:rPr>
      </w:pPr>
      <w:bookmarkStart w:id="488" w:name="_Toc297216179"/>
      <w:bookmarkStart w:id="489" w:name="_Toc318581172"/>
      <w:bookmarkStart w:id="490" w:name="_Toc300934972"/>
      <w:bookmarkStart w:id="491" w:name="_Toc303539129"/>
      <w:bookmarkStart w:id="492" w:name="_Toc312678016"/>
      <w:bookmarkStart w:id="493" w:name="_Toc297123520"/>
      <w:bookmarkStart w:id="494" w:name="_Toc304295550"/>
      <w:r>
        <w:rPr>
          <w:rFonts w:hint="eastAsia" w:ascii="宋体" w:hAnsi="宋体" w:cs="宋体"/>
          <w:color w:val="auto"/>
          <w:sz w:val="22"/>
        </w:rPr>
        <w:t>不利物质条件的其他情形和有关约定：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bookmarkEnd w:id="488"/>
    <w:bookmarkEnd w:id="489"/>
    <w:bookmarkEnd w:id="490"/>
    <w:bookmarkEnd w:id="491"/>
    <w:bookmarkEnd w:id="492"/>
    <w:bookmarkEnd w:id="493"/>
    <w:bookmarkEnd w:id="494"/>
    <w:p w14:paraId="25F2A7CB">
      <w:pPr>
        <w:pStyle w:val="40"/>
        <w:spacing w:line="360" w:lineRule="exact"/>
        <w:ind w:firstLine="442" w:firstLineChars="200"/>
        <w:rPr>
          <w:rFonts w:hint="eastAsia" w:ascii="宋体" w:hAnsi="宋体" w:cs="宋体"/>
          <w:color w:val="auto"/>
          <w:sz w:val="22"/>
          <w:szCs w:val="22"/>
        </w:rPr>
      </w:pPr>
      <w:bookmarkStart w:id="495" w:name="_Toc12975919"/>
      <w:bookmarkStart w:id="496" w:name="_Toc389065295"/>
      <w:bookmarkStart w:id="497" w:name="_Toc395382531"/>
      <w:bookmarkStart w:id="498" w:name="_Toc533432754"/>
      <w:bookmarkStart w:id="499" w:name="_Toc373478376"/>
      <w:bookmarkStart w:id="500" w:name="_Toc373227729"/>
      <w:r>
        <w:rPr>
          <w:rFonts w:hint="eastAsia" w:ascii="宋体" w:hAnsi="宋体" w:cs="宋体"/>
          <w:color w:val="auto"/>
          <w:sz w:val="22"/>
          <w:szCs w:val="22"/>
        </w:rPr>
        <w:t>7</w:t>
      </w:r>
      <w:bookmarkStart w:id="501" w:name="_Toc303539130"/>
      <w:bookmarkStart w:id="502" w:name="_Toc312678017"/>
      <w:bookmarkStart w:id="503" w:name="_Toc300934973"/>
      <w:bookmarkStart w:id="504" w:name="_Toc297216180"/>
      <w:bookmarkStart w:id="505" w:name="_Toc304295551"/>
      <w:bookmarkStart w:id="506" w:name="_Toc297123521"/>
      <w:r>
        <w:rPr>
          <w:rFonts w:hint="eastAsia" w:ascii="宋体" w:hAnsi="宋体" w:cs="宋体"/>
          <w:color w:val="auto"/>
          <w:sz w:val="22"/>
          <w:szCs w:val="22"/>
        </w:rPr>
        <w:t>.7 异常恶劣的气候条件</w:t>
      </w:r>
      <w:bookmarkEnd w:id="495"/>
      <w:bookmarkEnd w:id="496"/>
      <w:bookmarkEnd w:id="497"/>
      <w:bookmarkEnd w:id="498"/>
      <w:bookmarkEnd w:id="499"/>
      <w:bookmarkEnd w:id="500"/>
    </w:p>
    <w:bookmarkEnd w:id="501"/>
    <w:bookmarkEnd w:id="502"/>
    <w:bookmarkEnd w:id="503"/>
    <w:bookmarkEnd w:id="504"/>
    <w:bookmarkEnd w:id="505"/>
    <w:bookmarkEnd w:id="506"/>
    <w:p w14:paraId="72438C4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发包人和承包人同意以下情形视为异常恶劣的气候条件：</w:t>
      </w:r>
    </w:p>
    <w:p w14:paraId="5EA915F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r>
        <w:rPr>
          <w:rFonts w:hint="eastAsia" w:ascii="宋体" w:hAnsi="宋体" w:cs="宋体"/>
          <w:color w:val="auto"/>
          <w:sz w:val="22"/>
          <w:u w:val="single"/>
        </w:rPr>
        <w:t>指本工程所在地30年以上一遇的罕见气候现象</w:t>
      </w:r>
      <w:r>
        <w:rPr>
          <w:rFonts w:hint="eastAsia" w:ascii="宋体" w:hAnsi="宋体" w:cs="宋体"/>
          <w:color w:val="auto"/>
          <w:sz w:val="22"/>
        </w:rPr>
        <w:t>；</w:t>
      </w:r>
    </w:p>
    <w:p w14:paraId="7DEA2080">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lang w:eastAsia="zh-CN"/>
        </w:rPr>
        <w:t>(</w:t>
      </w:r>
      <w:r>
        <w:rPr>
          <w:rFonts w:hint="eastAsia" w:ascii="宋体" w:hAnsi="宋体" w:cs="宋体"/>
          <w:color w:val="auto"/>
          <w:sz w:val="22"/>
        </w:rPr>
        <w:t>2</w:t>
      </w:r>
      <w:r>
        <w:rPr>
          <w:rFonts w:hint="eastAsia" w:ascii="宋体" w:hAnsi="宋体" w:cs="宋体"/>
          <w:color w:val="auto"/>
          <w:sz w:val="22"/>
          <w:lang w:eastAsia="zh-CN"/>
        </w:rPr>
        <w:t>)</w:t>
      </w:r>
      <w:r>
        <w:rPr>
          <w:rFonts w:hint="eastAsia" w:ascii="宋体" w:hAnsi="宋体" w:cs="宋体"/>
          <w:color w:val="auto"/>
          <w:sz w:val="22"/>
          <w:u w:val="single"/>
        </w:rPr>
        <w:t xml:space="preserve">  / </w:t>
      </w:r>
      <w:r>
        <w:rPr>
          <w:rFonts w:hint="eastAsia" w:ascii="宋体" w:hAnsi="宋体" w:cs="宋体"/>
          <w:color w:val="auto"/>
          <w:sz w:val="22"/>
          <w:u w:val="single"/>
          <w:lang w:eastAsia="zh-CN"/>
        </w:rPr>
        <w:t>;</w:t>
      </w:r>
    </w:p>
    <w:p w14:paraId="030FD7ED">
      <w:pPr>
        <w:pStyle w:val="40"/>
        <w:spacing w:line="360" w:lineRule="exact"/>
        <w:ind w:firstLine="442" w:firstLineChars="200"/>
        <w:rPr>
          <w:rFonts w:hint="eastAsia" w:ascii="宋体" w:hAnsi="宋体" w:cs="宋体"/>
          <w:color w:val="auto"/>
          <w:sz w:val="22"/>
          <w:szCs w:val="22"/>
        </w:rPr>
      </w:pPr>
      <w:bookmarkStart w:id="507" w:name="_Toc533432755"/>
      <w:bookmarkStart w:id="508" w:name="_Toc373478377"/>
      <w:bookmarkStart w:id="509" w:name="_Toc389065296"/>
      <w:bookmarkStart w:id="510" w:name="_Toc373227730"/>
      <w:bookmarkStart w:id="511" w:name="_Toc395382532"/>
      <w:bookmarkStart w:id="512" w:name="_Toc12975920"/>
      <w:r>
        <w:rPr>
          <w:rFonts w:hint="eastAsia" w:ascii="宋体" w:hAnsi="宋体" w:cs="宋体"/>
          <w:color w:val="auto"/>
          <w:sz w:val="22"/>
          <w:szCs w:val="22"/>
        </w:rPr>
        <w:t>7.8 提前竣工</w:t>
      </w:r>
      <w:bookmarkEnd w:id="507"/>
      <w:bookmarkEnd w:id="508"/>
      <w:bookmarkEnd w:id="509"/>
      <w:bookmarkEnd w:id="510"/>
      <w:bookmarkEnd w:id="511"/>
      <w:bookmarkEnd w:id="512"/>
    </w:p>
    <w:p w14:paraId="76DB9B2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7.8.2提前竣工（赶工）增加费的计算方法：</w:t>
      </w:r>
      <w:r>
        <w:rPr>
          <w:rFonts w:hint="eastAsia" w:ascii="宋体" w:hAnsi="宋体" w:cs="宋体"/>
          <w:color w:val="auto"/>
          <w:sz w:val="22"/>
          <w:u w:val="single"/>
        </w:rPr>
        <w:t xml:space="preserve"> 无 </w:t>
      </w:r>
      <w:r>
        <w:rPr>
          <w:rFonts w:hint="eastAsia" w:ascii="宋体" w:hAnsi="宋体" w:cs="宋体"/>
          <w:color w:val="auto"/>
          <w:sz w:val="22"/>
        </w:rPr>
        <w:t>。</w:t>
      </w:r>
    </w:p>
    <w:p w14:paraId="0A45027E">
      <w:pPr>
        <w:pStyle w:val="71"/>
        <w:spacing w:before="0" w:after="0" w:line="360" w:lineRule="exact"/>
        <w:rPr>
          <w:rFonts w:hint="eastAsia" w:ascii="宋体" w:hAnsi="宋体" w:cs="宋体"/>
          <w:color w:val="auto"/>
          <w:sz w:val="22"/>
          <w:szCs w:val="22"/>
        </w:rPr>
      </w:pPr>
      <w:bookmarkStart w:id="513" w:name="_Toc351203640"/>
      <w:bookmarkStart w:id="514" w:name="_Toc395382533"/>
      <w:bookmarkStart w:id="515" w:name="_Toc533432756"/>
      <w:bookmarkStart w:id="516" w:name="_Toc389065297"/>
      <w:bookmarkStart w:id="517" w:name="_Toc373478378"/>
      <w:bookmarkStart w:id="518" w:name="_Toc373227731"/>
      <w:bookmarkStart w:id="519" w:name="_Toc12975921"/>
    </w:p>
    <w:p w14:paraId="19935C07">
      <w:pPr>
        <w:pStyle w:val="71"/>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8. 材料与设备</w:t>
      </w:r>
      <w:bookmarkEnd w:id="513"/>
      <w:bookmarkEnd w:id="514"/>
      <w:bookmarkEnd w:id="515"/>
      <w:bookmarkEnd w:id="516"/>
      <w:bookmarkEnd w:id="517"/>
      <w:bookmarkEnd w:id="518"/>
      <w:bookmarkEnd w:id="519"/>
    </w:p>
    <w:bookmarkEnd w:id="369"/>
    <w:bookmarkEnd w:id="370"/>
    <w:bookmarkEnd w:id="371"/>
    <w:bookmarkEnd w:id="372"/>
    <w:bookmarkEnd w:id="373"/>
    <w:bookmarkEnd w:id="374"/>
    <w:bookmarkEnd w:id="375"/>
    <w:bookmarkEnd w:id="376"/>
    <w:bookmarkEnd w:id="377"/>
    <w:bookmarkEnd w:id="378"/>
    <w:p w14:paraId="5B0EEF91">
      <w:pPr>
        <w:pStyle w:val="40"/>
        <w:spacing w:line="360" w:lineRule="exact"/>
        <w:ind w:firstLine="442" w:firstLineChars="200"/>
        <w:rPr>
          <w:rFonts w:hint="eastAsia" w:ascii="宋体" w:hAnsi="宋体" w:cs="宋体"/>
          <w:color w:val="auto"/>
          <w:sz w:val="22"/>
          <w:szCs w:val="22"/>
        </w:rPr>
      </w:pPr>
      <w:bookmarkStart w:id="520" w:name="_Toc373227732"/>
      <w:bookmarkStart w:id="521" w:name="_Toc373478379"/>
      <w:bookmarkStart w:id="522" w:name="_Toc389065298"/>
      <w:bookmarkStart w:id="523" w:name="_Toc12975922"/>
      <w:bookmarkStart w:id="524" w:name="_Toc533432757"/>
      <w:bookmarkStart w:id="525" w:name="_Toc395382534"/>
      <w:r>
        <w:rPr>
          <w:rFonts w:hint="eastAsia" w:ascii="宋体" w:hAnsi="宋体" w:cs="宋体"/>
          <w:color w:val="auto"/>
          <w:sz w:val="22"/>
          <w:szCs w:val="22"/>
        </w:rPr>
        <w:t>8.2 承包人采购材料与工程设备</w:t>
      </w:r>
      <w:bookmarkEnd w:id="520"/>
      <w:bookmarkEnd w:id="521"/>
      <w:bookmarkEnd w:id="522"/>
      <w:bookmarkEnd w:id="523"/>
      <w:bookmarkEnd w:id="524"/>
      <w:bookmarkEnd w:id="525"/>
    </w:p>
    <w:p w14:paraId="4309F710">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2"/>
        </w:rPr>
        <w:t>承包人提供主要材料和工程设备一览表》</w:t>
      </w:r>
      <w:r>
        <w:rPr>
          <w:rFonts w:hint="eastAsia" w:ascii="宋体" w:hAnsi="宋体" w:cs="宋体"/>
          <w:color w:val="auto"/>
          <w:kern w:val="0"/>
          <w:sz w:val="22"/>
        </w:rPr>
        <w:t>（表-22）见已标价工程量清单。</w:t>
      </w:r>
    </w:p>
    <w:p w14:paraId="750533AF">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对发包人在磋商时有“参照或相当于**品牌、级别”约定的材料或设备，承包人采购时必须按类似于或优于所约定品牌、等级进行采购，施工期间该部分材料或设备如未超过磋商约定的风险幅度的，结算时按磋商单价支付，不得调整。</w:t>
      </w:r>
    </w:p>
    <w:p w14:paraId="148BA4FD">
      <w:pPr>
        <w:pStyle w:val="40"/>
        <w:spacing w:line="360" w:lineRule="exact"/>
        <w:ind w:firstLine="442" w:firstLineChars="200"/>
        <w:rPr>
          <w:rFonts w:hint="eastAsia" w:ascii="宋体" w:hAnsi="宋体" w:cs="宋体"/>
          <w:color w:val="auto"/>
          <w:sz w:val="22"/>
          <w:szCs w:val="22"/>
        </w:rPr>
      </w:pPr>
      <w:bookmarkStart w:id="526" w:name="_Toc373478380"/>
      <w:bookmarkStart w:id="527" w:name="_Toc533432758"/>
      <w:bookmarkStart w:id="528" w:name="_Toc373227733"/>
      <w:bookmarkStart w:id="529" w:name="_Toc395382535"/>
      <w:bookmarkStart w:id="530" w:name="_Toc389065299"/>
      <w:bookmarkStart w:id="531" w:name="_Toc12975923"/>
      <w:r>
        <w:rPr>
          <w:rFonts w:hint="eastAsia" w:ascii="宋体" w:hAnsi="宋体" w:cs="宋体"/>
          <w:color w:val="auto"/>
          <w:sz w:val="22"/>
          <w:szCs w:val="22"/>
        </w:rPr>
        <w:t>8</w:t>
      </w:r>
      <w:bookmarkStart w:id="532" w:name="_Toc304295556"/>
      <w:bookmarkStart w:id="533" w:name="_Toc296944506"/>
      <w:bookmarkStart w:id="534" w:name="_Toc297123527"/>
      <w:bookmarkStart w:id="535" w:name="_Toc312677493"/>
      <w:bookmarkStart w:id="536" w:name="_Toc296890995"/>
      <w:bookmarkStart w:id="537" w:name="_Toc303539136"/>
      <w:bookmarkStart w:id="538" w:name="_Toc297216186"/>
      <w:bookmarkStart w:id="539" w:name="_Toc280868654"/>
      <w:bookmarkStart w:id="540" w:name="_Toc296891207"/>
      <w:bookmarkStart w:id="541" w:name="_Toc296347166"/>
      <w:bookmarkStart w:id="542" w:name="_Toc296503167"/>
      <w:bookmarkStart w:id="543" w:name="_Toc296346668"/>
      <w:bookmarkStart w:id="544" w:name="_Toc297120467"/>
      <w:bookmarkStart w:id="545" w:name="_Toc300934979"/>
      <w:bookmarkStart w:id="546" w:name="_Toc292559877"/>
      <w:bookmarkStart w:id="547" w:name="_Toc292559372"/>
      <w:bookmarkStart w:id="548" w:name="_Toc312678019"/>
      <w:bookmarkStart w:id="549" w:name="_Toc297048353"/>
      <w:bookmarkStart w:id="550" w:name="_Toc280868655"/>
      <w:bookmarkStart w:id="551" w:name="_Toc280868656"/>
      <w:bookmarkStart w:id="552" w:name="_Toc267251424"/>
      <w:r>
        <w:rPr>
          <w:rFonts w:hint="eastAsia" w:ascii="宋体" w:hAnsi="宋体" w:cs="宋体"/>
          <w:color w:val="auto"/>
          <w:sz w:val="22"/>
          <w:szCs w:val="22"/>
        </w:rPr>
        <w:t>.4 材料与工程设备的保管与使用</w:t>
      </w:r>
      <w:bookmarkEnd w:id="526"/>
      <w:bookmarkEnd w:id="527"/>
      <w:bookmarkEnd w:id="528"/>
      <w:bookmarkEnd w:id="529"/>
      <w:bookmarkEnd w:id="530"/>
      <w:bookmarkEnd w:id="531"/>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60A1FD8F">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8</w:t>
      </w:r>
      <w:bookmarkStart w:id="553" w:name="_Toc292559878"/>
      <w:bookmarkStart w:id="554" w:name="_Toc292559373"/>
      <w:bookmarkStart w:id="555" w:name="_Toc297048354"/>
      <w:bookmarkStart w:id="556" w:name="_Toc297120468"/>
      <w:bookmarkStart w:id="557" w:name="_Toc304295557"/>
      <w:bookmarkStart w:id="558" w:name="_Toc296347167"/>
      <w:bookmarkStart w:id="559" w:name="_Toc318581173"/>
      <w:bookmarkStart w:id="560" w:name="_Toc312677494"/>
      <w:bookmarkStart w:id="561" w:name="_Toc300934980"/>
      <w:bookmarkStart w:id="562" w:name="_Toc296944507"/>
      <w:bookmarkStart w:id="563" w:name="_Toc297216187"/>
      <w:bookmarkStart w:id="564" w:name="_Toc297123528"/>
      <w:bookmarkStart w:id="565" w:name="_Toc296346669"/>
      <w:bookmarkStart w:id="566" w:name="_Toc303539137"/>
      <w:bookmarkStart w:id="567" w:name="_Toc312678020"/>
      <w:bookmarkStart w:id="568" w:name="_Toc296891208"/>
      <w:bookmarkStart w:id="569" w:name="_Toc296890996"/>
      <w:bookmarkStart w:id="570" w:name="_Toc296503168"/>
      <w:r>
        <w:rPr>
          <w:rFonts w:hint="eastAsia" w:ascii="宋体" w:hAnsi="宋体" w:cs="宋体"/>
          <w:color w:val="auto"/>
          <w:sz w:val="22"/>
        </w:rPr>
        <w:t>.4.1发包人供应的材料设备的保管费用的承担：</w:t>
      </w:r>
      <w:r>
        <w:rPr>
          <w:rFonts w:hint="eastAsia" w:ascii="宋体" w:hAnsi="宋体" w:cs="宋体"/>
          <w:color w:val="auto"/>
          <w:sz w:val="22"/>
          <w:u w:val="single"/>
        </w:rPr>
        <w:t>由承包人承担</w:t>
      </w:r>
      <w:r>
        <w:rPr>
          <w:rFonts w:hint="eastAsia" w:ascii="宋体" w:hAnsi="宋体" w:cs="宋体"/>
          <w:color w:val="auto"/>
          <w:sz w:val="22"/>
        </w:rPr>
        <w:t>。</w:t>
      </w:r>
    </w:p>
    <w:bookmarkEnd w:id="553"/>
    <w:bookmarkEnd w:id="554"/>
    <w:p w14:paraId="69FF3AA6">
      <w:pPr>
        <w:pStyle w:val="40"/>
        <w:spacing w:line="360" w:lineRule="exact"/>
        <w:ind w:firstLine="442" w:firstLineChars="200"/>
        <w:rPr>
          <w:rFonts w:hint="eastAsia" w:ascii="宋体" w:hAnsi="宋体" w:cs="宋体"/>
          <w:color w:val="auto"/>
          <w:sz w:val="22"/>
          <w:szCs w:val="22"/>
        </w:rPr>
      </w:pPr>
      <w:bookmarkStart w:id="571" w:name="_Toc533432759"/>
      <w:bookmarkStart w:id="572" w:name="_Toc389065300"/>
      <w:bookmarkStart w:id="573" w:name="_Toc12975924"/>
      <w:bookmarkStart w:id="574" w:name="_Toc373227734"/>
      <w:bookmarkStart w:id="575" w:name="_Toc373478381"/>
      <w:bookmarkStart w:id="576" w:name="_Toc395382536"/>
      <w:r>
        <w:rPr>
          <w:rFonts w:hint="eastAsia" w:ascii="宋体" w:hAnsi="宋体" w:cs="宋体"/>
          <w:color w:val="auto"/>
          <w:sz w:val="22"/>
          <w:szCs w:val="22"/>
        </w:rPr>
        <w:t>8.6 样品</w:t>
      </w:r>
      <w:bookmarkEnd w:id="571"/>
      <w:bookmarkEnd w:id="572"/>
      <w:bookmarkEnd w:id="573"/>
      <w:bookmarkEnd w:id="574"/>
      <w:bookmarkEnd w:id="575"/>
      <w:bookmarkEnd w:id="576"/>
    </w:p>
    <w:p w14:paraId="2F55C3FD">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8.6.1 样品的报送与封存</w:t>
      </w:r>
    </w:p>
    <w:p w14:paraId="434075F3">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需要承包人报送样品的材料或工程设备，样品的种类、名称、规格、数量要求：</w:t>
      </w:r>
      <w:r>
        <w:rPr>
          <w:rFonts w:hint="eastAsia" w:ascii="宋体" w:hAnsi="宋体" w:cs="宋体"/>
          <w:color w:val="auto"/>
          <w:sz w:val="22"/>
          <w:u w:val="single"/>
        </w:rPr>
        <w:t>主要材料涉及品种、款式、颜色等方面内容的，承包人应提交准备合格的材料样品送发包人选定。</w:t>
      </w:r>
    </w:p>
    <w:p w14:paraId="510B2508">
      <w:pPr>
        <w:pStyle w:val="40"/>
        <w:spacing w:line="360" w:lineRule="exact"/>
        <w:ind w:firstLine="442" w:firstLineChars="200"/>
        <w:rPr>
          <w:rFonts w:hint="eastAsia" w:ascii="宋体" w:hAnsi="宋体" w:cs="宋体"/>
          <w:color w:val="auto"/>
          <w:sz w:val="22"/>
          <w:szCs w:val="22"/>
        </w:rPr>
      </w:pPr>
      <w:bookmarkStart w:id="577" w:name="_Toc373478382"/>
      <w:bookmarkStart w:id="578" w:name="_Toc12975925"/>
      <w:bookmarkStart w:id="579" w:name="_Toc395382537"/>
      <w:bookmarkStart w:id="580" w:name="_Toc533432760"/>
      <w:bookmarkStart w:id="581" w:name="_Toc373227735"/>
      <w:bookmarkStart w:id="582" w:name="_Toc389065301"/>
      <w:r>
        <w:rPr>
          <w:rFonts w:hint="eastAsia" w:ascii="宋体" w:hAnsi="宋体" w:cs="宋体"/>
          <w:color w:val="auto"/>
          <w:sz w:val="22"/>
          <w:szCs w:val="22"/>
        </w:rPr>
        <w:t>8.8 施工设备和临时设施</w:t>
      </w:r>
      <w:bookmarkEnd w:id="577"/>
      <w:bookmarkEnd w:id="578"/>
      <w:bookmarkEnd w:id="579"/>
      <w:bookmarkEnd w:id="580"/>
      <w:bookmarkEnd w:id="581"/>
      <w:bookmarkEnd w:id="582"/>
    </w:p>
    <w:p w14:paraId="6B9CFBCD">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8.8.1 承包人提供的施工设备和临时设施</w:t>
      </w:r>
    </w:p>
    <w:p w14:paraId="0E69E0B0">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宋体"/>
          <w:color w:val="auto"/>
          <w:sz w:val="22"/>
          <w:lang w:val="en-US" w:eastAsia="zh-CN"/>
        </w:rPr>
        <w:t>4</w:t>
      </w:r>
      <w:r>
        <w:rPr>
          <w:rFonts w:hint="eastAsia" w:ascii="宋体" w:hAnsi="宋体" w:cs="宋体"/>
          <w:color w:val="auto"/>
          <w:sz w:val="22"/>
        </w:rPr>
        <w:t>。</w:t>
      </w:r>
    </w:p>
    <w:p w14:paraId="36AB6523">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关于修建临时设施费用承担的约定：</w:t>
      </w:r>
    </w:p>
    <w:p w14:paraId="5F2A51AF">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①承包人的临时用地（含项目部驻地等）租用费（含拆迁补偿）、临时用地的环保、恢复、临时用地的青苗补偿及地面附着物拆除等费用均由承包人负责，以上费用在磋商报价中综合考虑</w:t>
      </w:r>
      <w:r>
        <w:rPr>
          <w:rFonts w:hint="eastAsia" w:ascii="宋体" w:hAnsi="宋体" w:cs="宋体"/>
          <w:color w:val="auto"/>
          <w:sz w:val="22"/>
          <w:u w:val="single"/>
          <w:lang w:eastAsia="zh-CN"/>
        </w:rPr>
        <w:t>，</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270E5F2">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②承包人负责合同实施期间其合同段内临时交通道路（含场内道路及场外连接公共交通道路）和交通设施的修建、维修、养护和交通管理工作，并承担一切费用，</w:t>
      </w:r>
      <w:r>
        <w:rPr>
          <w:rFonts w:hint="eastAsia" w:ascii="宋体" w:hAnsi="宋体" w:cs="宋体"/>
          <w:color w:val="auto"/>
          <w:kern w:val="0"/>
          <w:sz w:val="22"/>
          <w:u w:val="single"/>
        </w:rPr>
        <w:t>费用总价包干，由于承包人预估费用低于实际费用，不足部分由承包人补齐。承包人不得以预估费用低于实际费用或实际情况发生变化为由向发包人提出费用补偿。</w:t>
      </w:r>
    </w:p>
    <w:p w14:paraId="2AD7181C">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F8B9844">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8.8.2 发包人提供的施工设备和临时设施</w:t>
      </w:r>
    </w:p>
    <w:p w14:paraId="799EA271">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w:t>
      </w:r>
      <w:r>
        <w:rPr>
          <w:rFonts w:hint="eastAsia" w:ascii="宋体" w:hAnsi="宋体" w:cs="宋体"/>
          <w:color w:val="auto"/>
          <w:sz w:val="22"/>
          <w:u w:val="single"/>
        </w:rPr>
        <w:t xml:space="preserve">无 </w:t>
      </w:r>
      <w:r>
        <w:rPr>
          <w:rFonts w:hint="eastAsia" w:ascii="宋体" w:hAnsi="宋体" w:cs="宋体"/>
          <w:color w:val="auto"/>
          <w:sz w:val="22"/>
        </w:rPr>
        <w:t>。</w:t>
      </w:r>
    </w:p>
    <w:p w14:paraId="1124B0B5">
      <w:pPr>
        <w:pStyle w:val="41"/>
        <w:autoSpaceDE w:val="0"/>
        <w:autoSpaceDN w:val="0"/>
        <w:adjustRightInd w:val="0"/>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发包人提供的施工设备和临时设施的运行、维护、拆除、清运费用的承担人：</w:t>
      </w:r>
      <w:r>
        <w:rPr>
          <w:rFonts w:hint="eastAsia" w:ascii="宋体" w:hAnsi="宋体" w:cs="宋体"/>
          <w:color w:val="auto"/>
          <w:sz w:val="22"/>
          <w:u w:val="single"/>
        </w:rPr>
        <w:t xml:space="preserve">  无  </w:t>
      </w:r>
      <w:r>
        <w:rPr>
          <w:rFonts w:hint="eastAsia" w:ascii="宋体" w:hAnsi="宋体" w:cs="宋体"/>
          <w:color w:val="auto"/>
          <w:sz w:val="22"/>
        </w:rPr>
        <w:t>。</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79593D09">
      <w:pPr>
        <w:pStyle w:val="71"/>
        <w:spacing w:before="0" w:after="0" w:line="360" w:lineRule="exact"/>
        <w:ind w:firstLine="442" w:firstLineChars="200"/>
        <w:rPr>
          <w:rFonts w:hint="eastAsia" w:ascii="宋体" w:hAnsi="宋体" w:cs="宋体"/>
          <w:color w:val="auto"/>
          <w:sz w:val="22"/>
          <w:szCs w:val="22"/>
        </w:rPr>
      </w:pPr>
      <w:bookmarkStart w:id="583" w:name="_Toc395382538"/>
      <w:bookmarkStart w:id="584" w:name="_Toc12975926"/>
      <w:bookmarkStart w:id="585" w:name="_Toc351203641"/>
      <w:bookmarkStart w:id="586" w:name="_Toc373227736"/>
      <w:bookmarkStart w:id="587" w:name="_Toc373478383"/>
      <w:bookmarkStart w:id="588" w:name="_Toc389065302"/>
      <w:bookmarkStart w:id="589" w:name="_Toc533432761"/>
      <w:r>
        <w:rPr>
          <w:rFonts w:hint="eastAsia" w:ascii="宋体" w:hAnsi="宋体" w:cs="宋体"/>
          <w:color w:val="auto"/>
          <w:sz w:val="22"/>
          <w:szCs w:val="22"/>
        </w:rPr>
        <w:t>9</w:t>
      </w:r>
      <w:bookmarkEnd w:id="550"/>
      <w:bookmarkEnd w:id="551"/>
      <w:bookmarkEnd w:id="552"/>
      <w:bookmarkStart w:id="590" w:name="_Toc300934982"/>
      <w:bookmarkStart w:id="591" w:name="_Toc312677495"/>
      <w:bookmarkStart w:id="592" w:name="_Toc304295559"/>
      <w:bookmarkStart w:id="593" w:name="_Toc312678021"/>
      <w:bookmarkStart w:id="594" w:name="_Toc303539139"/>
      <w:bookmarkStart w:id="595" w:name="_Toc297123533"/>
      <w:bookmarkStart w:id="596" w:name="_Toc297216192"/>
      <w:bookmarkStart w:id="597" w:name="_Toc296891213"/>
      <w:bookmarkStart w:id="598" w:name="_Toc296346674"/>
      <w:bookmarkStart w:id="599" w:name="_Toc267251427"/>
      <w:bookmarkStart w:id="600" w:name="_Toc292559378"/>
      <w:bookmarkStart w:id="601" w:name="_Toc296503173"/>
      <w:bookmarkStart w:id="602" w:name="_Toc296347172"/>
      <w:bookmarkStart w:id="603" w:name="_Toc267251428"/>
      <w:bookmarkStart w:id="604" w:name="_Toc297048359"/>
      <w:bookmarkStart w:id="605" w:name="_Toc292559883"/>
      <w:bookmarkStart w:id="606" w:name="_Toc296891001"/>
      <w:bookmarkStart w:id="607" w:name="_Toc296944512"/>
      <w:bookmarkStart w:id="608" w:name="_Toc297120473"/>
      <w:r>
        <w:rPr>
          <w:rFonts w:hint="eastAsia" w:ascii="宋体" w:hAnsi="宋体" w:cs="宋体"/>
          <w:color w:val="auto"/>
          <w:sz w:val="22"/>
          <w:szCs w:val="22"/>
        </w:rPr>
        <w:t>. 试验与检验</w:t>
      </w:r>
      <w:bookmarkEnd w:id="583"/>
      <w:bookmarkEnd w:id="584"/>
      <w:bookmarkEnd w:id="585"/>
      <w:bookmarkEnd w:id="586"/>
      <w:bookmarkEnd w:id="587"/>
      <w:bookmarkEnd w:id="588"/>
      <w:bookmarkEnd w:id="589"/>
    </w:p>
    <w:bookmarkEnd w:id="590"/>
    <w:bookmarkEnd w:id="591"/>
    <w:bookmarkEnd w:id="592"/>
    <w:bookmarkEnd w:id="593"/>
    <w:bookmarkEnd w:id="594"/>
    <w:bookmarkEnd w:id="595"/>
    <w:bookmarkEnd w:id="596"/>
    <w:p w14:paraId="17CCFE5E">
      <w:pPr>
        <w:pStyle w:val="40"/>
        <w:spacing w:line="360" w:lineRule="exact"/>
        <w:ind w:firstLine="442" w:firstLineChars="200"/>
        <w:rPr>
          <w:rFonts w:hint="eastAsia" w:ascii="宋体" w:hAnsi="宋体" w:cs="宋体"/>
          <w:color w:val="auto"/>
          <w:sz w:val="22"/>
          <w:szCs w:val="22"/>
        </w:rPr>
      </w:pPr>
      <w:bookmarkStart w:id="609" w:name="_Toc533432762"/>
      <w:bookmarkStart w:id="610" w:name="_Toc389065303"/>
      <w:bookmarkStart w:id="611" w:name="_Toc12975927"/>
      <w:bookmarkStart w:id="612" w:name="_Toc395382539"/>
      <w:bookmarkStart w:id="613" w:name="_Toc373478384"/>
      <w:bookmarkStart w:id="614" w:name="_Toc373227737"/>
      <w:r>
        <w:rPr>
          <w:rFonts w:hint="eastAsia" w:ascii="宋体" w:hAnsi="宋体" w:cs="宋体"/>
          <w:color w:val="auto"/>
          <w:sz w:val="22"/>
          <w:szCs w:val="22"/>
        </w:rPr>
        <w:t>9</w:t>
      </w:r>
      <w:bookmarkStart w:id="615" w:name="_Toc303539140"/>
      <w:bookmarkStart w:id="616" w:name="_Toc312677496"/>
      <w:bookmarkStart w:id="617" w:name="_Toc312678022"/>
      <w:bookmarkStart w:id="618" w:name="_Toc300934983"/>
      <w:bookmarkStart w:id="619" w:name="_Toc297123534"/>
      <w:bookmarkStart w:id="620" w:name="_Toc304295560"/>
      <w:bookmarkStart w:id="621" w:name="_Toc297216193"/>
      <w:r>
        <w:rPr>
          <w:rFonts w:hint="eastAsia" w:ascii="宋体" w:hAnsi="宋体" w:cs="宋体"/>
          <w:color w:val="auto"/>
          <w:sz w:val="22"/>
          <w:szCs w:val="22"/>
        </w:rPr>
        <w:t>.1 试验设备与试验人员</w:t>
      </w:r>
      <w:bookmarkEnd w:id="609"/>
      <w:bookmarkEnd w:id="610"/>
      <w:bookmarkEnd w:id="611"/>
      <w:bookmarkEnd w:id="612"/>
      <w:bookmarkEnd w:id="613"/>
      <w:bookmarkEnd w:id="614"/>
    </w:p>
    <w:bookmarkEnd w:id="615"/>
    <w:bookmarkEnd w:id="616"/>
    <w:bookmarkEnd w:id="617"/>
    <w:bookmarkEnd w:id="618"/>
    <w:bookmarkEnd w:id="619"/>
    <w:bookmarkEnd w:id="620"/>
    <w:bookmarkEnd w:id="621"/>
    <w:p w14:paraId="74FEAA0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9</w:t>
      </w:r>
      <w:bookmarkStart w:id="622" w:name="_Toc303539141"/>
      <w:bookmarkStart w:id="623" w:name="_Toc297216194"/>
      <w:bookmarkStart w:id="624" w:name="_Toc304295561"/>
      <w:bookmarkStart w:id="625" w:name="_Toc312677497"/>
      <w:bookmarkStart w:id="626" w:name="_Toc300934984"/>
      <w:bookmarkStart w:id="627" w:name="_Toc297123535"/>
      <w:bookmarkStart w:id="628" w:name="_Toc312678023"/>
      <w:bookmarkStart w:id="629" w:name="_Toc318581174"/>
      <w:r>
        <w:rPr>
          <w:rFonts w:hint="eastAsia" w:ascii="宋体" w:hAnsi="宋体" w:cs="宋体"/>
          <w:color w:val="auto"/>
          <w:sz w:val="22"/>
        </w:rPr>
        <w:t>.1.2 试验设备</w:t>
      </w:r>
    </w:p>
    <w:p w14:paraId="2F46BC32">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施工现场需要配置的试验场所：</w:t>
      </w:r>
      <w:bookmarkEnd w:id="622"/>
      <w:bookmarkEnd w:id="623"/>
      <w:bookmarkEnd w:id="624"/>
      <w:bookmarkEnd w:id="625"/>
      <w:bookmarkEnd w:id="626"/>
      <w:bookmarkEnd w:id="627"/>
      <w:bookmarkEnd w:id="628"/>
      <w:bookmarkStart w:id="630" w:name="_Toc304295562"/>
      <w:bookmarkStart w:id="631" w:name="_Toc300934985"/>
      <w:bookmarkStart w:id="632" w:name="_Toc312677498"/>
      <w:bookmarkStart w:id="633" w:name="_Toc297216195"/>
      <w:bookmarkStart w:id="634" w:name="_Toc297123536"/>
      <w:bookmarkStart w:id="635" w:name="_Toc303539142"/>
      <w:bookmarkStart w:id="636" w:name="_Toc312678024"/>
      <w:r>
        <w:rPr>
          <w:rFonts w:hint="eastAsia" w:ascii="宋体" w:hAnsi="宋体" w:cs="宋体"/>
          <w:color w:val="auto"/>
          <w:sz w:val="22"/>
          <w:u w:val="single"/>
        </w:rPr>
        <w:t>按有关规定执行</w:t>
      </w:r>
      <w:r>
        <w:rPr>
          <w:rFonts w:hint="eastAsia" w:ascii="宋体" w:hAnsi="宋体" w:cs="宋体"/>
          <w:color w:val="auto"/>
          <w:sz w:val="22"/>
        </w:rPr>
        <w:t>。</w:t>
      </w:r>
    </w:p>
    <w:p w14:paraId="64488C50">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施工现场需要配备的试验设备：</w:t>
      </w:r>
      <w:r>
        <w:rPr>
          <w:rFonts w:hint="eastAsia" w:ascii="宋体" w:hAnsi="宋体" w:cs="宋体"/>
          <w:color w:val="auto"/>
          <w:sz w:val="22"/>
          <w:u w:val="single"/>
        </w:rPr>
        <w:t>按有关规定执行</w:t>
      </w:r>
      <w:r>
        <w:rPr>
          <w:rFonts w:hint="eastAsia" w:ascii="宋体" w:hAnsi="宋体" w:cs="宋体"/>
          <w:color w:val="auto"/>
          <w:sz w:val="22"/>
        </w:rPr>
        <w:t>。</w:t>
      </w:r>
    </w:p>
    <w:p w14:paraId="040B47C7">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施工现场需要具备的其他试验条件：</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392C300">
      <w:pPr>
        <w:pStyle w:val="40"/>
        <w:spacing w:line="360" w:lineRule="exact"/>
        <w:ind w:firstLine="442" w:firstLineChars="200"/>
        <w:rPr>
          <w:rFonts w:hint="eastAsia" w:ascii="宋体" w:hAnsi="宋体" w:cs="宋体"/>
          <w:color w:val="auto"/>
          <w:sz w:val="22"/>
          <w:szCs w:val="22"/>
        </w:rPr>
      </w:pPr>
      <w:bookmarkStart w:id="637" w:name="_Toc395382540"/>
      <w:bookmarkStart w:id="638" w:name="_Toc533432763"/>
      <w:bookmarkStart w:id="639" w:name="_Toc373478385"/>
      <w:bookmarkStart w:id="640" w:name="_Toc12975928"/>
      <w:bookmarkStart w:id="641" w:name="_Toc373227738"/>
      <w:bookmarkStart w:id="642" w:name="_Toc389065304"/>
      <w:r>
        <w:rPr>
          <w:rFonts w:hint="eastAsia" w:ascii="宋体" w:hAnsi="宋体" w:cs="宋体"/>
          <w:color w:val="auto"/>
          <w:sz w:val="22"/>
          <w:szCs w:val="22"/>
        </w:rPr>
        <w:t>9.4 现场工艺试验</w:t>
      </w:r>
      <w:bookmarkEnd w:id="637"/>
      <w:bookmarkEnd w:id="638"/>
      <w:bookmarkEnd w:id="639"/>
      <w:bookmarkEnd w:id="640"/>
      <w:bookmarkEnd w:id="641"/>
      <w:bookmarkEnd w:id="642"/>
      <w:r>
        <w:rPr>
          <w:rFonts w:hint="eastAsia" w:ascii="宋体" w:hAnsi="宋体" w:cs="宋体"/>
          <w:color w:val="auto"/>
          <w:sz w:val="22"/>
          <w:szCs w:val="22"/>
        </w:rPr>
        <w:t xml:space="preserve"> </w:t>
      </w:r>
    </w:p>
    <w:p w14:paraId="789455A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现场工艺试验的有关约定：</w:t>
      </w:r>
      <w:r>
        <w:rPr>
          <w:rFonts w:hint="eastAsia" w:ascii="宋体" w:hAnsi="宋体" w:cs="宋体"/>
          <w:color w:val="auto"/>
          <w:sz w:val="22"/>
          <w:u w:val="single"/>
        </w:rPr>
        <w:t>按有关规定执行</w:t>
      </w:r>
      <w:r>
        <w:rPr>
          <w:rFonts w:hint="eastAsia" w:ascii="宋体" w:hAnsi="宋体" w:cs="宋体"/>
          <w:color w:val="auto"/>
          <w:sz w:val="22"/>
        </w:rPr>
        <w:t>。</w:t>
      </w:r>
    </w:p>
    <w:p w14:paraId="3A08CA8D">
      <w:pPr>
        <w:pStyle w:val="40"/>
        <w:spacing w:line="360" w:lineRule="exact"/>
        <w:ind w:firstLine="442" w:firstLineChars="200"/>
        <w:rPr>
          <w:rFonts w:hint="eastAsia" w:ascii="宋体" w:hAnsi="宋体" w:cs="宋体"/>
          <w:color w:val="auto"/>
          <w:sz w:val="22"/>
          <w:szCs w:val="22"/>
        </w:rPr>
      </w:pPr>
      <w:bookmarkStart w:id="643" w:name="_Toc395382541"/>
      <w:bookmarkStart w:id="644" w:name="_Toc12975929"/>
      <w:bookmarkStart w:id="645" w:name="_Toc533432764"/>
      <w:r>
        <w:rPr>
          <w:rFonts w:hint="eastAsia" w:ascii="宋体" w:hAnsi="宋体" w:cs="宋体"/>
          <w:color w:val="auto"/>
          <w:sz w:val="22"/>
          <w:szCs w:val="22"/>
        </w:rPr>
        <w:t>9.5 检验费用</w:t>
      </w:r>
      <w:bookmarkEnd w:id="643"/>
      <w:bookmarkEnd w:id="644"/>
      <w:bookmarkEnd w:id="645"/>
    </w:p>
    <w:p w14:paraId="07D6CB52">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根据《建设工程质量检测管理办法》（住房和城乡建设部令第57号）以及《广西壮族自治区建设工程质量检测管理规定</w:t>
      </w:r>
      <w:r>
        <w:rPr>
          <w:rFonts w:hint="eastAsia" w:ascii="宋体" w:hAnsi="宋体" w:cs="宋体"/>
          <w:color w:val="auto"/>
          <w:sz w:val="22"/>
          <w:lang w:eastAsia="zh-CN"/>
        </w:rPr>
        <w:t>》的</w:t>
      </w:r>
      <w:r>
        <w:rPr>
          <w:rFonts w:hint="eastAsia" w:ascii="宋体" w:hAnsi="宋体" w:cs="宋体"/>
          <w:color w:val="auto"/>
          <w:sz w:val="22"/>
        </w:rPr>
        <w:t>规定，工程质量检测业务由发包人委托有相应资质的检测机构检测。费用由发包人直接支付给检测机构，不计入合同价款内。检验试验配合费按费用定额规定计取，计入本合同价款内。</w:t>
      </w:r>
    </w:p>
    <w:bookmarkEnd w:id="629"/>
    <w:bookmarkEnd w:id="630"/>
    <w:bookmarkEnd w:id="631"/>
    <w:bookmarkEnd w:id="632"/>
    <w:bookmarkEnd w:id="633"/>
    <w:bookmarkEnd w:id="634"/>
    <w:bookmarkEnd w:id="635"/>
    <w:bookmarkEnd w:id="636"/>
    <w:p w14:paraId="08F4FA96">
      <w:pPr>
        <w:pStyle w:val="71"/>
        <w:spacing w:before="0" w:after="0" w:line="360" w:lineRule="exact"/>
        <w:ind w:firstLine="442" w:firstLineChars="200"/>
        <w:rPr>
          <w:rFonts w:hint="eastAsia" w:ascii="宋体" w:hAnsi="宋体" w:cs="宋体"/>
          <w:color w:val="auto"/>
          <w:sz w:val="22"/>
          <w:szCs w:val="22"/>
        </w:rPr>
      </w:pPr>
      <w:bookmarkStart w:id="646" w:name="_Toc12975930"/>
      <w:bookmarkStart w:id="647" w:name="_Toc373478386"/>
      <w:bookmarkStart w:id="648" w:name="_Toc395382542"/>
      <w:bookmarkStart w:id="649" w:name="_Toc389065305"/>
      <w:bookmarkStart w:id="650" w:name="_Toc533432765"/>
      <w:bookmarkStart w:id="651" w:name="_Toc351203642"/>
      <w:bookmarkStart w:id="652" w:name="_Toc373227739"/>
      <w:r>
        <w:rPr>
          <w:rFonts w:hint="eastAsia" w:ascii="宋体" w:hAnsi="宋体" w:cs="宋体"/>
          <w:color w:val="auto"/>
          <w:sz w:val="22"/>
          <w:szCs w:val="22"/>
        </w:rPr>
        <w:t>1</w:t>
      </w:r>
      <w:bookmarkEnd w:id="597"/>
      <w:bookmarkEnd w:id="598"/>
      <w:bookmarkEnd w:id="599"/>
      <w:bookmarkEnd w:id="600"/>
      <w:bookmarkEnd w:id="601"/>
      <w:bookmarkEnd w:id="602"/>
      <w:bookmarkEnd w:id="603"/>
      <w:bookmarkEnd w:id="604"/>
      <w:bookmarkEnd w:id="605"/>
      <w:bookmarkEnd w:id="606"/>
      <w:bookmarkEnd w:id="607"/>
      <w:bookmarkEnd w:id="608"/>
      <w:bookmarkStart w:id="653" w:name="_Toc296944532"/>
      <w:bookmarkStart w:id="654" w:name="_Toc297216199"/>
      <w:bookmarkStart w:id="655" w:name="_Toc292559903"/>
      <w:bookmarkStart w:id="656" w:name="_Toc304295566"/>
      <w:bookmarkStart w:id="657" w:name="_Toc296891233"/>
      <w:bookmarkStart w:id="658" w:name="_Toc303539146"/>
      <w:bookmarkStart w:id="659" w:name="_Toc296347192"/>
      <w:bookmarkStart w:id="660" w:name="_Toc296346694"/>
      <w:bookmarkStart w:id="661" w:name="_Toc300934989"/>
      <w:bookmarkStart w:id="662" w:name="_Toc292559398"/>
      <w:bookmarkStart w:id="663" w:name="_Toc297123540"/>
      <w:bookmarkStart w:id="664" w:name="_Toc296891021"/>
      <w:bookmarkStart w:id="665" w:name="_Toc296503193"/>
      <w:bookmarkStart w:id="666" w:name="_Toc297048379"/>
      <w:bookmarkStart w:id="667" w:name="_Toc297120493"/>
      <w:bookmarkStart w:id="668" w:name="_Toc312677499"/>
      <w:bookmarkStart w:id="669" w:name="_Toc312678025"/>
      <w:bookmarkStart w:id="670" w:name="_Toc267251433"/>
      <w:bookmarkStart w:id="671" w:name="_Toc267251439"/>
      <w:bookmarkStart w:id="672" w:name="_Toc267251435"/>
      <w:bookmarkStart w:id="673" w:name="_Toc267251437"/>
      <w:bookmarkStart w:id="674" w:name="_Toc267251441"/>
      <w:bookmarkStart w:id="675" w:name="_Toc267251440"/>
      <w:bookmarkStart w:id="676" w:name="_Toc267251442"/>
      <w:r>
        <w:rPr>
          <w:rFonts w:hint="eastAsia" w:ascii="宋体" w:hAnsi="宋体" w:cs="宋体"/>
          <w:color w:val="auto"/>
          <w:sz w:val="22"/>
          <w:szCs w:val="22"/>
        </w:rPr>
        <w:t>0. 变更</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bookmarkEnd w:id="668"/>
    <w:bookmarkEnd w:id="669"/>
    <w:p w14:paraId="4854BEC5">
      <w:pPr>
        <w:pStyle w:val="40"/>
        <w:spacing w:line="360" w:lineRule="exact"/>
        <w:ind w:firstLine="442" w:firstLineChars="200"/>
        <w:rPr>
          <w:rFonts w:hint="eastAsia" w:ascii="宋体" w:hAnsi="宋体" w:cs="宋体"/>
          <w:color w:val="auto"/>
          <w:sz w:val="22"/>
          <w:szCs w:val="22"/>
        </w:rPr>
      </w:pPr>
      <w:bookmarkStart w:id="677" w:name="_Toc395382543"/>
      <w:bookmarkStart w:id="678" w:name="_Toc533432766"/>
      <w:bookmarkStart w:id="679" w:name="_Toc389065306"/>
      <w:bookmarkStart w:id="680" w:name="_Toc12975931"/>
      <w:bookmarkStart w:id="681" w:name="_Toc373478387"/>
      <w:bookmarkStart w:id="682" w:name="_Toc373227740"/>
      <w:r>
        <w:rPr>
          <w:rFonts w:hint="eastAsia" w:ascii="宋体" w:hAnsi="宋体" w:cs="宋体"/>
          <w:color w:val="auto"/>
          <w:sz w:val="22"/>
          <w:szCs w:val="22"/>
        </w:rPr>
        <w:t>1</w:t>
      </w:r>
      <w:bookmarkStart w:id="683" w:name="_Toc304295567"/>
      <w:bookmarkStart w:id="684" w:name="_Toc297123541"/>
      <w:bookmarkStart w:id="685" w:name="_Toc296503194"/>
      <w:bookmarkStart w:id="686" w:name="_Toc300934990"/>
      <w:bookmarkStart w:id="687" w:name="_Toc297120494"/>
      <w:bookmarkStart w:id="688" w:name="_Toc292559904"/>
      <w:bookmarkStart w:id="689" w:name="_Toc312678026"/>
      <w:bookmarkStart w:id="690" w:name="_Toc296346695"/>
      <w:bookmarkStart w:id="691" w:name="_Toc297048380"/>
      <w:bookmarkStart w:id="692" w:name="_Toc312677500"/>
      <w:bookmarkStart w:id="693" w:name="_Toc292559399"/>
      <w:bookmarkStart w:id="694" w:name="_Toc296944533"/>
      <w:bookmarkStart w:id="695" w:name="_Toc296891022"/>
      <w:bookmarkStart w:id="696" w:name="_Toc296891234"/>
      <w:bookmarkStart w:id="697" w:name="_Toc303539147"/>
      <w:bookmarkStart w:id="698" w:name="_Toc297216200"/>
      <w:bookmarkStart w:id="699" w:name="_Toc296347193"/>
      <w:r>
        <w:rPr>
          <w:rFonts w:hint="eastAsia" w:ascii="宋体" w:hAnsi="宋体" w:cs="宋体"/>
          <w:color w:val="auto"/>
          <w:sz w:val="22"/>
          <w:szCs w:val="22"/>
        </w:rPr>
        <w:t>0.1 变更的范围</w:t>
      </w:r>
      <w:bookmarkEnd w:id="677"/>
      <w:bookmarkEnd w:id="678"/>
      <w:bookmarkEnd w:id="679"/>
      <w:bookmarkEnd w:id="680"/>
      <w:bookmarkEnd w:id="681"/>
      <w:bookmarkEnd w:id="682"/>
    </w:p>
    <w:p w14:paraId="5EB7A589">
      <w:pPr>
        <w:pStyle w:val="61"/>
        <w:autoSpaceDE w:val="0"/>
        <w:autoSpaceDN w:val="0"/>
        <w:adjustRightInd w:val="0"/>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关于变更的范围的约定：</w:t>
      </w:r>
    </w:p>
    <w:p w14:paraId="7A29BD4C">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406BC80E">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发包人可以以书面的形式通知承包人暂停执行本合同或本合同范围内的任何部分，也可以以书面的形式通知承包人将要暂停的工作内容和暂停生效的日期；承包人应从这一生效日起暂停所述工作内容，但应继续执行未被暂停的其他工作。</w:t>
      </w:r>
    </w:p>
    <w:p w14:paraId="024D4020">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发包人可以以书面的形式通知承包人取消（或变更）执行本合同范围内的任何部分，也可以以书面的形式通知承包人将要取消（或变更）的工作内容和暂停生效的日期；承包人应从这一生效日起取消（或变更）所述工作内容，但应继续执行未被取消（或变更）的其他工作。</w:t>
      </w:r>
    </w:p>
    <w:p w14:paraId="3EEFE996">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尽管合同有其他约定，尽管变更或增加部分与本合同无实质性关联，发包人根据自身需要，需要由承包人承担其相关施工，承包人不得拒绝。发包人发出的变更指令，承包人必须执行，承包人必须考虑其磋商报价的平衡性，不得以变更项目子目单价低或超出施工能力范围等为由拒绝施工，也不得以变更或者增加部分不属于本合同范围为由而拒绝执行。经发包人催告后3天仍不执行或不完全执行指令的，视承包人违约，发包人根据变更或增加部分的总费用及事情的重要性对承包人进行罚款，罚款金额</w:t>
      </w:r>
      <w:r>
        <w:rPr>
          <w:rFonts w:hint="eastAsia" w:ascii="宋体" w:hAnsi="宋体" w:cs="宋体"/>
          <w:color w:val="auto"/>
          <w:sz w:val="22"/>
          <w:szCs w:val="22"/>
          <w:lang w:eastAsia="zh-CN"/>
        </w:rPr>
        <w:t>1万～5万</w:t>
      </w:r>
      <w:r>
        <w:rPr>
          <w:rFonts w:hint="eastAsia" w:ascii="宋体" w:hAnsi="宋体" w:cs="宋体"/>
          <w:color w:val="auto"/>
          <w:sz w:val="22"/>
          <w:szCs w:val="22"/>
        </w:rPr>
        <w:t>元/次。</w:t>
      </w:r>
    </w:p>
    <w:p w14:paraId="335FB2B0">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（4）不属于变更范围的包括但不限于以下内容：</w:t>
      </w:r>
    </w:p>
    <w:p w14:paraId="5638F8D3">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①如果工程量的增减并不是执行发包人按本条规定发出的变更指示的结果，而是由于实际工程量超过或少于工程量清单中开列的数量，则此类增减不需要任何变更指示。</w:t>
      </w:r>
    </w:p>
    <w:p w14:paraId="208F938D">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②工程图纸和现场条件没有发生变化，承包人在磋商阶段也未提出澄清，但在施工阶段因现场情况（包括但不限于地质条件限制、场地限制、安全要求限制等）不能完成施工或不能按期完成整个工程，需要修改图纸或施工方案（包括施工工艺、施工设备、施工方法和施工顺序等），不构成变更。因此导致费用增加或工期延长时，发包人不承担任何相关费用，相关费用及损失由承包人承担，工期亦不予顺延。</w:t>
      </w:r>
    </w:p>
    <w:p w14:paraId="595E0618">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③承包人为了便于组织施工，或为了施工安全、避免干扰等原因需采取相应的技术措施而提出的局部变更设计，不构成变更。但局部变更设计须经发包人的批准，且由此而增加的费用应由承包人承担。</w:t>
      </w:r>
    </w:p>
    <w:p w14:paraId="0B70EA00">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④若竣工图与发包人在施工过程中确认的施工图及工程变更不一致，则发包人对竣工图的接收或确认不能证明发包人同意上述不一致之处的施工，也不构成本条约定的变更，因上述不一致而增加的费用由承包人承担。</w:t>
      </w:r>
    </w:p>
    <w:p w14:paraId="190593C6">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⑤承包人编制的商务标取费与技术标的施工方案不能一一对应的，如工程图纸没有发生实质性变化，但按照技术标的施工方案不能完成施工或不能按期完成整个工程，需要修改施工方案（包括施工工艺、施工设备、施工方法和施工顺序等），不构成变更。因此导致费用增加或工期延长时，发包人不承担任何相关费用，相关费用及损失由承包人承担，工期亦不予顺延。</w:t>
      </w:r>
    </w:p>
    <w:p w14:paraId="1C159AFD">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⑥如工程图纸没有发生实质性变化，不管图纸和工程量清单中是否有描述，承包人在磋商阶段也未提出澄清，但为完成工程图所发生的任何措施项目均不构成变更。</w:t>
      </w:r>
    </w:p>
    <w:p w14:paraId="6CFC3862">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⑦本项目施工用水、用电由承包人自理，承包人应在磋商阶段通过实地考察水电接入点位置及用电容量，如通过自发电或其他方式取得时，均不构成变更。</w:t>
      </w:r>
    </w:p>
    <w:p w14:paraId="54977217">
      <w:pPr>
        <w:pStyle w:val="40"/>
        <w:spacing w:line="360" w:lineRule="exact"/>
        <w:ind w:firstLine="442" w:firstLineChars="200"/>
        <w:rPr>
          <w:rFonts w:hint="eastAsia" w:ascii="宋体" w:hAnsi="宋体" w:cs="宋体"/>
          <w:color w:val="auto"/>
          <w:sz w:val="22"/>
          <w:szCs w:val="22"/>
        </w:rPr>
      </w:pPr>
      <w:bookmarkStart w:id="700" w:name="_Toc373227741"/>
      <w:bookmarkStart w:id="701" w:name="_Toc533432767"/>
      <w:bookmarkStart w:id="702" w:name="_Toc395382544"/>
      <w:bookmarkStart w:id="703" w:name="_Toc373478388"/>
      <w:bookmarkStart w:id="704" w:name="_Toc12975932"/>
      <w:bookmarkStart w:id="705" w:name="_Toc389065307"/>
      <w:r>
        <w:rPr>
          <w:rFonts w:hint="eastAsia" w:ascii="宋体" w:hAnsi="宋体" w:cs="宋体"/>
          <w:color w:val="auto"/>
          <w:sz w:val="22"/>
          <w:szCs w:val="22"/>
        </w:rPr>
        <w:t>10.3 变更程序</w:t>
      </w:r>
      <w:bookmarkEnd w:id="700"/>
      <w:bookmarkEnd w:id="701"/>
      <w:bookmarkEnd w:id="702"/>
      <w:bookmarkEnd w:id="703"/>
      <w:bookmarkEnd w:id="704"/>
      <w:bookmarkEnd w:id="705"/>
    </w:p>
    <w:p w14:paraId="1A27BF52">
      <w:pPr>
        <w:pStyle w:val="57"/>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10.3.1 国有投资项目：</w:t>
      </w:r>
    </w:p>
    <w:p w14:paraId="13283CCA">
      <w:pPr>
        <w:pStyle w:val="57"/>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⑴设计变更和工程签证，按各市政府或相关部门的规定办理。属不可抗力（自然灾害、突发事件等）造成变更的，按特事特办原则予以办理。</w:t>
      </w:r>
    </w:p>
    <w:p w14:paraId="3067903B">
      <w:pPr>
        <w:pStyle w:val="57"/>
        <w:spacing w:line="360" w:lineRule="exact"/>
        <w:ind w:firstLine="440" w:firstLineChars="200"/>
        <w:rPr>
          <w:rFonts w:hint="eastAsia" w:hAnsi="宋体" w:cs="宋体"/>
          <w:bCs/>
          <w:color w:val="auto"/>
          <w:sz w:val="22"/>
          <w:szCs w:val="22"/>
        </w:rPr>
      </w:pPr>
      <w:r>
        <w:rPr>
          <w:rFonts w:hint="eastAsia" w:hAnsi="宋体" w:cs="宋体"/>
          <w:bCs/>
          <w:color w:val="auto"/>
          <w:sz w:val="22"/>
          <w:szCs w:val="22"/>
        </w:rPr>
        <w:t>⑵建设单位在实施项目过程中，若发生单价变动，由建设单位、监理单位、施工单位及其他相关单位共同商定并签字确认。</w:t>
      </w:r>
    </w:p>
    <w:p w14:paraId="77802161">
      <w:pPr>
        <w:pStyle w:val="41"/>
        <w:spacing w:line="360" w:lineRule="exact"/>
        <w:ind w:firstLine="440" w:firstLineChars="200"/>
        <w:jc w:val="left"/>
        <w:rPr>
          <w:rFonts w:hint="eastAsia" w:ascii="宋体" w:hAnsi="宋体" w:cs="宋体"/>
          <w:bCs/>
          <w:color w:val="auto"/>
          <w:sz w:val="22"/>
        </w:rPr>
      </w:pPr>
      <w:r>
        <w:rPr>
          <w:rFonts w:hint="eastAsia" w:ascii="宋体" w:hAnsi="宋体" w:cs="宋体"/>
          <w:bCs/>
          <w:color w:val="auto"/>
          <w:sz w:val="22"/>
        </w:rPr>
        <w:t>⑶ 当合同规定的合同价款调整情况发生后，承包人未在规定时间内通知发包人，或者未在规定时间内提出调整报告，发包人可以根据有关资料，决定是否调整和调整的金额，并书面通知承包人。</w:t>
      </w:r>
    </w:p>
    <w:p w14:paraId="2C4C8EDF">
      <w:pPr>
        <w:pStyle w:val="61"/>
        <w:spacing w:line="360" w:lineRule="exact"/>
        <w:ind w:firstLine="440" w:firstLineChars="200"/>
        <w:rPr>
          <w:rFonts w:hint="eastAsia" w:ascii="宋体" w:hAnsi="宋体" w:cs="宋体"/>
          <w:bCs/>
          <w:color w:val="auto"/>
          <w:sz w:val="22"/>
          <w:szCs w:val="22"/>
        </w:rPr>
      </w:pPr>
      <w:r>
        <w:rPr>
          <w:rFonts w:hint="eastAsia" w:ascii="宋体" w:hAnsi="宋体" w:cs="宋体"/>
          <w:bCs/>
          <w:color w:val="auto"/>
          <w:sz w:val="22"/>
          <w:szCs w:val="22"/>
        </w:rPr>
        <w:t>（4）</w:t>
      </w:r>
      <w:r>
        <w:rPr>
          <w:rFonts w:hint="eastAsia" w:ascii="宋体" w:hAnsi="宋体" w:cs="宋体"/>
          <w:color w:val="auto"/>
          <w:sz w:val="22"/>
          <w:szCs w:val="22"/>
          <w:u w:val="single"/>
        </w:rPr>
        <w:t>所有设计变更，双方均应办理变更前签证，需要变更的工程（或新增工程），由设计单位、监理单位对变更理由和变更内容提出审核意见后报发包人，由发包人向相关审批部门报告，相关审批部门批复意见后方可实施。变更造价累计超出工程施工合同价中建安工程费用总和的10%且单项工程变更造价大于人民币100万</w:t>
      </w:r>
      <w:r>
        <w:rPr>
          <w:rFonts w:hint="eastAsia" w:ascii="宋体" w:hAnsi="宋体" w:cs="宋体"/>
          <w:color w:val="auto"/>
          <w:sz w:val="22"/>
          <w:szCs w:val="22"/>
          <w:u w:val="single"/>
          <w:lang w:val="en-US" w:eastAsia="zh-CN"/>
        </w:rPr>
        <w:t>元</w:t>
      </w:r>
      <w:r>
        <w:rPr>
          <w:rFonts w:hint="eastAsia" w:ascii="宋体" w:hAnsi="宋体" w:cs="宋体"/>
          <w:color w:val="auto"/>
          <w:sz w:val="22"/>
          <w:szCs w:val="22"/>
          <w:u w:val="single"/>
        </w:rPr>
        <w:t>的，由设计单位、监理单位及发包人提出审核意见，经发包人或项目委托后，经发包人集体研究，主要负责人签字后，</w:t>
      </w:r>
      <w:r>
        <w:rPr>
          <w:rFonts w:hint="eastAsia" w:ascii="宋体" w:hAnsi="宋体" w:cs="宋体"/>
          <w:bCs/>
          <w:color w:val="auto"/>
          <w:sz w:val="22"/>
          <w:szCs w:val="22"/>
          <w:u w:val="single"/>
        </w:rPr>
        <w:t>报相关审批部门批准后须报市人民政府备案方可实施</w:t>
      </w:r>
      <w:r>
        <w:rPr>
          <w:rFonts w:hint="eastAsia" w:ascii="宋体" w:hAnsi="宋体" w:cs="宋体"/>
          <w:color w:val="auto"/>
          <w:sz w:val="22"/>
          <w:szCs w:val="22"/>
          <w:u w:val="single"/>
        </w:rPr>
        <w:t>。项目变更后总投资超过概算批复的，必须报投资审批部门同意调整概算方可实施。</w:t>
      </w:r>
    </w:p>
    <w:p w14:paraId="4E880F3E">
      <w:pPr>
        <w:pStyle w:val="41"/>
        <w:spacing w:line="360" w:lineRule="exact"/>
        <w:ind w:firstLine="440" w:firstLineChars="200"/>
        <w:jc w:val="left"/>
        <w:rPr>
          <w:rFonts w:hint="eastAsia" w:ascii="宋体" w:hAnsi="宋体" w:cs="宋体"/>
          <w:bCs/>
          <w:color w:val="auto"/>
          <w:sz w:val="22"/>
          <w:u w:val="single"/>
        </w:rPr>
      </w:pPr>
      <w:r>
        <w:rPr>
          <w:rFonts w:hint="eastAsia" w:ascii="宋体" w:hAnsi="宋体" w:cs="宋体"/>
          <w:bCs/>
          <w:color w:val="auto"/>
          <w:sz w:val="22"/>
        </w:rPr>
        <w:t>10.3.2 非国有投资项目：</w:t>
      </w:r>
      <w:r>
        <w:rPr>
          <w:rFonts w:hint="eastAsia" w:ascii="宋体" w:hAnsi="宋体" w:cs="宋体"/>
          <w:bCs/>
          <w:color w:val="auto"/>
          <w:sz w:val="22"/>
          <w:u w:val="single"/>
        </w:rPr>
        <w:t xml:space="preserve">  /  </w:t>
      </w:r>
      <w:r>
        <w:rPr>
          <w:rFonts w:hint="eastAsia" w:ascii="宋体" w:hAnsi="宋体" w:cs="宋体"/>
          <w:bCs/>
          <w:color w:val="auto"/>
          <w:sz w:val="22"/>
          <w:u w:val="none"/>
        </w:rPr>
        <w:t>。</w:t>
      </w:r>
    </w:p>
    <w:p w14:paraId="1D0B7BBB">
      <w:pPr>
        <w:pStyle w:val="61"/>
        <w:autoSpaceDE w:val="0"/>
        <w:autoSpaceDN w:val="0"/>
        <w:adjustRightInd w:val="0"/>
        <w:spacing w:line="360" w:lineRule="exact"/>
        <w:ind w:firstLine="442" w:firstLineChars="200"/>
        <w:jc w:val="left"/>
        <w:rPr>
          <w:rFonts w:hint="eastAsia" w:ascii="宋体" w:hAnsi="宋体" w:cs="宋体"/>
          <w:b/>
          <w:color w:val="auto"/>
          <w:sz w:val="22"/>
          <w:szCs w:val="22"/>
        </w:rPr>
      </w:pPr>
      <w:r>
        <w:rPr>
          <w:rFonts w:hint="eastAsia" w:ascii="宋体" w:hAnsi="宋体" w:cs="宋体"/>
          <w:b/>
          <w:bCs/>
          <w:color w:val="auto"/>
          <w:sz w:val="22"/>
          <w:szCs w:val="22"/>
        </w:rPr>
        <w:t>变更的提出</w:t>
      </w:r>
    </w:p>
    <w:p w14:paraId="5B10DAF9">
      <w:pPr>
        <w:pStyle w:val="61"/>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1）在合同履行过程中，发包人向承包人发出指令后，如果承包人认为该指令属于变更的，承包人应当在收到指令之日起14天内，向监理人提出变更建议书。变更建议书应当阐明变更原因、依据、内容，并同时提供图纸/施工方案等相关技术资料及变更报价书。</w:t>
      </w:r>
    </w:p>
    <w:p w14:paraId="07544EA9">
      <w:pPr>
        <w:pStyle w:val="61"/>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2）监理人收到承包人报送的变更建议书后，认为变更不成立的可将变更建议书直接退回承包人；若监理人认为变更成立的，则应上报发包人审查，发包人认为变更不成立的，应在收到监理人报送的意见书后14天内向承包人发出书面通知；发包人认为变更是否成立不明确或需要承包人进一步提交资料的，发包人应书面通知承包人补充资料。承包人应在收到发包人通知之日起14天内提交补充资料，发包人收到承包人提交的补充资料后28天内，应当向承包人发出正式变更令或变更不成立的书面通知。</w:t>
      </w:r>
    </w:p>
    <w:p w14:paraId="3A1714AD">
      <w:pPr>
        <w:pStyle w:val="61"/>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（3）尽管合同有其他约定，但承包人未在收到指令</w:t>
      </w:r>
      <w:r>
        <w:rPr>
          <w:rFonts w:hint="eastAsia" w:ascii="宋体" w:hAnsi="宋体" w:cs="宋体"/>
          <w:color w:val="auto"/>
          <w:sz w:val="22"/>
          <w:szCs w:val="22"/>
          <w:u w:val="single"/>
        </w:rPr>
        <w:t>（包括但不限于书面指令、口头指令、会议纪要等形式）</w:t>
      </w:r>
      <w:r>
        <w:rPr>
          <w:rFonts w:hint="eastAsia" w:ascii="宋体" w:hAnsi="宋体" w:cs="宋体"/>
          <w:bCs/>
          <w:color w:val="auto"/>
          <w:sz w:val="22"/>
          <w:szCs w:val="22"/>
        </w:rPr>
        <w:t>之日起14天内向监理人提出变更建议书的，则视为该指令并不涉及费用增加或工期顺延，或承包人放弃要求补偿由于该指令而导致的费用增加和工期顺延等一切权利。</w:t>
      </w:r>
    </w:p>
    <w:p w14:paraId="3742B941">
      <w:pPr>
        <w:pStyle w:val="61"/>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（4）承包人未在收到发包人要求补充资料的书面通知之日起14天内向发包人提交补充资料的，则视为承包人放弃要求补偿由于发包人指令而导致的费用增加和工期顺延等一切权利。</w:t>
      </w:r>
    </w:p>
    <w:p w14:paraId="26FF90C7">
      <w:pPr>
        <w:pStyle w:val="61"/>
        <w:spacing w:line="360" w:lineRule="exact"/>
        <w:ind w:firstLine="440" w:firstLineChars="200"/>
        <w:jc w:val="left"/>
        <w:rPr>
          <w:rFonts w:hint="eastAsia" w:ascii="宋体" w:hAnsi="宋体" w:cs="宋体"/>
          <w:bCs/>
          <w:color w:val="auto"/>
          <w:sz w:val="22"/>
          <w:szCs w:val="22"/>
        </w:rPr>
      </w:pPr>
      <w:r>
        <w:rPr>
          <w:rFonts w:hint="eastAsia" w:ascii="宋体" w:hAnsi="宋体" w:cs="宋体"/>
          <w:bCs/>
          <w:color w:val="auto"/>
          <w:sz w:val="22"/>
          <w:szCs w:val="22"/>
        </w:rPr>
        <w:t>（5）承包人在收到发包人发出的正式变更令或变更不成立的书面通知之日起14天内，未向发包人提出书面异议的，则视为承包人对正式变更令或书面通知的认可。</w:t>
      </w:r>
    </w:p>
    <w:p w14:paraId="2C7E7FCD">
      <w:pPr>
        <w:pStyle w:val="61"/>
        <w:spacing w:line="360" w:lineRule="exact"/>
        <w:ind w:firstLine="440" w:firstLineChars="200"/>
        <w:rPr>
          <w:rFonts w:hint="eastAsia" w:ascii="宋体" w:hAnsi="宋体" w:cs="宋体"/>
          <w:bCs/>
          <w:color w:val="auto"/>
          <w:sz w:val="22"/>
          <w:szCs w:val="22"/>
          <w:u w:val="single"/>
        </w:rPr>
      </w:pPr>
      <w:r>
        <w:rPr>
          <w:rFonts w:hint="eastAsia" w:ascii="宋体" w:hAnsi="宋体" w:cs="宋体"/>
          <w:bCs/>
          <w:color w:val="auto"/>
          <w:sz w:val="22"/>
          <w:szCs w:val="22"/>
        </w:rPr>
        <w:t>（6）竣工验收证书签发后，承包人无权就工程竣工证书签发前发包人的任何指令要求增加费用。</w:t>
      </w:r>
    </w:p>
    <w:p w14:paraId="70427C78">
      <w:pPr>
        <w:pStyle w:val="40"/>
        <w:spacing w:line="360" w:lineRule="exact"/>
        <w:ind w:firstLine="442" w:firstLineChars="200"/>
        <w:rPr>
          <w:rFonts w:hint="eastAsia" w:ascii="宋体" w:hAnsi="宋体" w:cs="宋体"/>
          <w:color w:val="auto"/>
          <w:sz w:val="22"/>
          <w:szCs w:val="22"/>
        </w:rPr>
      </w:pPr>
      <w:bookmarkStart w:id="706" w:name="_Toc395382545"/>
      <w:bookmarkStart w:id="707" w:name="_Toc373227742"/>
      <w:bookmarkStart w:id="708" w:name="_Toc389065308"/>
      <w:bookmarkStart w:id="709" w:name="_Toc12975933"/>
      <w:bookmarkStart w:id="710" w:name="_Toc373478389"/>
      <w:bookmarkStart w:id="711" w:name="_Toc533432768"/>
      <w:r>
        <w:rPr>
          <w:rFonts w:hint="eastAsia" w:ascii="宋体" w:hAnsi="宋体" w:cs="宋体"/>
          <w:color w:val="auto"/>
          <w:sz w:val="22"/>
          <w:szCs w:val="22"/>
        </w:rPr>
        <w:t>10.4 变更估价</w:t>
      </w:r>
      <w:bookmarkEnd w:id="706"/>
      <w:bookmarkEnd w:id="707"/>
      <w:bookmarkEnd w:id="708"/>
      <w:bookmarkEnd w:id="709"/>
      <w:bookmarkEnd w:id="710"/>
      <w:bookmarkEnd w:id="711"/>
    </w:p>
    <w:p w14:paraId="590905C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10.4.1 变更估价原则</w:t>
      </w:r>
    </w:p>
    <w:p w14:paraId="2307C990">
      <w:pPr>
        <w:pStyle w:val="61"/>
        <w:spacing w:line="360" w:lineRule="exact"/>
        <w:ind w:firstLine="440" w:firstLineChars="200"/>
        <w:jc w:val="left"/>
        <w:rPr>
          <w:rFonts w:hint="eastAsia" w:ascii="宋体" w:hAnsi="宋体" w:eastAsia="宋体" w:cs="宋体"/>
          <w:bCs/>
          <w:color w:val="auto"/>
          <w:sz w:val="22"/>
          <w:szCs w:val="22"/>
          <w:u w:val="single"/>
          <w:lang w:eastAsia="zh-CN"/>
        </w:rPr>
      </w:pPr>
      <w:r>
        <w:rPr>
          <w:rFonts w:hint="eastAsia" w:ascii="宋体" w:hAnsi="宋体" w:cs="宋体"/>
          <w:color w:val="auto"/>
          <w:sz w:val="22"/>
          <w:szCs w:val="22"/>
        </w:rPr>
        <w:t>关于变更估价的约定</w:t>
      </w:r>
      <w:r>
        <w:rPr>
          <w:rFonts w:hint="eastAsia" w:ascii="宋体" w:hAnsi="宋体" w:cs="宋体"/>
          <w:color w:val="auto"/>
          <w:sz w:val="22"/>
          <w:szCs w:val="22"/>
          <w:lang w:eastAsia="zh-CN"/>
        </w:rPr>
        <w:t>：</w:t>
      </w:r>
      <w:r>
        <w:rPr>
          <w:rFonts w:hint="eastAsia" w:ascii="宋体" w:hAnsi="宋体" w:cs="宋体"/>
          <w:color w:val="auto"/>
          <w:sz w:val="22"/>
          <w:szCs w:val="22"/>
        </w:rPr>
        <w:t xml:space="preserve">  </w:t>
      </w:r>
      <w:bookmarkStart w:id="712" w:name="_Toc251051742"/>
      <w:r>
        <w:rPr>
          <w:rFonts w:hint="eastAsia" w:ascii="宋体" w:hAnsi="宋体" w:cs="宋体"/>
          <w:color w:val="auto"/>
          <w:sz w:val="22"/>
          <w:szCs w:val="22"/>
        </w:rPr>
        <w:t xml:space="preserve"> </w:t>
      </w:r>
      <w:r>
        <w:rPr>
          <w:rFonts w:hint="eastAsia" w:ascii="宋体" w:hAnsi="宋体" w:cs="宋体"/>
          <w:bCs/>
          <w:color w:val="auto"/>
          <w:sz w:val="22"/>
          <w:szCs w:val="22"/>
          <w:u w:val="single"/>
        </w:rPr>
        <w:t>合同中已有适用于变更工程的价格，按合同中已有的价格变更合同价格；合同中只有类似于变更工程的价格，可以参照类似价格变更合同价款。需要变更的工程（或新增工程），由设计单位、监理单位对变更</w:t>
      </w:r>
      <w:r>
        <w:rPr>
          <w:rFonts w:hint="eastAsia" w:ascii="宋体" w:hAnsi="宋体" w:cs="宋体"/>
          <w:bCs/>
          <w:color w:val="auto"/>
          <w:sz w:val="22"/>
          <w:szCs w:val="22"/>
          <w:highlight w:val="none"/>
          <w:u w:val="single"/>
        </w:rPr>
        <w:t>理由和变更内容提出审核意见后报发包人，由发包人向相关审批部门报告，相关审批部门批复后方可实施。合同中没有适用或类似于变更工程的价格，待竣工后由发包人一并报区财政局（投资评审中心）进行结算。变更造价累计超出工程施工合同价中建安工程费用总和的10%且单项工程变更造价大于100万元人民币的，由设计单位、监理单位及发包人提出审核意见，经项目业主或项目委托后，经建设单位集体研究，主要负责人签字后，报相关审批部门批准后须报区人民政府备案方可实</w:t>
      </w:r>
      <w:r>
        <w:rPr>
          <w:rFonts w:hint="eastAsia" w:ascii="宋体" w:hAnsi="宋体" w:cs="宋体"/>
          <w:bCs/>
          <w:color w:val="auto"/>
          <w:sz w:val="22"/>
          <w:szCs w:val="22"/>
          <w:u w:val="single"/>
        </w:rPr>
        <w:t>施。项目变更后总投资超过概算批复的，必须报投资审批部门同意调整概算方可实施。变更导致实际完成的变更工程量与已标价的工程量清单或预算书中列明的该项目工程量变化幅度无论多大，均不调整单价</w:t>
      </w:r>
      <w:r>
        <w:rPr>
          <w:rFonts w:hint="eastAsia" w:ascii="宋体" w:hAnsi="宋体" w:cs="宋体"/>
          <w:bCs/>
          <w:color w:val="auto"/>
          <w:sz w:val="22"/>
          <w:szCs w:val="22"/>
          <w:u w:val="single"/>
          <w:lang w:eastAsia="zh-CN"/>
        </w:rPr>
        <w:t>。</w:t>
      </w:r>
    </w:p>
    <w:p w14:paraId="696AB35E">
      <w:pPr>
        <w:pStyle w:val="61"/>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尽管合同有其他约定，但依据承包人报价中同类（或相似）项目的标准，若高于定额标准时按定额取费标准计取；或在按本合同规定确定新单价时，如果计算出的新单价明显高于市场价，发包人可按以下任一原则对单价进行重新计算：</w:t>
      </w:r>
    </w:p>
    <w:p w14:paraId="08552F2D">
      <w:pPr>
        <w:pStyle w:val="61"/>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1）按照本项规定的新单价计算原则计算出与变更类似项目的价格（类似项目是指都为土石方工程</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基础工程</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钢结构工程</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门窗工程），类似项目合同中价格与按变更原则计算价格之比为变更单价的下浮率，按新单价的计算原则计算出变更新单价再乘以下浮率即为变更单价。</w:t>
      </w:r>
    </w:p>
    <w:p w14:paraId="2B4604D2">
      <w:pPr>
        <w:pStyle w:val="61"/>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2）发包人有权从报价分析的材料/设备单价、广西或防城港市工程造价管理部门等发布的该变更发生期内“信息价”、市场调研得出的市场价或采购发票价中任选一项作为建立新单价的依据，或通过补偿同类材料差额建立新单价，承包人不能对此提出异议（发包人变更过程中指定采购厂家的除外）。</w:t>
      </w:r>
    </w:p>
    <w:p w14:paraId="3CB1D5C1">
      <w:pPr>
        <w:pStyle w:val="61"/>
        <w:spacing w:line="360" w:lineRule="exact"/>
        <w:ind w:firstLine="440" w:firstLineChars="200"/>
        <w:jc w:val="left"/>
        <w:rPr>
          <w:rFonts w:hint="eastAsia" w:ascii="宋体" w:hAnsi="宋体" w:cs="宋体"/>
          <w:bCs/>
          <w:color w:val="auto"/>
          <w:sz w:val="22"/>
          <w:szCs w:val="22"/>
          <w:u w:val="single"/>
        </w:rPr>
      </w:pPr>
      <w:r>
        <w:rPr>
          <w:rFonts w:hint="eastAsia" w:ascii="宋体" w:hAnsi="宋体" w:cs="宋体"/>
          <w:bCs/>
          <w:color w:val="auto"/>
          <w:sz w:val="22"/>
          <w:szCs w:val="22"/>
          <w:u w:val="single"/>
        </w:rPr>
        <w:t>3）在市场调研得出的市场价</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承包人以前类似磋商报价</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发包人正在执行的其他项目类似的磋商报价</w:t>
      </w:r>
      <w:r>
        <w:rPr>
          <w:rFonts w:hint="eastAsia" w:ascii="宋体" w:hAnsi="宋体" w:cs="宋体"/>
          <w:bCs/>
          <w:color w:val="auto"/>
          <w:sz w:val="22"/>
          <w:szCs w:val="22"/>
          <w:u w:val="single"/>
          <w:lang w:eastAsia="zh-CN"/>
        </w:rPr>
        <w:t>或</w:t>
      </w:r>
      <w:r>
        <w:rPr>
          <w:rFonts w:hint="eastAsia" w:ascii="宋体" w:hAnsi="宋体" w:cs="宋体"/>
          <w:bCs/>
          <w:color w:val="auto"/>
          <w:sz w:val="22"/>
          <w:szCs w:val="22"/>
          <w:u w:val="single"/>
        </w:rPr>
        <w:t>广西或防城港市工程造价管理部门等发布的信息价的基础上调整。</w:t>
      </w:r>
    </w:p>
    <w:p w14:paraId="59FC295B">
      <w:pPr>
        <w:pStyle w:val="61"/>
        <w:spacing w:line="360" w:lineRule="exact"/>
        <w:ind w:firstLine="440" w:firstLineChars="200"/>
        <w:rPr>
          <w:rFonts w:hint="eastAsia" w:ascii="宋体" w:hAnsi="宋体" w:cs="宋体"/>
          <w:color w:val="auto"/>
          <w:sz w:val="22"/>
          <w:szCs w:val="22"/>
        </w:rPr>
      </w:pPr>
      <w:r>
        <w:rPr>
          <w:rFonts w:hint="eastAsia" w:ascii="宋体" w:hAnsi="宋体" w:cs="宋体"/>
          <w:bCs/>
          <w:color w:val="auto"/>
          <w:sz w:val="22"/>
          <w:szCs w:val="22"/>
          <w:u w:val="single"/>
        </w:rPr>
        <w:t>4）在确定新单价的过程中，涉及到单项材料/设备价格超过人民币100万元，承包人及时将采购策略和计划告知发包人并得到发包人同意后再开展采购工作，发包人视情况可参与采购全过程；当材料/设备价格达到依法必需招标时，由发包人和承包人以招标的方式选择供应商或分包人。</w:t>
      </w:r>
      <w:bookmarkEnd w:id="712"/>
    </w:p>
    <w:p w14:paraId="131B1D23">
      <w:pPr>
        <w:pStyle w:val="40"/>
        <w:spacing w:line="360" w:lineRule="exact"/>
        <w:ind w:firstLine="442" w:firstLineChars="200"/>
        <w:rPr>
          <w:rFonts w:hint="eastAsia" w:ascii="宋体" w:hAnsi="宋体" w:cs="宋体"/>
          <w:color w:val="auto"/>
          <w:sz w:val="22"/>
          <w:szCs w:val="22"/>
        </w:rPr>
      </w:pPr>
      <w:bookmarkStart w:id="713" w:name="_Toc395382546"/>
      <w:bookmarkStart w:id="714" w:name="_Toc533432769"/>
      <w:bookmarkStart w:id="715" w:name="_Toc389065309"/>
      <w:bookmarkStart w:id="716" w:name="_Toc373478390"/>
      <w:bookmarkStart w:id="717" w:name="_Toc12975934"/>
      <w:bookmarkStart w:id="718" w:name="_Toc373227743"/>
      <w:r>
        <w:rPr>
          <w:rFonts w:hint="eastAsia" w:ascii="宋体" w:hAnsi="宋体" w:cs="宋体"/>
          <w:color w:val="auto"/>
          <w:sz w:val="22"/>
          <w:szCs w:val="22"/>
        </w:rPr>
        <w:t>1</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Start w:id="719" w:name="_Toc296347196"/>
      <w:bookmarkStart w:id="720" w:name="_Toc292559907"/>
      <w:bookmarkStart w:id="721" w:name="_Toc300934993"/>
      <w:bookmarkStart w:id="722" w:name="_Toc296503197"/>
      <w:bookmarkStart w:id="723" w:name="_Toc297048383"/>
      <w:bookmarkStart w:id="724" w:name="_Toc297120497"/>
      <w:bookmarkStart w:id="725" w:name="_Toc296346698"/>
      <w:bookmarkStart w:id="726" w:name="_Toc297216203"/>
      <w:bookmarkStart w:id="727" w:name="_Toc296891025"/>
      <w:bookmarkStart w:id="728" w:name="_Toc296944536"/>
      <w:bookmarkStart w:id="729" w:name="_Toc297123544"/>
      <w:bookmarkStart w:id="730" w:name="_Toc292559402"/>
      <w:bookmarkStart w:id="731" w:name="_Toc296891237"/>
      <w:bookmarkStart w:id="732" w:name="_Toc303539150"/>
      <w:bookmarkStart w:id="733" w:name="_Toc304295570"/>
      <w:bookmarkStart w:id="734" w:name="_Toc312678029"/>
      <w:bookmarkStart w:id="735" w:name="_Toc312677503"/>
      <w:r>
        <w:rPr>
          <w:rFonts w:hint="eastAsia" w:ascii="宋体" w:hAnsi="宋体" w:cs="宋体"/>
          <w:color w:val="auto"/>
          <w:sz w:val="22"/>
          <w:szCs w:val="22"/>
        </w:rPr>
        <w:t>0.5 承</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Start w:id="736" w:name="_Toc292559408"/>
      <w:bookmarkStart w:id="737" w:name="_Toc300934994"/>
      <w:bookmarkStart w:id="738" w:name="_Toc303539151"/>
      <w:bookmarkStart w:id="739" w:name="_Toc296503203"/>
      <w:bookmarkStart w:id="740" w:name="_Toc296346704"/>
      <w:bookmarkStart w:id="741" w:name="_Toc296891243"/>
      <w:bookmarkStart w:id="742" w:name="_Toc297216204"/>
      <w:bookmarkStart w:id="743" w:name="_Toc296944542"/>
      <w:bookmarkStart w:id="744" w:name="_Toc297123545"/>
      <w:bookmarkStart w:id="745" w:name="_Toc292559913"/>
      <w:bookmarkStart w:id="746" w:name="_Toc296891031"/>
      <w:bookmarkStart w:id="747" w:name="_Toc297120503"/>
      <w:bookmarkStart w:id="748" w:name="_Toc297048389"/>
      <w:bookmarkStart w:id="749" w:name="_Toc296347202"/>
      <w:r>
        <w:rPr>
          <w:rFonts w:hint="eastAsia" w:ascii="宋体" w:hAnsi="宋体" w:cs="宋体"/>
          <w:color w:val="auto"/>
          <w:sz w:val="22"/>
          <w:szCs w:val="22"/>
        </w:rPr>
        <w:t>包人的合理化建议</w:t>
      </w:r>
      <w:bookmarkEnd w:id="713"/>
      <w:bookmarkEnd w:id="714"/>
      <w:bookmarkEnd w:id="715"/>
      <w:bookmarkEnd w:id="716"/>
      <w:bookmarkEnd w:id="717"/>
      <w:bookmarkEnd w:id="718"/>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14:paraId="0BA9B9E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监理人审查承包人合理化建议的期限：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76031BD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发包人审批承包人合理化建议的期限：</w:t>
      </w:r>
      <w:r>
        <w:rPr>
          <w:rFonts w:hint="eastAsia" w:ascii="宋体" w:hAnsi="宋体" w:cs="宋体"/>
          <w:color w:val="auto"/>
          <w:sz w:val="22"/>
          <w:u w:val="single"/>
        </w:rPr>
        <w:t>7天内</w:t>
      </w:r>
      <w:r>
        <w:rPr>
          <w:rFonts w:hint="eastAsia" w:ascii="宋体" w:hAnsi="宋体" w:cs="宋体"/>
          <w:color w:val="auto"/>
          <w:sz w:val="22"/>
        </w:rPr>
        <w:t>。</w:t>
      </w:r>
    </w:p>
    <w:p w14:paraId="44E876AC">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w:t>
      </w:r>
      <w:bookmarkStart w:id="750" w:name="_Toc296891244"/>
      <w:bookmarkStart w:id="751" w:name="_Toc304295571"/>
      <w:bookmarkStart w:id="752" w:name="_Toc297123546"/>
      <w:bookmarkStart w:id="753" w:name="_Toc296346705"/>
      <w:bookmarkStart w:id="754" w:name="_Toc292559914"/>
      <w:bookmarkStart w:id="755" w:name="_Toc312678030"/>
      <w:bookmarkStart w:id="756" w:name="_Toc296503204"/>
      <w:bookmarkStart w:id="757" w:name="_Toc297120504"/>
      <w:bookmarkStart w:id="758" w:name="_Toc297048390"/>
      <w:bookmarkStart w:id="759" w:name="_Toc296891032"/>
      <w:bookmarkStart w:id="760" w:name="_Toc303539152"/>
      <w:bookmarkStart w:id="761" w:name="_Toc296944543"/>
      <w:bookmarkStart w:id="762" w:name="_Toc292559409"/>
      <w:bookmarkStart w:id="763" w:name="_Toc297216205"/>
      <w:bookmarkStart w:id="764" w:name="_Toc318581175"/>
      <w:bookmarkStart w:id="765" w:name="_Toc296347203"/>
      <w:bookmarkStart w:id="766" w:name="_Toc312677504"/>
      <w:bookmarkStart w:id="767" w:name="_Toc300934995"/>
      <w:r>
        <w:rPr>
          <w:rFonts w:hint="eastAsia" w:ascii="宋体" w:hAnsi="宋体" w:cs="宋体"/>
          <w:color w:val="auto"/>
          <w:sz w:val="22"/>
        </w:rPr>
        <w:t>包人提出的合理化建议降低了合同价格或者提高了工程经济效益的奖励的方法和金额为</w:t>
      </w:r>
      <w:r>
        <w:rPr>
          <w:rFonts w:hint="eastAsia" w:ascii="宋体" w:hAnsi="宋体" w:cs="宋体"/>
          <w:color w:val="auto"/>
          <w:sz w:val="22"/>
          <w:lang w:eastAsia="zh-CN"/>
        </w:rPr>
        <w:t>：</w:t>
      </w:r>
      <w:r>
        <w:rPr>
          <w:rFonts w:hint="eastAsia" w:ascii="宋体" w:hAnsi="宋体" w:cs="宋体"/>
          <w:color w:val="auto"/>
          <w:sz w:val="22"/>
          <w:u w:val="single"/>
        </w:rPr>
        <w:t>无</w:t>
      </w:r>
      <w:r>
        <w:rPr>
          <w:rFonts w:hint="eastAsia" w:ascii="宋体" w:hAnsi="宋体" w:cs="宋体"/>
          <w:color w:val="auto"/>
          <w:sz w:val="22"/>
        </w:rPr>
        <w:t>。</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2F3278FA">
      <w:pPr>
        <w:pStyle w:val="40"/>
        <w:spacing w:line="360" w:lineRule="exact"/>
        <w:ind w:firstLine="442" w:firstLineChars="200"/>
        <w:rPr>
          <w:rFonts w:hint="eastAsia" w:ascii="宋体" w:hAnsi="宋体" w:cs="宋体"/>
          <w:color w:val="auto"/>
          <w:sz w:val="22"/>
          <w:szCs w:val="22"/>
        </w:rPr>
      </w:pPr>
      <w:bookmarkStart w:id="768" w:name="_Toc373478391"/>
      <w:bookmarkStart w:id="769" w:name="_Toc12975935"/>
      <w:bookmarkStart w:id="770" w:name="_Toc533432770"/>
      <w:bookmarkStart w:id="771" w:name="_Toc389065310"/>
      <w:bookmarkStart w:id="772" w:name="_Toc373227744"/>
      <w:bookmarkStart w:id="773" w:name="_Toc395382547"/>
      <w:r>
        <w:rPr>
          <w:rFonts w:hint="eastAsia" w:ascii="宋体" w:hAnsi="宋体" w:cs="宋体"/>
          <w:color w:val="auto"/>
          <w:sz w:val="22"/>
          <w:szCs w:val="22"/>
        </w:rPr>
        <w:t>1</w:t>
      </w:r>
      <w:bookmarkStart w:id="774" w:name="_Toc296891027"/>
      <w:bookmarkStart w:id="775" w:name="_Toc297048385"/>
      <w:bookmarkStart w:id="776" w:name="_Toc312677507"/>
      <w:bookmarkStart w:id="777" w:name="_Toc312678033"/>
      <w:bookmarkStart w:id="778" w:name="_Toc296944538"/>
      <w:bookmarkStart w:id="779" w:name="_Toc297120499"/>
      <w:bookmarkStart w:id="780" w:name="_Toc296891239"/>
      <w:bookmarkStart w:id="781" w:name="_Toc296346700"/>
      <w:bookmarkStart w:id="782" w:name="_Toc303539154"/>
      <w:bookmarkStart w:id="783" w:name="_Toc296347198"/>
      <w:bookmarkStart w:id="784" w:name="_Toc292559909"/>
      <w:bookmarkStart w:id="785" w:name="_Toc297123548"/>
      <w:bookmarkStart w:id="786" w:name="_Toc296503199"/>
      <w:bookmarkStart w:id="787" w:name="_Toc297216207"/>
      <w:bookmarkStart w:id="788" w:name="_Toc292559404"/>
      <w:bookmarkStart w:id="789" w:name="_Toc300934997"/>
      <w:bookmarkStart w:id="790" w:name="_Toc304295574"/>
      <w:r>
        <w:rPr>
          <w:rFonts w:hint="eastAsia" w:ascii="宋体" w:hAnsi="宋体" w:cs="宋体"/>
          <w:color w:val="auto"/>
          <w:sz w:val="22"/>
          <w:szCs w:val="22"/>
        </w:rPr>
        <w:t>0.7 暂估价</w:t>
      </w:r>
      <w:bookmarkEnd w:id="768"/>
      <w:bookmarkEnd w:id="769"/>
      <w:bookmarkEnd w:id="770"/>
      <w:bookmarkEnd w:id="771"/>
      <w:bookmarkEnd w:id="772"/>
      <w:bookmarkEnd w:id="773"/>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1C49646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暂</w:t>
      </w:r>
      <w:bookmarkStart w:id="791" w:name="_Toc312678034"/>
      <w:bookmarkStart w:id="792" w:name="_Toc318581176"/>
      <w:bookmarkStart w:id="793" w:name="_Toc312677508"/>
      <w:r>
        <w:rPr>
          <w:rFonts w:hint="eastAsia" w:ascii="宋体" w:hAnsi="宋体" w:cs="宋体"/>
          <w:color w:val="auto"/>
          <w:kern w:val="0"/>
          <w:sz w:val="22"/>
        </w:rPr>
        <w:t>估价材料和工程设备的明细详见已标价工程量清单《</w:t>
      </w:r>
      <w:r>
        <w:rPr>
          <w:rFonts w:hint="eastAsia" w:ascii="宋体" w:hAnsi="宋体" w:cs="宋体"/>
          <w:color w:val="auto"/>
          <w:sz w:val="22"/>
        </w:rPr>
        <w:t>材料（工程设备）暂估价格及调整表》</w:t>
      </w:r>
      <w:r>
        <w:rPr>
          <w:rFonts w:hint="eastAsia" w:ascii="宋体" w:hAnsi="宋体" w:cs="宋体"/>
          <w:color w:val="auto"/>
          <w:kern w:val="0"/>
          <w:sz w:val="22"/>
        </w:rPr>
        <w:t>（表12-2）和《</w:t>
      </w:r>
      <w:r>
        <w:rPr>
          <w:rFonts w:hint="eastAsia" w:ascii="宋体" w:hAnsi="宋体" w:cs="宋体"/>
          <w:color w:val="auto"/>
          <w:sz w:val="22"/>
        </w:rPr>
        <w:t>专业工程暂估价表》（</w:t>
      </w:r>
      <w:r>
        <w:rPr>
          <w:rFonts w:hint="eastAsia" w:ascii="宋体" w:hAnsi="宋体" w:cs="宋体"/>
          <w:color w:val="auto"/>
          <w:kern w:val="0"/>
          <w:sz w:val="22"/>
        </w:rPr>
        <w:t>表12-3）。</w:t>
      </w:r>
    </w:p>
    <w:bookmarkEnd w:id="791"/>
    <w:bookmarkEnd w:id="792"/>
    <w:bookmarkEnd w:id="793"/>
    <w:p w14:paraId="1AAB97A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Start w:id="794" w:name="_Toc312677509"/>
      <w:bookmarkStart w:id="795" w:name="_Toc312678035"/>
      <w:bookmarkStart w:id="796" w:name="_Toc318581177"/>
      <w:r>
        <w:rPr>
          <w:rFonts w:hint="eastAsia" w:ascii="宋体" w:hAnsi="宋体" w:cs="宋体"/>
          <w:color w:val="auto"/>
          <w:sz w:val="22"/>
        </w:rPr>
        <w:t>0.7.1 依法必须招标的暂估价项目</w:t>
      </w:r>
    </w:p>
    <w:bookmarkEnd w:id="794"/>
    <w:bookmarkEnd w:id="795"/>
    <w:bookmarkEnd w:id="796"/>
    <w:p w14:paraId="6FDC5D5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对于依法必须招标的暂估价项目的确认和批准采取第</w:t>
      </w:r>
      <w:r>
        <w:rPr>
          <w:rFonts w:hint="eastAsia" w:ascii="宋体" w:hAnsi="宋体" w:cs="宋体"/>
          <w:color w:val="auto"/>
          <w:sz w:val="22"/>
          <w:u w:val="single"/>
        </w:rPr>
        <w:t xml:space="preserve">  1  </w:t>
      </w:r>
      <w:r>
        <w:rPr>
          <w:rFonts w:hint="eastAsia" w:ascii="宋体" w:hAnsi="宋体" w:cs="宋体"/>
          <w:color w:val="auto"/>
          <w:sz w:val="22"/>
        </w:rPr>
        <w:t>种方式确定。</w:t>
      </w:r>
    </w:p>
    <w:p w14:paraId="436C8DE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10.7.2 不属于依法必须招标的暂估价项目</w:t>
      </w:r>
    </w:p>
    <w:p w14:paraId="22D4EC7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对于不属于依法必须招标的暂估价项目的确认和批准采取第</w:t>
      </w:r>
      <w:r>
        <w:rPr>
          <w:rFonts w:hint="eastAsia" w:ascii="宋体" w:hAnsi="宋体" w:cs="宋体"/>
          <w:color w:val="auto"/>
          <w:sz w:val="22"/>
          <w:u w:val="single"/>
        </w:rPr>
        <w:t xml:space="preserve">  2 </w:t>
      </w:r>
      <w:r>
        <w:rPr>
          <w:rFonts w:hint="eastAsia" w:ascii="宋体" w:hAnsi="宋体" w:cs="宋体"/>
          <w:color w:val="auto"/>
          <w:sz w:val="22"/>
        </w:rPr>
        <w:t xml:space="preserve"> 种方式确定。</w:t>
      </w:r>
    </w:p>
    <w:p w14:paraId="5F5EA46D">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第3种方式：</w:t>
      </w:r>
      <w:r>
        <w:rPr>
          <w:rFonts w:hint="eastAsia" w:ascii="宋体" w:hAnsi="宋体" w:cs="宋体"/>
          <w:color w:val="auto"/>
          <w:kern w:val="0"/>
          <w:sz w:val="22"/>
        </w:rPr>
        <w:t>承包人直接实施的暂估价项目</w:t>
      </w:r>
    </w:p>
    <w:p w14:paraId="44B4AAC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承包人直接实施的暂估价项目的约定：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31FC170C">
      <w:pPr>
        <w:pStyle w:val="40"/>
        <w:spacing w:line="360" w:lineRule="exact"/>
        <w:ind w:firstLine="442" w:firstLineChars="200"/>
        <w:rPr>
          <w:rFonts w:hint="eastAsia" w:ascii="宋体" w:hAnsi="宋体" w:cs="宋体"/>
          <w:color w:val="auto"/>
          <w:sz w:val="22"/>
          <w:szCs w:val="22"/>
        </w:rPr>
      </w:pPr>
      <w:bookmarkStart w:id="797" w:name="_Toc389065311"/>
      <w:bookmarkStart w:id="798" w:name="_Toc533432771"/>
      <w:bookmarkStart w:id="799" w:name="_Toc395382548"/>
      <w:bookmarkStart w:id="800" w:name="_Toc373227745"/>
      <w:bookmarkStart w:id="801" w:name="_Toc373478392"/>
      <w:bookmarkStart w:id="802" w:name="_Toc12975936"/>
      <w:r>
        <w:rPr>
          <w:rFonts w:hint="eastAsia" w:ascii="宋体" w:hAnsi="宋体" w:cs="宋体"/>
          <w:color w:val="auto"/>
          <w:sz w:val="22"/>
          <w:szCs w:val="22"/>
        </w:rPr>
        <w:t>10.8 暂列金额</w:t>
      </w:r>
      <w:bookmarkEnd w:id="797"/>
      <w:bookmarkEnd w:id="798"/>
      <w:bookmarkEnd w:id="799"/>
      <w:bookmarkEnd w:id="800"/>
      <w:bookmarkEnd w:id="801"/>
      <w:bookmarkEnd w:id="802"/>
    </w:p>
    <w:p w14:paraId="3037B01D">
      <w:pPr>
        <w:pStyle w:val="72"/>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合同当事人关于暂列金额使用的约定：</w:t>
      </w:r>
    </w:p>
    <w:p w14:paraId="144BA87F">
      <w:pPr>
        <w:pStyle w:val="41"/>
        <w:autoSpaceDE w:val="0"/>
        <w:autoSpaceDN w:val="0"/>
        <w:adjustRightInd w:val="0"/>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合同当事人关于暂列金额使用的约定：</w:t>
      </w:r>
      <w:r>
        <w:rPr>
          <w:rFonts w:hint="eastAsia" w:ascii="宋体" w:hAnsi="宋体" w:cs="宋体"/>
          <w:bCs/>
          <w:color w:val="auto"/>
          <w:sz w:val="22"/>
          <w:u w:val="single"/>
        </w:rPr>
        <w:t>暂列金额是发包人为可能发生的工程变更，或用于提供不可预见的货物、材料和工程设备等因素发生的工程价款调增，以及经确认的索赔、现场签证，或用于提供相关服务或意外事件等而预留的金额，并非支付给承包人的实际费用。暂列金额只能按照发包人的指示使用。结算时，暂列金额应按实际发生的情况进行结算，剩余部分仍归发包人所有，不支付给承包人</w:t>
      </w:r>
      <w:r>
        <w:rPr>
          <w:rFonts w:hint="eastAsia" w:ascii="宋体" w:hAnsi="宋体" w:cs="宋体"/>
          <w:color w:val="auto"/>
          <w:kern w:val="0"/>
          <w:sz w:val="22"/>
        </w:rPr>
        <w:t>。</w:t>
      </w:r>
    </w:p>
    <w:p w14:paraId="3EF59E2F">
      <w:pPr>
        <w:pStyle w:val="71"/>
        <w:spacing w:before="0" w:after="0" w:line="360" w:lineRule="exact"/>
        <w:ind w:firstLine="442" w:firstLineChars="200"/>
        <w:rPr>
          <w:rFonts w:hint="eastAsia" w:ascii="宋体" w:hAnsi="宋体" w:cs="宋体"/>
          <w:color w:val="auto"/>
          <w:sz w:val="22"/>
          <w:szCs w:val="22"/>
        </w:rPr>
      </w:pPr>
      <w:bookmarkStart w:id="803" w:name="_Toc12975937"/>
      <w:bookmarkStart w:id="804" w:name="_Toc389065312"/>
      <w:bookmarkStart w:id="805" w:name="_Toc373227746"/>
      <w:bookmarkStart w:id="806" w:name="_Toc351203643"/>
      <w:bookmarkStart w:id="807" w:name="_Toc533432772"/>
      <w:bookmarkStart w:id="808" w:name="_Toc373478393"/>
      <w:bookmarkStart w:id="809" w:name="_Toc395382549"/>
      <w:r>
        <w:rPr>
          <w:rFonts w:hint="eastAsia" w:ascii="宋体" w:hAnsi="宋体" w:cs="宋体"/>
          <w:color w:val="auto"/>
          <w:sz w:val="22"/>
          <w:szCs w:val="22"/>
        </w:rPr>
        <w:t>11. 价格调整</w:t>
      </w:r>
      <w:bookmarkEnd w:id="803"/>
      <w:bookmarkEnd w:id="804"/>
      <w:bookmarkEnd w:id="805"/>
      <w:bookmarkEnd w:id="806"/>
      <w:bookmarkEnd w:id="807"/>
      <w:bookmarkEnd w:id="808"/>
      <w:bookmarkEnd w:id="809"/>
    </w:p>
    <w:p w14:paraId="0C8D9D2F">
      <w:pPr>
        <w:pStyle w:val="40"/>
        <w:spacing w:line="360" w:lineRule="exact"/>
        <w:ind w:firstLine="442" w:firstLineChars="200"/>
        <w:rPr>
          <w:rFonts w:hint="eastAsia" w:ascii="宋体" w:hAnsi="宋体" w:cs="宋体"/>
          <w:color w:val="auto"/>
          <w:sz w:val="22"/>
          <w:szCs w:val="22"/>
        </w:rPr>
      </w:pPr>
      <w:bookmarkStart w:id="810" w:name="_Toc373227747"/>
      <w:bookmarkStart w:id="811" w:name="_Toc395382550"/>
      <w:bookmarkStart w:id="812" w:name="_Toc12975938"/>
      <w:bookmarkStart w:id="813" w:name="_Toc373478394"/>
      <w:bookmarkStart w:id="814" w:name="_Toc533432773"/>
      <w:bookmarkStart w:id="815" w:name="_Toc389065313"/>
      <w:bookmarkStart w:id="816" w:name="_Toc296503201"/>
      <w:bookmarkStart w:id="817" w:name="_Toc296944540"/>
      <w:bookmarkStart w:id="818" w:name="_Toc292559911"/>
      <w:bookmarkStart w:id="819" w:name="_Toc296891029"/>
      <w:bookmarkStart w:id="820" w:name="_Toc296346702"/>
      <w:bookmarkStart w:id="821" w:name="_Toc297123550"/>
      <w:bookmarkStart w:id="822" w:name="_Toc297048387"/>
      <w:bookmarkStart w:id="823" w:name="_Toc312678039"/>
      <w:bookmarkStart w:id="824" w:name="_Toc296347200"/>
      <w:bookmarkStart w:id="825" w:name="_Toc292559406"/>
      <w:bookmarkStart w:id="826" w:name="_Toc297120501"/>
      <w:bookmarkStart w:id="827" w:name="_Toc297216209"/>
      <w:bookmarkStart w:id="828" w:name="_Toc304295577"/>
      <w:bookmarkStart w:id="829" w:name="_Toc296891241"/>
      <w:bookmarkStart w:id="830" w:name="_Toc300935000"/>
      <w:bookmarkStart w:id="831" w:name="_Toc303539157"/>
      <w:r>
        <w:rPr>
          <w:rFonts w:hint="eastAsia" w:ascii="宋体" w:hAnsi="宋体" w:cs="宋体"/>
          <w:color w:val="auto"/>
          <w:sz w:val="22"/>
          <w:szCs w:val="22"/>
        </w:rPr>
        <w:t>11.1 市场价格波动引起的调整</w:t>
      </w:r>
      <w:bookmarkEnd w:id="810"/>
      <w:bookmarkEnd w:id="811"/>
      <w:bookmarkEnd w:id="812"/>
      <w:bookmarkEnd w:id="813"/>
      <w:bookmarkEnd w:id="814"/>
      <w:bookmarkEnd w:id="815"/>
    </w:p>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7D851689">
      <w:pPr>
        <w:pStyle w:val="73"/>
        <w:spacing w:line="360" w:lineRule="exact"/>
        <w:ind w:firstLine="416" w:firstLineChars="200"/>
        <w:rPr>
          <w:rFonts w:hint="eastAsia" w:ascii="宋体" w:hAnsi="宋体" w:cs="宋体"/>
          <w:color w:val="auto"/>
          <w:sz w:val="22"/>
          <w:highlight w:val="none"/>
        </w:rPr>
      </w:pPr>
      <w:r>
        <w:rPr>
          <w:rFonts w:hint="eastAsia" w:ascii="宋体" w:hAnsi="宋体" w:cs="宋体"/>
          <w:color w:val="auto"/>
          <w:spacing w:val="-6"/>
          <w:kern w:val="0"/>
          <w:sz w:val="22"/>
        </w:rPr>
        <w:t>采用可调价格形式的工程项目价格调整的条件是：主要材</w:t>
      </w:r>
      <w:r>
        <w:rPr>
          <w:rFonts w:hint="eastAsia" w:ascii="宋体" w:hAnsi="宋体" w:cs="宋体"/>
          <w:color w:val="auto"/>
          <w:spacing w:val="-6"/>
          <w:kern w:val="0"/>
          <w:sz w:val="22"/>
          <w:highlight w:val="none"/>
        </w:rPr>
        <w:t>料价格上涨或下调超过</w:t>
      </w:r>
      <w:bookmarkStart w:id="1252" w:name="_GoBack"/>
      <w:bookmarkEnd w:id="1252"/>
      <w:r>
        <w:rPr>
          <w:rFonts w:hint="eastAsia" w:ascii="宋体" w:hAnsi="宋体" w:cs="宋体"/>
          <w:color w:val="auto"/>
          <w:spacing w:val="-6"/>
          <w:kern w:val="0"/>
          <w:sz w:val="22"/>
          <w:highlight w:val="none"/>
        </w:rPr>
        <w:t>5%时（价格以当期防城港市建设工程造价信息为准），可对超出</w:t>
      </w:r>
      <w:r>
        <w:rPr>
          <w:rFonts w:hint="eastAsia" w:ascii="宋体" w:hAnsi="宋体" w:cs="宋体"/>
          <w:color w:val="auto"/>
          <w:spacing w:val="-6"/>
          <w:kern w:val="0"/>
          <w:sz w:val="22"/>
          <w:highlight w:val="none"/>
          <w:lang w:val="en-US" w:eastAsia="zh-CN"/>
        </w:rPr>
        <w:t>5</w:t>
      </w:r>
      <w:r>
        <w:rPr>
          <w:rFonts w:hint="eastAsia" w:ascii="宋体" w:hAnsi="宋体" w:cs="宋体"/>
          <w:color w:val="auto"/>
          <w:spacing w:val="-6"/>
          <w:kern w:val="0"/>
          <w:sz w:val="22"/>
          <w:highlight w:val="none"/>
        </w:rPr>
        <w:t>%的部分进行协商调价，</w:t>
      </w:r>
      <w:r>
        <w:rPr>
          <w:rFonts w:hint="eastAsia" w:ascii="宋体" w:hAnsi="宋体" w:cs="宋体"/>
          <w:color w:val="auto"/>
          <w:spacing w:val="-6"/>
          <w:kern w:val="0"/>
          <w:sz w:val="22"/>
          <w:highlight w:val="none"/>
          <w:lang w:val="en-US" w:eastAsia="zh-CN"/>
        </w:rPr>
        <w:t>5</w:t>
      </w:r>
      <w:r>
        <w:rPr>
          <w:rFonts w:hint="eastAsia" w:ascii="宋体" w:hAnsi="宋体" w:cs="宋体"/>
          <w:color w:val="auto"/>
          <w:spacing w:val="-6"/>
          <w:kern w:val="0"/>
          <w:sz w:val="22"/>
          <w:highlight w:val="none"/>
        </w:rPr>
        <w:t>%（含</w:t>
      </w:r>
      <w:r>
        <w:rPr>
          <w:rFonts w:hint="eastAsia" w:ascii="宋体" w:hAnsi="宋体" w:cs="宋体"/>
          <w:color w:val="auto"/>
          <w:spacing w:val="-6"/>
          <w:kern w:val="0"/>
          <w:sz w:val="22"/>
          <w:highlight w:val="none"/>
          <w:lang w:val="en-US" w:eastAsia="zh-CN"/>
        </w:rPr>
        <w:t>5</w:t>
      </w:r>
      <w:r>
        <w:rPr>
          <w:rFonts w:hint="eastAsia" w:ascii="宋体" w:hAnsi="宋体" w:cs="宋体"/>
          <w:color w:val="auto"/>
          <w:spacing w:val="-6"/>
          <w:kern w:val="0"/>
          <w:sz w:val="22"/>
          <w:highlight w:val="none"/>
        </w:rPr>
        <w:t>%）以内部分不做调整。</w:t>
      </w:r>
    </w:p>
    <w:p w14:paraId="06E89A2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市场价格波动是否调整合同价格的约定：</w:t>
      </w:r>
      <w:r>
        <w:rPr>
          <w:rFonts w:hint="eastAsia" w:ascii="宋体" w:hAnsi="宋体" w:cs="宋体"/>
          <w:color w:val="auto"/>
          <w:sz w:val="22"/>
          <w:u w:val="single"/>
        </w:rPr>
        <w:t>调整</w:t>
      </w:r>
      <w:r>
        <w:rPr>
          <w:rFonts w:hint="eastAsia" w:ascii="宋体" w:hAnsi="宋体" w:cs="宋体"/>
          <w:color w:val="auto"/>
          <w:sz w:val="22"/>
          <w:u w:val="none"/>
        </w:rPr>
        <w:t>。</w:t>
      </w:r>
    </w:p>
    <w:p w14:paraId="1B76A524">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因市场价格波动调整合同价格，采用以下第</w:t>
      </w:r>
      <w:r>
        <w:rPr>
          <w:rFonts w:hint="eastAsia" w:ascii="宋体" w:hAnsi="宋体" w:cs="宋体"/>
          <w:color w:val="auto"/>
          <w:sz w:val="22"/>
          <w:u w:val="single"/>
        </w:rPr>
        <w:t xml:space="preserve"> 3 </w:t>
      </w:r>
      <w:r>
        <w:rPr>
          <w:rFonts w:hint="eastAsia" w:ascii="宋体" w:hAnsi="宋体" w:cs="宋体"/>
          <w:color w:val="auto"/>
          <w:sz w:val="22"/>
        </w:rPr>
        <w:t>种方式对合同价格进行调整：</w:t>
      </w:r>
    </w:p>
    <w:p w14:paraId="0E88C9A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第1种方式：采用价格指数进行价格调整。</w:t>
      </w:r>
    </w:p>
    <w:p w14:paraId="6DCA9E35">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关于各可调因子、定值和变值权重，以及基本价格指数及其来源的约定：</w:t>
      </w:r>
      <w:r>
        <w:rPr>
          <w:rFonts w:hint="eastAsia" w:ascii="宋体" w:hAnsi="宋体" w:cs="宋体"/>
          <w:color w:val="auto"/>
          <w:sz w:val="22"/>
          <w:u w:val="single"/>
        </w:rPr>
        <w:t xml:space="preserve">   </w:t>
      </w:r>
      <w:r>
        <w:rPr>
          <w:rFonts w:hint="eastAsia" w:ascii="宋体" w:hAnsi="宋体" w:cs="宋体"/>
          <w:color w:val="auto"/>
          <w:sz w:val="22"/>
        </w:rPr>
        <w:t xml:space="preserve">；  </w:t>
      </w:r>
    </w:p>
    <w:p w14:paraId="7BE163B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第2种方式：采用造价信息进行价格调整。</w:t>
      </w:r>
    </w:p>
    <w:p w14:paraId="27D95A3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（1）允许调整的主要材料（设备）、基期价格、风险系数、磋商报价：详见《承包人提供主要材料和设备一览表》。</w:t>
      </w:r>
    </w:p>
    <w:p w14:paraId="7F64B8DD">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（2）主要材料确认价：</w:t>
      </w:r>
    </w:p>
    <w:p w14:paraId="4AF5CF30">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按施工期间《</w:t>
      </w:r>
      <w:r>
        <w:rPr>
          <w:rFonts w:hint="eastAsia" w:ascii="宋体" w:hAnsi="宋体" w:cs="宋体"/>
          <w:color w:val="auto"/>
          <w:sz w:val="22"/>
          <w:u w:val="single"/>
        </w:rPr>
        <w:t xml:space="preserve"> 防城港 </w:t>
      </w:r>
      <w:r>
        <w:rPr>
          <w:rFonts w:hint="eastAsia" w:ascii="宋体" w:hAnsi="宋体" w:cs="宋体"/>
          <w:color w:val="auto"/>
          <w:sz w:val="22"/>
        </w:rPr>
        <w:t>市建设工程造价信息》加权平均计算，信息价没有的按</w:t>
      </w:r>
      <w:r>
        <w:rPr>
          <w:rFonts w:hint="eastAsia" w:ascii="宋体" w:hAnsi="宋体" w:cs="宋体"/>
          <w:color w:val="auto"/>
          <w:sz w:val="22"/>
          <w:lang w:eastAsia="zh-CN"/>
        </w:rPr>
        <w:t>通用合同条款</w:t>
      </w:r>
      <w:r>
        <w:rPr>
          <w:rFonts w:hint="eastAsia" w:ascii="宋体" w:hAnsi="宋体" w:cs="宋体"/>
          <w:color w:val="auto"/>
          <w:sz w:val="22"/>
        </w:rPr>
        <w:t>规定确定。</w:t>
      </w:r>
    </w:p>
    <w:p w14:paraId="601C634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（3）价差计算方法：</w:t>
      </w:r>
    </w:p>
    <w:p w14:paraId="6C2906A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①《承包人提供主要材料和设备一览表》中载明的材料磋商报价低于基准价格的：合同履行期间材料单价涨幅以基准价格为基础超过约定的风险范围时，或材料单价跌幅以磋商报价为基础超过约定的风险范围时，其超过部分据实调整。</w:t>
      </w:r>
    </w:p>
    <w:p w14:paraId="2E00C7F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②承包人在《承包人提供主要材料和设备一览表》中载明的材料和设备磋商的风险范围时，材料和设备单价涨幅以磋商报价为基础超过约定的风险范围时，其超过部分据实调整。</w:t>
      </w:r>
    </w:p>
    <w:p w14:paraId="77A6FF6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③承包人在《承包人提供主要材料和设备一览表》中载明的材料和设备单价等于基准单价的：合同履行期间材料和 设备单价涨跌幅以基准单价为基础超过约定的风险范围时，其超过部分据实调整。</w:t>
      </w:r>
    </w:p>
    <w:p w14:paraId="511A4EE4">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第3种方式：</w:t>
      </w:r>
      <w:r>
        <w:rPr>
          <w:rFonts w:hint="eastAsia" w:ascii="宋体" w:hAnsi="宋体" w:cs="宋体"/>
          <w:color w:val="auto"/>
          <w:sz w:val="22"/>
          <w:u w:val="single"/>
        </w:rPr>
        <w:t>在合同工期范围内，乙方须承担主</w:t>
      </w:r>
      <w:r>
        <w:rPr>
          <w:rFonts w:hint="eastAsia" w:ascii="宋体" w:hAnsi="宋体" w:cs="宋体"/>
          <w:color w:val="auto"/>
          <w:sz w:val="22"/>
          <w:highlight w:val="none"/>
          <w:u w:val="single"/>
        </w:rPr>
        <w:t>要材料±</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5%以内（含±</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5%）的材料价格风险， 超出±</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u w:val="single"/>
        </w:rPr>
        <w:t>5%的部分甲乙双方协商调价，以磋商控制价采用的</w:t>
      </w:r>
      <w:r>
        <w:rPr>
          <w:rFonts w:hint="eastAsia" w:ascii="宋体" w:hAnsi="宋体" w:cs="宋体"/>
          <w:color w:val="auto"/>
          <w:sz w:val="22"/>
          <w:u w:val="single"/>
        </w:rPr>
        <w:t>《防城港市建设工程造价信息》上发布的市场价格信息确定为基准材料价格</w:t>
      </w:r>
      <w:r>
        <w:rPr>
          <w:rFonts w:hint="eastAsia" w:ascii="宋体" w:hAnsi="宋体" w:cs="宋体"/>
          <w:color w:val="auto"/>
          <w:sz w:val="22"/>
        </w:rPr>
        <w:t xml:space="preserve"> 。</w:t>
      </w:r>
    </w:p>
    <w:p w14:paraId="7C9BD762">
      <w:pPr>
        <w:pStyle w:val="41"/>
        <w:spacing w:line="360" w:lineRule="exact"/>
        <w:ind w:firstLine="442" w:firstLineChars="200"/>
        <w:jc w:val="left"/>
        <w:rPr>
          <w:rFonts w:hint="eastAsia" w:ascii="宋体" w:hAnsi="宋体" w:cs="宋体"/>
          <w:b/>
          <w:bCs/>
          <w:color w:val="auto"/>
          <w:sz w:val="22"/>
        </w:rPr>
      </w:pPr>
      <w:r>
        <w:rPr>
          <w:rFonts w:hint="eastAsia" w:ascii="宋体" w:hAnsi="宋体" w:cs="宋体"/>
          <w:b/>
          <w:bCs/>
          <w:color w:val="auto"/>
          <w:sz w:val="22"/>
        </w:rPr>
        <w:t xml:space="preserve">11.2 不平衡报价调整方式 </w:t>
      </w:r>
    </w:p>
    <w:p w14:paraId="46ABE82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 xml:space="preserve">    按防住建发〔2016〕31号文《防城港市政府投资项目房屋建筑和市政基础设施工程严重不平衡报价修正暂行办法》的规定进行修正。</w:t>
      </w:r>
    </w:p>
    <w:bookmarkEnd w:id="670"/>
    <w:bookmarkEnd w:id="671"/>
    <w:bookmarkEnd w:id="672"/>
    <w:bookmarkEnd w:id="673"/>
    <w:bookmarkEnd w:id="674"/>
    <w:bookmarkEnd w:id="675"/>
    <w:p w14:paraId="307C24C2">
      <w:pPr>
        <w:pStyle w:val="71"/>
        <w:spacing w:before="0" w:after="0" w:line="360" w:lineRule="exact"/>
        <w:ind w:firstLine="442" w:firstLineChars="200"/>
        <w:rPr>
          <w:rFonts w:hint="eastAsia" w:ascii="宋体" w:hAnsi="宋体" w:cs="宋体"/>
          <w:color w:val="auto"/>
          <w:sz w:val="22"/>
          <w:szCs w:val="22"/>
        </w:rPr>
      </w:pPr>
      <w:bookmarkStart w:id="832" w:name="_Toc297048391"/>
      <w:bookmarkStart w:id="833" w:name="_Toc296503205"/>
      <w:bookmarkStart w:id="834" w:name="_Toc296891245"/>
      <w:bookmarkStart w:id="835" w:name="_Toc296944544"/>
      <w:bookmarkStart w:id="836" w:name="_Toc296891033"/>
      <w:bookmarkStart w:id="837" w:name="_Toc292559410"/>
      <w:bookmarkStart w:id="838" w:name="_Toc296346706"/>
      <w:bookmarkStart w:id="839" w:name="_Toc296347204"/>
      <w:bookmarkStart w:id="840" w:name="_Toc292559915"/>
      <w:bookmarkStart w:id="841" w:name="_Toc297120505"/>
      <w:bookmarkStart w:id="842" w:name="_Toc351203644"/>
      <w:bookmarkStart w:id="843" w:name="_Toc12975939"/>
      <w:bookmarkStart w:id="844" w:name="_Toc373478395"/>
      <w:bookmarkStart w:id="845" w:name="_Toc373227748"/>
      <w:bookmarkStart w:id="846" w:name="_Toc533432774"/>
      <w:bookmarkStart w:id="847" w:name="_Toc395382551"/>
      <w:bookmarkStart w:id="848" w:name="_Toc312678040"/>
      <w:bookmarkStart w:id="849" w:name="_Toc297123552"/>
      <w:bookmarkStart w:id="850" w:name="_Toc304295579"/>
      <w:bookmarkStart w:id="851" w:name="_Toc297216211"/>
      <w:bookmarkStart w:id="852" w:name="_Toc300935002"/>
      <w:bookmarkStart w:id="853" w:name="_Toc303539159"/>
      <w:r>
        <w:rPr>
          <w:rFonts w:hint="eastAsia" w:ascii="宋体" w:hAnsi="宋体" w:cs="宋体"/>
          <w:color w:val="auto"/>
          <w:sz w:val="22"/>
          <w:szCs w:val="22"/>
        </w:rPr>
        <w:t xml:space="preserve">12. </w:t>
      </w:r>
      <w:bookmarkEnd w:id="832"/>
      <w:bookmarkEnd w:id="833"/>
      <w:bookmarkEnd w:id="834"/>
      <w:bookmarkEnd w:id="835"/>
      <w:bookmarkEnd w:id="836"/>
      <w:bookmarkEnd w:id="837"/>
      <w:bookmarkEnd w:id="838"/>
      <w:bookmarkEnd w:id="839"/>
      <w:bookmarkEnd w:id="840"/>
      <w:bookmarkEnd w:id="841"/>
      <w:r>
        <w:rPr>
          <w:rFonts w:hint="eastAsia" w:ascii="宋体" w:hAnsi="宋体" w:cs="宋体"/>
          <w:color w:val="auto"/>
          <w:sz w:val="22"/>
          <w:szCs w:val="22"/>
        </w:rPr>
        <w:t>合同价格、计量与支付</w:t>
      </w:r>
      <w:bookmarkEnd w:id="842"/>
      <w:bookmarkEnd w:id="843"/>
      <w:bookmarkEnd w:id="844"/>
      <w:bookmarkEnd w:id="845"/>
      <w:bookmarkEnd w:id="846"/>
      <w:bookmarkEnd w:id="847"/>
    </w:p>
    <w:bookmarkEnd w:id="848"/>
    <w:bookmarkEnd w:id="849"/>
    <w:bookmarkEnd w:id="850"/>
    <w:bookmarkEnd w:id="851"/>
    <w:bookmarkEnd w:id="852"/>
    <w:bookmarkEnd w:id="853"/>
    <w:p w14:paraId="7C5DCF42">
      <w:pPr>
        <w:pStyle w:val="40"/>
        <w:spacing w:line="360" w:lineRule="exact"/>
        <w:ind w:firstLine="442" w:firstLineChars="200"/>
        <w:rPr>
          <w:rFonts w:hint="eastAsia" w:ascii="宋体" w:hAnsi="宋体" w:cs="宋体"/>
          <w:color w:val="auto"/>
          <w:sz w:val="22"/>
          <w:szCs w:val="22"/>
        </w:rPr>
      </w:pPr>
      <w:bookmarkStart w:id="854" w:name="_Toc292559916"/>
      <w:bookmarkStart w:id="855" w:name="_Toc292559411"/>
      <w:bookmarkStart w:id="856" w:name="_Toc267251461"/>
      <w:bookmarkStart w:id="857" w:name="_Toc297120506"/>
      <w:bookmarkStart w:id="858" w:name="_Toc297048392"/>
      <w:bookmarkStart w:id="859" w:name="_Toc296891246"/>
      <w:bookmarkStart w:id="860" w:name="_Toc296891034"/>
      <w:bookmarkStart w:id="861" w:name="_Toc296347205"/>
      <w:bookmarkStart w:id="862" w:name="_Toc296346707"/>
      <w:bookmarkStart w:id="863" w:name="_Toc296944545"/>
      <w:bookmarkStart w:id="864" w:name="_Toc296503206"/>
      <w:bookmarkStart w:id="865" w:name="_Toc533432775"/>
      <w:bookmarkStart w:id="866" w:name="_Toc12975940"/>
      <w:bookmarkStart w:id="867" w:name="_Toc373227749"/>
      <w:bookmarkStart w:id="868" w:name="_Toc389065314"/>
      <w:bookmarkStart w:id="869" w:name="_Toc373478396"/>
      <w:bookmarkStart w:id="870" w:name="_Toc395382552"/>
      <w:bookmarkStart w:id="871" w:name="_Toc303539160"/>
      <w:bookmarkStart w:id="872" w:name="_Toc297123553"/>
      <w:bookmarkStart w:id="873" w:name="_Toc300935003"/>
      <w:bookmarkStart w:id="874" w:name="_Toc304295580"/>
      <w:bookmarkStart w:id="875" w:name="_Toc297216212"/>
      <w:bookmarkStart w:id="876" w:name="_Toc312678041"/>
      <w:r>
        <w:rPr>
          <w:rFonts w:hint="eastAsia" w:ascii="宋体" w:hAnsi="宋体" w:cs="宋体"/>
          <w:color w:val="auto"/>
          <w:sz w:val="22"/>
          <w:szCs w:val="22"/>
        </w:rPr>
        <w:t>12.1 合</w:t>
      </w:r>
      <w:bookmarkEnd w:id="854"/>
      <w:bookmarkEnd w:id="855"/>
      <w:bookmarkEnd w:id="856"/>
      <w:r>
        <w:rPr>
          <w:rFonts w:hint="eastAsia" w:ascii="宋体" w:hAnsi="宋体" w:cs="宋体"/>
          <w:color w:val="auto"/>
          <w:sz w:val="22"/>
          <w:szCs w:val="22"/>
        </w:rPr>
        <w:t>同价</w:t>
      </w:r>
      <w:bookmarkEnd w:id="857"/>
      <w:bookmarkEnd w:id="858"/>
      <w:bookmarkEnd w:id="859"/>
      <w:bookmarkEnd w:id="860"/>
      <w:bookmarkEnd w:id="861"/>
      <w:bookmarkEnd w:id="862"/>
      <w:bookmarkEnd w:id="863"/>
      <w:bookmarkEnd w:id="864"/>
      <w:r>
        <w:rPr>
          <w:rFonts w:hint="eastAsia" w:ascii="宋体" w:hAnsi="宋体" w:cs="宋体"/>
          <w:color w:val="auto"/>
          <w:sz w:val="22"/>
          <w:szCs w:val="22"/>
        </w:rPr>
        <w:t>格形式</w:t>
      </w:r>
      <w:bookmarkEnd w:id="865"/>
      <w:bookmarkEnd w:id="866"/>
      <w:bookmarkEnd w:id="867"/>
      <w:bookmarkEnd w:id="868"/>
      <w:bookmarkEnd w:id="869"/>
      <w:bookmarkEnd w:id="870"/>
    </w:p>
    <w:p w14:paraId="0FAAAE96">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 xml:space="preserve">     本工程采用</w:t>
      </w:r>
      <w:r>
        <w:rPr>
          <w:rFonts w:hint="eastAsia" w:ascii="宋体" w:hAnsi="宋体" w:cs="宋体"/>
          <w:color w:val="auto"/>
          <w:sz w:val="22"/>
          <w:u w:val="single"/>
        </w:rPr>
        <w:t xml:space="preserve">  固定单价  </w:t>
      </w:r>
      <w:r>
        <w:rPr>
          <w:rFonts w:hint="eastAsia" w:ascii="宋体" w:hAnsi="宋体" w:cs="宋体"/>
          <w:color w:val="auto"/>
          <w:sz w:val="22"/>
        </w:rPr>
        <w:t>合同价格形式。</w:t>
      </w:r>
    </w:p>
    <w:bookmarkEnd w:id="871"/>
    <w:bookmarkEnd w:id="872"/>
    <w:bookmarkEnd w:id="873"/>
    <w:bookmarkEnd w:id="874"/>
    <w:bookmarkEnd w:id="875"/>
    <w:bookmarkEnd w:id="876"/>
    <w:p w14:paraId="6C9D5B1D">
      <w:pPr>
        <w:pStyle w:val="41"/>
        <w:spacing w:line="360" w:lineRule="exact"/>
        <w:ind w:firstLine="440" w:firstLineChars="200"/>
        <w:jc w:val="left"/>
        <w:rPr>
          <w:rFonts w:hint="eastAsia" w:ascii="宋体" w:hAnsi="宋体" w:cs="宋体"/>
          <w:color w:val="auto"/>
          <w:sz w:val="22"/>
        </w:rPr>
      </w:pPr>
      <w:bookmarkStart w:id="877" w:name="_Toc373478397"/>
      <w:bookmarkStart w:id="878" w:name="_Toc297216213"/>
      <w:bookmarkStart w:id="879" w:name="_Toc300935004"/>
      <w:bookmarkStart w:id="880" w:name="_Toc389065315"/>
      <w:bookmarkStart w:id="881" w:name="_Toc312678042"/>
      <w:bookmarkStart w:id="882" w:name="_Toc373227750"/>
      <w:bookmarkStart w:id="883" w:name="_Toc304295581"/>
      <w:bookmarkStart w:id="884" w:name="_Toc303539161"/>
      <w:bookmarkStart w:id="885" w:name="_Toc297123554"/>
      <w:bookmarkStart w:id="886" w:name="_Toc296346708"/>
      <w:bookmarkStart w:id="887" w:name="_Toc296503207"/>
      <w:bookmarkStart w:id="888" w:name="_Toc296944546"/>
      <w:bookmarkStart w:id="889" w:name="_Toc292559917"/>
      <w:bookmarkStart w:id="890" w:name="_Toc292559412"/>
      <w:bookmarkStart w:id="891" w:name="_Toc297120507"/>
      <w:bookmarkStart w:id="892" w:name="_Toc297048393"/>
      <w:bookmarkStart w:id="893" w:name="_Toc296347206"/>
      <w:bookmarkStart w:id="894" w:name="_Toc296891035"/>
      <w:bookmarkStart w:id="895" w:name="_Toc296891247"/>
      <w:r>
        <w:rPr>
          <w:rFonts w:hint="eastAsia" w:ascii="宋体" w:hAnsi="宋体" w:cs="宋体"/>
          <w:color w:val="auto"/>
          <w:sz w:val="22"/>
        </w:rPr>
        <w:t>（1）单价合同。</w:t>
      </w:r>
    </w:p>
    <w:p w14:paraId="1CA9B67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单价合同采用固定综合单价方式确定，工程量按实际结算。</w:t>
      </w:r>
    </w:p>
    <w:p w14:paraId="3C39088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综合单价包含的风险范围：</w:t>
      </w:r>
      <w:r>
        <w:rPr>
          <w:rFonts w:hint="eastAsia" w:ascii="宋体" w:hAnsi="宋体" w:cs="宋体"/>
          <w:color w:val="auto"/>
          <w:sz w:val="22"/>
          <w:u w:val="single"/>
        </w:rPr>
        <w:t>除工程变更、本工程约定的市场价格波动风险和政策性（颁布单位为地级市以上（不包含地级市）单位颁布的文件才属于政策性文件）调整以外的其他风险</w:t>
      </w:r>
      <w:r>
        <w:rPr>
          <w:rFonts w:hint="eastAsia" w:ascii="宋体" w:hAnsi="宋体" w:cs="宋体"/>
          <w:color w:val="auto"/>
          <w:sz w:val="22"/>
        </w:rPr>
        <w:t>。</w:t>
      </w:r>
    </w:p>
    <w:p w14:paraId="364FE59D">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风险范围以外合同价格的调整方法：</w:t>
      </w:r>
    </w:p>
    <w:p w14:paraId="41986DA6">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①工程变更：按10.4.1变更估价原则的约定调整。</w:t>
      </w:r>
    </w:p>
    <w:p w14:paraId="6173A22F">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②政策性调整：按自治区建设行政主管部门颁布的文件执行。</w:t>
      </w:r>
    </w:p>
    <w:p w14:paraId="08549069">
      <w:pPr>
        <w:pStyle w:val="57"/>
        <w:spacing w:line="360" w:lineRule="exact"/>
        <w:ind w:firstLine="440" w:firstLineChars="200"/>
        <w:rPr>
          <w:rFonts w:hint="eastAsia" w:hAnsi="宋体" w:cs="宋体"/>
          <w:color w:val="auto"/>
          <w:sz w:val="22"/>
          <w:szCs w:val="22"/>
        </w:rPr>
      </w:pPr>
      <w:r>
        <w:rPr>
          <w:rFonts w:hint="eastAsia" w:hAnsi="宋体" w:cs="宋体"/>
          <w:color w:val="auto"/>
          <w:sz w:val="22"/>
          <w:szCs w:val="22"/>
        </w:rPr>
        <w:t>③材料价格风险：按11.1的约定调整。</w:t>
      </w:r>
    </w:p>
    <w:p w14:paraId="08E8E944">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④其它：</w:t>
      </w:r>
      <w:r>
        <w:rPr>
          <w:rFonts w:hint="eastAsia" w:ascii="宋体" w:hAnsi="宋体" w:cs="宋体"/>
          <w:color w:val="auto"/>
          <w:sz w:val="22"/>
          <w:u w:val="single"/>
        </w:rPr>
        <w:t xml:space="preserve">  / </w:t>
      </w:r>
      <w:r>
        <w:rPr>
          <w:rFonts w:hint="eastAsia" w:ascii="宋体" w:hAnsi="宋体" w:cs="宋体"/>
          <w:color w:val="auto"/>
          <w:sz w:val="22"/>
        </w:rPr>
        <w:t>。</w:t>
      </w:r>
    </w:p>
    <w:p w14:paraId="03FA19D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w:t>
      </w:r>
    </w:p>
    <w:p w14:paraId="67857A2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总价包含的风险范围：</w:t>
      </w:r>
      <w:r>
        <w:rPr>
          <w:rFonts w:hint="eastAsia" w:ascii="宋体" w:hAnsi="宋体" w:cs="宋体"/>
          <w:color w:val="auto"/>
          <w:sz w:val="22"/>
          <w:u w:val="single"/>
        </w:rPr>
        <w:t xml:space="preserve">  / </w:t>
      </w:r>
      <w:r>
        <w:rPr>
          <w:rFonts w:hint="eastAsia" w:ascii="宋体" w:hAnsi="宋体" w:cs="宋体"/>
          <w:color w:val="auto"/>
          <w:sz w:val="22"/>
        </w:rPr>
        <w:t>。</w:t>
      </w:r>
    </w:p>
    <w:p w14:paraId="72307A5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风险范围以外合同价格的调整方法：</w:t>
      </w:r>
      <w:r>
        <w:rPr>
          <w:rFonts w:hint="eastAsia" w:ascii="宋体" w:hAnsi="宋体" w:cs="宋体"/>
          <w:color w:val="auto"/>
          <w:sz w:val="22"/>
          <w:u w:val="single"/>
        </w:rPr>
        <w:t xml:space="preserve">  / </w:t>
      </w:r>
      <w:r>
        <w:rPr>
          <w:rFonts w:hint="eastAsia" w:ascii="宋体" w:hAnsi="宋体" w:cs="宋体"/>
          <w:color w:val="auto"/>
          <w:sz w:val="22"/>
        </w:rPr>
        <w:t>。</w:t>
      </w:r>
    </w:p>
    <w:p w14:paraId="79120CB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（3）其他价格方式：</w:t>
      </w:r>
      <w:r>
        <w:rPr>
          <w:rFonts w:hint="eastAsia" w:ascii="宋体" w:hAnsi="宋体" w:cs="宋体"/>
          <w:color w:val="auto"/>
          <w:sz w:val="22"/>
          <w:u w:val="single"/>
        </w:rPr>
        <w:t xml:space="preserve">  / </w:t>
      </w:r>
      <w:r>
        <w:rPr>
          <w:rFonts w:hint="eastAsia" w:ascii="宋体" w:hAnsi="宋体" w:cs="宋体"/>
          <w:color w:val="auto"/>
          <w:sz w:val="22"/>
        </w:rPr>
        <w:t>。</w:t>
      </w:r>
    </w:p>
    <w:p w14:paraId="31F98D00">
      <w:pPr>
        <w:pStyle w:val="40"/>
        <w:spacing w:line="360" w:lineRule="exact"/>
        <w:ind w:firstLine="442" w:firstLineChars="200"/>
        <w:rPr>
          <w:rFonts w:hint="eastAsia" w:ascii="宋体" w:hAnsi="宋体" w:cs="宋体"/>
          <w:color w:val="auto"/>
          <w:sz w:val="22"/>
          <w:szCs w:val="22"/>
        </w:rPr>
      </w:pPr>
      <w:bookmarkStart w:id="896" w:name="_Toc395382553"/>
      <w:bookmarkStart w:id="897" w:name="_Toc533432776"/>
      <w:bookmarkStart w:id="898" w:name="_Toc12975941"/>
      <w:r>
        <w:rPr>
          <w:rFonts w:hint="eastAsia" w:ascii="宋体" w:hAnsi="宋体" w:cs="宋体"/>
          <w:color w:val="auto"/>
          <w:sz w:val="22"/>
          <w:szCs w:val="22"/>
        </w:rPr>
        <w:t>12.2 预付款</w:t>
      </w:r>
      <w:bookmarkEnd w:id="877"/>
      <w:bookmarkEnd w:id="878"/>
      <w:bookmarkEnd w:id="879"/>
      <w:bookmarkEnd w:id="880"/>
      <w:bookmarkEnd w:id="881"/>
      <w:bookmarkEnd w:id="882"/>
      <w:bookmarkEnd w:id="883"/>
      <w:bookmarkEnd w:id="884"/>
      <w:bookmarkEnd w:id="885"/>
      <w:bookmarkEnd w:id="896"/>
      <w:bookmarkEnd w:id="897"/>
      <w:bookmarkEnd w:id="898"/>
    </w:p>
    <w:p w14:paraId="5DE55427">
      <w:pPr>
        <w:pStyle w:val="55"/>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12.2.1在以下方式中选择其一，作为双方对预付款保函的约定。</w:t>
      </w:r>
    </w:p>
    <w:p w14:paraId="7401E7DD">
      <w:pPr>
        <w:pStyle w:val="55"/>
        <w:spacing w:line="360" w:lineRule="exact"/>
        <w:ind w:firstLine="442" w:firstLineChars="200"/>
        <w:rPr>
          <w:rFonts w:hint="eastAsia" w:ascii="宋体" w:hAnsi="宋体" w:cs="宋体"/>
          <w:color w:val="auto"/>
          <w:sz w:val="22"/>
          <w:szCs w:val="22"/>
        </w:rPr>
      </w:pPr>
      <w:r>
        <w:rPr>
          <w:rFonts w:hint="eastAsia" w:ascii="宋体" w:hAnsi="宋体" w:cs="宋体"/>
          <w:b/>
          <w:bCs/>
          <w:color w:val="auto"/>
          <w:sz w:val="22"/>
          <w:szCs w:val="22"/>
        </w:rPr>
        <w:t xml:space="preserve"> </w:t>
      </w:r>
      <w:r>
        <w:rPr>
          <w:rFonts w:hint="eastAsia" w:ascii="宋体" w:hAnsi="宋体" w:cs="宋体"/>
          <w:color w:val="auto"/>
          <w:sz w:val="22"/>
          <w:szCs w:val="22"/>
        </w:rPr>
        <w:t>承包人不提交预付款保函。</w:t>
      </w:r>
    </w:p>
    <w:p w14:paraId="5C38D338">
      <w:pPr>
        <w:pStyle w:val="55"/>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rPr>
        <w:t> 承包人提交预付款保函的格式、金额</w:t>
      </w:r>
      <w:r>
        <w:rPr>
          <w:rFonts w:hint="eastAsia" w:ascii="宋体" w:hAnsi="宋体" w:cs="宋体"/>
          <w:color w:val="auto"/>
          <w:sz w:val="22"/>
          <w:szCs w:val="22"/>
          <w:highlight w:val="none"/>
        </w:rPr>
        <w:t>和时</w:t>
      </w:r>
      <w:r>
        <w:rPr>
          <w:rFonts w:hint="eastAsia" w:ascii="宋体" w:hAnsi="宋体" w:cs="宋体"/>
          <w:color w:val="auto"/>
          <w:sz w:val="22"/>
          <w:szCs w:val="22"/>
          <w:highlight w:val="none"/>
          <w:lang w:val="en-US" w:eastAsia="zh-CN"/>
        </w:rPr>
        <w:t>间</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拨付预付款前，预付款担保的形式银行转账、电汇或网上支付、银行保函、工程担保、工程保证保险。</w:t>
      </w:r>
    </w:p>
    <w:p w14:paraId="0CE4925D">
      <w:pPr>
        <w:pStyle w:val="55"/>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12.2.2预付款</w:t>
      </w:r>
    </w:p>
    <w:p w14:paraId="134F9861">
      <w:pPr>
        <w:pStyle w:val="55"/>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12.2.3 预付款金额</w:t>
      </w:r>
    </w:p>
    <w:p w14:paraId="0F959106">
      <w:pPr>
        <w:pStyle w:val="55"/>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预付款金额与支付：</w:t>
      </w:r>
      <w:r>
        <w:rPr>
          <w:rFonts w:hint="eastAsia" w:ascii="宋体" w:hAnsi="宋体" w:cs="宋体"/>
          <w:color w:val="auto"/>
          <w:sz w:val="22"/>
          <w:szCs w:val="22"/>
          <w:highlight w:val="none"/>
          <w:u w:val="single"/>
          <w:lang w:eastAsia="zh-CN"/>
        </w:rPr>
        <w:t>合同总价（扣除暂列金额）</w:t>
      </w:r>
      <w:r>
        <w:rPr>
          <w:rFonts w:hint="eastAsia" w:ascii="宋体" w:hAnsi="宋体" w:cs="宋体"/>
          <w:color w:val="auto"/>
          <w:sz w:val="22"/>
          <w:szCs w:val="22"/>
          <w:highlight w:val="none"/>
          <w:u w:val="single"/>
        </w:rPr>
        <w:t>的</w:t>
      </w:r>
      <w:bookmarkStart w:id="899" w:name="OLE_LINK63"/>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w:t>
      </w:r>
      <w:bookmarkEnd w:id="899"/>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68DCFC41">
      <w:pPr>
        <w:pStyle w:val="55"/>
        <w:spacing w:line="36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担保的形式：</w:t>
      </w:r>
      <w:r>
        <w:rPr>
          <w:rFonts w:hint="eastAsia" w:ascii="宋体" w:hAnsi="宋体" w:cs="宋体"/>
          <w:color w:val="auto"/>
          <w:sz w:val="22"/>
          <w:szCs w:val="22"/>
          <w:highlight w:val="none"/>
          <w:u w:val="single"/>
        </w:rPr>
        <w:t>担保可以银行保函、担保、工程保证保险等方式缴纳，严禁要求只能以现金方式缴纳的行为。</w:t>
      </w:r>
    </w:p>
    <w:p w14:paraId="66A83223">
      <w:pPr>
        <w:pStyle w:val="55"/>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szCs w:val="22"/>
          <w:highlight w:val="none"/>
          <w:u w:val="none" w:color="000000"/>
          <w:lang w:val="zh-TW" w:eastAsia="zh-TW"/>
        </w:rPr>
        <w:t>1</w:t>
      </w:r>
      <w:r>
        <w:rPr>
          <w:rFonts w:hint="eastAsia" w:ascii="宋体" w:hAnsi="宋体" w:cs="宋体"/>
          <w:color w:val="auto"/>
          <w:kern w:val="0"/>
          <w:sz w:val="22"/>
          <w:szCs w:val="22"/>
          <w:highlight w:val="none"/>
          <w:u w:val="none" w:color="000000"/>
        </w:rPr>
        <w:t>2</w:t>
      </w:r>
      <w:r>
        <w:rPr>
          <w:rFonts w:hint="eastAsia" w:ascii="宋体" w:hAnsi="宋体" w:cs="宋体"/>
          <w:color w:val="auto"/>
          <w:kern w:val="0"/>
          <w:sz w:val="22"/>
          <w:szCs w:val="22"/>
          <w:highlight w:val="none"/>
          <w:u w:val="none" w:color="000000"/>
          <w:lang w:val="zh-TW" w:eastAsia="zh-TW"/>
        </w:rPr>
        <w:t>.2.</w:t>
      </w:r>
      <w:r>
        <w:rPr>
          <w:rFonts w:hint="eastAsia" w:ascii="宋体" w:hAnsi="宋体" w:cs="宋体"/>
          <w:color w:val="auto"/>
          <w:kern w:val="0"/>
          <w:sz w:val="22"/>
          <w:szCs w:val="22"/>
          <w:highlight w:val="none"/>
          <w:u w:val="none" w:color="000000"/>
        </w:rPr>
        <w:t>4</w:t>
      </w:r>
      <w:r>
        <w:rPr>
          <w:rFonts w:hint="eastAsia" w:ascii="宋体" w:hAnsi="宋体" w:cs="宋体"/>
          <w:color w:val="auto"/>
          <w:kern w:val="0"/>
          <w:sz w:val="22"/>
          <w:szCs w:val="22"/>
          <w:highlight w:val="none"/>
          <w:lang w:val="zh-TW" w:eastAsia="zh-TW"/>
        </w:rPr>
        <w:t>预付款抵扣的</w:t>
      </w:r>
      <w:r>
        <w:rPr>
          <w:rFonts w:hint="eastAsia" w:ascii="宋体" w:hAnsi="宋体" w:cs="宋体"/>
          <w:color w:val="auto"/>
          <w:kern w:val="0"/>
          <w:sz w:val="22"/>
          <w:szCs w:val="22"/>
          <w:highlight w:val="none"/>
          <w:lang w:val="zh-TW"/>
        </w:rPr>
        <w:t>方式</w:t>
      </w:r>
      <w:r>
        <w:rPr>
          <w:rFonts w:hint="eastAsia" w:ascii="宋体" w:hAnsi="宋体" w:cs="宋体"/>
          <w:color w:val="auto"/>
          <w:kern w:val="0"/>
          <w:sz w:val="22"/>
          <w:szCs w:val="22"/>
          <w:highlight w:val="none"/>
          <w:lang w:val="zh-TW" w:eastAsia="zh-TW"/>
        </w:rPr>
        <w:t>、</w:t>
      </w:r>
      <w:r>
        <w:rPr>
          <w:rFonts w:hint="eastAsia" w:ascii="宋体" w:hAnsi="宋体" w:cs="宋体"/>
          <w:color w:val="auto"/>
          <w:kern w:val="0"/>
          <w:sz w:val="22"/>
          <w:szCs w:val="22"/>
          <w:highlight w:val="none"/>
          <w:lang w:val="zh-TW"/>
        </w:rPr>
        <w:t>抵扣比例和抵扣时间安排：</w:t>
      </w:r>
      <w:r>
        <w:rPr>
          <w:rFonts w:hint="eastAsia" w:ascii="宋体" w:hAnsi="宋体" w:cs="宋体"/>
          <w:color w:val="auto"/>
          <w:kern w:val="0"/>
          <w:sz w:val="22"/>
          <w:szCs w:val="22"/>
          <w:highlight w:val="none"/>
          <w:u w:val="single"/>
          <w:lang w:val="en-US" w:eastAsia="zh-CN"/>
        </w:rPr>
        <w:t>合同签订后，每月工程进度款先从预付款中扣除，原则上分两次扣完，每次扣预付款的50%。</w:t>
      </w:r>
    </w:p>
    <w:bookmarkEnd w:id="886"/>
    <w:bookmarkEnd w:id="887"/>
    <w:bookmarkEnd w:id="888"/>
    <w:bookmarkEnd w:id="889"/>
    <w:bookmarkEnd w:id="890"/>
    <w:bookmarkEnd w:id="891"/>
    <w:bookmarkEnd w:id="892"/>
    <w:bookmarkEnd w:id="893"/>
    <w:bookmarkEnd w:id="894"/>
    <w:bookmarkEnd w:id="895"/>
    <w:p w14:paraId="358DB1AD">
      <w:pPr>
        <w:pStyle w:val="40"/>
        <w:spacing w:line="360" w:lineRule="exact"/>
        <w:ind w:firstLine="442" w:firstLineChars="200"/>
        <w:rPr>
          <w:rFonts w:hint="eastAsia" w:ascii="宋体" w:hAnsi="宋体" w:cs="宋体"/>
          <w:color w:val="auto"/>
          <w:sz w:val="22"/>
          <w:szCs w:val="22"/>
        </w:rPr>
      </w:pPr>
      <w:bookmarkStart w:id="900" w:name="_Toc373478398"/>
      <w:bookmarkStart w:id="901" w:name="_Toc389065316"/>
      <w:bookmarkStart w:id="902" w:name="_Toc12975942"/>
      <w:bookmarkStart w:id="903" w:name="_Toc533432777"/>
      <w:bookmarkStart w:id="904" w:name="_Toc395382554"/>
      <w:bookmarkStart w:id="905" w:name="_Toc373227751"/>
      <w:r>
        <w:rPr>
          <w:rFonts w:hint="eastAsia" w:ascii="宋体" w:hAnsi="宋体" w:cs="宋体"/>
          <w:color w:val="auto"/>
          <w:sz w:val="22"/>
          <w:szCs w:val="22"/>
        </w:rPr>
        <w:t>12.3 计量</w:t>
      </w:r>
      <w:bookmarkEnd w:id="900"/>
      <w:bookmarkEnd w:id="901"/>
      <w:bookmarkEnd w:id="902"/>
      <w:bookmarkEnd w:id="903"/>
      <w:bookmarkEnd w:id="904"/>
      <w:bookmarkEnd w:id="905"/>
    </w:p>
    <w:p w14:paraId="638E92F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12.3.1 计量原则</w:t>
      </w:r>
    </w:p>
    <w:p w14:paraId="5F820F18">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工程量计算规则：</w:t>
      </w:r>
      <w:r>
        <w:rPr>
          <w:rFonts w:hint="eastAsia" w:ascii="宋体" w:hAnsi="宋体" w:cs="宋体"/>
          <w:color w:val="auto"/>
          <w:sz w:val="22"/>
          <w:u w:val="single"/>
        </w:rPr>
        <w:t>工程的计量均以</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w:t>
      </w:r>
      <w:bookmarkStart w:id="906" w:name="OLE_LINK30"/>
      <w:r>
        <w:rPr>
          <w:rFonts w:hint="eastAsia" w:ascii="宋体" w:hAnsi="宋体" w:cs="宋体"/>
          <w:color w:val="auto"/>
          <w:sz w:val="22"/>
          <w:u w:val="single"/>
        </w:rPr>
        <w:t>建设工程工程量清单计价规范</w:t>
      </w:r>
      <w:bookmarkEnd w:id="906"/>
      <w:r>
        <w:rPr>
          <w:rFonts w:hint="eastAsia" w:ascii="宋体" w:hAnsi="宋体" w:cs="宋体"/>
          <w:color w:val="auto"/>
          <w:sz w:val="22"/>
          <w:u w:val="single"/>
          <w:lang w:eastAsia="zh-CN"/>
        </w:rPr>
        <w:t>》《</w:t>
      </w:r>
      <w:r>
        <w:rPr>
          <w:rFonts w:hint="eastAsia" w:ascii="宋体" w:hAnsi="宋体" w:cs="宋体"/>
          <w:color w:val="auto"/>
          <w:sz w:val="22"/>
          <w:u w:val="single"/>
        </w:rPr>
        <w:t xml:space="preserve">〈建设工程工程量清单计价规范〉 </w:t>
      </w:r>
      <w:r>
        <w:rPr>
          <w:rFonts w:hint="eastAsia" w:ascii="宋体" w:hAnsi="宋体" w:cs="宋体"/>
          <w:color w:val="auto"/>
          <w:sz w:val="22"/>
          <w:u w:val="single"/>
          <w:lang w:eastAsia="zh-CN"/>
        </w:rPr>
        <w:t>（</w:t>
      </w:r>
      <w:r>
        <w:rPr>
          <w:rFonts w:hint="eastAsia" w:ascii="宋体" w:hAnsi="宋体" w:cs="宋体"/>
          <w:color w:val="auto"/>
          <w:sz w:val="22"/>
          <w:u w:val="single"/>
        </w:rPr>
        <w:t>GB50500-2013</w:t>
      </w:r>
      <w:r>
        <w:rPr>
          <w:rFonts w:hint="eastAsia" w:ascii="宋体" w:hAnsi="宋体" w:cs="宋体"/>
          <w:color w:val="auto"/>
          <w:sz w:val="22"/>
          <w:u w:val="single"/>
          <w:lang w:eastAsia="zh-CN"/>
        </w:rPr>
        <w:t>）</w:t>
      </w:r>
      <w:r>
        <w:rPr>
          <w:rFonts w:hint="eastAsia" w:ascii="宋体" w:hAnsi="宋体" w:cs="宋体"/>
          <w:color w:val="auto"/>
          <w:sz w:val="22"/>
          <w:u w:val="single"/>
        </w:rPr>
        <w:t>广西壮族自治区实施细则》、2013年版《广西壮族自治区建筑装饰装修工程消耗量定额》、2015年版《广西壮族自治区安装工程消耗量定额》、2014年版《广西壮族自治区市政工程消耗量定额》、2014年版《广西壮族自治区市政工程费用定额》、2013年版《广西壮族自治区园林绿化及仿古建筑工程消耗量定额》、2013年版《广西壮族自治区园林绿化及仿古建筑工程费用定额》、2016年《广西壮族自治区建设工程费用定额》及有关配套费率、人工和机械台班费用调整规定计算的净值为准，如有不明之处，应以监理工程师或造价管理部门指定的计量方法为准，费率取中值</w:t>
      </w:r>
      <w:r>
        <w:rPr>
          <w:rFonts w:hint="eastAsia" w:ascii="宋体" w:hAnsi="宋体" w:cs="宋体"/>
          <w:color w:val="auto"/>
          <w:sz w:val="22"/>
          <w:u w:val="none"/>
        </w:rPr>
        <w:t>。</w:t>
      </w:r>
    </w:p>
    <w:p w14:paraId="695D4F9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12.3.2 计量周期</w:t>
      </w:r>
    </w:p>
    <w:p w14:paraId="71CDE0EB">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关于计量周期的约定：</w:t>
      </w:r>
      <w:r>
        <w:rPr>
          <w:rFonts w:hint="eastAsia" w:ascii="宋体" w:hAnsi="宋体" w:cs="宋体"/>
          <w:color w:val="auto"/>
          <w:sz w:val="22"/>
          <w:u w:val="single"/>
        </w:rPr>
        <w:t>按月计量，每月25日前</w:t>
      </w:r>
      <w:r>
        <w:rPr>
          <w:rFonts w:hint="eastAsia" w:ascii="宋体" w:hAnsi="宋体" w:cs="宋体"/>
          <w:color w:val="auto"/>
          <w:sz w:val="22"/>
        </w:rPr>
        <w:t>。</w:t>
      </w:r>
    </w:p>
    <w:p w14:paraId="527A67C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12.3.3 单价合同的计量</w:t>
      </w:r>
    </w:p>
    <w:p w14:paraId="23CA8AF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关于单价合同计量的约定：</w:t>
      </w:r>
    </w:p>
    <w:p w14:paraId="58AD0353">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(1) 工程量清单所列的工程量，不能作为承包人按合同履行其责任依据，实际施工中发生的工程量增加或减少并不影响承包人履行合同的责任，工程结算以完成的实际工程量为准。</w:t>
      </w:r>
    </w:p>
    <w:p w14:paraId="2CFAE0A4">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(2) 除另有规定外，工程师应按照合同通过计量来核实确定已完成的工程量和价款，承包人应得到该价款扣除保留金后的金额。当工程师要对已完工的工程量进行计量时，应适时地通知承包人参加。</w:t>
      </w:r>
    </w:p>
    <w:p w14:paraId="372AED3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12.3.4 总价合同的计量</w:t>
      </w:r>
    </w:p>
    <w:p w14:paraId="5448E4E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关于总价合同计量的约定：除工程变更外，原图纸范围内的工程量不得按实计量。进度款按支付分解表支付，按</w:t>
      </w:r>
      <w:r>
        <w:rPr>
          <w:rFonts w:hint="eastAsia" w:ascii="宋体" w:hAnsi="宋体" w:cs="宋体"/>
          <w:color w:val="auto"/>
          <w:sz w:val="22"/>
          <w:lang w:eastAsia="zh-CN"/>
        </w:rPr>
        <w:t>通用合同条款</w:t>
      </w:r>
      <w:r>
        <w:rPr>
          <w:rFonts w:hint="eastAsia" w:ascii="宋体" w:hAnsi="宋体" w:cs="宋体"/>
          <w:color w:val="auto"/>
          <w:sz w:val="22"/>
        </w:rPr>
        <w:t>第</w:t>
      </w:r>
      <w:r>
        <w:rPr>
          <w:rFonts w:hint="eastAsia" w:ascii="宋体" w:hAnsi="宋体" w:cs="宋体"/>
          <w:color w:val="auto"/>
          <w:kern w:val="0"/>
          <w:sz w:val="22"/>
        </w:rPr>
        <w:t>12.3.4</w:t>
      </w:r>
      <w:r>
        <w:rPr>
          <w:rFonts w:hint="eastAsia" w:ascii="宋体" w:hAnsi="宋体" w:cs="宋体"/>
          <w:color w:val="auto"/>
          <w:sz w:val="22"/>
        </w:rPr>
        <w:t>项</w:t>
      </w:r>
      <w:r>
        <w:rPr>
          <w:rFonts w:hint="eastAsia" w:ascii="宋体" w:hAnsi="宋体" w:cs="宋体"/>
          <w:color w:val="auto"/>
          <w:kern w:val="0"/>
          <w:sz w:val="22"/>
        </w:rPr>
        <w:t>〔总价合同的计量〕</w:t>
      </w:r>
      <w:r>
        <w:rPr>
          <w:rFonts w:hint="eastAsia" w:ascii="宋体" w:hAnsi="宋体" w:cs="宋体"/>
          <w:color w:val="auto"/>
          <w:sz w:val="22"/>
        </w:rPr>
        <w:t>约定进行计量，但</w:t>
      </w:r>
      <w:r>
        <w:rPr>
          <w:rFonts w:hint="eastAsia" w:ascii="宋体" w:hAnsi="宋体" w:cs="宋体"/>
          <w:color w:val="auto"/>
          <w:kern w:val="0"/>
          <w:sz w:val="22"/>
        </w:rPr>
        <w:t>合同价款按照支付分解表进行支付。</w:t>
      </w:r>
    </w:p>
    <w:p w14:paraId="604FC61B">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12.3.6 其他价格形式合同的计量</w:t>
      </w:r>
    </w:p>
    <w:p w14:paraId="0EE082D7">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其他价格形式的计量方式和程序：</w:t>
      </w:r>
      <w:r>
        <w:rPr>
          <w:rFonts w:hint="eastAsia" w:ascii="宋体" w:hAnsi="宋体" w:cs="宋体"/>
          <w:color w:val="auto"/>
          <w:sz w:val="22"/>
          <w:u w:val="single"/>
        </w:rPr>
        <w:t xml:space="preserve">  无  </w:t>
      </w:r>
      <w:r>
        <w:rPr>
          <w:rFonts w:hint="eastAsia" w:ascii="宋体" w:hAnsi="宋体" w:cs="宋体"/>
          <w:color w:val="auto"/>
          <w:sz w:val="22"/>
        </w:rPr>
        <w:t>。</w:t>
      </w:r>
    </w:p>
    <w:p w14:paraId="25BA9B92">
      <w:pPr>
        <w:pStyle w:val="40"/>
        <w:spacing w:line="360" w:lineRule="exact"/>
        <w:ind w:firstLine="442" w:firstLineChars="200"/>
        <w:rPr>
          <w:rFonts w:hint="eastAsia" w:ascii="宋体" w:hAnsi="宋体" w:cs="宋体"/>
          <w:color w:val="auto"/>
          <w:sz w:val="22"/>
          <w:szCs w:val="22"/>
        </w:rPr>
      </w:pPr>
      <w:bookmarkStart w:id="907" w:name="_Toc533432778"/>
      <w:bookmarkStart w:id="908" w:name="_Toc373478399"/>
      <w:bookmarkStart w:id="909" w:name="_Toc373227752"/>
      <w:bookmarkStart w:id="910" w:name="_Toc12975943"/>
      <w:bookmarkStart w:id="911" w:name="_Toc389065317"/>
      <w:bookmarkStart w:id="912" w:name="_Toc395382555"/>
      <w:r>
        <w:rPr>
          <w:rFonts w:hint="eastAsia" w:ascii="宋体" w:hAnsi="宋体" w:cs="宋体"/>
          <w:color w:val="auto"/>
          <w:sz w:val="22"/>
          <w:szCs w:val="22"/>
        </w:rPr>
        <w:t>12.4 工程进度款支付</w:t>
      </w:r>
      <w:bookmarkEnd w:id="907"/>
      <w:bookmarkEnd w:id="908"/>
      <w:bookmarkEnd w:id="909"/>
      <w:bookmarkEnd w:id="910"/>
      <w:bookmarkEnd w:id="911"/>
      <w:bookmarkEnd w:id="912"/>
    </w:p>
    <w:p w14:paraId="5C2AB96E">
      <w:pPr>
        <w:pStyle w:val="41"/>
        <w:spacing w:line="360" w:lineRule="exact"/>
        <w:ind w:firstLine="440" w:firstLineChars="200"/>
        <w:jc w:val="left"/>
        <w:rPr>
          <w:rFonts w:hint="eastAsia" w:ascii="宋体" w:hAnsi="宋体" w:cs="宋体"/>
          <w:color w:val="auto"/>
          <w:sz w:val="22"/>
        </w:rPr>
      </w:pPr>
      <w:bookmarkStart w:id="913" w:name="_Toc296503211"/>
      <w:bookmarkStart w:id="914" w:name="_Toc296891039"/>
      <w:bookmarkStart w:id="915" w:name="_Toc292559921"/>
      <w:bookmarkStart w:id="916" w:name="_Toc296347210"/>
      <w:bookmarkStart w:id="917" w:name="_Toc296944550"/>
      <w:bookmarkStart w:id="918" w:name="_Toc297120511"/>
      <w:bookmarkStart w:id="919" w:name="_Toc292559416"/>
      <w:bookmarkStart w:id="920" w:name="_Toc296346712"/>
      <w:bookmarkStart w:id="921" w:name="_Toc297123556"/>
      <w:bookmarkStart w:id="922" w:name="_Toc296891251"/>
      <w:bookmarkStart w:id="923" w:name="_Toc297216215"/>
      <w:bookmarkStart w:id="924" w:name="_Toc297048397"/>
      <w:bookmarkStart w:id="925" w:name="_Toc300935006"/>
      <w:bookmarkStart w:id="926" w:name="_Toc303539163"/>
      <w:r>
        <w:rPr>
          <w:rFonts w:hint="eastAsia" w:ascii="宋体" w:hAnsi="宋体" w:cs="宋体"/>
          <w:color w:val="auto"/>
          <w:sz w:val="22"/>
        </w:rPr>
        <w:t>12.4.1 付款周期</w:t>
      </w:r>
    </w:p>
    <w:p w14:paraId="1F52AD39">
      <w:pPr>
        <w:pStyle w:val="61"/>
        <w:spacing w:line="360" w:lineRule="exact"/>
        <w:ind w:firstLine="440" w:firstLineChars="200"/>
        <w:rPr>
          <w:rFonts w:hint="eastAsia" w:ascii="宋体" w:hAnsi="宋体" w:cs="宋体"/>
          <w:b/>
          <w:color w:val="auto"/>
          <w:sz w:val="22"/>
          <w:szCs w:val="22"/>
          <w:highlight w:val="none"/>
          <w:u w:val="single"/>
        </w:rPr>
      </w:pPr>
      <w:r>
        <w:rPr>
          <w:rFonts w:hint="eastAsia" w:ascii="宋体" w:hAnsi="宋体" w:cs="宋体"/>
          <w:color w:val="auto"/>
          <w:sz w:val="22"/>
          <w:szCs w:val="22"/>
        </w:rPr>
        <w:t>关于付款周期的</w:t>
      </w:r>
      <w:r>
        <w:rPr>
          <w:rFonts w:hint="eastAsia" w:ascii="宋体" w:hAnsi="宋体" w:cs="宋体"/>
          <w:color w:val="auto"/>
          <w:sz w:val="22"/>
          <w:szCs w:val="22"/>
          <w:highlight w:val="none"/>
        </w:rPr>
        <w:t>约定：</w:t>
      </w:r>
      <w:r>
        <w:rPr>
          <w:rFonts w:hint="eastAsia" w:ascii="宋体" w:hAnsi="宋体" w:cs="宋体"/>
          <w:b/>
          <w:color w:val="auto"/>
          <w:sz w:val="22"/>
          <w:szCs w:val="22"/>
          <w:highlight w:val="none"/>
          <w:u w:val="single"/>
        </w:rPr>
        <w:t>按每月</w:t>
      </w:r>
      <w:r>
        <w:rPr>
          <w:rFonts w:hint="eastAsia" w:ascii="宋体" w:hAnsi="宋体" w:cs="宋体"/>
          <w:b/>
          <w:color w:val="auto"/>
          <w:sz w:val="22"/>
          <w:szCs w:val="22"/>
          <w:highlight w:val="none"/>
          <w:u w:val="single"/>
          <w:lang w:val="en-US" w:eastAsia="zh-CN"/>
        </w:rPr>
        <w:t>20—</w:t>
      </w:r>
      <w:r>
        <w:rPr>
          <w:rFonts w:hint="eastAsia" w:ascii="宋体" w:hAnsi="宋体" w:cs="宋体"/>
          <w:b/>
          <w:color w:val="auto"/>
          <w:sz w:val="22"/>
          <w:szCs w:val="22"/>
          <w:highlight w:val="none"/>
          <w:u w:val="single"/>
        </w:rPr>
        <w:t>25日</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逾期不提交的待下月同期再提交</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w:t>
      </w:r>
      <w:r>
        <w:rPr>
          <w:rFonts w:hint="eastAsia" w:ascii="宋体" w:hAnsi="宋体" w:cs="宋体"/>
          <w:b/>
          <w:color w:val="auto"/>
          <w:sz w:val="22"/>
          <w:szCs w:val="22"/>
          <w:highlight w:val="none"/>
          <w:u w:val="single"/>
          <w:lang w:val="en-US" w:eastAsia="zh-CN"/>
        </w:rPr>
        <w:t>评审</w:t>
      </w:r>
      <w:r>
        <w:rPr>
          <w:rFonts w:hint="eastAsia" w:ascii="宋体" w:hAnsi="宋体" w:cs="宋体"/>
          <w:b/>
          <w:color w:val="auto"/>
          <w:sz w:val="22"/>
          <w:szCs w:val="22"/>
          <w:highlight w:val="none"/>
          <w:u w:val="single"/>
        </w:rPr>
        <w:t>后支付至工程款总额的97%，总额的3%作为质量保证金，质保金在缺陷责任期满后21个工作日内一次性无息付清。合同外工程款待工程竣工结算后一并支付</w:t>
      </w:r>
      <w:r>
        <w:rPr>
          <w:rFonts w:hint="eastAsia" w:ascii="宋体" w:hAnsi="宋体" w:cs="宋体"/>
          <w:b/>
          <w:color w:val="auto"/>
          <w:sz w:val="22"/>
          <w:szCs w:val="22"/>
          <w:highlight w:val="none"/>
          <w:u w:val="none"/>
        </w:rPr>
        <w:t>。</w:t>
      </w:r>
    </w:p>
    <w:p w14:paraId="49F303F4">
      <w:pPr>
        <w:pStyle w:val="61"/>
        <w:spacing w:line="360" w:lineRule="exact"/>
        <w:ind w:firstLine="442" w:firstLineChars="200"/>
        <w:rPr>
          <w:rFonts w:hint="default"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u w:val="single"/>
          <w:lang w:val="en-US" w:eastAsia="zh-CN"/>
        </w:rPr>
        <w:t>港口区财政局拨付相关款项后7个工作日内完成支付。</w:t>
      </w:r>
    </w:p>
    <w:p w14:paraId="0B0074A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12.4.2 进度付款申请单的编制</w:t>
      </w:r>
    </w:p>
    <w:p w14:paraId="01568C3A">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关于进度付款申请单编制的约定：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 xml:space="preserve">执行  </w:t>
      </w:r>
      <w:r>
        <w:rPr>
          <w:rFonts w:hint="eastAsia" w:ascii="宋体" w:hAnsi="宋体" w:cs="宋体"/>
          <w:color w:val="auto"/>
          <w:sz w:val="22"/>
        </w:rPr>
        <w:t>。</w:t>
      </w:r>
    </w:p>
    <w:p w14:paraId="176060FD">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Pr>
          <w:rFonts w:hint="eastAsia" w:ascii="宋体" w:hAnsi="宋体" w:cs="宋体"/>
          <w:color w:val="auto"/>
          <w:sz w:val="22"/>
        </w:rPr>
        <w:t>2.4.3 进度付款申请单的提交</w:t>
      </w:r>
    </w:p>
    <w:p w14:paraId="7FD95553">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（1）单价合同进度付款申请单提交的约定：</w:t>
      </w:r>
      <w:r>
        <w:rPr>
          <w:rFonts w:hint="eastAsia" w:ascii="宋体" w:hAnsi="宋体" w:cs="宋体"/>
          <w:color w:val="auto"/>
          <w:sz w:val="22"/>
          <w:u w:val="single"/>
        </w:rPr>
        <w:t>按</w:t>
      </w:r>
      <w:r>
        <w:rPr>
          <w:rFonts w:hint="eastAsia" w:ascii="宋体" w:hAnsi="宋体" w:cs="宋体"/>
          <w:color w:val="auto"/>
          <w:sz w:val="22"/>
          <w:u w:val="single"/>
          <w:lang w:eastAsia="zh-CN"/>
        </w:rPr>
        <w:t>通用合同条款</w:t>
      </w:r>
      <w:r>
        <w:rPr>
          <w:rFonts w:hint="eastAsia" w:ascii="宋体" w:hAnsi="宋体" w:cs="宋体"/>
          <w:color w:val="auto"/>
          <w:sz w:val="22"/>
          <w:u w:val="single"/>
        </w:rPr>
        <w:t>执行</w:t>
      </w:r>
      <w:r>
        <w:rPr>
          <w:rFonts w:hint="eastAsia" w:ascii="宋体" w:hAnsi="宋体" w:cs="宋体"/>
          <w:bCs/>
          <w:color w:val="auto"/>
          <w:sz w:val="22"/>
          <w:u w:val="single"/>
        </w:rPr>
        <w:t xml:space="preserve"> </w:t>
      </w:r>
      <w:r>
        <w:rPr>
          <w:rFonts w:hint="eastAsia" w:ascii="宋体" w:hAnsi="宋体" w:cs="宋体"/>
          <w:color w:val="auto"/>
          <w:sz w:val="22"/>
        </w:rPr>
        <w:t>。</w:t>
      </w:r>
    </w:p>
    <w:p w14:paraId="1C643D24">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（2）总价合同进度付款申请单提交的约定：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9C4BD8F">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（3）其他价格形式合同进度付款申请单提交的约定：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13E9203B">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12.4.4 进度款审核和支付</w:t>
      </w:r>
    </w:p>
    <w:p w14:paraId="3D8B96C0">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（1）监理人审查并报送发包人的期限：</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58258BD">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发包人完成审批并签发进度款支付证书的期限：</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按通用合同条款执行</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DA30D8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（2）发包人支付进度款的期限：</w:t>
      </w:r>
      <w:r>
        <w:rPr>
          <w:rFonts w:hint="eastAsia" w:ascii="宋体" w:hAnsi="宋体" w:cs="宋体"/>
          <w:color w:val="auto"/>
          <w:sz w:val="22"/>
          <w:u w:val="single"/>
        </w:rPr>
        <w:t>按专用合同条款执行</w:t>
      </w:r>
      <w:r>
        <w:rPr>
          <w:rFonts w:hint="eastAsia" w:ascii="宋体" w:hAnsi="宋体" w:cs="宋体"/>
          <w:color w:val="auto"/>
          <w:sz w:val="22"/>
        </w:rPr>
        <w:t>。</w:t>
      </w:r>
    </w:p>
    <w:p w14:paraId="04F555BD">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发包人逾期支付进度款的违约金的计算方式：</w:t>
      </w:r>
      <w:r>
        <w:rPr>
          <w:rFonts w:hint="eastAsia" w:ascii="宋体" w:hAnsi="宋体" w:cs="宋体"/>
          <w:color w:val="auto"/>
          <w:sz w:val="22"/>
          <w:u w:val="single"/>
        </w:rPr>
        <w:t xml:space="preserve"> 无 </w:t>
      </w:r>
      <w:r>
        <w:rPr>
          <w:rFonts w:hint="eastAsia" w:ascii="宋体" w:hAnsi="宋体" w:cs="宋体"/>
          <w:color w:val="auto"/>
          <w:sz w:val="22"/>
        </w:rPr>
        <w:t>。</w:t>
      </w:r>
    </w:p>
    <w:p w14:paraId="136F4E4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进度款支付方式：</w:t>
      </w:r>
      <w:r>
        <w:rPr>
          <w:rFonts w:hint="eastAsia" w:ascii="宋体" w:hAnsi="宋体" w:cs="宋体"/>
          <w:color w:val="auto"/>
          <w:sz w:val="22"/>
          <w:u w:val="single"/>
        </w:rPr>
        <w:t>银行转账</w:t>
      </w:r>
      <w:r>
        <w:rPr>
          <w:rFonts w:hint="eastAsia" w:ascii="宋体" w:hAnsi="宋体" w:cs="宋体"/>
          <w:color w:val="auto"/>
          <w:sz w:val="22"/>
        </w:rPr>
        <w:t>。</w:t>
      </w:r>
    </w:p>
    <w:p w14:paraId="408FD0A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12.4.6 支付分解表的编制</w:t>
      </w:r>
    </w:p>
    <w:p w14:paraId="1252A5A7">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2. 总价合同支付分解表的编制与审批：</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69544591">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3. 单价合同的总价项目支付分解表的编制与审批：总价项目不采用支付分解表的方式计算，而按《建设工程工程量清单计价规范（GB50500-2013）广西壮族自治区实施细则》的规定执行。</w:t>
      </w:r>
    </w:p>
    <w:bookmarkEnd w:id="676"/>
    <w:p w14:paraId="3F7828DB">
      <w:pPr>
        <w:pStyle w:val="71"/>
        <w:spacing w:before="0" w:after="0" w:line="360" w:lineRule="exact"/>
        <w:ind w:firstLine="442" w:firstLineChars="200"/>
        <w:rPr>
          <w:rFonts w:hint="eastAsia" w:ascii="宋体" w:hAnsi="宋体" w:cs="宋体"/>
          <w:color w:val="auto"/>
          <w:sz w:val="22"/>
          <w:szCs w:val="22"/>
        </w:rPr>
      </w:pPr>
      <w:bookmarkStart w:id="927" w:name="_Toc533432779"/>
      <w:bookmarkStart w:id="928" w:name="_Toc373478400"/>
      <w:bookmarkStart w:id="929" w:name="_Toc12975944"/>
      <w:bookmarkStart w:id="930" w:name="_Toc389065318"/>
      <w:bookmarkStart w:id="931" w:name="_Toc351203645"/>
      <w:bookmarkStart w:id="932" w:name="_Toc395382556"/>
      <w:bookmarkStart w:id="933" w:name="_Toc373227753"/>
      <w:bookmarkStart w:id="934" w:name="_Toc296944558"/>
      <w:bookmarkStart w:id="935" w:name="_Toc296347218"/>
      <w:bookmarkStart w:id="936" w:name="_Toc300935015"/>
      <w:bookmarkStart w:id="937" w:name="_Toc296346720"/>
      <w:bookmarkStart w:id="938" w:name="_Toc297216223"/>
      <w:bookmarkStart w:id="939" w:name="_Toc292559424"/>
      <w:bookmarkStart w:id="940" w:name="_Toc292559929"/>
      <w:bookmarkStart w:id="941" w:name="_Toc296503219"/>
      <w:bookmarkStart w:id="942" w:name="_Toc297120519"/>
      <w:bookmarkStart w:id="943" w:name="_Toc297123564"/>
      <w:bookmarkStart w:id="944" w:name="_Toc312678053"/>
      <w:bookmarkStart w:id="945" w:name="_Toc296891259"/>
      <w:bookmarkStart w:id="946" w:name="_Toc304295593"/>
      <w:bookmarkStart w:id="947" w:name="_Toc297048405"/>
      <w:bookmarkStart w:id="948" w:name="_Toc303539172"/>
      <w:bookmarkStart w:id="949" w:name="_Toc296891047"/>
      <w:r>
        <w:rPr>
          <w:rFonts w:hint="eastAsia" w:ascii="宋体" w:hAnsi="宋体" w:cs="宋体"/>
          <w:color w:val="auto"/>
          <w:sz w:val="22"/>
          <w:szCs w:val="22"/>
        </w:rPr>
        <w:t>13. 验收和工程试车</w:t>
      </w:r>
      <w:bookmarkEnd w:id="927"/>
      <w:bookmarkEnd w:id="928"/>
      <w:bookmarkEnd w:id="929"/>
      <w:bookmarkEnd w:id="930"/>
      <w:bookmarkEnd w:id="931"/>
      <w:bookmarkEnd w:id="932"/>
      <w:bookmarkEnd w:id="933"/>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14:paraId="2D01CD06">
      <w:pPr>
        <w:pStyle w:val="40"/>
        <w:spacing w:line="360" w:lineRule="exact"/>
        <w:ind w:firstLine="442" w:firstLineChars="200"/>
        <w:rPr>
          <w:rFonts w:hint="eastAsia" w:ascii="宋体" w:hAnsi="宋体" w:cs="宋体"/>
          <w:color w:val="auto"/>
          <w:sz w:val="22"/>
          <w:szCs w:val="22"/>
        </w:rPr>
      </w:pPr>
      <w:bookmarkStart w:id="950" w:name="_Toc12975945"/>
      <w:bookmarkStart w:id="951" w:name="_Toc533432780"/>
      <w:bookmarkStart w:id="952" w:name="_Toc395382557"/>
      <w:bookmarkStart w:id="953" w:name="_Toc373478401"/>
      <w:bookmarkStart w:id="954" w:name="_Toc373227754"/>
      <w:bookmarkStart w:id="955" w:name="_Toc389065319"/>
      <w:r>
        <w:rPr>
          <w:rFonts w:hint="eastAsia" w:ascii="宋体" w:hAnsi="宋体" w:cs="宋体"/>
          <w:color w:val="auto"/>
          <w:sz w:val="22"/>
          <w:szCs w:val="22"/>
        </w:rPr>
        <w:t>13.1 分部分项工程验收</w:t>
      </w:r>
      <w:bookmarkEnd w:id="950"/>
      <w:bookmarkEnd w:id="951"/>
      <w:bookmarkEnd w:id="952"/>
      <w:bookmarkEnd w:id="953"/>
      <w:bookmarkEnd w:id="954"/>
      <w:bookmarkEnd w:id="955"/>
    </w:p>
    <w:p w14:paraId="5558717A">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13.1.2监理人不能按时进行验收时，应提前</w:t>
      </w:r>
      <w:r>
        <w:rPr>
          <w:rFonts w:hint="eastAsia" w:ascii="宋体" w:hAnsi="宋体" w:cs="宋体"/>
          <w:color w:val="auto"/>
          <w:sz w:val="22"/>
          <w:u w:val="single"/>
        </w:rPr>
        <w:t xml:space="preserve">  24 </w:t>
      </w:r>
      <w:r>
        <w:rPr>
          <w:rFonts w:hint="eastAsia" w:ascii="宋体" w:hAnsi="宋体" w:cs="宋体"/>
          <w:color w:val="auto"/>
          <w:sz w:val="22"/>
        </w:rPr>
        <w:t>小时提交书面延期要求。</w:t>
      </w:r>
    </w:p>
    <w:p w14:paraId="7C0E46B8">
      <w:pPr>
        <w:pStyle w:val="41"/>
        <w:spacing w:line="360" w:lineRule="exact"/>
        <w:ind w:firstLine="440" w:firstLineChars="200"/>
        <w:jc w:val="left"/>
        <w:rPr>
          <w:rFonts w:hint="eastAsia" w:ascii="宋体" w:hAnsi="宋体" w:cs="宋体"/>
          <w:b/>
          <w:color w:val="auto"/>
          <w:sz w:val="22"/>
        </w:rPr>
      </w:pPr>
      <w:r>
        <w:rPr>
          <w:rFonts w:hint="eastAsia" w:ascii="宋体" w:hAnsi="宋体" w:cs="宋体"/>
          <w:color w:val="auto"/>
          <w:sz w:val="22"/>
        </w:rPr>
        <w:t>关于延期最长不得超过：</w:t>
      </w:r>
      <w:r>
        <w:rPr>
          <w:rFonts w:hint="eastAsia" w:ascii="宋体" w:hAnsi="宋体" w:cs="宋体"/>
          <w:color w:val="auto"/>
          <w:sz w:val="22"/>
          <w:u w:val="single"/>
        </w:rPr>
        <w:t xml:space="preserve"> 48 </w:t>
      </w:r>
      <w:r>
        <w:rPr>
          <w:rFonts w:hint="eastAsia" w:ascii="宋体" w:hAnsi="宋体" w:cs="宋体"/>
          <w:color w:val="auto"/>
          <w:sz w:val="22"/>
        </w:rPr>
        <w:t>小时。</w:t>
      </w:r>
    </w:p>
    <w:p w14:paraId="7069B35A">
      <w:pPr>
        <w:pStyle w:val="40"/>
        <w:spacing w:line="360" w:lineRule="exact"/>
        <w:ind w:firstLine="442" w:firstLineChars="200"/>
        <w:rPr>
          <w:rFonts w:hint="eastAsia" w:ascii="宋体" w:hAnsi="宋体" w:cs="宋体"/>
          <w:color w:val="auto"/>
          <w:sz w:val="22"/>
          <w:szCs w:val="22"/>
        </w:rPr>
      </w:pPr>
      <w:bookmarkStart w:id="956" w:name="_Toc373478402"/>
      <w:bookmarkStart w:id="957" w:name="_Toc389065320"/>
      <w:bookmarkStart w:id="958" w:name="_Toc373227755"/>
      <w:bookmarkStart w:id="959" w:name="_Toc533432781"/>
      <w:bookmarkStart w:id="960" w:name="_Toc12975946"/>
      <w:bookmarkStart w:id="961" w:name="_Toc395382558"/>
      <w:bookmarkStart w:id="962" w:name="_Toc312678056"/>
      <w:bookmarkStart w:id="963" w:name="_Toc297123565"/>
      <w:bookmarkStart w:id="964" w:name="_Toc296503223"/>
      <w:bookmarkStart w:id="965" w:name="_Toc297216224"/>
      <w:bookmarkStart w:id="966" w:name="_Toc300935016"/>
      <w:bookmarkStart w:id="967" w:name="_Toc297048409"/>
      <w:bookmarkStart w:id="968" w:name="_Toc296346724"/>
      <w:bookmarkStart w:id="969" w:name="_Toc297120523"/>
      <w:bookmarkStart w:id="970" w:name="_Toc296891263"/>
      <w:bookmarkStart w:id="971" w:name="_Toc296944562"/>
      <w:bookmarkStart w:id="972" w:name="_Toc303539173"/>
      <w:bookmarkStart w:id="973" w:name="_Toc304295596"/>
      <w:bookmarkStart w:id="974" w:name="_Toc296891051"/>
      <w:bookmarkStart w:id="975" w:name="_Toc296347222"/>
      <w:bookmarkStart w:id="976" w:name="_Toc292559933"/>
      <w:bookmarkStart w:id="977" w:name="_Toc292559428"/>
      <w:bookmarkStart w:id="978" w:name="_Toc267251472"/>
      <w:bookmarkStart w:id="979" w:name="_Toc267251470"/>
      <w:bookmarkStart w:id="980" w:name="_Toc267251473"/>
      <w:bookmarkStart w:id="981" w:name="_Toc267251471"/>
      <w:bookmarkStart w:id="982" w:name="_Toc267251476"/>
      <w:bookmarkStart w:id="983" w:name="_Toc267251474"/>
      <w:bookmarkStart w:id="984" w:name="_Toc267251475"/>
      <w:r>
        <w:rPr>
          <w:rFonts w:hint="eastAsia" w:ascii="宋体" w:hAnsi="宋体" w:cs="宋体"/>
          <w:color w:val="auto"/>
          <w:sz w:val="22"/>
          <w:szCs w:val="22"/>
        </w:rPr>
        <w:t>13.2 竣工验收</w:t>
      </w:r>
      <w:bookmarkEnd w:id="956"/>
      <w:bookmarkEnd w:id="957"/>
      <w:bookmarkEnd w:id="958"/>
      <w:bookmarkEnd w:id="959"/>
      <w:bookmarkEnd w:id="960"/>
      <w:bookmarkEnd w:id="961"/>
    </w:p>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14:paraId="78F095EC">
      <w:pPr>
        <w:pStyle w:val="41"/>
        <w:spacing w:line="360" w:lineRule="exact"/>
        <w:ind w:firstLine="440" w:firstLineChars="200"/>
        <w:jc w:val="left"/>
        <w:rPr>
          <w:rFonts w:hint="eastAsia" w:ascii="宋体" w:hAnsi="宋体" w:cs="宋体"/>
          <w:color w:val="auto"/>
          <w:sz w:val="22"/>
        </w:rPr>
      </w:pPr>
      <w:bookmarkStart w:id="985" w:name="_Toc280868704"/>
      <w:bookmarkStart w:id="986" w:name="_Toc280868705"/>
      <w:bookmarkStart w:id="987" w:name="_Toc280868706"/>
      <w:bookmarkStart w:id="988" w:name="_Toc280868707"/>
      <w:bookmarkStart w:id="989" w:name="_Toc280868708"/>
      <w:bookmarkStart w:id="990" w:name="_Toc280868709"/>
      <w:r>
        <w:rPr>
          <w:rFonts w:hint="eastAsia" w:ascii="宋体" w:hAnsi="宋体" w:cs="宋体"/>
          <w:color w:val="auto"/>
          <w:sz w:val="22"/>
        </w:rPr>
        <w:t>13.2.1竣工验收条件</w:t>
      </w:r>
    </w:p>
    <w:p w14:paraId="7A379C4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（3）承包人负责整理和提交的竣工验收资料应当符合工程所在地建设行政主管部门和</w:t>
      </w:r>
      <w:r>
        <w:rPr>
          <w:rFonts w:hint="eastAsia" w:ascii="宋体" w:hAnsi="宋体" w:cs="宋体"/>
          <w:color w:val="auto"/>
          <w:sz w:val="22"/>
          <w:szCs w:val="22"/>
          <w:lang w:eastAsia="zh-CN"/>
        </w:rPr>
        <w:t>（</w:t>
      </w:r>
      <w:r>
        <w:rPr>
          <w:rFonts w:hint="eastAsia" w:ascii="宋体" w:hAnsi="宋体" w:cs="宋体"/>
          <w:color w:val="auto"/>
          <w:sz w:val="22"/>
          <w:szCs w:val="22"/>
        </w:rPr>
        <w:t>或</w:t>
      </w:r>
      <w:r>
        <w:rPr>
          <w:rFonts w:hint="eastAsia" w:ascii="宋体" w:hAnsi="宋体" w:cs="宋体"/>
          <w:color w:val="auto"/>
          <w:sz w:val="22"/>
          <w:szCs w:val="22"/>
          <w:lang w:eastAsia="zh-CN"/>
        </w:rPr>
        <w:t>）</w:t>
      </w:r>
      <w:r>
        <w:rPr>
          <w:rFonts w:hint="eastAsia" w:ascii="宋体" w:hAnsi="宋体" w:cs="宋体"/>
          <w:color w:val="auto"/>
          <w:sz w:val="22"/>
          <w:szCs w:val="22"/>
        </w:rPr>
        <w:t>城市建设档案管理机构有关施工资料的要求，具体内容包括：</w:t>
      </w:r>
      <w:r>
        <w:rPr>
          <w:rFonts w:hint="eastAsia" w:ascii="宋体" w:hAnsi="宋体" w:cs="宋体"/>
          <w:color w:val="auto"/>
          <w:sz w:val="22"/>
          <w:szCs w:val="22"/>
          <w:u w:val="single"/>
        </w:rPr>
        <w:t xml:space="preserve"> </w:t>
      </w:r>
      <w:r>
        <w:rPr>
          <w:rFonts w:hint="eastAsia" w:ascii="宋体" w:hAnsi="宋体" w:cs="宋体"/>
          <w:bCs/>
          <w:color w:val="auto"/>
          <w:sz w:val="22"/>
          <w:szCs w:val="22"/>
          <w:u w:val="single"/>
        </w:rPr>
        <w:t>（1）竣工资料（含竣工图，竣工图编制费已含在签约合同价中）移交时间：工程竣工验收合格后30天内。（2）承包人应协助发包人办理城建档案馆手续，与城建档案馆手续未办理完成，视为承包人的合同义务未履行完毕</w:t>
      </w:r>
      <w:r>
        <w:rPr>
          <w:rFonts w:hint="eastAsia" w:ascii="宋体" w:hAnsi="宋体" w:cs="宋体"/>
          <w:color w:val="auto"/>
          <w:sz w:val="22"/>
          <w:szCs w:val="22"/>
          <w:u w:val="single"/>
        </w:rPr>
        <w:t xml:space="preserve"> </w:t>
      </w:r>
      <w:r>
        <w:rPr>
          <w:rFonts w:hint="eastAsia" w:ascii="宋体" w:hAnsi="宋体" w:cs="宋体"/>
          <w:color w:val="auto"/>
          <w:sz w:val="22"/>
          <w:szCs w:val="22"/>
        </w:rPr>
        <w:t>。</w:t>
      </w:r>
    </w:p>
    <w:p w14:paraId="4EFFB2D5">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竣工验收资料的份数：</w:t>
      </w:r>
      <w:r>
        <w:rPr>
          <w:rFonts w:hint="eastAsia" w:ascii="宋体" w:hAnsi="宋体" w:cs="宋体"/>
          <w:color w:val="auto"/>
          <w:sz w:val="22"/>
          <w:u w:val="single"/>
        </w:rPr>
        <w:t xml:space="preserve"> </w:t>
      </w:r>
      <w:r>
        <w:rPr>
          <w:rFonts w:hint="eastAsia" w:ascii="宋体" w:hAnsi="宋体" w:cs="宋体"/>
          <w:color w:val="auto"/>
          <w:sz w:val="22"/>
          <w:u w:val="single"/>
          <w:lang w:val="en-US" w:eastAsia="zh-CN"/>
        </w:rPr>
        <w:t>4</w:t>
      </w:r>
      <w:r>
        <w:rPr>
          <w:rFonts w:hint="eastAsia" w:ascii="宋体" w:hAnsi="宋体" w:cs="宋体"/>
          <w:color w:val="auto"/>
          <w:sz w:val="22"/>
          <w:u w:val="single"/>
        </w:rPr>
        <w:t xml:space="preserve">套及满足相关要求 </w:t>
      </w:r>
      <w:r>
        <w:rPr>
          <w:rFonts w:hint="eastAsia" w:ascii="宋体" w:hAnsi="宋体" w:cs="宋体"/>
          <w:color w:val="auto"/>
          <w:sz w:val="22"/>
        </w:rPr>
        <w:t>。</w:t>
      </w:r>
    </w:p>
    <w:p w14:paraId="15E5BB3C">
      <w:pPr>
        <w:pStyle w:val="41"/>
        <w:spacing w:line="360" w:lineRule="exact"/>
        <w:ind w:firstLine="440" w:firstLineChars="200"/>
        <w:jc w:val="left"/>
        <w:rPr>
          <w:rFonts w:hint="eastAsia" w:ascii="宋体" w:hAnsi="宋体" w:cs="宋体"/>
          <w:color w:val="auto"/>
          <w:sz w:val="22"/>
        </w:rPr>
      </w:pPr>
      <w:r>
        <w:rPr>
          <w:rFonts w:hint="eastAsia" w:ascii="宋体" w:hAnsi="宋体" w:cs="宋体"/>
          <w:bCs/>
          <w:color w:val="auto"/>
          <w:sz w:val="22"/>
        </w:rPr>
        <w:t>承包人提供竣工图的约定：</w:t>
      </w:r>
      <w:r>
        <w:rPr>
          <w:rFonts w:hint="eastAsia" w:ascii="宋体" w:hAnsi="宋体" w:cs="宋体"/>
          <w:bCs/>
          <w:color w:val="auto"/>
          <w:sz w:val="22"/>
          <w:u w:val="single"/>
        </w:rPr>
        <w:t>竣工验收正式通过后5天（工程造价在500万元以下含500万元）、10天（工程造价在500万元至1000万元之间含1000万元）、15天（工程造价在1000万元以上），提供竣工图的数量分别为2套、4套、6套。</w:t>
      </w:r>
    </w:p>
    <w:p w14:paraId="009978A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13.2.2竣工验收程序</w:t>
      </w:r>
    </w:p>
    <w:bookmarkEnd w:id="985"/>
    <w:p w14:paraId="13C3C52E">
      <w:pPr>
        <w:pStyle w:val="41"/>
        <w:spacing w:line="360" w:lineRule="exact"/>
        <w:ind w:firstLine="440" w:firstLineChars="200"/>
        <w:jc w:val="left"/>
        <w:rPr>
          <w:rFonts w:hint="eastAsia" w:ascii="宋体" w:hAnsi="宋体" w:cs="宋体"/>
          <w:color w:val="auto"/>
          <w:sz w:val="22"/>
          <w:highlight w:val="none"/>
          <w:u w:val="single"/>
        </w:rPr>
      </w:pPr>
      <w:r>
        <w:rPr>
          <w:rFonts w:hint="eastAsia" w:ascii="宋体" w:hAnsi="宋体" w:cs="宋体"/>
          <w:color w:val="auto"/>
          <w:kern w:val="0"/>
          <w:sz w:val="22"/>
        </w:rPr>
        <w:t>关于竣工验收程序的约定：</w:t>
      </w:r>
      <w:r>
        <w:rPr>
          <w:rFonts w:hint="eastAsia" w:ascii="宋体" w:hAnsi="宋体" w:cs="宋体"/>
          <w:color w:val="auto"/>
          <w:sz w:val="22"/>
          <w:u w:val="single"/>
        </w:rPr>
        <w:t>竣工验收正式通过后30天，提供竣工图的数量为6套及满足当地档案</w:t>
      </w:r>
      <w:r>
        <w:rPr>
          <w:rFonts w:hint="eastAsia" w:ascii="宋体" w:hAnsi="宋体" w:cs="宋体"/>
          <w:color w:val="auto"/>
          <w:sz w:val="22"/>
          <w:highlight w:val="none"/>
          <w:u w:val="single"/>
        </w:rPr>
        <w:t>要求</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同时提供相应的电子扫描版</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rPr>
        <w:t>。</w:t>
      </w:r>
    </w:p>
    <w:p w14:paraId="5C104AA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发包人不按照本项约定组织竣工验收、颁发工程接收证书的违约金的计算方法：</w:t>
      </w:r>
      <w:r>
        <w:rPr>
          <w:rFonts w:hint="eastAsia" w:ascii="宋体" w:hAnsi="宋体" w:cs="宋体"/>
          <w:color w:val="auto"/>
          <w:sz w:val="22"/>
          <w:u w:val="single"/>
        </w:rPr>
        <w:t>无</w:t>
      </w:r>
      <w:r>
        <w:rPr>
          <w:rFonts w:hint="eastAsia" w:ascii="宋体" w:hAnsi="宋体" w:cs="宋体"/>
          <w:color w:val="auto"/>
          <w:sz w:val="22"/>
        </w:rPr>
        <w:t>。</w:t>
      </w:r>
    </w:p>
    <w:bookmarkEnd w:id="986"/>
    <w:p w14:paraId="767EF14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13.2.5移交、接收全部与部分工程</w:t>
      </w:r>
    </w:p>
    <w:bookmarkEnd w:id="987"/>
    <w:p w14:paraId="6567E224">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承包人向发包人移交工程的期限：</w:t>
      </w:r>
      <w:r>
        <w:rPr>
          <w:rFonts w:hint="eastAsia" w:ascii="宋体" w:hAnsi="宋体" w:cs="宋体"/>
          <w:color w:val="auto"/>
          <w:sz w:val="22"/>
          <w:u w:val="single"/>
        </w:rPr>
        <w:t xml:space="preserve">  按通用合同条款执行。</w:t>
      </w:r>
    </w:p>
    <w:p w14:paraId="1861D2DC">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发包人未按本合同约定接收全部或部分工程的，违约金的计算方法为：</w:t>
      </w:r>
      <w:r>
        <w:rPr>
          <w:rFonts w:hint="eastAsia" w:ascii="宋体" w:hAnsi="宋体" w:cs="宋体"/>
          <w:color w:val="auto"/>
          <w:sz w:val="22"/>
          <w:u w:val="single"/>
        </w:rPr>
        <w:t>无</w:t>
      </w:r>
      <w:r>
        <w:rPr>
          <w:rFonts w:hint="eastAsia" w:ascii="宋体" w:hAnsi="宋体" w:cs="宋体"/>
          <w:color w:val="auto"/>
          <w:sz w:val="22"/>
        </w:rPr>
        <w:t>。</w:t>
      </w:r>
    </w:p>
    <w:bookmarkEnd w:id="988"/>
    <w:p w14:paraId="2DE338B2">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承包人未按时移交工程的，违约金的计算方法为：</w:t>
      </w:r>
      <w:r>
        <w:rPr>
          <w:rFonts w:hint="eastAsia" w:ascii="宋体" w:hAnsi="宋体" w:cs="宋体"/>
          <w:color w:val="auto"/>
          <w:sz w:val="22"/>
          <w:u w:val="single"/>
        </w:rPr>
        <w:t xml:space="preserve"> 按通用合同条款执行 </w:t>
      </w:r>
      <w:r>
        <w:rPr>
          <w:rFonts w:hint="eastAsia" w:ascii="宋体" w:hAnsi="宋体" w:cs="宋体"/>
          <w:color w:val="auto"/>
          <w:sz w:val="22"/>
        </w:rPr>
        <w:t>。</w:t>
      </w:r>
    </w:p>
    <w:p w14:paraId="2856060A">
      <w:pPr>
        <w:pStyle w:val="40"/>
        <w:spacing w:line="360" w:lineRule="exact"/>
        <w:ind w:firstLine="442" w:firstLineChars="200"/>
        <w:rPr>
          <w:rFonts w:hint="eastAsia" w:ascii="宋体" w:hAnsi="宋体" w:cs="宋体"/>
          <w:color w:val="auto"/>
          <w:sz w:val="22"/>
          <w:szCs w:val="22"/>
        </w:rPr>
      </w:pPr>
      <w:bookmarkStart w:id="991" w:name="_Toc533432782"/>
      <w:bookmarkStart w:id="992" w:name="_Toc373478403"/>
      <w:bookmarkStart w:id="993" w:name="_Toc373227756"/>
      <w:bookmarkStart w:id="994" w:name="_Toc395382559"/>
      <w:bookmarkStart w:id="995" w:name="_Toc389065321"/>
      <w:bookmarkStart w:id="996" w:name="_Toc12975947"/>
      <w:r>
        <w:rPr>
          <w:rFonts w:hint="eastAsia" w:ascii="宋体" w:hAnsi="宋体" w:cs="宋体"/>
          <w:color w:val="auto"/>
          <w:sz w:val="22"/>
          <w:szCs w:val="22"/>
        </w:rPr>
        <w:t>13.3 工程试车</w:t>
      </w:r>
      <w:bookmarkEnd w:id="991"/>
      <w:bookmarkEnd w:id="992"/>
      <w:bookmarkEnd w:id="993"/>
      <w:bookmarkEnd w:id="994"/>
      <w:bookmarkEnd w:id="995"/>
      <w:bookmarkEnd w:id="996"/>
    </w:p>
    <w:bookmarkEnd w:id="989"/>
    <w:p w14:paraId="02BD1B14">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13.3.1 试车程序</w:t>
      </w:r>
    </w:p>
    <w:p w14:paraId="1A461371">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工程试车内容：</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7E1E04FA">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（1）单机无负荷试车费用由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9D1179A">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（2）无负荷联动试车费用由</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kern w:val="0"/>
          <w:sz w:val="22"/>
        </w:rPr>
        <w:t>承担。</w:t>
      </w:r>
    </w:p>
    <w:p w14:paraId="0390F3BD">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13.3.3 投料试车</w:t>
      </w:r>
    </w:p>
    <w:p w14:paraId="56AAFD54">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关于投料试车相关事项的约定：</w:t>
      </w:r>
      <w:r>
        <w:rPr>
          <w:rFonts w:hint="eastAsia" w:ascii="宋体" w:hAnsi="宋体" w:cs="宋体"/>
          <w:color w:val="auto"/>
          <w:sz w:val="22"/>
          <w:u w:val="single"/>
        </w:rPr>
        <w:t xml:space="preserve"> 无</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50ADF9E6">
      <w:pPr>
        <w:pStyle w:val="40"/>
        <w:spacing w:line="360" w:lineRule="exact"/>
        <w:ind w:firstLine="442" w:firstLineChars="200"/>
        <w:rPr>
          <w:rFonts w:hint="eastAsia" w:ascii="宋体" w:hAnsi="宋体" w:cs="宋体"/>
          <w:color w:val="auto"/>
          <w:sz w:val="22"/>
          <w:szCs w:val="22"/>
        </w:rPr>
      </w:pPr>
      <w:bookmarkStart w:id="997" w:name="_Toc373227757"/>
      <w:bookmarkStart w:id="998" w:name="_Toc395382560"/>
      <w:bookmarkStart w:id="999" w:name="_Toc12975948"/>
      <w:bookmarkStart w:id="1000" w:name="_Toc373478404"/>
      <w:bookmarkStart w:id="1001" w:name="_Toc533432783"/>
      <w:bookmarkStart w:id="1002" w:name="_Toc389065322"/>
      <w:r>
        <w:rPr>
          <w:rFonts w:hint="eastAsia" w:ascii="宋体" w:hAnsi="宋体" w:cs="宋体"/>
          <w:color w:val="auto"/>
          <w:sz w:val="22"/>
          <w:szCs w:val="22"/>
        </w:rPr>
        <w:t>13.6 竣工退场</w:t>
      </w:r>
      <w:bookmarkEnd w:id="997"/>
      <w:bookmarkEnd w:id="998"/>
      <w:bookmarkEnd w:id="999"/>
      <w:bookmarkEnd w:id="1000"/>
      <w:bookmarkEnd w:id="1001"/>
      <w:bookmarkEnd w:id="1002"/>
    </w:p>
    <w:p w14:paraId="23FF6938">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13.6.1 竣工退场</w:t>
      </w:r>
    </w:p>
    <w:p w14:paraId="027BE40F">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承包人完成竣工退场的期限：</w:t>
      </w:r>
      <w:r>
        <w:rPr>
          <w:rFonts w:hint="eastAsia" w:ascii="宋体" w:hAnsi="宋体" w:cs="宋体"/>
          <w:color w:val="auto"/>
          <w:sz w:val="22"/>
          <w:u w:val="single"/>
        </w:rPr>
        <w:t xml:space="preserve"> 竣工验收合格后28天或收到解除合同通知后7天内</w:t>
      </w:r>
      <w:r>
        <w:rPr>
          <w:rFonts w:hint="eastAsia" w:ascii="宋体" w:hAnsi="宋体" w:cs="宋体"/>
          <w:color w:val="auto"/>
          <w:kern w:val="0"/>
          <w:sz w:val="22"/>
        </w:rPr>
        <w:t>。</w:t>
      </w:r>
    </w:p>
    <w:p w14:paraId="587CC4CF">
      <w:pPr>
        <w:pStyle w:val="71"/>
        <w:spacing w:before="0" w:after="0" w:line="360" w:lineRule="exact"/>
        <w:ind w:firstLine="442" w:firstLineChars="200"/>
        <w:rPr>
          <w:rFonts w:hint="eastAsia" w:ascii="宋体" w:hAnsi="宋体" w:cs="宋体"/>
          <w:color w:val="auto"/>
          <w:sz w:val="22"/>
          <w:szCs w:val="22"/>
        </w:rPr>
      </w:pPr>
      <w:bookmarkStart w:id="1003" w:name="_Toc389065323"/>
      <w:bookmarkStart w:id="1004" w:name="_Toc373478405"/>
      <w:bookmarkStart w:id="1005" w:name="_Toc533432784"/>
      <w:bookmarkStart w:id="1006" w:name="_Toc373227758"/>
      <w:bookmarkStart w:id="1007" w:name="_Toc395382561"/>
      <w:bookmarkStart w:id="1008" w:name="_Toc351203646"/>
      <w:bookmarkStart w:id="1009" w:name="_Toc12975949"/>
      <w:r>
        <w:rPr>
          <w:rFonts w:hint="eastAsia" w:ascii="宋体" w:hAnsi="宋体" w:cs="宋体"/>
          <w:color w:val="auto"/>
          <w:sz w:val="22"/>
          <w:szCs w:val="22"/>
        </w:rPr>
        <w:t>14. 竣工结算</w:t>
      </w:r>
      <w:bookmarkEnd w:id="1003"/>
      <w:bookmarkEnd w:id="1004"/>
      <w:bookmarkEnd w:id="1005"/>
      <w:bookmarkEnd w:id="1006"/>
      <w:bookmarkEnd w:id="1007"/>
      <w:bookmarkEnd w:id="1008"/>
      <w:bookmarkEnd w:id="1009"/>
    </w:p>
    <w:p w14:paraId="47DA83C6">
      <w:pPr>
        <w:pStyle w:val="40"/>
        <w:spacing w:line="360" w:lineRule="exact"/>
        <w:ind w:firstLine="442" w:firstLineChars="200"/>
        <w:rPr>
          <w:rFonts w:hint="eastAsia" w:ascii="宋体" w:hAnsi="宋体" w:cs="宋体"/>
          <w:color w:val="auto"/>
          <w:sz w:val="22"/>
          <w:szCs w:val="22"/>
        </w:rPr>
      </w:pPr>
      <w:bookmarkStart w:id="1010" w:name="_Toc389065324"/>
      <w:bookmarkStart w:id="1011" w:name="_Toc373227759"/>
      <w:bookmarkStart w:id="1012" w:name="_Toc395382562"/>
      <w:bookmarkStart w:id="1013" w:name="_Toc373478406"/>
      <w:bookmarkStart w:id="1014" w:name="_Toc533432785"/>
      <w:bookmarkStart w:id="1015" w:name="_Toc12975950"/>
      <w:r>
        <w:rPr>
          <w:rFonts w:hint="eastAsia" w:ascii="宋体" w:hAnsi="宋体" w:cs="宋体"/>
          <w:color w:val="auto"/>
          <w:sz w:val="22"/>
          <w:szCs w:val="22"/>
        </w:rPr>
        <w:t>14.1 竣工付款申请</w:t>
      </w:r>
      <w:bookmarkEnd w:id="1010"/>
      <w:bookmarkEnd w:id="1011"/>
      <w:bookmarkEnd w:id="1012"/>
      <w:bookmarkEnd w:id="1013"/>
      <w:bookmarkEnd w:id="1014"/>
      <w:bookmarkEnd w:id="1015"/>
    </w:p>
    <w:p w14:paraId="7AFE312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承包人提交竣工付款申请单的期限：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3B015581">
      <w:pPr>
        <w:pStyle w:val="41"/>
        <w:spacing w:line="360" w:lineRule="exact"/>
        <w:ind w:firstLine="440" w:firstLineChars="200"/>
        <w:jc w:val="left"/>
        <w:rPr>
          <w:rFonts w:hint="eastAsia" w:ascii="宋体" w:hAnsi="宋体" w:cs="宋体"/>
          <w:b/>
          <w:color w:val="auto"/>
          <w:sz w:val="22"/>
          <w:szCs w:val="22"/>
        </w:rPr>
      </w:pPr>
      <w:r>
        <w:rPr>
          <w:rFonts w:hint="eastAsia" w:ascii="宋体" w:hAnsi="宋体" w:cs="宋体"/>
          <w:color w:val="auto"/>
          <w:sz w:val="22"/>
        </w:rPr>
        <w:t>竣工付款申请单应包括的内容：</w:t>
      </w:r>
      <w:r>
        <w:rPr>
          <w:rFonts w:hint="eastAsia" w:ascii="宋体" w:hAnsi="宋体" w:cs="宋体"/>
          <w:color w:val="auto"/>
          <w:sz w:val="22"/>
          <w:u w:val="single"/>
        </w:rPr>
        <w:t xml:space="preserve">（1）竣工结算合同价格；（2）发包人已支付承包人的款项；（3）应扣留的质量保证金；（4）发包人应支付承包人的合同价款 </w:t>
      </w:r>
      <w:r>
        <w:rPr>
          <w:rFonts w:hint="eastAsia" w:ascii="宋体" w:hAnsi="宋体" w:cs="宋体"/>
          <w:color w:val="auto"/>
          <w:sz w:val="22"/>
        </w:rPr>
        <w:t>。</w:t>
      </w:r>
    </w:p>
    <w:p w14:paraId="4BB2C8CF">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增加以下内容：</w:t>
      </w:r>
    </w:p>
    <w:p w14:paraId="52878A8E">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竣工结算申请单资料清单应包括的内容：</w:t>
      </w:r>
      <w:r>
        <w:rPr>
          <w:rFonts w:hint="eastAsia" w:ascii="宋体" w:hAnsi="宋体" w:cs="宋体"/>
          <w:color w:val="auto"/>
          <w:sz w:val="22"/>
          <w:szCs w:val="22"/>
          <w:u w:val="single"/>
        </w:rPr>
        <w:t>（1）结算申请函（2）完整施工图；（3）竣工图</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含电子版）；（4）结算书</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含软件版）；（5）设计变更情况及批件；（6）工程洽商记录；（7）现场签证单；（8）磋商文件；（9）施工合同；（10）开工报告；（11）原材料试验报告；（12）竣工验收记录及质量评定结果；（13）成交通知书；（14）隐蔽工程记录；</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15</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计量资料；（16）依据当地相关</w:t>
      </w:r>
      <w:r>
        <w:rPr>
          <w:rFonts w:hint="eastAsia" w:ascii="宋体" w:hAnsi="宋体" w:cs="宋体"/>
          <w:color w:val="auto"/>
          <w:sz w:val="22"/>
          <w:szCs w:val="22"/>
          <w:u w:val="single"/>
          <w:lang w:val="en-US" w:eastAsia="zh-CN"/>
        </w:rPr>
        <w:t>部门</w:t>
      </w:r>
      <w:r>
        <w:rPr>
          <w:rFonts w:hint="eastAsia" w:ascii="宋体" w:hAnsi="宋体" w:cs="宋体"/>
          <w:color w:val="auto"/>
          <w:sz w:val="22"/>
          <w:szCs w:val="22"/>
          <w:u w:val="single"/>
        </w:rPr>
        <w:t>要求提供的其他材料</w:t>
      </w:r>
      <w:r>
        <w:rPr>
          <w:rFonts w:hint="eastAsia" w:ascii="宋体" w:hAnsi="宋体" w:cs="宋体"/>
          <w:color w:val="auto"/>
          <w:sz w:val="22"/>
          <w:szCs w:val="22"/>
          <w:u w:val="none"/>
        </w:rPr>
        <w:t>。</w:t>
      </w:r>
    </w:p>
    <w:p w14:paraId="1DC2555D">
      <w:pPr>
        <w:pStyle w:val="40"/>
        <w:spacing w:line="360" w:lineRule="exact"/>
        <w:ind w:firstLine="442" w:firstLineChars="200"/>
        <w:rPr>
          <w:rFonts w:hint="eastAsia" w:ascii="宋体" w:hAnsi="宋体" w:cs="宋体"/>
          <w:color w:val="auto"/>
          <w:sz w:val="22"/>
          <w:szCs w:val="22"/>
        </w:rPr>
      </w:pPr>
      <w:bookmarkStart w:id="1016" w:name="_Toc373478407"/>
      <w:bookmarkStart w:id="1017" w:name="_Toc533432786"/>
      <w:bookmarkStart w:id="1018" w:name="_Toc395382563"/>
      <w:bookmarkStart w:id="1019" w:name="_Toc12975951"/>
      <w:bookmarkStart w:id="1020" w:name="_Toc373227760"/>
      <w:bookmarkStart w:id="1021" w:name="_Toc389065325"/>
      <w:r>
        <w:rPr>
          <w:rFonts w:hint="eastAsia" w:ascii="宋体" w:hAnsi="宋体" w:cs="宋体"/>
          <w:color w:val="auto"/>
          <w:sz w:val="22"/>
          <w:szCs w:val="22"/>
        </w:rPr>
        <w:t>14.2 竣工结算审核</w:t>
      </w:r>
      <w:bookmarkEnd w:id="1016"/>
      <w:bookmarkEnd w:id="1017"/>
      <w:bookmarkEnd w:id="1018"/>
      <w:bookmarkEnd w:id="1019"/>
      <w:bookmarkEnd w:id="1020"/>
      <w:bookmarkEnd w:id="1021"/>
    </w:p>
    <w:p w14:paraId="7FCDF3A5">
      <w:pPr>
        <w:pStyle w:val="41"/>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rPr>
        <w:t>发包人审批竣工付款申请单的</w:t>
      </w:r>
      <w:r>
        <w:rPr>
          <w:rFonts w:hint="eastAsia" w:ascii="宋体" w:hAnsi="宋体" w:cs="宋体"/>
          <w:color w:val="auto"/>
          <w:sz w:val="22"/>
          <w:highlight w:val="none"/>
        </w:rPr>
        <w:t>期限：</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w:t>
      </w:r>
    </w:p>
    <w:p w14:paraId="0DDD9050">
      <w:pPr>
        <w:pStyle w:val="41"/>
        <w:spacing w:line="360" w:lineRule="exact"/>
        <w:ind w:firstLine="440" w:firstLineChars="200"/>
        <w:jc w:val="left"/>
        <w:rPr>
          <w:rFonts w:hint="eastAsia" w:ascii="宋体" w:hAnsi="宋体" w:cs="宋体"/>
          <w:color w:val="auto"/>
          <w:sz w:val="22"/>
          <w:highlight w:val="none"/>
        </w:rPr>
      </w:pPr>
      <w:r>
        <w:rPr>
          <w:rFonts w:hint="eastAsia" w:ascii="宋体" w:hAnsi="宋体" w:cs="宋体"/>
          <w:bCs/>
          <w:color w:val="auto"/>
          <w:sz w:val="22"/>
          <w:highlight w:val="none"/>
        </w:rPr>
        <w:t>因承包人提供的结算资料不完整而需要补充或承包人不按时对账耽误时间时，审查时间应相应顺延</w:t>
      </w:r>
      <w:r>
        <w:rPr>
          <w:rFonts w:hint="eastAsia" w:ascii="宋体" w:hAnsi="宋体" w:cs="宋体"/>
          <w:color w:val="auto"/>
          <w:sz w:val="22"/>
          <w:highlight w:val="none"/>
        </w:rPr>
        <w:t>。</w:t>
      </w:r>
    </w:p>
    <w:p w14:paraId="0A26ED63">
      <w:pPr>
        <w:pStyle w:val="41"/>
        <w:spacing w:line="36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结算审核约定：</w:t>
      </w:r>
    </w:p>
    <w:p w14:paraId="2760CC27">
      <w:pPr>
        <w:pStyle w:val="61"/>
        <w:spacing w:line="3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工程竣工验收报告经发包人认可后14天内，承包人向发包人递交竣工验收合格资料及完整的结算资料和报告，双方按照协议书约定的合同价款及专用条款约定的合同价调整内容，进行工程竣工结算。2、工程结算经</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rPr>
        <w:t>核减（增）率在8%以上时，因核减（增）部分产生的审核费用由承包人负担。</w:t>
      </w:r>
      <w:r>
        <w:rPr>
          <w:rFonts w:hint="eastAsia" w:ascii="宋体" w:hAnsi="宋体" w:cs="宋体"/>
          <w:bCs/>
          <w:color w:val="auto"/>
          <w:sz w:val="22"/>
          <w:szCs w:val="22"/>
          <w:highlight w:val="none"/>
          <w:lang w:val="en-US" w:eastAsia="zh-CN"/>
        </w:rPr>
        <w:t>3.承包方逾期超过60天未完整提供竣工结算资料进行工程结算评审的，视为自动放弃剩余工程款结算。</w:t>
      </w:r>
    </w:p>
    <w:p w14:paraId="6A63277C">
      <w:pPr>
        <w:pStyle w:val="61"/>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政府投资工程的结算</w:t>
      </w:r>
      <w:r>
        <w:rPr>
          <w:rFonts w:hint="eastAsia" w:ascii="宋体" w:hAnsi="宋体" w:cs="宋体"/>
          <w:bCs/>
          <w:color w:val="auto"/>
          <w:sz w:val="22"/>
          <w:szCs w:val="22"/>
          <w:highlight w:val="none"/>
          <w:u w:val="single"/>
          <w:lang w:val="en-US" w:eastAsia="zh-CN"/>
        </w:rPr>
        <w:t>如</w:t>
      </w:r>
      <w:r>
        <w:rPr>
          <w:rFonts w:hint="eastAsia" w:ascii="宋体" w:hAnsi="宋体" w:cs="宋体"/>
          <w:bCs/>
          <w:color w:val="auto"/>
          <w:sz w:val="22"/>
          <w:szCs w:val="22"/>
          <w:highlight w:val="none"/>
          <w:u w:val="single"/>
        </w:rPr>
        <w:t>需</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审定，最终结算金额以</w:t>
      </w:r>
      <w:r>
        <w:rPr>
          <w:rFonts w:hint="eastAsia" w:ascii="宋体" w:hAnsi="宋体" w:cs="宋体"/>
          <w:bCs/>
          <w:color w:val="auto"/>
          <w:sz w:val="22"/>
          <w:szCs w:val="22"/>
          <w:highlight w:val="none"/>
          <w:u w:val="single"/>
          <w:lang w:val="en-US" w:eastAsia="zh-CN"/>
        </w:rPr>
        <w:t>港口区财评中心出具的评审报告</w:t>
      </w:r>
      <w:r>
        <w:rPr>
          <w:rFonts w:hint="eastAsia" w:ascii="宋体" w:hAnsi="宋体" w:cs="宋体"/>
          <w:bCs/>
          <w:color w:val="auto"/>
          <w:sz w:val="22"/>
          <w:szCs w:val="22"/>
          <w:highlight w:val="none"/>
          <w:u w:val="single"/>
        </w:rPr>
        <w:t>为准，不能以</w:t>
      </w:r>
      <w:r>
        <w:rPr>
          <w:rFonts w:hint="eastAsia" w:ascii="宋体" w:hAnsi="宋体" w:cs="宋体"/>
          <w:bCs/>
          <w:color w:val="auto"/>
          <w:sz w:val="22"/>
          <w:szCs w:val="22"/>
          <w:highlight w:val="none"/>
          <w:u w:val="single"/>
          <w:lang w:val="en-US" w:eastAsia="zh-CN"/>
        </w:rPr>
        <w:t>承包人编制的结果或发</w:t>
      </w:r>
      <w:r>
        <w:rPr>
          <w:rFonts w:hint="eastAsia" w:ascii="宋体" w:hAnsi="宋体" w:cs="宋体"/>
          <w:bCs/>
          <w:color w:val="auto"/>
          <w:sz w:val="22"/>
          <w:szCs w:val="22"/>
          <w:highlight w:val="none"/>
          <w:u w:val="single"/>
        </w:rPr>
        <w:t>包人审核的结果作为要求支付的依据。</w:t>
      </w:r>
      <w:r>
        <w:rPr>
          <w:rFonts w:hint="eastAsia" w:ascii="宋体" w:hAnsi="宋体" w:cs="宋体"/>
          <w:bCs/>
          <w:color w:val="auto"/>
          <w:sz w:val="22"/>
          <w:szCs w:val="22"/>
          <w:highlight w:val="none"/>
          <w:u w:val="single"/>
          <w:lang w:val="en-US" w:eastAsia="zh-CN"/>
        </w:rPr>
        <w:t>港口区财评中心</w:t>
      </w:r>
      <w:r>
        <w:rPr>
          <w:rFonts w:hint="eastAsia" w:ascii="宋体" w:hAnsi="宋体" w:cs="宋体"/>
          <w:bCs/>
          <w:color w:val="auto"/>
          <w:sz w:val="22"/>
          <w:szCs w:val="22"/>
          <w:highlight w:val="none"/>
          <w:u w:val="single"/>
        </w:rPr>
        <w:t>处理相关事宜需要一定时间，发包人不承担因</w:t>
      </w:r>
      <w:r>
        <w:rPr>
          <w:rFonts w:hint="eastAsia" w:ascii="宋体" w:hAnsi="宋体" w:cs="宋体"/>
          <w:bCs/>
          <w:color w:val="auto"/>
          <w:sz w:val="22"/>
          <w:szCs w:val="22"/>
          <w:highlight w:val="none"/>
          <w:u w:val="single"/>
          <w:lang w:val="en-US" w:eastAsia="zh-CN"/>
        </w:rPr>
        <w:t>港口区财评中心评审时间</w:t>
      </w:r>
      <w:r>
        <w:rPr>
          <w:rFonts w:hint="eastAsia" w:ascii="宋体" w:hAnsi="宋体" w:cs="宋体"/>
          <w:bCs/>
          <w:color w:val="auto"/>
          <w:sz w:val="22"/>
          <w:szCs w:val="22"/>
          <w:highlight w:val="none"/>
          <w:u w:val="single"/>
        </w:rPr>
        <w:t>引起的任何责任。</w:t>
      </w:r>
    </w:p>
    <w:p w14:paraId="2535608A">
      <w:pPr>
        <w:pStyle w:val="41"/>
        <w:spacing w:line="3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发包人完成竣工付款的期限：</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双方约定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0A3BB68B">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关于竣工付款证书异议部分复核的方式和程序：</w:t>
      </w:r>
      <w:r>
        <w:rPr>
          <w:rFonts w:hint="eastAsia" w:ascii="宋体" w:hAnsi="宋体" w:cs="宋体"/>
          <w:color w:val="auto"/>
          <w:sz w:val="22"/>
          <w:u w:val="single"/>
        </w:rPr>
        <w:t xml:space="preserve">按通用合同条款执行 </w:t>
      </w:r>
      <w:r>
        <w:rPr>
          <w:rFonts w:hint="eastAsia" w:ascii="宋体" w:hAnsi="宋体" w:cs="宋体"/>
          <w:color w:val="auto"/>
          <w:sz w:val="22"/>
        </w:rPr>
        <w:t>。</w:t>
      </w:r>
    </w:p>
    <w:p w14:paraId="5546AECC">
      <w:pPr>
        <w:pStyle w:val="40"/>
        <w:spacing w:line="360" w:lineRule="exact"/>
        <w:ind w:firstLine="442" w:firstLineChars="200"/>
        <w:rPr>
          <w:rFonts w:hint="eastAsia" w:ascii="宋体" w:hAnsi="宋体" w:cs="宋体"/>
          <w:color w:val="auto"/>
          <w:sz w:val="22"/>
          <w:szCs w:val="22"/>
        </w:rPr>
      </w:pPr>
      <w:bookmarkStart w:id="1022" w:name="_Toc389065326"/>
      <w:bookmarkStart w:id="1023" w:name="_Toc395382564"/>
      <w:bookmarkStart w:id="1024" w:name="_Toc373227761"/>
      <w:bookmarkStart w:id="1025" w:name="_Toc12975952"/>
      <w:bookmarkStart w:id="1026" w:name="_Toc533432787"/>
      <w:bookmarkStart w:id="1027" w:name="_Toc373478408"/>
      <w:r>
        <w:rPr>
          <w:rFonts w:hint="eastAsia" w:ascii="宋体" w:hAnsi="宋体" w:cs="宋体"/>
          <w:color w:val="auto"/>
          <w:sz w:val="22"/>
          <w:szCs w:val="22"/>
        </w:rPr>
        <w:t>14.4 最终结清</w:t>
      </w:r>
      <w:bookmarkEnd w:id="1022"/>
      <w:bookmarkEnd w:id="1023"/>
      <w:bookmarkEnd w:id="1024"/>
      <w:bookmarkEnd w:id="1025"/>
      <w:bookmarkEnd w:id="1026"/>
      <w:bookmarkEnd w:id="1027"/>
    </w:p>
    <w:p w14:paraId="38C71ED7">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14.4.1 最终结清申请单</w:t>
      </w:r>
    </w:p>
    <w:p w14:paraId="5D7F604E">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承包人提交最终结清申请单的份数：</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四份</w:t>
      </w:r>
      <w:r>
        <w:rPr>
          <w:rFonts w:hint="eastAsia" w:ascii="宋体" w:hAnsi="宋体" w:cs="宋体"/>
          <w:color w:val="auto"/>
          <w:sz w:val="22"/>
          <w:u w:val="single"/>
          <w:lang w:val="en-US" w:eastAsia="zh-CN"/>
        </w:rPr>
        <w:t xml:space="preserve"> </w:t>
      </w:r>
      <w:r>
        <w:rPr>
          <w:rFonts w:hint="eastAsia" w:ascii="宋体" w:hAnsi="宋体" w:cs="宋体"/>
          <w:color w:val="auto"/>
          <w:sz w:val="22"/>
        </w:rPr>
        <w:t>。</w:t>
      </w:r>
    </w:p>
    <w:p w14:paraId="02F7A2B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承包人提交最终结算申请单的期限：</w:t>
      </w:r>
      <w:r>
        <w:rPr>
          <w:rFonts w:hint="eastAsia" w:ascii="宋体" w:hAnsi="宋体" w:cs="宋体"/>
          <w:color w:val="auto"/>
          <w:sz w:val="22"/>
          <w:u w:val="single"/>
        </w:rPr>
        <w:t>按通用合同条款执行</w:t>
      </w:r>
      <w:r>
        <w:rPr>
          <w:rFonts w:hint="eastAsia" w:ascii="宋体" w:hAnsi="宋体" w:cs="宋体"/>
          <w:color w:val="auto"/>
          <w:sz w:val="22"/>
        </w:rPr>
        <w:t xml:space="preserve">。 </w:t>
      </w:r>
    </w:p>
    <w:p w14:paraId="2516577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14.4.2 最终结清证书和支付</w:t>
      </w:r>
    </w:p>
    <w:p w14:paraId="1D1CB92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（1）发包人完成最终结清申请单的审批并颁发最终结清证书的期限：</w:t>
      </w:r>
      <w:r>
        <w:rPr>
          <w:rFonts w:hint="eastAsia" w:ascii="宋体" w:hAnsi="宋体" w:cs="宋体"/>
          <w:color w:val="auto"/>
          <w:sz w:val="22"/>
          <w:u w:val="single"/>
        </w:rPr>
        <w:t>按通用合同条款执行</w:t>
      </w:r>
      <w:r>
        <w:rPr>
          <w:rFonts w:hint="eastAsia" w:ascii="宋体" w:hAnsi="宋体" w:cs="宋体"/>
          <w:color w:val="auto"/>
          <w:sz w:val="22"/>
        </w:rPr>
        <w:t>。</w:t>
      </w:r>
    </w:p>
    <w:p w14:paraId="7B88F2B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（2）发包人完成支付的期限：</w:t>
      </w:r>
      <w:r>
        <w:rPr>
          <w:rFonts w:hint="eastAsia" w:ascii="宋体" w:hAnsi="宋体" w:cs="宋体"/>
          <w:color w:val="auto"/>
          <w:sz w:val="22"/>
          <w:u w:val="single"/>
        </w:rPr>
        <w:t>质量保证金的返还：工程交付使用至质量缺陷期满后无工程质量问题的，质量缺陷</w:t>
      </w:r>
      <w:r>
        <w:rPr>
          <w:rFonts w:hint="eastAsia" w:ascii="宋体" w:hAnsi="宋体" w:cs="宋体"/>
          <w:color w:val="auto"/>
          <w:sz w:val="22"/>
          <w:highlight w:val="none"/>
          <w:u w:val="single"/>
        </w:rPr>
        <w:t>期满后</w:t>
      </w:r>
      <w:r>
        <w:rPr>
          <w:rFonts w:hint="eastAsia" w:ascii="宋体" w:hAnsi="宋体" w:cs="宋体"/>
          <w:color w:val="auto"/>
          <w:sz w:val="22"/>
          <w:highlight w:val="none"/>
          <w:u w:val="single"/>
          <w:lang w:val="en-US" w:eastAsia="zh-CN"/>
        </w:rPr>
        <w:t>承包方提交书面申请起</w:t>
      </w:r>
      <w:r>
        <w:rPr>
          <w:rFonts w:hint="eastAsia" w:ascii="宋体" w:hAnsi="宋体" w:cs="宋体"/>
          <w:color w:val="auto"/>
          <w:sz w:val="22"/>
          <w:highlight w:val="none"/>
          <w:u w:val="single"/>
        </w:rPr>
        <w:t>15个工作日内</w:t>
      </w:r>
      <w:r>
        <w:rPr>
          <w:rFonts w:hint="eastAsia" w:ascii="宋体" w:hAnsi="宋体" w:cs="宋体"/>
          <w:color w:val="auto"/>
          <w:sz w:val="22"/>
          <w:highlight w:val="none"/>
          <w:u w:val="single"/>
          <w:lang w:val="en-US" w:eastAsia="zh-CN"/>
        </w:rPr>
        <w:t>发包人按程序</w:t>
      </w:r>
      <w:r>
        <w:rPr>
          <w:rFonts w:hint="eastAsia" w:ascii="宋体" w:hAnsi="宋体" w:cs="宋体"/>
          <w:color w:val="auto"/>
          <w:sz w:val="22"/>
          <w:highlight w:val="none"/>
          <w:u w:val="single"/>
        </w:rPr>
        <w:t>退还 （</w:t>
      </w:r>
      <w:r>
        <w:rPr>
          <w:rFonts w:hint="eastAsia" w:ascii="宋体" w:hAnsi="宋体" w:cs="宋体"/>
          <w:color w:val="auto"/>
          <w:sz w:val="22"/>
          <w:u w:val="single"/>
        </w:rPr>
        <w:t xml:space="preserve">无息） </w:t>
      </w:r>
      <w:r>
        <w:rPr>
          <w:rFonts w:hint="eastAsia" w:ascii="宋体" w:hAnsi="宋体" w:cs="宋体"/>
          <w:color w:val="auto"/>
          <w:sz w:val="22"/>
        </w:rPr>
        <w:t>。</w:t>
      </w:r>
    </w:p>
    <w:bookmarkEnd w:id="978"/>
    <w:bookmarkEnd w:id="979"/>
    <w:bookmarkEnd w:id="980"/>
    <w:bookmarkEnd w:id="981"/>
    <w:bookmarkEnd w:id="982"/>
    <w:bookmarkEnd w:id="983"/>
    <w:bookmarkEnd w:id="984"/>
    <w:bookmarkEnd w:id="990"/>
    <w:p w14:paraId="35E8B977">
      <w:pPr>
        <w:pStyle w:val="71"/>
        <w:spacing w:before="0" w:after="0" w:line="360" w:lineRule="exact"/>
        <w:ind w:firstLine="442" w:firstLineChars="200"/>
        <w:rPr>
          <w:rFonts w:hint="eastAsia" w:ascii="宋体" w:hAnsi="宋体" w:cs="宋体"/>
          <w:color w:val="auto"/>
          <w:sz w:val="22"/>
          <w:szCs w:val="22"/>
        </w:rPr>
      </w:pPr>
      <w:bookmarkStart w:id="1028" w:name="_Toc351203647"/>
      <w:bookmarkStart w:id="1029" w:name="_Toc373478409"/>
      <w:bookmarkStart w:id="1030" w:name="_Toc12975953"/>
      <w:bookmarkStart w:id="1031" w:name="_Toc373227762"/>
      <w:bookmarkStart w:id="1032" w:name="_Toc533432788"/>
      <w:bookmarkStart w:id="1033" w:name="_Toc395382565"/>
      <w:bookmarkStart w:id="1034" w:name="_Toc389065327"/>
      <w:bookmarkStart w:id="1035" w:name="_Toc267251483"/>
      <w:bookmarkStart w:id="1036" w:name="_Toc267251484"/>
      <w:bookmarkStart w:id="1037" w:name="_Toc267251482"/>
      <w:bookmarkStart w:id="1038" w:name="_Toc267251485"/>
      <w:bookmarkStart w:id="1039" w:name="_Toc267251489"/>
      <w:bookmarkStart w:id="1040" w:name="_Toc267251490"/>
      <w:bookmarkStart w:id="1041" w:name="_Toc267251486"/>
      <w:bookmarkStart w:id="1042" w:name="_Toc267251488"/>
      <w:bookmarkStart w:id="1043" w:name="_Toc267251496"/>
      <w:bookmarkStart w:id="1044" w:name="_Toc267251491"/>
      <w:bookmarkStart w:id="1045" w:name="_Toc267251495"/>
      <w:bookmarkStart w:id="1046" w:name="_Toc267251498"/>
      <w:bookmarkStart w:id="1047" w:name="_Toc267251502"/>
      <w:bookmarkStart w:id="1048" w:name="_Toc267251503"/>
      <w:bookmarkStart w:id="1049" w:name="_Toc267251494"/>
      <w:bookmarkStart w:id="1050" w:name="_Toc267251499"/>
      <w:bookmarkStart w:id="1051" w:name="_Toc267251493"/>
      <w:bookmarkStart w:id="1052" w:name="_Toc267251497"/>
      <w:bookmarkStart w:id="1053" w:name="_Toc267251501"/>
      <w:bookmarkStart w:id="1054" w:name="_Toc267251492"/>
      <w:bookmarkStart w:id="1055" w:name="_Toc267251506"/>
      <w:bookmarkStart w:id="1056" w:name="_Toc267251504"/>
      <w:bookmarkStart w:id="1057" w:name="_Toc267251507"/>
      <w:bookmarkStart w:id="1058" w:name="_Toc267251508"/>
      <w:bookmarkStart w:id="1059" w:name="_Toc267251514"/>
      <w:bookmarkStart w:id="1060" w:name="_Toc267251515"/>
      <w:bookmarkStart w:id="1061" w:name="_Toc267251513"/>
      <w:bookmarkStart w:id="1062" w:name="_Toc267251511"/>
      <w:bookmarkStart w:id="1063" w:name="_Toc267251510"/>
      <w:bookmarkStart w:id="1064" w:name="_Toc267251509"/>
      <w:r>
        <w:rPr>
          <w:rFonts w:hint="eastAsia" w:ascii="宋体" w:hAnsi="宋体" w:cs="宋体"/>
          <w:color w:val="auto"/>
          <w:sz w:val="22"/>
          <w:szCs w:val="22"/>
        </w:rPr>
        <w:t>15. 缺陷责任期与保修</w:t>
      </w:r>
      <w:bookmarkEnd w:id="1028"/>
      <w:bookmarkEnd w:id="1029"/>
      <w:bookmarkEnd w:id="1030"/>
      <w:bookmarkEnd w:id="1031"/>
      <w:bookmarkEnd w:id="1032"/>
      <w:bookmarkEnd w:id="1033"/>
      <w:bookmarkEnd w:id="1034"/>
    </w:p>
    <w:p w14:paraId="53514AB8">
      <w:pPr>
        <w:pStyle w:val="40"/>
        <w:spacing w:line="360" w:lineRule="exact"/>
        <w:ind w:firstLine="442" w:firstLineChars="200"/>
        <w:rPr>
          <w:rFonts w:hint="eastAsia" w:ascii="宋体" w:hAnsi="宋体" w:cs="宋体"/>
          <w:color w:val="auto"/>
          <w:sz w:val="22"/>
          <w:szCs w:val="22"/>
        </w:rPr>
      </w:pPr>
      <w:bookmarkStart w:id="1065" w:name="_Toc533432789"/>
      <w:bookmarkStart w:id="1066" w:name="_Toc395382566"/>
      <w:bookmarkStart w:id="1067" w:name="_Toc373227763"/>
      <w:bookmarkStart w:id="1068" w:name="_Toc12975954"/>
      <w:bookmarkStart w:id="1069" w:name="_Toc373478410"/>
      <w:bookmarkStart w:id="1070" w:name="_Toc389065328"/>
      <w:r>
        <w:rPr>
          <w:rFonts w:hint="eastAsia" w:ascii="宋体" w:hAnsi="宋体" w:cs="宋体"/>
          <w:color w:val="auto"/>
          <w:sz w:val="22"/>
          <w:szCs w:val="22"/>
        </w:rPr>
        <w:t>15.2 缺陷责任期</w:t>
      </w:r>
      <w:bookmarkEnd w:id="1035"/>
      <w:bookmarkEnd w:id="1065"/>
      <w:bookmarkEnd w:id="1066"/>
      <w:bookmarkEnd w:id="1067"/>
      <w:bookmarkEnd w:id="1068"/>
      <w:bookmarkEnd w:id="1069"/>
      <w:bookmarkEnd w:id="1070"/>
    </w:p>
    <w:p w14:paraId="2189241E">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缺陷责任期的具体期限：</w:t>
      </w:r>
      <w:r>
        <w:rPr>
          <w:rFonts w:hint="eastAsia" w:ascii="宋体" w:hAnsi="宋体" w:cs="宋体"/>
          <w:color w:val="auto"/>
          <w:sz w:val="22"/>
          <w:u w:val="single"/>
        </w:rPr>
        <w:t>24个月</w:t>
      </w:r>
      <w:r>
        <w:rPr>
          <w:rFonts w:hint="eastAsia" w:ascii="宋体" w:hAnsi="宋体" w:cs="宋体"/>
          <w:color w:val="auto"/>
          <w:sz w:val="22"/>
        </w:rPr>
        <w:t>。</w:t>
      </w:r>
    </w:p>
    <w:p w14:paraId="1FE4A633">
      <w:pPr>
        <w:pStyle w:val="40"/>
        <w:spacing w:line="360" w:lineRule="exact"/>
        <w:ind w:firstLine="442" w:firstLineChars="200"/>
        <w:rPr>
          <w:rFonts w:hint="eastAsia" w:ascii="宋体" w:hAnsi="宋体" w:cs="宋体"/>
          <w:color w:val="auto"/>
          <w:sz w:val="22"/>
          <w:szCs w:val="22"/>
        </w:rPr>
      </w:pPr>
      <w:bookmarkStart w:id="1071" w:name="_Toc395382567"/>
      <w:bookmarkStart w:id="1072" w:name="_Toc533432790"/>
      <w:bookmarkStart w:id="1073" w:name="_Toc389065329"/>
      <w:bookmarkStart w:id="1074" w:name="_Toc373227764"/>
      <w:bookmarkStart w:id="1075" w:name="_Toc373478411"/>
      <w:bookmarkStart w:id="1076" w:name="_Toc12975955"/>
      <w:r>
        <w:rPr>
          <w:rFonts w:hint="eastAsia" w:ascii="宋体" w:hAnsi="宋体" w:cs="宋体"/>
          <w:color w:val="auto"/>
          <w:sz w:val="22"/>
          <w:szCs w:val="22"/>
        </w:rPr>
        <w:t>15.3 质量保证金</w:t>
      </w:r>
      <w:bookmarkEnd w:id="1071"/>
      <w:bookmarkEnd w:id="1072"/>
      <w:bookmarkEnd w:id="1073"/>
      <w:bookmarkEnd w:id="1074"/>
      <w:bookmarkEnd w:id="1075"/>
      <w:bookmarkEnd w:id="1076"/>
    </w:p>
    <w:p w14:paraId="63C0EC17">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关于是否扣留质量保证金的约定：</w:t>
      </w:r>
      <w:r>
        <w:rPr>
          <w:rFonts w:hint="eastAsia" w:ascii="宋体" w:hAnsi="宋体" w:cs="宋体"/>
          <w:color w:val="auto"/>
          <w:sz w:val="22"/>
          <w:u w:val="single"/>
        </w:rPr>
        <w:t>扣留</w:t>
      </w:r>
      <w:r>
        <w:rPr>
          <w:rFonts w:hint="eastAsia" w:ascii="宋体" w:hAnsi="宋体" w:cs="宋体"/>
          <w:color w:val="auto"/>
          <w:sz w:val="22"/>
        </w:rPr>
        <w:t>。</w:t>
      </w:r>
    </w:p>
    <w:p w14:paraId="31BA84B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15.3.1 承包人提供质量保证金的方式</w:t>
      </w:r>
    </w:p>
    <w:p w14:paraId="2F735E8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质量保证金采用以下第</w:t>
      </w:r>
      <w:r>
        <w:rPr>
          <w:rFonts w:hint="eastAsia" w:ascii="宋体" w:hAnsi="宋体" w:cs="宋体"/>
          <w:color w:val="auto"/>
          <w:sz w:val="22"/>
          <w:u w:val="single"/>
        </w:rPr>
        <w:t>（2）</w:t>
      </w:r>
      <w:r>
        <w:rPr>
          <w:rFonts w:hint="eastAsia" w:ascii="宋体" w:hAnsi="宋体" w:cs="宋体"/>
          <w:color w:val="auto"/>
          <w:sz w:val="22"/>
        </w:rPr>
        <w:t>种方式：</w:t>
      </w:r>
    </w:p>
    <w:p w14:paraId="552DF7C8">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（1）质量保证金保函，保证金额为：</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 xml:space="preserve"> </w:t>
      </w:r>
      <w:r>
        <w:rPr>
          <w:rFonts w:hint="eastAsia" w:ascii="宋体" w:hAnsi="宋体" w:cs="宋体"/>
          <w:color w:val="auto"/>
          <w:kern w:val="0"/>
          <w:sz w:val="22"/>
        </w:rPr>
        <w:t>；</w:t>
      </w:r>
    </w:p>
    <w:p w14:paraId="1E0AB14B">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w:t>
      </w:r>
      <w:r>
        <w:rPr>
          <w:rFonts w:hint="eastAsia" w:ascii="宋体" w:hAnsi="宋体" w:cs="宋体"/>
          <w:bCs/>
          <w:color w:val="auto"/>
          <w:sz w:val="22"/>
        </w:rPr>
        <w:t>发包人按工程价款结算总额的</w:t>
      </w:r>
      <w:r>
        <w:rPr>
          <w:rFonts w:hint="eastAsia" w:ascii="宋体" w:hAnsi="宋体" w:cs="宋体"/>
          <w:bCs/>
          <w:color w:val="auto"/>
          <w:sz w:val="22"/>
          <w:u w:val="single"/>
        </w:rPr>
        <w:t xml:space="preserve">  3 </w:t>
      </w:r>
      <w:r>
        <w:rPr>
          <w:rFonts w:hint="eastAsia" w:ascii="宋体" w:hAnsi="宋体" w:cs="宋体"/>
          <w:bCs/>
          <w:color w:val="auto"/>
          <w:sz w:val="22"/>
        </w:rPr>
        <w:t>%预留工程</w:t>
      </w:r>
      <w:r>
        <w:rPr>
          <w:rFonts w:hint="eastAsia" w:ascii="宋体" w:hAnsi="宋体" w:cs="宋体"/>
          <w:bCs/>
          <w:color w:val="auto"/>
          <w:sz w:val="22"/>
          <w:lang w:eastAsia="zh-CN"/>
        </w:rPr>
        <w:t>质量保证金</w:t>
      </w:r>
      <w:r>
        <w:rPr>
          <w:rFonts w:hint="eastAsia" w:ascii="宋体" w:hAnsi="宋体" w:cs="宋体"/>
          <w:bCs/>
          <w:color w:val="auto"/>
          <w:sz w:val="22"/>
        </w:rPr>
        <w:t>，待缺陷责任期满后返还</w:t>
      </w:r>
      <w:r>
        <w:rPr>
          <w:rFonts w:hint="eastAsia" w:ascii="宋体" w:hAnsi="宋体" w:cs="宋体"/>
          <w:color w:val="auto"/>
          <w:kern w:val="0"/>
          <w:sz w:val="22"/>
        </w:rPr>
        <w:t>；</w:t>
      </w:r>
    </w:p>
    <w:p w14:paraId="5AB20993">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（3）其他方式：</w:t>
      </w:r>
      <w:r>
        <w:rPr>
          <w:rFonts w:hint="eastAsia" w:ascii="宋体" w:hAnsi="宋体" w:cs="宋体"/>
          <w:bCs/>
          <w:color w:val="auto"/>
          <w:sz w:val="22"/>
          <w:u w:val="single"/>
          <w:lang w:val="en-US" w:eastAsia="zh-CN"/>
        </w:rPr>
        <w:t xml:space="preserve"> </w:t>
      </w:r>
      <w:r>
        <w:rPr>
          <w:rFonts w:hint="eastAsia" w:ascii="宋体" w:hAnsi="宋体" w:cs="宋体"/>
          <w:bCs/>
          <w:color w:val="auto"/>
          <w:sz w:val="22"/>
          <w:u w:val="single"/>
        </w:rPr>
        <w:t xml:space="preserve"> /  </w:t>
      </w:r>
      <w:r>
        <w:rPr>
          <w:rFonts w:hint="eastAsia" w:ascii="宋体" w:hAnsi="宋体" w:cs="宋体"/>
          <w:bCs/>
          <w:color w:val="auto"/>
          <w:sz w:val="22"/>
        </w:rPr>
        <w:t>。</w:t>
      </w:r>
    </w:p>
    <w:p w14:paraId="2C032C52">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15.3.2 质量保证金的扣留</w:t>
      </w:r>
    </w:p>
    <w:p w14:paraId="1FAC5F46">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质量保证金的扣留采取以下第</w:t>
      </w:r>
      <w:r>
        <w:rPr>
          <w:rFonts w:hint="eastAsia" w:ascii="宋体" w:hAnsi="宋体" w:cs="宋体"/>
          <w:color w:val="auto"/>
          <w:sz w:val="22"/>
          <w:u w:val="single"/>
        </w:rPr>
        <w:t>（2）</w:t>
      </w:r>
      <w:r>
        <w:rPr>
          <w:rFonts w:hint="eastAsia" w:ascii="宋体" w:hAnsi="宋体" w:cs="宋体"/>
          <w:color w:val="auto"/>
          <w:sz w:val="22"/>
        </w:rPr>
        <w:t>种方式：</w:t>
      </w:r>
    </w:p>
    <w:p w14:paraId="45BFF293">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（1）在支付工程进度款时逐次扣留，在此情形下，质量保证金的计算基数不包括预付款的支付、扣回以及价格调整的金额；</w:t>
      </w:r>
    </w:p>
    <w:p w14:paraId="44DB9322">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（2）工程竣工结算时一次性扣留质量保证金；</w:t>
      </w:r>
    </w:p>
    <w:p w14:paraId="41C4E952">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（3）其他扣留方式</w:t>
      </w:r>
      <w:r>
        <w:rPr>
          <w:rFonts w:hint="eastAsia" w:ascii="宋体" w:hAnsi="宋体" w:cs="宋体"/>
          <w:color w:val="auto"/>
          <w:kern w:val="0"/>
          <w:sz w:val="22"/>
          <w:lang w:eastAsia="zh-CN"/>
        </w:rPr>
        <w:t>：</w:t>
      </w:r>
      <w:r>
        <w:rPr>
          <w:rFonts w:hint="eastAsia" w:ascii="宋体" w:hAnsi="宋体" w:cs="宋体"/>
          <w:color w:val="auto"/>
          <w:kern w:val="0"/>
          <w:sz w:val="22"/>
          <w:u w:val="single"/>
        </w:rPr>
        <w:t xml:space="preserve">  /</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026505F">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关于质量保证金的补充约定：</w:t>
      </w:r>
      <w:r>
        <w:rPr>
          <w:rFonts w:hint="eastAsia" w:ascii="宋体" w:hAnsi="宋体" w:cs="宋体"/>
          <w:color w:val="auto"/>
          <w:sz w:val="22"/>
          <w:u w:val="single"/>
          <w:lang w:val="en-US" w:eastAsia="zh-CN"/>
        </w:rPr>
        <w:t xml:space="preserve"> </w:t>
      </w:r>
      <w:r>
        <w:rPr>
          <w:rFonts w:hint="eastAsia" w:ascii="宋体" w:hAnsi="宋体" w:cs="宋体"/>
          <w:color w:val="auto"/>
          <w:sz w:val="22"/>
          <w:u w:val="single"/>
        </w:rPr>
        <w:t xml:space="preserve">/ </w:t>
      </w:r>
      <w:r>
        <w:rPr>
          <w:rFonts w:hint="eastAsia" w:ascii="宋体" w:hAnsi="宋体" w:cs="宋体"/>
          <w:color w:val="auto"/>
          <w:kern w:val="0"/>
          <w:sz w:val="22"/>
        </w:rPr>
        <w:t>。</w:t>
      </w:r>
    </w:p>
    <w:bookmarkEnd w:id="1036"/>
    <w:bookmarkEnd w:id="1037"/>
    <w:p w14:paraId="2E9E0BE9">
      <w:pPr>
        <w:pStyle w:val="40"/>
        <w:spacing w:line="360" w:lineRule="exact"/>
        <w:ind w:firstLine="442" w:firstLineChars="200"/>
        <w:rPr>
          <w:rFonts w:hint="eastAsia" w:ascii="宋体" w:hAnsi="宋体" w:cs="宋体"/>
          <w:color w:val="auto"/>
          <w:sz w:val="22"/>
          <w:szCs w:val="22"/>
        </w:rPr>
      </w:pPr>
      <w:bookmarkStart w:id="1077" w:name="_Toc373227765"/>
      <w:bookmarkStart w:id="1078" w:name="_Toc12975956"/>
      <w:bookmarkStart w:id="1079" w:name="_Toc389065330"/>
      <w:bookmarkStart w:id="1080" w:name="_Toc533432791"/>
      <w:bookmarkStart w:id="1081" w:name="_Toc373478412"/>
      <w:bookmarkStart w:id="1082" w:name="_Toc395382568"/>
      <w:r>
        <w:rPr>
          <w:rFonts w:hint="eastAsia" w:ascii="宋体" w:hAnsi="宋体" w:cs="宋体"/>
          <w:color w:val="auto"/>
          <w:sz w:val="22"/>
          <w:szCs w:val="22"/>
        </w:rPr>
        <w:t>15.4 保修</w:t>
      </w:r>
      <w:bookmarkEnd w:id="1077"/>
      <w:bookmarkEnd w:id="1078"/>
      <w:bookmarkEnd w:id="1079"/>
      <w:bookmarkEnd w:id="1080"/>
      <w:bookmarkEnd w:id="1081"/>
      <w:bookmarkEnd w:id="1082"/>
    </w:p>
    <w:bookmarkEnd w:id="1038"/>
    <w:p w14:paraId="78A4CD8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15.4.1 保修责任</w:t>
      </w:r>
    </w:p>
    <w:p w14:paraId="3875C60C">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sz w:val="22"/>
        </w:rPr>
        <w:t>工程保修期为：</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见工程质量保修书</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2EE25425">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工程质量保修书具体内容见合同附件</w:t>
      </w:r>
      <w:r>
        <w:rPr>
          <w:rFonts w:hint="eastAsia" w:ascii="宋体" w:hAnsi="宋体" w:cs="宋体"/>
          <w:color w:val="auto"/>
          <w:sz w:val="22"/>
          <w:lang w:val="en-US" w:eastAsia="zh-CN"/>
        </w:rPr>
        <w:t>2</w:t>
      </w:r>
      <w:r>
        <w:rPr>
          <w:rFonts w:hint="eastAsia" w:ascii="宋体" w:hAnsi="宋体" w:cs="宋体"/>
          <w:color w:val="auto"/>
          <w:sz w:val="22"/>
        </w:rPr>
        <w:t>。</w:t>
      </w:r>
    </w:p>
    <w:p w14:paraId="525233E5">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15.4.3 修复通知</w:t>
      </w:r>
    </w:p>
    <w:p w14:paraId="424D3BF9">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承包人收到保修通知并到达工程现场的合理时间：</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收到通</w:t>
      </w:r>
      <w:r>
        <w:rPr>
          <w:rFonts w:hint="eastAsia" w:ascii="宋体" w:hAnsi="宋体" w:cs="宋体"/>
          <w:color w:val="auto"/>
          <w:kern w:val="0"/>
          <w:sz w:val="22"/>
          <w:highlight w:val="none"/>
          <w:u w:val="single"/>
        </w:rPr>
        <w:t>知后</w:t>
      </w:r>
      <w:r>
        <w:rPr>
          <w:rFonts w:hint="eastAsia" w:ascii="宋体" w:hAnsi="宋体" w:cs="宋体"/>
          <w:color w:val="auto"/>
          <w:kern w:val="0"/>
          <w:sz w:val="22"/>
          <w:highlight w:val="none"/>
          <w:u w:val="single"/>
          <w:lang w:val="en-US" w:eastAsia="zh-CN"/>
        </w:rPr>
        <w:t>48</w:t>
      </w:r>
      <w:r>
        <w:rPr>
          <w:rFonts w:hint="eastAsia" w:ascii="宋体" w:hAnsi="宋体" w:cs="宋体"/>
          <w:color w:val="auto"/>
          <w:kern w:val="0"/>
          <w:sz w:val="22"/>
          <w:highlight w:val="none"/>
          <w:u w:val="single"/>
        </w:rPr>
        <w:t>小时内</w:t>
      </w:r>
      <w:r>
        <w:rPr>
          <w:rFonts w:hint="eastAsia" w:ascii="宋体" w:hAnsi="宋体" w:cs="宋体"/>
          <w:color w:val="auto"/>
          <w:kern w:val="0"/>
          <w:sz w:val="22"/>
          <w:highlight w:val="none"/>
          <w:u w:val="single"/>
          <w:lang w:val="en-US" w:eastAsia="zh-CN"/>
        </w:rPr>
        <w:t xml:space="preserve"> </w:t>
      </w:r>
      <w:r>
        <w:rPr>
          <w:rFonts w:hint="eastAsia" w:ascii="宋体" w:hAnsi="宋体" w:cs="宋体"/>
          <w:color w:val="auto"/>
          <w:kern w:val="0"/>
          <w:sz w:val="22"/>
        </w:rPr>
        <w:t>。</w:t>
      </w:r>
    </w:p>
    <w:bookmarkEnd w:id="1039"/>
    <w:bookmarkEnd w:id="1040"/>
    <w:bookmarkEnd w:id="1041"/>
    <w:bookmarkEnd w:id="1042"/>
    <w:p w14:paraId="7C3F407A">
      <w:pPr>
        <w:pStyle w:val="71"/>
        <w:spacing w:before="0" w:after="0" w:line="360" w:lineRule="exact"/>
        <w:rPr>
          <w:rFonts w:hint="eastAsia" w:ascii="宋体" w:hAnsi="宋体" w:cs="宋体"/>
          <w:color w:val="auto"/>
          <w:sz w:val="22"/>
          <w:szCs w:val="22"/>
        </w:rPr>
      </w:pPr>
      <w:bookmarkStart w:id="1083" w:name="_Toc395382569"/>
      <w:bookmarkStart w:id="1084" w:name="_Toc373478413"/>
      <w:bookmarkStart w:id="1085" w:name="_Toc389065331"/>
      <w:bookmarkStart w:id="1086" w:name="_Toc533432792"/>
      <w:bookmarkStart w:id="1087" w:name="_Toc351203648"/>
      <w:bookmarkStart w:id="1088" w:name="_Toc373227766"/>
      <w:bookmarkStart w:id="1089" w:name="_Toc12975957"/>
      <w:bookmarkStart w:id="1090" w:name="_Toc280868717"/>
      <w:bookmarkStart w:id="1091" w:name="_Toc280868718"/>
    </w:p>
    <w:p w14:paraId="4374E925">
      <w:pPr>
        <w:pStyle w:val="71"/>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16. 违约</w:t>
      </w:r>
      <w:bookmarkEnd w:id="1083"/>
      <w:bookmarkEnd w:id="1084"/>
      <w:bookmarkEnd w:id="1085"/>
      <w:bookmarkEnd w:id="1086"/>
      <w:bookmarkEnd w:id="1087"/>
      <w:bookmarkEnd w:id="1088"/>
      <w:bookmarkEnd w:id="1089"/>
    </w:p>
    <w:p w14:paraId="456CF18D">
      <w:pPr>
        <w:pStyle w:val="40"/>
        <w:spacing w:line="360" w:lineRule="exact"/>
        <w:ind w:firstLine="442" w:firstLineChars="200"/>
        <w:rPr>
          <w:rFonts w:hint="eastAsia" w:ascii="宋体" w:hAnsi="宋体" w:cs="宋体"/>
          <w:color w:val="auto"/>
          <w:sz w:val="22"/>
          <w:szCs w:val="22"/>
        </w:rPr>
      </w:pPr>
      <w:bookmarkStart w:id="1092" w:name="_Toc12975958"/>
      <w:bookmarkStart w:id="1093" w:name="_Toc373478414"/>
      <w:bookmarkStart w:id="1094" w:name="_Toc373227767"/>
      <w:bookmarkStart w:id="1095" w:name="_Toc389065332"/>
      <w:bookmarkStart w:id="1096" w:name="_Toc533432793"/>
      <w:bookmarkStart w:id="1097" w:name="_Toc395382570"/>
      <w:r>
        <w:rPr>
          <w:rFonts w:hint="eastAsia" w:ascii="宋体" w:hAnsi="宋体" w:cs="宋体"/>
          <w:color w:val="auto"/>
          <w:sz w:val="22"/>
          <w:szCs w:val="22"/>
        </w:rPr>
        <w:t>16.1 发包人违约</w:t>
      </w:r>
      <w:bookmarkEnd w:id="1092"/>
      <w:bookmarkEnd w:id="1093"/>
      <w:bookmarkEnd w:id="1094"/>
      <w:bookmarkEnd w:id="1095"/>
      <w:bookmarkEnd w:id="1096"/>
      <w:bookmarkEnd w:id="1097"/>
    </w:p>
    <w:p w14:paraId="6CF5A32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16.1.1发包人违约的情形</w:t>
      </w:r>
    </w:p>
    <w:p w14:paraId="02FC07AA">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发包人违约的其他情形：</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7D08213A">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16.1.2 发包人违约的责任</w:t>
      </w:r>
    </w:p>
    <w:p w14:paraId="5F05E84F">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发包人违约责任的承担方式和计算方法：</w:t>
      </w:r>
    </w:p>
    <w:p w14:paraId="0DBDD173">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（1）因发包人原因未能在计划开工日期前7天内下达开工通知的违约责任：</w:t>
      </w:r>
      <w:r>
        <w:rPr>
          <w:rFonts w:hint="eastAsia" w:ascii="宋体" w:hAnsi="宋体" w:cs="宋体"/>
          <w:color w:val="auto"/>
          <w:kern w:val="0"/>
          <w:sz w:val="22"/>
          <w:u w:val="single"/>
        </w:rPr>
        <w:t xml:space="preserve"> 工期顺延 </w:t>
      </w:r>
      <w:r>
        <w:rPr>
          <w:rFonts w:hint="eastAsia" w:ascii="宋体" w:hAnsi="宋体" w:cs="宋体"/>
          <w:color w:val="auto"/>
          <w:kern w:val="0"/>
          <w:sz w:val="22"/>
        </w:rPr>
        <w:t>。</w:t>
      </w:r>
    </w:p>
    <w:p w14:paraId="3122CFA4">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（2）因发包人原因未能按合同约定支付合同价款的违约责任：</w:t>
      </w:r>
      <w:r>
        <w:rPr>
          <w:rFonts w:hint="eastAsia" w:ascii="宋体" w:hAnsi="宋体" w:cs="宋体"/>
          <w:color w:val="auto"/>
          <w:kern w:val="0"/>
          <w:sz w:val="22"/>
          <w:u w:val="single"/>
        </w:rPr>
        <w:t>无</w:t>
      </w:r>
      <w:r>
        <w:rPr>
          <w:rFonts w:hint="eastAsia" w:ascii="宋体" w:hAnsi="宋体" w:cs="宋体"/>
          <w:color w:val="auto"/>
          <w:kern w:val="0"/>
          <w:sz w:val="22"/>
        </w:rPr>
        <w:t>。</w:t>
      </w:r>
    </w:p>
    <w:p w14:paraId="2B536B0C">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（3）发包人违反第10.1款〔变更的范围〕第（2）项约定，自行实施被取消的工作或转由他人实施的违约责任：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无</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38C443FA">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4F93830">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kern w:val="0"/>
          <w:sz w:val="22"/>
        </w:rPr>
        <w:t>（5）因发包人违反合同约定造成暂停施工的违约责任：</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u w:val="single"/>
        </w:rPr>
        <w:t>工期顺延</w:t>
      </w:r>
      <w:r>
        <w:rPr>
          <w:rFonts w:hint="eastAsia" w:ascii="宋体" w:hAnsi="宋体" w:cs="宋体"/>
          <w:color w:val="auto"/>
          <w:kern w:val="0"/>
          <w:sz w:val="22"/>
          <w:u w:val="single"/>
          <w:lang w:val="en-US" w:eastAsia="zh-CN"/>
        </w:rPr>
        <w:t xml:space="preserve"> </w:t>
      </w:r>
      <w:r>
        <w:rPr>
          <w:rFonts w:hint="eastAsia" w:ascii="宋体" w:hAnsi="宋体" w:cs="宋体"/>
          <w:color w:val="auto"/>
          <w:kern w:val="0"/>
          <w:sz w:val="22"/>
        </w:rPr>
        <w:t>。</w:t>
      </w:r>
    </w:p>
    <w:p w14:paraId="1F0A8FA5">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（6）发包人无正当理由没有在约定期限内发出复工指示，导致承包人无法复工的违约责任：</w:t>
      </w:r>
      <w:r>
        <w:rPr>
          <w:rFonts w:hint="eastAsia" w:ascii="宋体" w:hAnsi="宋体" w:cs="宋体"/>
          <w:color w:val="auto"/>
          <w:kern w:val="0"/>
          <w:sz w:val="22"/>
          <w:u w:val="single"/>
        </w:rPr>
        <w:t xml:space="preserve"> 工期顺延</w:t>
      </w:r>
      <w:r>
        <w:rPr>
          <w:rFonts w:hint="eastAsia" w:ascii="宋体" w:hAnsi="宋体" w:cs="宋体"/>
          <w:color w:val="auto"/>
          <w:kern w:val="0"/>
          <w:sz w:val="22"/>
        </w:rPr>
        <w:t>。</w:t>
      </w:r>
    </w:p>
    <w:p w14:paraId="09636A31">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kern w:val="0"/>
          <w:sz w:val="22"/>
        </w:rPr>
        <w:t>（7）其他：</w:t>
      </w:r>
      <w:r>
        <w:rPr>
          <w:rFonts w:hint="eastAsia" w:ascii="宋体" w:hAnsi="宋体" w:cs="宋体"/>
          <w:color w:val="auto"/>
          <w:kern w:val="0"/>
          <w:sz w:val="22"/>
          <w:u w:val="single"/>
        </w:rPr>
        <w:t xml:space="preserve">无 </w:t>
      </w:r>
      <w:r>
        <w:rPr>
          <w:rFonts w:hint="eastAsia" w:ascii="宋体" w:hAnsi="宋体" w:cs="宋体"/>
          <w:color w:val="auto"/>
          <w:kern w:val="0"/>
          <w:sz w:val="22"/>
        </w:rPr>
        <w:t>。</w:t>
      </w:r>
    </w:p>
    <w:p w14:paraId="3B7BDD5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16.1.3 因发包人违约解除合同</w:t>
      </w:r>
    </w:p>
    <w:p w14:paraId="37665A16">
      <w:pPr>
        <w:pStyle w:val="40"/>
        <w:spacing w:line="360" w:lineRule="exact"/>
        <w:ind w:firstLine="440" w:firstLineChars="200"/>
        <w:rPr>
          <w:rFonts w:hint="eastAsia" w:ascii="宋体" w:hAnsi="宋体" w:cs="宋体"/>
          <w:b w:val="0"/>
          <w:bCs w:val="0"/>
          <w:color w:val="auto"/>
          <w:kern w:val="0"/>
          <w:sz w:val="22"/>
          <w:szCs w:val="22"/>
        </w:rPr>
      </w:pPr>
      <w:bookmarkStart w:id="1098" w:name="_Toc533432794"/>
      <w:bookmarkStart w:id="1099" w:name="_Toc12975959"/>
      <w:bookmarkStart w:id="1100" w:name="_Toc373227768"/>
      <w:bookmarkStart w:id="1101" w:name="_Toc373478415"/>
      <w:bookmarkStart w:id="1102" w:name="_Toc389065333"/>
      <w:bookmarkStart w:id="1103" w:name="_Toc395382571"/>
      <w:r>
        <w:rPr>
          <w:rFonts w:hint="eastAsia" w:ascii="宋体" w:hAnsi="宋体" w:cs="宋体"/>
          <w:b w:val="0"/>
          <w:bCs w:val="0"/>
          <w:color w:val="auto"/>
          <w:kern w:val="0"/>
          <w:sz w:val="22"/>
          <w:szCs w:val="22"/>
        </w:rPr>
        <w:t>承包人按16.1.1项〔发包人违约的情形〕约定暂停施工满</w:t>
      </w:r>
      <w:r>
        <w:rPr>
          <w:rFonts w:hint="eastAsia" w:ascii="宋体" w:hAnsi="宋体" w:cs="宋体"/>
          <w:b w:val="0"/>
          <w:bCs w:val="0"/>
          <w:color w:val="auto"/>
          <w:kern w:val="0"/>
          <w:sz w:val="22"/>
          <w:szCs w:val="22"/>
          <w:u w:val="single"/>
        </w:rPr>
        <w:t>84</w:t>
      </w:r>
      <w:r>
        <w:rPr>
          <w:rFonts w:hint="eastAsia" w:ascii="宋体" w:hAnsi="宋体" w:cs="宋体"/>
          <w:b w:val="0"/>
          <w:bCs w:val="0"/>
          <w:color w:val="auto"/>
          <w:kern w:val="0"/>
          <w:sz w:val="22"/>
          <w:szCs w:val="22"/>
        </w:rPr>
        <w:t>天后发包人仍不纠正其违约行为并致使合同目的不能实现的，承包人有权解除合同。</w:t>
      </w:r>
      <w:bookmarkEnd w:id="1098"/>
      <w:bookmarkEnd w:id="1099"/>
    </w:p>
    <w:p w14:paraId="2BEE0223">
      <w:pPr>
        <w:pStyle w:val="40"/>
        <w:spacing w:line="360" w:lineRule="exact"/>
        <w:ind w:firstLine="442" w:firstLineChars="200"/>
        <w:rPr>
          <w:rFonts w:hint="eastAsia" w:ascii="宋体" w:hAnsi="宋体" w:cs="宋体"/>
          <w:color w:val="auto"/>
          <w:sz w:val="22"/>
          <w:szCs w:val="22"/>
        </w:rPr>
      </w:pPr>
      <w:bookmarkStart w:id="1104" w:name="_Toc12975960"/>
      <w:bookmarkStart w:id="1105" w:name="_Toc533432795"/>
      <w:r>
        <w:rPr>
          <w:rFonts w:hint="eastAsia" w:ascii="宋体" w:hAnsi="宋体" w:cs="宋体"/>
          <w:color w:val="auto"/>
          <w:sz w:val="22"/>
          <w:szCs w:val="22"/>
        </w:rPr>
        <w:t>16.2 承包人违约</w:t>
      </w:r>
      <w:bookmarkEnd w:id="1100"/>
      <w:bookmarkEnd w:id="1101"/>
      <w:bookmarkEnd w:id="1102"/>
      <w:bookmarkEnd w:id="1103"/>
      <w:bookmarkEnd w:id="1104"/>
      <w:bookmarkEnd w:id="1105"/>
    </w:p>
    <w:p w14:paraId="2EF2AFF1">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16.2.1 承包人违约的情形</w:t>
      </w:r>
    </w:p>
    <w:p w14:paraId="2C09AF7E">
      <w:pPr>
        <w:pStyle w:val="61"/>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承包人违约的其他情形：</w:t>
      </w:r>
    </w:p>
    <w:p w14:paraId="38605BA7">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（9）承包人未经发包人、监理人事先同意，擅自更换合同工程项目经理、技术负责人或其他主要管理人员</w:t>
      </w:r>
      <w:r>
        <w:rPr>
          <w:rFonts w:hint="eastAsia" w:ascii="宋体" w:hAnsi="宋体" w:cs="宋体"/>
          <w:color w:val="auto"/>
          <w:sz w:val="22"/>
          <w:szCs w:val="22"/>
          <w:u w:val="none"/>
        </w:rPr>
        <w:t>。</w:t>
      </w:r>
    </w:p>
    <w:p w14:paraId="26EA9A8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（10）将工程预付款、进度款以及发包人支付用于本项目的其他费用挪作他用。</w:t>
      </w:r>
    </w:p>
    <w:p w14:paraId="09466B9C">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（11）承包人违反第8.2款的约定使用了不合格的材料或工程设备又拒绝清除不合格的材料或工程设备，或因使用了不合格的材料或工程设备导致工程质量达不到标准要求又拒绝清除或修复不合格工程。</w:t>
      </w:r>
    </w:p>
    <w:p w14:paraId="661AAF01">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（12）承包人违反第8.5款的约定使用了不合格的材料或工程设备或工程质量达不到标准要求等造成安全质量事故。</w:t>
      </w:r>
    </w:p>
    <w:p w14:paraId="78EFDE03">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（13）合同工程竣工后，经两次验收仍不能达到合同约定的质量标准。</w:t>
      </w:r>
    </w:p>
    <w:p w14:paraId="5A43A51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14）承包人拒绝执行发包人或监理人发出的关于本工程的指令的；或以磋商工程量清单中的措施项目出现错误、缺项、漏项情况为由，拒绝执行相应部分内容施工的；或以变更或增加部分与本合同无实质性关联为由，拒绝执行的；或以变更增加部分子目单价低为由拒绝执行的；或超出以变更增加部分子目施工能力范围等为由拒绝执行的；或拒绝执行合同约定的其他情形的。</w:t>
      </w:r>
    </w:p>
    <w:p w14:paraId="2BF34CB3">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（15）如果承包人或承包人的工作人员（不论承包人是否知晓）以贿赂或变相贿赂的方式，谋取不当利益或损害发包人权益的。</w:t>
      </w:r>
    </w:p>
    <w:p w14:paraId="5B7E96CF">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（16</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rPr>
        <w:t xml:space="preserve"> 未经验收或验收不合格，擅自进行隐蔽工程的覆盖或其他工程下道工序的施工，或验收合格后到隐蔽施工前对通过隐蔽验收的合格部分有任何改动。</w:t>
      </w:r>
    </w:p>
    <w:p w14:paraId="7514DE64">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（17）承包人在缺陷责任期内，未能对缺陷责任期内发生的缺陷进行修复而又拒绝按发包人或监理人指示再进行修补或同一部位出现二次以上维修的。</w:t>
      </w:r>
    </w:p>
    <w:p w14:paraId="5551770B">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（18）承包人无法定或合同约定依据，而未能按期开工、暂停施工或以暂停施工相威胁，连续或累计超过7天（含7天）。</w:t>
      </w:r>
    </w:p>
    <w:p w14:paraId="133BE36A">
      <w:pPr>
        <w:pStyle w:val="61"/>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u w:val="single"/>
        </w:rPr>
        <w:t>（19）承包人逾期竣工超过60天（含60天）或磋商文件承诺的节点或修改的施工组织设计承诺的节点逾期超过30天（含30天）。</w:t>
      </w:r>
    </w:p>
    <w:p w14:paraId="4998C684">
      <w:pPr>
        <w:pStyle w:val="6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szCs w:val="22"/>
          <w:u w:val="single"/>
        </w:rPr>
        <w:t>（20）承包人的雇员或其分包人的雇员、或承包人的供应商扰乱发包人生产、生活秩序的。</w:t>
      </w:r>
    </w:p>
    <w:p w14:paraId="472BE5D7">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16.2.2承包人违约的责任</w:t>
      </w:r>
    </w:p>
    <w:p w14:paraId="192EA61D">
      <w:pPr>
        <w:pStyle w:val="41"/>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承包人违约责任的承担方式和计算方法：</w:t>
      </w:r>
    </w:p>
    <w:p w14:paraId="4B84944C">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（1）对承包人违约的处理</w:t>
      </w:r>
    </w:p>
    <w:p w14:paraId="5A31CEE0">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1）承包人发生本合同《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》及《专用条款》第16.2.1项中</w:t>
      </w:r>
      <w:r>
        <w:rPr>
          <w:rFonts w:hint="eastAsia" w:ascii="宋体" w:hAnsi="宋体" w:cs="宋体"/>
          <w:color w:val="auto"/>
          <w:sz w:val="22"/>
          <w:szCs w:val="22"/>
          <w:lang w:eastAsia="zh-CN"/>
        </w:rPr>
        <w:t>（9）（12）（18）（19）</w:t>
      </w:r>
      <w:r>
        <w:rPr>
          <w:rFonts w:hint="eastAsia" w:ascii="宋体" w:hAnsi="宋体" w:cs="宋体"/>
          <w:color w:val="auto"/>
          <w:sz w:val="22"/>
          <w:szCs w:val="22"/>
        </w:rPr>
        <w:t>（20）目约定的违约情况时，除按照专用条款的约定支付违约金外，发包人可通知承包人立即解除合同，承包人应承担由此给发包人造成的一切损失。</w:t>
      </w:r>
    </w:p>
    <w:p w14:paraId="3E63CECC">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发生第16.2.1项中（13）的违约情况时，如合同工程第一次验收不合格，承包人应将不符合质量标准的部分进行整改直至符合标准，费用由承包人承担。如第二次仍验收不合格的，发包人有权立即解除合同，并另行委托他人重建或修复，重建或修复费用由承包人承担，发包人有权直接从应付或拟付承包人的任何款项中扣除。同时，承包人应按专用条款的约定支付违约金及赔偿损失。</w:t>
      </w:r>
    </w:p>
    <w:p w14:paraId="022AD8F8">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发生第16.2.1项中（14）的违约情况时，承包人应按专用条款的约定支付违约金，且因承包人未在指定时间内执行的，发包人可自行将该部分工程或全部工程交由第三方实施，因此额外支出的费用及造成的工期延误责任均由承包人承担。如该工程是对已标价工程量清单内已有工作子目或类似子目变更的，则由此额外产生的费用及款项，发包人有权从应付或拟付给承包人的任何款项中直接扣除；如该工程在已标价工程量清单内没有相同或类似规定的，则该工程实际产生的工程款按第10.4计算的工程款或较按第10.4计算出的款项而多出的款项或费用将从应付或拟付给承包人的任何款项中直接扣除。同时，发包人有权解除本合同。</w:t>
      </w:r>
    </w:p>
    <w:p w14:paraId="469FE1A1">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承包人发生第16.2.1项中（15）的违约情况时，发包人将根据相关法律规定及合同约定追究承包人的法律责任，承包人因此等行为获得的额外费用必须退还发包人，造成的工程损害、发包人的经济损失的，承包人应负一切责任，并予赔偿。情节严重者，发包人并有权解除本合同。</w:t>
      </w:r>
    </w:p>
    <w:p w14:paraId="459729DC">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5）承包人发生除第16.2.1项中（1）、</w:t>
      </w:r>
      <w:r>
        <w:rPr>
          <w:rFonts w:hint="eastAsia" w:ascii="宋体" w:hAnsi="宋体" w:cs="宋体"/>
          <w:color w:val="auto"/>
          <w:sz w:val="22"/>
          <w:szCs w:val="22"/>
          <w:lang w:eastAsia="zh-CN"/>
        </w:rPr>
        <w:t>（3）（4）（7）（8）（9）（12）（13）（14）（15）</w:t>
      </w:r>
      <w:r>
        <w:rPr>
          <w:rFonts w:hint="eastAsia" w:ascii="宋体" w:hAnsi="宋体" w:cs="宋体"/>
          <w:color w:val="auto"/>
          <w:sz w:val="22"/>
          <w:szCs w:val="22"/>
        </w:rPr>
        <w:t>（18）</w:t>
      </w:r>
      <w:r>
        <w:rPr>
          <w:rFonts w:hint="eastAsia" w:ascii="宋体" w:hAnsi="宋体" w:cs="宋体"/>
          <w:color w:val="auto"/>
          <w:sz w:val="22"/>
          <w:szCs w:val="22"/>
          <w:lang w:eastAsia="zh-CN"/>
        </w:rPr>
        <w:t>（19）</w:t>
      </w:r>
      <w:r>
        <w:rPr>
          <w:rFonts w:hint="eastAsia" w:ascii="宋体" w:hAnsi="宋体" w:cs="宋体"/>
          <w:color w:val="auto"/>
          <w:sz w:val="22"/>
          <w:szCs w:val="22"/>
        </w:rPr>
        <w:t>（20）目约定以外的其他违约情况时，承包人均须按照专用条款的约定支付违约金，发包人即可直接向承包人发出解除合同的通知，并可向承包人发出整改通知，要求承包人在指定的期限内自费改正。如承包人在指定期限内整改但仍然造成工期延误的，承包人还应按本合同约定承担工期延误责任；如承包人未在指定期限内整改的，发包人可向承包人发出调换项目部（包括但不限于所有管理人员）的通知，如果承包人不执行或项目部调换后仍然不能履约，发包人则可向承包人发出解除合同通知。</w:t>
      </w:r>
    </w:p>
    <w:p w14:paraId="4D6EF2A4">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6）承包人按上述约定承担违约责任后，在合同未解除的情况下，发包人仍要求承包人继续履行本合同的，承包人应当继续履行合同。</w:t>
      </w:r>
    </w:p>
    <w:p w14:paraId="692125BB">
      <w:pPr>
        <w:pStyle w:val="61"/>
        <w:spacing w:line="360" w:lineRule="exact"/>
        <w:ind w:firstLine="482" w:firstLineChars="200"/>
        <w:jc w:val="left"/>
        <w:rPr>
          <w:rFonts w:hint="eastAsia" w:ascii="方正小标宋简体" w:hAnsi="方正小标宋简体" w:eastAsia="方正小标宋简体" w:cs="方正小标宋简体"/>
          <w:b/>
          <w:bCs/>
          <w:color w:val="auto"/>
          <w:sz w:val="24"/>
          <w:szCs w:val="24"/>
        </w:rPr>
      </w:pPr>
      <w:r>
        <w:rPr>
          <w:rFonts w:hint="eastAsia" w:ascii="方正小标宋简体" w:hAnsi="方正小标宋简体" w:eastAsia="方正小标宋简体" w:cs="方正小标宋简体"/>
          <w:b/>
          <w:bCs/>
          <w:color w:val="auto"/>
          <w:sz w:val="24"/>
          <w:szCs w:val="24"/>
        </w:rPr>
        <w:t>7）承包人发生</w:t>
      </w:r>
      <w:r>
        <w:rPr>
          <w:rFonts w:hint="eastAsia" w:ascii="方正小标宋简体" w:hAnsi="方正小标宋简体" w:eastAsia="方正小标宋简体" w:cs="方正小标宋简体"/>
          <w:b/>
          <w:bCs/>
          <w:color w:val="auto"/>
          <w:sz w:val="24"/>
          <w:szCs w:val="24"/>
          <w:lang w:eastAsia="zh-CN"/>
        </w:rPr>
        <w:t>通用合同条款</w:t>
      </w:r>
      <w:r>
        <w:rPr>
          <w:rFonts w:hint="eastAsia" w:ascii="方正小标宋简体" w:hAnsi="方正小标宋简体" w:eastAsia="方正小标宋简体" w:cs="方正小标宋简体"/>
          <w:b/>
          <w:bCs/>
          <w:color w:val="auto"/>
          <w:sz w:val="24"/>
          <w:szCs w:val="24"/>
        </w:rPr>
        <w:t>和专用条款第16.2.2约定的违约情况时，无论发包人是否解除合同，发包人均有权向承包人课以专用合同条款中规定的违约金，并由发包人将其违约行为</w:t>
      </w:r>
      <w:r>
        <w:rPr>
          <w:rFonts w:hint="eastAsia" w:ascii="方正小标宋简体" w:hAnsi="方正小标宋简体" w:eastAsia="方正小标宋简体" w:cs="方正小标宋简体"/>
          <w:b/>
          <w:bCs/>
          <w:color w:val="auto"/>
          <w:sz w:val="24"/>
          <w:szCs w:val="24"/>
          <w:lang w:val="en-US" w:eastAsia="zh-CN"/>
        </w:rPr>
        <w:t>告知</w:t>
      </w:r>
      <w:r>
        <w:rPr>
          <w:rFonts w:hint="eastAsia" w:ascii="方正小标宋简体" w:hAnsi="方正小标宋简体" w:eastAsia="方正小标宋简体" w:cs="方正小标宋简体"/>
          <w:b/>
          <w:bCs/>
          <w:color w:val="auto"/>
          <w:sz w:val="24"/>
          <w:szCs w:val="24"/>
        </w:rPr>
        <w:t>防城港市港口区住建主管部门，作为</w:t>
      </w:r>
      <w:r>
        <w:rPr>
          <w:rFonts w:hint="eastAsia" w:ascii="方正小标宋简体" w:hAnsi="方正小标宋简体" w:eastAsia="方正小标宋简体" w:cs="方正小标宋简体"/>
          <w:b/>
          <w:bCs/>
          <w:color w:val="auto"/>
          <w:sz w:val="24"/>
          <w:szCs w:val="24"/>
          <w:lang w:val="en-US" w:eastAsia="zh-CN"/>
        </w:rPr>
        <w:t>承包方</w:t>
      </w:r>
      <w:r>
        <w:rPr>
          <w:rFonts w:hint="eastAsia" w:ascii="方正小标宋简体" w:hAnsi="方正小标宋简体" w:eastAsia="方正小标宋简体" w:cs="方正小标宋简体"/>
          <w:b/>
          <w:bCs/>
          <w:color w:val="auto"/>
          <w:sz w:val="24"/>
          <w:szCs w:val="24"/>
        </w:rPr>
        <w:t>不良记录纳入建筑市场信用信息管理系统。</w:t>
      </w:r>
    </w:p>
    <w:p w14:paraId="1BE348A2">
      <w:pPr>
        <w:pStyle w:val="61"/>
        <w:spacing w:line="360" w:lineRule="exact"/>
        <w:ind w:firstLine="482" w:firstLineChars="200"/>
        <w:jc w:val="left"/>
        <w:rPr>
          <w:rFonts w:hint="eastAsia" w:ascii="方正小标宋简体" w:hAnsi="方正小标宋简体" w:eastAsia="方正小标宋简体" w:cs="方正小标宋简体"/>
          <w:b/>
          <w:bCs/>
          <w:color w:val="auto"/>
          <w:sz w:val="24"/>
          <w:szCs w:val="24"/>
          <w:highlight w:val="none"/>
        </w:rPr>
      </w:pPr>
      <w:r>
        <w:rPr>
          <w:rFonts w:hint="eastAsia" w:ascii="方正小标宋简体" w:hAnsi="方正小标宋简体" w:eastAsia="方正小标宋简体" w:cs="方正小标宋简体"/>
          <w:b/>
          <w:bCs/>
          <w:color w:val="auto"/>
          <w:sz w:val="24"/>
          <w:szCs w:val="24"/>
          <w:highlight w:val="none"/>
        </w:rPr>
        <w:t>8）承包人不得以任何理由迟缓工程建设，如承包方不主动作为，不推进工程进度，造成项目无法按时竣工投入使用，影响学校正常教学秩序，发包人有权将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p>
    <w:p w14:paraId="14A0A996">
      <w:pPr>
        <w:pStyle w:val="61"/>
        <w:spacing w:line="36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方正小标宋简体" w:hAnsi="方正小标宋简体" w:eastAsia="方正小标宋简体" w:cs="方正小标宋简体"/>
          <w:b/>
          <w:bCs/>
          <w:color w:val="auto"/>
          <w:sz w:val="24"/>
          <w:szCs w:val="24"/>
          <w:highlight w:val="none"/>
          <w:lang w:val="en-US" w:eastAsia="zh-CN"/>
        </w:rPr>
        <w:t>9）承包方要按时足额支付人工工资。因承包方原因拖欠人工工资的，一经发现，</w:t>
      </w:r>
      <w:r>
        <w:rPr>
          <w:rFonts w:hint="eastAsia" w:ascii="方正小标宋简体" w:hAnsi="方正小标宋简体" w:eastAsia="方正小标宋简体" w:cs="方正小标宋简体"/>
          <w:b/>
          <w:bCs/>
          <w:color w:val="auto"/>
          <w:sz w:val="24"/>
          <w:szCs w:val="24"/>
          <w:highlight w:val="none"/>
        </w:rPr>
        <w:t>发包人有权将</w:t>
      </w:r>
      <w:r>
        <w:rPr>
          <w:rFonts w:hint="eastAsia" w:ascii="方正小标宋简体" w:hAnsi="方正小标宋简体" w:eastAsia="方正小标宋简体" w:cs="方正小标宋简体"/>
          <w:b/>
          <w:bCs/>
          <w:color w:val="auto"/>
          <w:sz w:val="24"/>
          <w:szCs w:val="24"/>
          <w:highlight w:val="none"/>
          <w:lang w:val="en-US" w:eastAsia="zh-CN"/>
        </w:rPr>
        <w:t>承包</w:t>
      </w:r>
      <w:r>
        <w:rPr>
          <w:rFonts w:hint="eastAsia" w:ascii="方正小标宋简体" w:hAnsi="方正小标宋简体" w:eastAsia="方正小标宋简体" w:cs="方正小标宋简体"/>
          <w:b/>
          <w:bCs/>
          <w:color w:val="auto"/>
          <w:sz w:val="24"/>
          <w:szCs w:val="24"/>
          <w:highlight w:val="none"/>
        </w:rPr>
        <w:t>人纳入黑名单，十年内不得参与包括但不限于港口区教育系统的基建项目工程承包活动</w:t>
      </w:r>
      <w:r>
        <w:rPr>
          <w:rFonts w:hint="eastAsia" w:ascii="方正小标宋简体" w:hAnsi="方正小标宋简体" w:eastAsia="方正小标宋简体" w:cs="方正小标宋简体"/>
          <w:b/>
          <w:bCs/>
          <w:color w:val="auto"/>
          <w:sz w:val="24"/>
          <w:szCs w:val="24"/>
          <w:highlight w:val="none"/>
          <w:lang w:eastAsia="zh-CN"/>
        </w:rPr>
        <w:t>，</w:t>
      </w:r>
      <w:r>
        <w:rPr>
          <w:rFonts w:hint="eastAsia" w:ascii="方正小标宋简体" w:hAnsi="方正小标宋简体" w:eastAsia="方正小标宋简体" w:cs="方正小标宋简体"/>
          <w:b/>
          <w:bCs/>
          <w:color w:val="auto"/>
          <w:sz w:val="24"/>
          <w:szCs w:val="24"/>
          <w:highlight w:val="none"/>
        </w:rPr>
        <w:t>并由发包人将其违约行为</w:t>
      </w:r>
      <w:r>
        <w:rPr>
          <w:rFonts w:hint="eastAsia" w:ascii="方正小标宋简体" w:hAnsi="方正小标宋简体" w:eastAsia="方正小标宋简体" w:cs="方正小标宋简体"/>
          <w:b/>
          <w:bCs/>
          <w:color w:val="auto"/>
          <w:sz w:val="24"/>
          <w:szCs w:val="24"/>
          <w:highlight w:val="none"/>
          <w:lang w:val="en-US" w:eastAsia="zh-CN"/>
        </w:rPr>
        <w:t>告知</w:t>
      </w:r>
      <w:r>
        <w:rPr>
          <w:rFonts w:hint="eastAsia" w:ascii="方正小标宋简体" w:hAnsi="方正小标宋简体" w:eastAsia="方正小标宋简体" w:cs="方正小标宋简体"/>
          <w:b/>
          <w:bCs/>
          <w:color w:val="auto"/>
          <w:sz w:val="24"/>
          <w:szCs w:val="24"/>
          <w:highlight w:val="none"/>
        </w:rPr>
        <w:t>防城港市港口区住房和城乡建设局，作为</w:t>
      </w:r>
      <w:r>
        <w:rPr>
          <w:rFonts w:hint="eastAsia" w:ascii="方正小标宋简体" w:hAnsi="方正小标宋简体" w:eastAsia="方正小标宋简体" w:cs="方正小标宋简体"/>
          <w:b/>
          <w:bCs/>
          <w:color w:val="auto"/>
          <w:sz w:val="24"/>
          <w:szCs w:val="24"/>
          <w:highlight w:val="none"/>
          <w:lang w:val="en-US" w:eastAsia="zh-CN"/>
        </w:rPr>
        <w:t>承包方</w:t>
      </w:r>
      <w:r>
        <w:rPr>
          <w:rFonts w:hint="eastAsia" w:ascii="方正小标宋简体" w:hAnsi="方正小标宋简体" w:eastAsia="方正小标宋简体" w:cs="方正小标宋简体"/>
          <w:b/>
          <w:bCs/>
          <w:color w:val="auto"/>
          <w:sz w:val="24"/>
          <w:szCs w:val="24"/>
          <w:highlight w:val="none"/>
        </w:rPr>
        <w:t>不良记录纳入建筑市场信用信息管理系统。</w:t>
      </w:r>
    </w:p>
    <w:p w14:paraId="62C16EDA">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（2）承包人违约责任的承担方式：</w:t>
      </w:r>
    </w:p>
    <w:p w14:paraId="46FDB32A">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1）承包人未按本合同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第16.2.1项中（2）、</w:t>
      </w:r>
      <w:r>
        <w:rPr>
          <w:rFonts w:hint="eastAsia" w:ascii="宋体" w:hAnsi="宋体" w:cs="宋体"/>
          <w:color w:val="auto"/>
          <w:sz w:val="22"/>
          <w:szCs w:val="22"/>
          <w:lang w:eastAsia="zh-CN"/>
        </w:rPr>
        <w:t>（3）（11）（12）</w:t>
      </w:r>
      <w:r>
        <w:rPr>
          <w:rFonts w:hint="eastAsia" w:ascii="宋体" w:hAnsi="宋体" w:cs="宋体"/>
          <w:color w:val="auto"/>
          <w:sz w:val="22"/>
          <w:szCs w:val="22"/>
        </w:rPr>
        <w:t>（17）条内容完成的，承包人无条件返工处理，修复至工程质量要求并承担相关费用，并在发包人规定的时间内完成返工，否则发包人有权扣罚该分项工程</w:t>
      </w:r>
      <w:r>
        <w:rPr>
          <w:rFonts w:hint="eastAsia" w:ascii="宋体" w:hAnsi="宋体" w:cs="宋体"/>
          <w:color w:val="auto"/>
          <w:sz w:val="22"/>
          <w:szCs w:val="22"/>
          <w:u w:val="single"/>
        </w:rPr>
        <w:t>10%</w:t>
      </w:r>
      <w:r>
        <w:rPr>
          <w:rFonts w:hint="eastAsia" w:ascii="宋体" w:hAnsi="宋体" w:cs="宋体"/>
          <w:color w:val="auto"/>
          <w:sz w:val="22"/>
          <w:szCs w:val="22"/>
        </w:rPr>
        <w:t>的工程款作为处罚。</w:t>
      </w:r>
    </w:p>
    <w:p w14:paraId="7A8520EC">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2）承包人有本合同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第16.2.1（6）、（13）条情形的，或经监理人检验认为修复质量不合格而承包人拒绝再进行修补的，发包人将扣除承包人全部</w:t>
      </w:r>
      <w:r>
        <w:rPr>
          <w:rFonts w:hint="eastAsia" w:ascii="宋体" w:hAnsi="宋体" w:cs="宋体"/>
          <w:color w:val="auto"/>
          <w:sz w:val="22"/>
          <w:szCs w:val="22"/>
          <w:lang w:eastAsia="zh-CN"/>
        </w:rPr>
        <w:t>质量保证金</w:t>
      </w:r>
      <w:r>
        <w:rPr>
          <w:rFonts w:hint="eastAsia" w:ascii="宋体" w:hAnsi="宋体" w:cs="宋体"/>
          <w:color w:val="auto"/>
          <w:sz w:val="22"/>
          <w:szCs w:val="22"/>
        </w:rPr>
        <w:t>。</w:t>
      </w:r>
    </w:p>
    <w:p w14:paraId="6A933096">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承包人有本专用合同条款3.2、3.3条违约责任的，发包人有权扣除承包人的违约金。违约金金额均在计量支付款内扣除。监理人预先下发含有罚款意向的指令，如承包人不及时采取措施纠正，则在指令下达后十五天下发罚款通知书（不再陈述罚款理由）。</w:t>
      </w:r>
    </w:p>
    <w:p w14:paraId="52F48054">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承包人有本专用合同条款3.2、3.3条违约责任的，发包人有权扣除承包人的违约金。承包人在合同期内，完成合同约定的全部工程，且质量合格，在本工程施工竣工验收后十五天内可申请返还一半罚款，返还金额由监理人审核，发包人批准；其余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不得返还。罚款</w:t>
      </w:r>
      <w:r>
        <w:rPr>
          <w:rFonts w:hint="eastAsia" w:ascii="宋体" w:hAnsi="宋体" w:cs="宋体"/>
          <w:color w:val="auto"/>
          <w:sz w:val="22"/>
          <w:szCs w:val="22"/>
          <w:lang w:eastAsia="zh-CN"/>
        </w:rPr>
        <w:t>（</w:t>
      </w:r>
      <w:r>
        <w:rPr>
          <w:rFonts w:hint="eastAsia" w:ascii="宋体" w:hAnsi="宋体" w:cs="宋体"/>
          <w:color w:val="auto"/>
          <w:sz w:val="22"/>
          <w:szCs w:val="22"/>
        </w:rPr>
        <w:t>违约金</w:t>
      </w:r>
      <w:r>
        <w:rPr>
          <w:rFonts w:hint="eastAsia" w:ascii="宋体" w:hAnsi="宋体" w:cs="宋体"/>
          <w:color w:val="auto"/>
          <w:sz w:val="22"/>
          <w:szCs w:val="22"/>
          <w:lang w:eastAsia="zh-CN"/>
        </w:rPr>
        <w:t>）</w:t>
      </w:r>
      <w:r>
        <w:rPr>
          <w:rFonts w:hint="eastAsia" w:ascii="宋体" w:hAnsi="宋体" w:cs="宋体"/>
          <w:color w:val="auto"/>
          <w:sz w:val="22"/>
          <w:szCs w:val="22"/>
        </w:rPr>
        <w:t>返还时不包括银行利息。</w:t>
      </w:r>
    </w:p>
    <w:p w14:paraId="4DEEB347">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b/>
          <w:color w:val="auto"/>
          <w:sz w:val="22"/>
          <w:szCs w:val="22"/>
        </w:rPr>
        <w:t xml:space="preserve">增加承包人违约金计算方法： </w:t>
      </w:r>
    </w:p>
    <w:p w14:paraId="167F86F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1）</w:t>
      </w:r>
      <w:r>
        <w:rPr>
          <w:rFonts w:hint="eastAsia" w:ascii="宋体" w:hAnsi="宋体" w:cs="宋体"/>
          <w:color w:val="auto"/>
          <w:sz w:val="22"/>
          <w:szCs w:val="22"/>
        </w:rPr>
        <w:t>解除合同的撤场规定</w:t>
      </w:r>
    </w:p>
    <w:p w14:paraId="5D8301E6">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每逾期一天撤场，承包人应向发包人支付违约金10万元。</w:t>
      </w:r>
    </w:p>
    <w:p w14:paraId="5FA1D48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eastAsia="zh-CN"/>
        </w:rPr>
        <w:t>2）</w:t>
      </w:r>
      <w:r>
        <w:rPr>
          <w:rFonts w:hint="eastAsia" w:ascii="宋体" w:hAnsi="宋体" w:cs="宋体"/>
          <w:color w:val="auto"/>
          <w:sz w:val="22"/>
          <w:szCs w:val="22"/>
        </w:rPr>
        <w:t>承包人违约金的支付情形及标准</w:t>
      </w:r>
    </w:p>
    <w:p w14:paraId="645A6B14">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承包人应当支付违约金的情形包括但不限于：</w:t>
      </w:r>
    </w:p>
    <w:p w14:paraId="4CC97E72">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承包人违反上述约定，将合同的全部或部分合同工作非法转包或违法分包给其他人，或私自将合同的全部或部分权利或义务转移给其他人，发包人有权解除合同并有权要求承包人支付转包或违法分包合同价款</w:t>
      </w:r>
      <w:r>
        <w:rPr>
          <w:rFonts w:hint="eastAsia" w:ascii="宋体" w:hAnsi="宋体" w:cs="宋体"/>
          <w:color w:val="auto"/>
          <w:sz w:val="22"/>
          <w:szCs w:val="22"/>
          <w:u w:val="single"/>
        </w:rPr>
        <w:t>10%</w:t>
      </w:r>
      <w:r>
        <w:rPr>
          <w:rFonts w:hint="eastAsia" w:ascii="宋体" w:hAnsi="宋体" w:cs="宋体"/>
          <w:color w:val="auto"/>
          <w:sz w:val="22"/>
          <w:szCs w:val="22"/>
        </w:rPr>
        <w:t>的违约金。</w:t>
      </w:r>
    </w:p>
    <w:p w14:paraId="6B00B669">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又拒绝清除不合格的材料或工程设备，或因使用了不合格的材料或工程设备导致工程质量达不到标准要求又拒绝清除或修复不合格工程，每发生一次，承包人应向发包人支付1万元违约金。</w:t>
      </w:r>
    </w:p>
    <w:p w14:paraId="7336539B">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将工程预付款、进度款以及发包人支付用于本项目的其他费用挪作他用，每发现一次，承包人应当向发包人支付10万元违约金。</w:t>
      </w:r>
    </w:p>
    <w:p w14:paraId="1EE16D23">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违反上述约定，未经监理人批准，私自将已进入施工场地的施工设备、临时设施或材料设备撤离施工场地或将材料设备用于</w:t>
      </w:r>
      <w:r>
        <w:rPr>
          <w:rFonts w:hint="eastAsia" w:ascii="宋体" w:hAnsi="宋体" w:cs="宋体"/>
          <w:color w:val="auto"/>
          <w:sz w:val="22"/>
          <w:szCs w:val="22"/>
          <w:lang w:eastAsia="zh-CN"/>
        </w:rPr>
        <w:t>其他</w:t>
      </w:r>
      <w:r>
        <w:rPr>
          <w:rFonts w:hint="eastAsia" w:ascii="宋体" w:hAnsi="宋体" w:cs="宋体"/>
          <w:color w:val="auto"/>
          <w:sz w:val="22"/>
          <w:szCs w:val="22"/>
        </w:rPr>
        <w:t>工程项目的，每发现一次，发包人有权要求承包人向发包人支付1万元违约金。</w:t>
      </w:r>
    </w:p>
    <w:p w14:paraId="3EA9E2E3">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承包人擅自更换项目经理、技术负责人或其他主要管理人员的，应当向发包人支付违约金；未经发包人书面同意，承包人未按磋商文件确定的人员向本工程派驻项目经理（或技术负责人、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管理人员）的或项目经理（或技术负责人、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管理人员）每季度实际在场时间少于规定时间累计达22天的，视为承包人擅自更换项目经理（或技术负责人、</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管理人员）。其中，擅自更换项目经理违约金为人民币30万元/人/次，擅自更换技术负责人的违约金为人民币30万元/人/次，擅自更换</w:t>
      </w:r>
      <w:r>
        <w:rPr>
          <w:rFonts w:hint="eastAsia" w:ascii="宋体" w:hAnsi="宋体" w:cs="宋体"/>
          <w:color w:val="auto"/>
          <w:sz w:val="22"/>
          <w:szCs w:val="22"/>
          <w:lang w:eastAsia="zh-CN"/>
        </w:rPr>
        <w:t>其他主要</w:t>
      </w:r>
      <w:r>
        <w:rPr>
          <w:rFonts w:hint="eastAsia" w:ascii="宋体" w:hAnsi="宋体" w:cs="宋体"/>
          <w:color w:val="auto"/>
          <w:sz w:val="22"/>
          <w:szCs w:val="22"/>
        </w:rPr>
        <w:t>管理人员的违约金为人民币10万元/人/次。发包人同意（或要求）更换项目总工程师、施工负责人的，发包人将向承包人扣罚10万元违约金。</w:t>
      </w:r>
    </w:p>
    <w:p w14:paraId="27722C82">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承包人违反上述约定使用了不合格的材料或工程设备或工程质量达不到标准要求等造成安全质量事故，每发生一次，承包人应向发包人支付10万元违约金。</w:t>
      </w:r>
    </w:p>
    <w:p w14:paraId="47B39CF8">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合同工程第一次验收不合格，承包人应向发包人支付数额不低于签约合同价0.1%的违约金，该约定的违约金不能弥补实际损失的，承包人应补充赔偿不足部分。如第二次仍验收不合格的，承包人还应再次向发包人支付数额不低于签约合同价2%的违约金。</w:t>
      </w:r>
    </w:p>
    <w:p w14:paraId="6D3C06B4">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承包人拒绝执行发包人或监理人发出的关于本工程的指令，承包人应当向发包人支付违约金1万元/次。</w:t>
      </w:r>
    </w:p>
    <w:p w14:paraId="13295D1A">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发包人或监理人发现未经验收或验收不合格，承包人擅自进行隐蔽工程覆盖或其他工程下一道工序的施工，或验收合格后到隐蔽施工前对通过隐蔽验收的合格部分有任何改动，每发现一处，承包人应向发包人支付违约金20万元/处，且承包人必须拆除重建，因此支出的费用及造成的工期延误责任均由承包人承担。</w:t>
      </w:r>
    </w:p>
    <w:p w14:paraId="39FD5D27">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承包人在缺陷责任期内，未能对缺陷责任期内发生的缺陷进行修复而又拒绝按发包人或监理人指示再进行修补或同一部位出现二次以上维修的，每发生一次，承包人应向发包人支付1万元违约金。</w:t>
      </w:r>
    </w:p>
    <w:p w14:paraId="573586E0">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承包人未经发包人同意的暂停施工的违约金：每停工一天，应按照签约合同价的千分之一向发包人支付违约金。</w:t>
      </w:r>
    </w:p>
    <w:p w14:paraId="271CD806">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在施工现场内或因承包人原因或因承包人的分包人原因或因供应商原因发生伤亡事故的，承包人按照重伤一人5万元、死亡一人100万元的标准向发包人支付违约金。</w:t>
      </w:r>
    </w:p>
    <w:p w14:paraId="4CC131F6">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发生承包人知识产权侵权事故后，承包人未按约定的时间进行处理，每发生一次，承包人应当向发包人支付违约金100万元，发包人有权自行处理有关纠纷，发包人因此遭受的赔偿、损害、费用及损失，发包人有权从签约合同价中直接扣回。</w:t>
      </w:r>
    </w:p>
    <w:p w14:paraId="31438409">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如出现承包人、承包人的分包人或供应商的人员通过非理性行为（包括但不限于自伤、自残、自杀行为、阻塞交通、阻碍施工管理、围堵、攻击发包人（包括但不限于与发包人有正常业务往来）的人员、车辆、办公场所、静坐、游行等各种有碍发包人正常工作秩序、生活秩序和声誉的行为）向发包人施加压力的，按照下列标准向发包人支付违约金：</w:t>
      </w:r>
    </w:p>
    <w:p w14:paraId="0A555BA2">
      <w:pPr>
        <w:pStyle w:val="61"/>
        <w:numPr>
          <w:ilvl w:val="0"/>
          <w:numId w:val="0"/>
        </w:numPr>
        <w:spacing w:line="360" w:lineRule="exact"/>
        <w:ind w:left="420" w:leftChars="0" w:firstLine="440" w:firstLineChars="200"/>
        <w:rPr>
          <w:rFonts w:hint="eastAsia" w:ascii="宋体" w:hAnsi="宋体" w:cs="宋体"/>
          <w:color w:val="auto"/>
          <w:sz w:val="22"/>
          <w:szCs w:val="22"/>
        </w:rPr>
      </w:pPr>
      <w:r>
        <w:rPr>
          <w:rFonts w:hint="eastAsia" w:ascii="宋体" w:hAnsi="宋体" w:cs="宋体"/>
          <w:color w:val="auto"/>
          <w:sz w:val="22"/>
          <w:szCs w:val="22"/>
          <w:highlight w:val="none"/>
          <w:lang w:val="en-US" w:eastAsia="zh-CN"/>
        </w:rPr>
        <w:t>①出</w:t>
      </w:r>
      <w:r>
        <w:rPr>
          <w:rFonts w:hint="eastAsia" w:ascii="宋体" w:hAnsi="宋体" w:cs="宋体"/>
          <w:color w:val="auto"/>
          <w:sz w:val="22"/>
          <w:szCs w:val="22"/>
          <w:highlight w:val="none"/>
        </w:rPr>
        <w:t>现3</w:t>
      </w:r>
      <w:r>
        <w:rPr>
          <w:rFonts w:hint="eastAsia" w:ascii="宋体" w:hAnsi="宋体" w:cs="宋体"/>
          <w:color w:val="auto"/>
          <w:sz w:val="22"/>
          <w:szCs w:val="22"/>
        </w:rPr>
        <w:t>人以下的人员参与的非理性行为，承包人每次向发包人支付违约金5万元；</w:t>
      </w:r>
    </w:p>
    <w:p w14:paraId="09D31784">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②出现3人以上10人以下的人员参与的非理性行为，承包人每次向发包人支付违约金30万元；</w:t>
      </w:r>
    </w:p>
    <w:p w14:paraId="3D483A64">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③出现10人以上的大规模的非理性行为且未出现严重后果的，承包人每次向发包人支付违约金50万元；</w:t>
      </w:r>
    </w:p>
    <w:p w14:paraId="34243D5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④无论人数的多少但造成严重后果</w:t>
      </w:r>
      <w:r>
        <w:rPr>
          <w:rFonts w:hint="eastAsia" w:ascii="宋体" w:hAnsi="宋体" w:cs="宋体"/>
          <w:color w:val="auto"/>
          <w:sz w:val="22"/>
          <w:szCs w:val="22"/>
          <w:lang w:eastAsia="zh-CN"/>
        </w:rPr>
        <w:t>（</w:t>
      </w:r>
      <w:r>
        <w:rPr>
          <w:rFonts w:hint="eastAsia" w:ascii="宋体" w:hAnsi="宋体" w:cs="宋体"/>
          <w:color w:val="auto"/>
          <w:sz w:val="22"/>
          <w:szCs w:val="22"/>
        </w:rPr>
        <w:t>指有下列情形之一：被新闻媒体负面报道</w:t>
      </w:r>
      <w:r>
        <w:rPr>
          <w:rFonts w:hint="eastAsia" w:ascii="宋体" w:hAnsi="宋体" w:cs="宋体"/>
          <w:color w:val="auto"/>
          <w:sz w:val="22"/>
          <w:szCs w:val="22"/>
          <w:lang w:eastAsia="zh-CN"/>
        </w:rPr>
        <w:t>或</w:t>
      </w:r>
      <w:r>
        <w:rPr>
          <w:rFonts w:hint="eastAsia" w:ascii="宋体" w:hAnsi="宋体" w:cs="宋体"/>
          <w:color w:val="auto"/>
          <w:sz w:val="22"/>
          <w:szCs w:val="22"/>
        </w:rPr>
        <w:t>被政府通报</w:t>
      </w:r>
      <w:r>
        <w:rPr>
          <w:rFonts w:hint="eastAsia" w:ascii="宋体" w:hAnsi="宋体" w:cs="宋体"/>
          <w:color w:val="auto"/>
          <w:sz w:val="22"/>
          <w:szCs w:val="22"/>
          <w:lang w:eastAsia="zh-CN"/>
        </w:rPr>
        <w:t>或</w:t>
      </w:r>
      <w:r>
        <w:rPr>
          <w:rFonts w:hint="eastAsia" w:ascii="宋体" w:hAnsi="宋体" w:cs="宋体"/>
          <w:color w:val="auto"/>
          <w:sz w:val="22"/>
          <w:szCs w:val="22"/>
        </w:rPr>
        <w:t>发生人员死亡、重伤，或发生重大财产损失，或其它造成恶劣社会影响</w:t>
      </w:r>
      <w:r>
        <w:rPr>
          <w:rFonts w:hint="eastAsia" w:ascii="宋体" w:hAnsi="宋体" w:cs="宋体"/>
          <w:color w:val="auto"/>
          <w:sz w:val="22"/>
          <w:szCs w:val="22"/>
          <w:lang w:eastAsia="zh-CN"/>
        </w:rPr>
        <w:t>）</w:t>
      </w:r>
      <w:r>
        <w:rPr>
          <w:rFonts w:hint="eastAsia" w:ascii="宋体" w:hAnsi="宋体" w:cs="宋体"/>
          <w:color w:val="auto"/>
          <w:sz w:val="22"/>
          <w:szCs w:val="22"/>
        </w:rPr>
        <w:t>的非理性行为，承包人除每次应向发包人支付违约金100万元外，还应按本合同的其他约定承担相应的责任；</w:t>
      </w:r>
    </w:p>
    <w:p w14:paraId="6619764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⑤与本项目有关的承包人的人员（或与本项目有关的承包人的人员指使其他人）出现打架斗殴的行为时，无论人数的多少，承包人除每次应向发包人支付违约金50万元外，还应按本合同的其他约定或国家法律法规承担相应的责任。</w:t>
      </w:r>
    </w:p>
    <w:p w14:paraId="7855DD5B">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承包人的项目经理及技术负责人签署的文件和资料不得代签，一经发现，监理人和发包人有权拒收并视为承包人违约，承包人每次向发包人支付违约金10万元。</w:t>
      </w:r>
    </w:p>
    <w:p w14:paraId="014556DB">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不履行或不全面履行总承包管理与配合服务的责任和义务，或监理人接到各分包工程承包人对承包人管理配合服务不到位的投诉，经监理人和发包人确认，发包人有权暂扣施工总承包服务费直至监理人和发包人满意。</w:t>
      </w:r>
    </w:p>
    <w:p w14:paraId="3417A976">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承包人未按照法律法规、政府要求、发包人要求、承包人的施工组织设计采取安全文明施工措施的，应负责整改，并且每发现一次，应向发包人支付违约金10000元。</w:t>
      </w:r>
    </w:p>
    <w:p w14:paraId="436CBC6A">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经发包人许可，各类挖掘机、汽车、搅拌站、砼输送泵、塔吊等主要施工设备未按时进场，或承包人未按监理人或发包人书面要求的时间增加或更换施工设备，则每台机械每延误一天，承包人应向发包人支付违约金10000元。</w:t>
      </w:r>
    </w:p>
    <w:p w14:paraId="7697D39D">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承包人违反合同的违约金：</w:t>
      </w:r>
    </w:p>
    <w:p w14:paraId="14C1504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① 被当地政府部门勒令停工整顿的，以实际停工的天数，每天1万元的标准向发包人支付违约金；</w:t>
      </w:r>
    </w:p>
    <w:p w14:paraId="3ABD1EE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②被新闻媒体曝光给工程或发包人带来负面影响、经济损失的，每被曝光一次10万元；</w:t>
      </w:r>
    </w:p>
    <w:p w14:paraId="3CF02F11">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③承包人及其分包人的行为，根据现场例会确定或现场管理规定检查，应当接受处罚的，相应的处罚额即为违约金。</w:t>
      </w:r>
    </w:p>
    <w:p w14:paraId="79FFBBA0">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若承包人的劳务人员投入不足，每违约一天，承包人应按照每天1000 元/人的标准向发包人支付违约金。</w:t>
      </w:r>
    </w:p>
    <w:p w14:paraId="7682FC49">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提交的价款调整、计量、结算及其价款支付请求高估冒算的，或对分包合同的价款调整、计量和结算及其价款支付请求审核不力的，如承包人的申报或对分包/分供的审核额与经发包人最终核定额超过5%时，超出部分按10%计算违约金。</w:t>
      </w:r>
    </w:p>
    <w:p w14:paraId="2EE10E92">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未按期提交竣工结算报告文件和相应的支持文件结算，每逾期一天，应按照签约合同价的0.1%向发包人支付违约金。</w:t>
      </w:r>
    </w:p>
    <w:p w14:paraId="537936F3">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承包人未按约定的时间进行竣工清场或承包人未按约定的时间将工程或资料移交给发包人，每逾期一天，应按照签约合同价的0.1%向发包人支付违约金。</w:t>
      </w:r>
    </w:p>
    <w:p w14:paraId="50397C0B">
      <w:pPr>
        <w:pStyle w:val="61"/>
        <w:numPr>
          <w:ilvl w:val="0"/>
          <w:numId w:val="14"/>
        </w:numPr>
        <w:spacing w:line="360" w:lineRule="exact"/>
        <w:ind w:left="0" w:firstLine="440" w:firstLineChars="200"/>
        <w:rPr>
          <w:rFonts w:hint="eastAsia" w:ascii="宋体" w:hAnsi="宋体" w:cs="宋体"/>
          <w:color w:val="auto"/>
          <w:sz w:val="22"/>
          <w:szCs w:val="22"/>
        </w:rPr>
      </w:pPr>
      <w:r>
        <w:rPr>
          <w:rFonts w:hint="eastAsia" w:ascii="宋体" w:hAnsi="宋体" w:cs="宋体"/>
          <w:color w:val="auto"/>
          <w:sz w:val="22"/>
          <w:szCs w:val="22"/>
        </w:rPr>
        <w:t>若承包人发生廉政违纪行为时，向发包人支付违约金每次10万元或按相关协议执行。</w:t>
      </w:r>
    </w:p>
    <w:p w14:paraId="29B133EF">
      <w:pPr>
        <w:pStyle w:val="61"/>
        <w:numPr>
          <w:ilvl w:val="0"/>
          <w:numId w:val="14"/>
        </w:numPr>
        <w:spacing w:line="360" w:lineRule="exact"/>
        <w:ind w:left="0" w:firstLine="442" w:firstLineChars="200"/>
        <w:rPr>
          <w:rFonts w:hint="eastAsia" w:ascii="宋体" w:hAnsi="宋体" w:cs="宋体"/>
          <w:b/>
          <w:color w:val="auto"/>
          <w:kern w:val="0"/>
          <w:sz w:val="22"/>
          <w:szCs w:val="22"/>
        </w:rPr>
      </w:pPr>
      <w:r>
        <w:rPr>
          <w:rFonts w:hint="eastAsia" w:ascii="宋体" w:hAnsi="宋体" w:cs="宋体"/>
          <w:b/>
          <w:color w:val="auto"/>
          <w:sz w:val="22"/>
          <w:szCs w:val="22"/>
        </w:rPr>
        <w:t>因承包人原因造成工期延误，逾期竣工违约金的计算方法为：每逾期一天，承包人应向发包人支付违约金2万元。</w:t>
      </w:r>
    </w:p>
    <w:p w14:paraId="178E6254">
      <w:pPr>
        <w:pStyle w:val="61"/>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rPr>
        <w:t>（3）尽管本条前面各款有其他规定（供应商在磋商文件中有其他承诺的除外），但</w:t>
      </w:r>
      <w:r>
        <w:rPr>
          <w:rFonts w:hint="eastAsia" w:ascii="宋体" w:hAnsi="宋体" w:cs="宋体"/>
          <w:color w:val="auto"/>
          <w:sz w:val="22"/>
          <w:szCs w:val="22"/>
        </w:rPr>
        <w:t>逾期竣工违约金</w:t>
      </w:r>
      <w:r>
        <w:rPr>
          <w:rFonts w:hint="eastAsia" w:ascii="宋体" w:hAnsi="宋体" w:cs="宋体"/>
          <w:color w:val="auto"/>
          <w:kern w:val="0"/>
          <w:sz w:val="22"/>
          <w:szCs w:val="22"/>
        </w:rPr>
        <w:t>累计总量不应超过合同总价的10%；当违约金累计超过10%后，</w:t>
      </w:r>
      <w:r>
        <w:rPr>
          <w:rFonts w:hint="eastAsia" w:ascii="宋体" w:hAnsi="宋体" w:cs="宋体"/>
          <w:color w:val="auto"/>
          <w:kern w:val="0"/>
          <w:sz w:val="22"/>
          <w:szCs w:val="22"/>
          <w:lang w:val="en-US" w:eastAsia="zh-CN"/>
        </w:rPr>
        <w:t>发包人</w:t>
      </w:r>
      <w:r>
        <w:rPr>
          <w:rFonts w:hint="eastAsia" w:ascii="宋体" w:hAnsi="宋体" w:cs="宋体"/>
          <w:color w:val="auto"/>
          <w:kern w:val="0"/>
          <w:sz w:val="22"/>
          <w:szCs w:val="22"/>
        </w:rPr>
        <w:t>保留进一步索赔或终止合同的权利。如供应商另有承诺的，可叠加处罚。</w:t>
      </w:r>
    </w:p>
    <w:p w14:paraId="2867A518">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16.2.3 因承包人违约解除合同</w:t>
      </w:r>
    </w:p>
    <w:p w14:paraId="2B7D66B8">
      <w:pPr>
        <w:pStyle w:val="61"/>
        <w:spacing w:line="360" w:lineRule="exact"/>
        <w:ind w:firstLine="442" w:firstLineChars="200"/>
        <w:jc w:val="left"/>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eastAsia="zh-CN"/>
        </w:rPr>
        <w:t>通用合同条款</w:t>
      </w:r>
      <w:r>
        <w:rPr>
          <w:rFonts w:hint="eastAsia" w:ascii="宋体" w:hAnsi="宋体" w:cs="宋体"/>
          <w:b/>
          <w:color w:val="auto"/>
          <w:sz w:val="22"/>
          <w:szCs w:val="22"/>
        </w:rPr>
        <w:t>内容和如下条款有冲突时，以如下条款为准）：</w:t>
      </w:r>
    </w:p>
    <w:p w14:paraId="68FBF7D4">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（1）关于承包人违约解除合同的特别约定：</w:t>
      </w:r>
      <w:r>
        <w:rPr>
          <w:rFonts w:hint="eastAsia" w:ascii="宋体" w:hAnsi="宋体" w:cs="宋体"/>
          <w:color w:val="auto"/>
          <w:sz w:val="22"/>
          <w:szCs w:val="22"/>
          <w:u w:val="single"/>
        </w:rPr>
        <w:t>承包人有违反以下情况之一的，发包人有权解除合同。</w:t>
      </w:r>
    </w:p>
    <w:p w14:paraId="14B2A2DA">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承包人无正当理由不按开工通知的要求及时进场组织施工和不按签订协议书时商定的进度计划有效地开展施工准备，造成工期延误的；</w:t>
      </w:r>
    </w:p>
    <w:p w14:paraId="5F95B6A9">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承包人违反本合同</w:t>
      </w:r>
      <w:r>
        <w:rPr>
          <w:rFonts w:hint="eastAsia" w:ascii="宋体" w:hAnsi="宋体" w:cs="宋体"/>
          <w:color w:val="auto"/>
          <w:sz w:val="22"/>
          <w:szCs w:val="22"/>
          <w:lang w:eastAsia="zh-CN"/>
        </w:rPr>
        <w:t>通用合同条款</w:t>
      </w:r>
      <w:r>
        <w:rPr>
          <w:rFonts w:hint="eastAsia" w:ascii="宋体" w:hAnsi="宋体" w:cs="宋体"/>
          <w:color w:val="auto"/>
          <w:sz w:val="22"/>
          <w:szCs w:val="22"/>
        </w:rPr>
        <w:t>第3.5条规定私自将合同或合同的任何部分或任何权利转让给其他人，或私自将工程或工程的一部分分包出去的；</w:t>
      </w:r>
    </w:p>
    <w:p w14:paraId="1EC267EC">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未经监理人批准，承包人私自将已按磋商文件承诺进入工地的工程设备、施工设备、临时工程或材料撤离工地的；</w:t>
      </w:r>
    </w:p>
    <w:p w14:paraId="797B8515">
      <w:pPr>
        <w:pStyle w:val="61"/>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4</w:t>
      </w:r>
      <w:r>
        <w:rPr>
          <w:rFonts w:hint="eastAsia" w:ascii="宋体" w:hAnsi="宋体" w:cs="宋体"/>
          <w:color w:val="auto"/>
          <w:sz w:val="22"/>
          <w:szCs w:val="22"/>
          <w:lang w:eastAsia="zh-CN"/>
        </w:rPr>
        <w:t>）</w:t>
      </w:r>
      <w:r>
        <w:rPr>
          <w:rFonts w:hint="eastAsia" w:ascii="宋体" w:hAnsi="宋体" w:cs="宋体"/>
          <w:color w:val="auto"/>
          <w:sz w:val="22"/>
          <w:szCs w:val="22"/>
        </w:rPr>
        <w:t>由于承包人原因拒绝按合同进度计划及时完成合同约定的工程，而又未采取有效措施赶上进度，造成工期延误的；</w:t>
      </w:r>
    </w:p>
    <w:p w14:paraId="0F68EA70">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w:t>
      </w:r>
      <w:r>
        <w:rPr>
          <w:rFonts w:hint="eastAsia" w:ascii="宋体" w:hAnsi="宋体" w:cs="宋体"/>
          <w:color w:val="auto"/>
          <w:sz w:val="22"/>
          <w:szCs w:val="22"/>
          <w:lang w:eastAsia="zh-CN"/>
        </w:rPr>
        <w:t>）</w:t>
      </w:r>
      <w:r>
        <w:rPr>
          <w:rFonts w:hint="eastAsia" w:ascii="宋体" w:hAnsi="宋体" w:cs="宋体"/>
          <w:color w:val="auto"/>
          <w:sz w:val="22"/>
          <w:szCs w:val="22"/>
        </w:rPr>
        <w:t>承包人否认合同有效或拒绝履行合同约定的承包人义务，或由于法律、财务等原因导致承包人无法继续履行或实质上已停止履行合同的义务的；</w:t>
      </w:r>
    </w:p>
    <w:p w14:paraId="79FBB463">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6</w:t>
      </w:r>
      <w:r>
        <w:rPr>
          <w:rFonts w:hint="eastAsia" w:ascii="宋体" w:hAnsi="宋体" w:cs="宋体"/>
          <w:color w:val="auto"/>
          <w:sz w:val="22"/>
          <w:szCs w:val="22"/>
          <w:lang w:eastAsia="zh-CN"/>
        </w:rPr>
        <w:t>）</w:t>
      </w:r>
      <w:r>
        <w:rPr>
          <w:rFonts w:hint="eastAsia" w:ascii="宋体" w:hAnsi="宋体" w:cs="宋体"/>
          <w:color w:val="auto"/>
          <w:sz w:val="22"/>
          <w:szCs w:val="22"/>
        </w:rPr>
        <w:t>成交通知书发出之日起三十日内，承包人无法按合同约定及磋商文件的承诺进场经发包人认可的全部人员和机械的；</w:t>
      </w:r>
    </w:p>
    <w:p w14:paraId="10A49FC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7）承包人在施工过程中违反国家有关</w:t>
      </w:r>
      <w:r>
        <w:rPr>
          <w:rFonts w:hint="eastAsia" w:ascii="宋体" w:hAnsi="宋体" w:cs="宋体"/>
          <w:color w:val="auto"/>
          <w:sz w:val="22"/>
          <w:szCs w:val="22"/>
          <w:lang w:eastAsia="zh-CN"/>
        </w:rPr>
        <w:t>法律法规</w:t>
      </w:r>
      <w:r>
        <w:rPr>
          <w:rFonts w:hint="eastAsia" w:ascii="宋体" w:hAnsi="宋体" w:cs="宋体"/>
          <w:color w:val="auto"/>
          <w:sz w:val="22"/>
          <w:szCs w:val="22"/>
        </w:rPr>
        <w:t>的；</w:t>
      </w:r>
    </w:p>
    <w:p w14:paraId="37AE3CA8">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8）承包人明确表示或者以其行为表明不履行合同主要义务的；</w:t>
      </w:r>
    </w:p>
    <w:p w14:paraId="377D425C">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9）监理人发出整改通知后，承包人在指定的合理期限内仍不纠正违约行为并致使合同目的不能实现的；</w:t>
      </w:r>
    </w:p>
    <w:p w14:paraId="3F7421F0">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10）承包人未经发包人、监理人事先同意，擅自更换合同工程项目经理、技术负责人或其他主要管理人员；</w:t>
      </w:r>
    </w:p>
    <w:p w14:paraId="700FEC56">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11）无正当理由，出现三次不执行本合同10.2中所述内容的情形的。</w:t>
      </w:r>
    </w:p>
    <w:p w14:paraId="15647408">
      <w:pPr>
        <w:pStyle w:val="61"/>
        <w:spacing w:line="360" w:lineRule="exact"/>
        <w:ind w:firstLine="440" w:firstLineChars="200"/>
        <w:rPr>
          <w:rFonts w:hint="eastAsia" w:ascii="宋体" w:hAnsi="宋体" w:cs="宋体"/>
          <w:color w:val="auto"/>
          <w:sz w:val="22"/>
          <w:szCs w:val="22"/>
          <w:u w:val="single"/>
        </w:rPr>
      </w:pPr>
      <w:r>
        <w:rPr>
          <w:rFonts w:hint="eastAsia" w:ascii="宋体" w:hAnsi="宋体" w:cs="宋体"/>
          <w:color w:val="auto"/>
          <w:sz w:val="22"/>
          <w:szCs w:val="22"/>
        </w:rPr>
        <w:t>发包人继续使用承包人在施工现场的材料、设备、临时工程、承包人文件和由承包人或以其名义编制的其他文件的费用承担方式：</w:t>
      </w:r>
      <w:r>
        <w:rPr>
          <w:rFonts w:hint="eastAsia" w:ascii="宋体" w:hAnsi="宋体" w:cs="宋体"/>
          <w:color w:val="auto"/>
          <w:sz w:val="22"/>
          <w:szCs w:val="22"/>
          <w:u w:val="single"/>
        </w:rPr>
        <w:t>材料按照合同价格或市场价支付承包人，设备根据交付时的新旧程度折价支付承包人，临时工程按照剩余工程占合同总价的比例支付承包人，承包人文件和由承包人或以其名义编制的其他文件的费用免费提供给发包人使用。</w:t>
      </w:r>
    </w:p>
    <w:p w14:paraId="4234F7B7">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（2）合同解除后的结算与支付</w:t>
      </w:r>
    </w:p>
    <w:p w14:paraId="6E0E4EC5">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1）承包人应在接到合同解除通知后的28天内向监理人和发包人提交全套的已施工/在施工技术文件资料的同时，应提交一份合同解除结算报告文件，包括：</w:t>
      </w:r>
    </w:p>
    <w:p w14:paraId="45AE8560">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已完成工程量；</w:t>
      </w:r>
    </w:p>
    <w:p w14:paraId="240841B3">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已经验收送抵现场的各类材料、设备清单及其价款；</w:t>
      </w:r>
    </w:p>
    <w:p w14:paraId="2250FC19">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依据合同承包人认为应由发包人承担</w:t>
      </w:r>
      <w:r>
        <w:rPr>
          <w:rFonts w:hint="eastAsia" w:ascii="宋体" w:hAnsi="宋体" w:cs="宋体"/>
          <w:color w:val="auto"/>
          <w:sz w:val="22"/>
          <w:szCs w:val="22"/>
          <w:lang w:eastAsia="zh-CN"/>
        </w:rPr>
        <w:t>的其他费用</w:t>
      </w:r>
      <w:r>
        <w:rPr>
          <w:rFonts w:hint="eastAsia" w:ascii="宋体" w:hAnsi="宋体" w:cs="宋体"/>
          <w:color w:val="auto"/>
          <w:sz w:val="22"/>
          <w:szCs w:val="22"/>
        </w:rPr>
        <w:t>；</w:t>
      </w:r>
    </w:p>
    <w:p w14:paraId="0C4FFBEF">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支持上述①至③项的证明文件资料。</w:t>
      </w:r>
    </w:p>
    <w:p w14:paraId="18844858">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2）发包人在收到上述资料后，参照本合同专用条款第14.2款竣工结算的约定计算已完工程价款。</w:t>
      </w:r>
    </w:p>
    <w:p w14:paraId="4006AA23">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① 合同解除后，由发包人确定承包人实际完成工作的价值，以及承包人已提供的材料、施工设备、工程设备和临时工程等的价值。</w:t>
      </w:r>
    </w:p>
    <w:p w14:paraId="7B548613">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② 合同解除后，发包人应暂停对承包人的一切付款，查清各项付款和已扣款金额，包括承包人应支付的违约金。</w:t>
      </w:r>
    </w:p>
    <w:p w14:paraId="09FB7863">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③ 合同解除后，发包人可按第19.4款的约定向承包人索赔由于解除合同给发包人造成的损失，索赔的金额可在签署结算协议时，在结算额中直接扣除，并保留向承包人继续追索的权利。</w:t>
      </w:r>
    </w:p>
    <w:p w14:paraId="607DD7A9">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④ 合同双方确认上述往来款项后，签订合同解除结算协议，按结算协议结清全部合同款项。</w:t>
      </w:r>
    </w:p>
    <w:p w14:paraId="28040B98">
      <w:pPr>
        <w:pStyle w:val="61"/>
        <w:snapToGrid w:val="0"/>
        <w:spacing w:line="360" w:lineRule="exact"/>
        <w:ind w:left="155" w:leftChars="74" w:firstLine="440" w:firstLineChars="200"/>
        <w:rPr>
          <w:rFonts w:hint="eastAsia" w:ascii="宋体" w:hAnsi="宋体" w:cs="宋体"/>
          <w:color w:val="auto"/>
          <w:sz w:val="22"/>
          <w:szCs w:val="22"/>
        </w:rPr>
      </w:pPr>
      <w:r>
        <w:rPr>
          <w:rFonts w:hint="eastAsia" w:ascii="宋体" w:hAnsi="宋体" w:cs="宋体"/>
          <w:color w:val="auto"/>
          <w:sz w:val="22"/>
          <w:szCs w:val="22"/>
        </w:rPr>
        <w:t>⑤ 发包人和承包人未能就解除合同达成一致协议而形成争议的，按第20条的约定办理。</w:t>
      </w:r>
    </w:p>
    <w:p w14:paraId="53AFA2A0">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（3）解除合同的撤场规定</w:t>
      </w:r>
    </w:p>
    <w:p w14:paraId="2E096A7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1）因承包人违约而发包人解除合同的，承包人应在收到解除合同通知后，立即妥善做好已</w:t>
      </w:r>
      <w:r>
        <w:rPr>
          <w:rFonts w:hint="eastAsia" w:ascii="宋体" w:hAnsi="宋体" w:cs="宋体"/>
          <w:color w:val="auto"/>
          <w:sz w:val="22"/>
          <w:szCs w:val="22"/>
          <w:lang w:eastAsia="zh-CN"/>
        </w:rPr>
        <w:t>完成</w:t>
      </w:r>
      <w:r>
        <w:rPr>
          <w:rFonts w:hint="eastAsia" w:ascii="宋体" w:hAnsi="宋体" w:cs="宋体"/>
          <w:color w:val="auto"/>
          <w:sz w:val="22"/>
          <w:szCs w:val="22"/>
        </w:rPr>
        <w:t>工程和已购材料设备的保护和移交工作，并在发包人要求的期限内无条件将施工人员及现场的材料设备全部撤离施工现场，承包人撤出施工场地时应遵守第13.6项的约定。每逾期一天撤场，承包人应按专用条款约定的标准向发包人支付违约金，此违约金可在发包人应付或拟付给承包人的任何款项中直接扣除。</w:t>
      </w:r>
    </w:p>
    <w:p w14:paraId="20F7ABBB">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2）如承包人拒不按期撤场或在规定的撤场期限届满后 7 天内仍未完成撤场的，发包人有权自行或委托第三方直接将承包人驱逐出施工现场；届时，发包人可随时变卖承包人在施工现场的施工机械、临时工程和未使用的材料，并直接用变卖的款项冲抵撤场所产生的全部费用，不足部分可在应付或拟付给承包人的任何款项中直接扣除。</w:t>
      </w:r>
    </w:p>
    <w:p w14:paraId="4F361EDE">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（4）合同解除后材料设备及相关协议利益的处理</w:t>
      </w:r>
    </w:p>
    <w:p w14:paraId="6BD881F9">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因承包人违约而发包人解除合同，但如果发包人通知将自行或委托第三方继续完成该工程的，承包人则应当按照发包人的指示妥善保管现场已购材料设备及施工装备、临时设施等直至将该等材料设备全部转交发包人或其他第三方，而不得擅自将该等材料设备运出现场。</w:t>
      </w:r>
    </w:p>
    <w:p w14:paraId="24F6AAA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协议利益的转让：如发包人决定继续使用承包人租用的施工设备、已订货但未到货的材料设备、临时设施、已采购的服务或其他权益的，发包人有权要求承包人将其为实施合同而签订的工程或劳务分包协议、材料和设备的订货协议、施工设备租赁协议或任何服务协议及利益以原有条件转让给发包人或发包人指定的其他承包人，并在解除合同后的 14 天内，依法办理转让手续，承包人应当全力配合。</w:t>
      </w:r>
    </w:p>
    <w:p w14:paraId="4680ED9A">
      <w:pPr>
        <w:pStyle w:val="61"/>
        <w:spacing w:line="360" w:lineRule="exact"/>
        <w:ind w:firstLine="440" w:firstLineChars="200"/>
        <w:jc w:val="left"/>
        <w:rPr>
          <w:rFonts w:hint="eastAsia" w:ascii="宋体" w:hAnsi="宋体" w:cs="宋体"/>
          <w:color w:val="auto"/>
          <w:kern w:val="0"/>
          <w:sz w:val="22"/>
          <w:szCs w:val="22"/>
        </w:rPr>
      </w:pPr>
      <w:r>
        <w:rPr>
          <w:rFonts w:hint="eastAsia" w:ascii="宋体" w:hAnsi="宋体" w:cs="宋体"/>
          <w:color w:val="auto"/>
          <w:sz w:val="22"/>
          <w:szCs w:val="22"/>
        </w:rPr>
        <w:t>3）发包人受让承包人的协议利益并不免除承包人应承担的违约责任，也不影响发包人根据合同约定享有的索赔权利。</w:t>
      </w:r>
    </w:p>
    <w:p w14:paraId="791A4498">
      <w:pPr>
        <w:pStyle w:val="71"/>
        <w:spacing w:before="0" w:after="0" w:line="360" w:lineRule="exact"/>
        <w:ind w:firstLine="442" w:firstLineChars="200"/>
        <w:rPr>
          <w:rFonts w:hint="eastAsia" w:ascii="宋体" w:hAnsi="宋体" w:cs="宋体"/>
          <w:color w:val="auto"/>
          <w:sz w:val="22"/>
          <w:szCs w:val="22"/>
        </w:rPr>
      </w:pPr>
      <w:bookmarkStart w:id="1106" w:name="_Toc395382572"/>
      <w:bookmarkStart w:id="1107" w:name="_Toc373478416"/>
      <w:bookmarkStart w:id="1108" w:name="_Toc351203649"/>
      <w:bookmarkStart w:id="1109" w:name="_Toc389065334"/>
      <w:bookmarkStart w:id="1110" w:name="_Toc12975961"/>
      <w:bookmarkStart w:id="1111" w:name="_Toc373227769"/>
      <w:bookmarkStart w:id="1112" w:name="_Toc533432796"/>
      <w:r>
        <w:rPr>
          <w:rFonts w:hint="eastAsia" w:ascii="宋体" w:hAnsi="宋体" w:cs="宋体"/>
          <w:color w:val="auto"/>
          <w:sz w:val="22"/>
          <w:szCs w:val="22"/>
        </w:rPr>
        <w:t>17. 不可抗力</w:t>
      </w:r>
      <w:bookmarkEnd w:id="1106"/>
      <w:bookmarkEnd w:id="1107"/>
      <w:bookmarkEnd w:id="1108"/>
      <w:bookmarkEnd w:id="1109"/>
      <w:bookmarkEnd w:id="1110"/>
      <w:bookmarkEnd w:id="1111"/>
      <w:bookmarkEnd w:id="1112"/>
      <w:r>
        <w:rPr>
          <w:rFonts w:hint="eastAsia" w:ascii="宋体" w:hAnsi="宋体" w:cs="宋体"/>
          <w:color w:val="auto"/>
          <w:sz w:val="22"/>
          <w:szCs w:val="22"/>
        </w:rPr>
        <w:t xml:space="preserve"> </w:t>
      </w:r>
      <w:bookmarkEnd w:id="1090"/>
    </w:p>
    <w:p w14:paraId="51C6D896">
      <w:pPr>
        <w:pStyle w:val="40"/>
        <w:spacing w:line="360" w:lineRule="exact"/>
        <w:ind w:firstLine="442" w:firstLineChars="200"/>
        <w:rPr>
          <w:rFonts w:hint="eastAsia" w:ascii="宋体" w:hAnsi="宋体" w:cs="宋体"/>
          <w:color w:val="auto"/>
          <w:sz w:val="22"/>
          <w:szCs w:val="22"/>
        </w:rPr>
      </w:pPr>
      <w:bookmarkStart w:id="1113" w:name="_Toc395382573"/>
      <w:bookmarkStart w:id="1114" w:name="_Toc12975962"/>
      <w:bookmarkStart w:id="1115" w:name="_Toc373478417"/>
      <w:bookmarkStart w:id="1116" w:name="_Toc389065335"/>
      <w:bookmarkStart w:id="1117" w:name="_Toc373227770"/>
      <w:bookmarkStart w:id="1118" w:name="_Toc533432797"/>
      <w:r>
        <w:rPr>
          <w:rFonts w:hint="eastAsia" w:ascii="宋体" w:hAnsi="宋体" w:cs="宋体"/>
          <w:color w:val="auto"/>
          <w:sz w:val="22"/>
          <w:szCs w:val="22"/>
        </w:rPr>
        <w:t>17.1 不可抗力的确认</w:t>
      </w:r>
      <w:bookmarkEnd w:id="1113"/>
      <w:bookmarkEnd w:id="1114"/>
      <w:bookmarkEnd w:id="1115"/>
      <w:bookmarkEnd w:id="1116"/>
      <w:bookmarkEnd w:id="1117"/>
      <w:bookmarkEnd w:id="1118"/>
    </w:p>
    <w:p w14:paraId="63195064">
      <w:pPr>
        <w:pStyle w:val="41"/>
        <w:spacing w:line="360" w:lineRule="exact"/>
        <w:ind w:firstLine="440" w:firstLineChars="200"/>
        <w:jc w:val="left"/>
        <w:rPr>
          <w:rFonts w:hint="eastAsia" w:ascii="宋体" w:hAnsi="宋体" w:cs="宋体"/>
          <w:color w:val="auto"/>
          <w:kern w:val="0"/>
          <w:sz w:val="22"/>
          <w:u w:val="single"/>
        </w:rPr>
      </w:pPr>
      <w:r>
        <w:rPr>
          <w:rFonts w:hint="eastAsia" w:ascii="宋体" w:hAnsi="宋体" w:cs="宋体"/>
          <w:color w:val="auto"/>
          <w:sz w:val="22"/>
        </w:rPr>
        <w:t>除通用合同条款约定的不可抗力事件之外，视为不可抗力的其他情形：</w:t>
      </w:r>
      <w:r>
        <w:rPr>
          <w:rFonts w:hint="eastAsia" w:ascii="宋体" w:hAnsi="宋体" w:cs="宋体"/>
          <w:color w:val="auto"/>
          <w:sz w:val="22"/>
          <w:u w:val="single"/>
        </w:rPr>
        <w:t>地震、海啸、瘟疫、骚乱、戒严、暴动、战争及13级以上台风，但由于承包人及其分包商的雇员的原因引起的骚乱及其他灾难性事件不属于不可抗力</w:t>
      </w:r>
      <w:r>
        <w:rPr>
          <w:rFonts w:hint="eastAsia" w:ascii="宋体" w:hAnsi="宋体" w:cs="宋体"/>
          <w:color w:val="auto"/>
          <w:kern w:val="0"/>
          <w:sz w:val="22"/>
          <w:u w:val="single"/>
        </w:rPr>
        <w:t>。</w:t>
      </w:r>
    </w:p>
    <w:p w14:paraId="1475CDBF">
      <w:pPr>
        <w:pStyle w:val="40"/>
        <w:spacing w:line="360" w:lineRule="exact"/>
        <w:ind w:firstLine="442" w:firstLineChars="200"/>
        <w:rPr>
          <w:rFonts w:hint="eastAsia" w:ascii="宋体" w:hAnsi="宋体" w:cs="宋体"/>
          <w:color w:val="auto"/>
          <w:sz w:val="22"/>
          <w:szCs w:val="22"/>
        </w:rPr>
      </w:pPr>
      <w:bookmarkStart w:id="1119" w:name="_Toc12975963"/>
      <w:bookmarkStart w:id="1120" w:name="_Toc533432798"/>
      <w:r>
        <w:rPr>
          <w:rFonts w:hint="eastAsia" w:ascii="宋体" w:hAnsi="宋体" w:cs="宋体"/>
          <w:color w:val="auto"/>
          <w:sz w:val="22"/>
          <w:szCs w:val="22"/>
        </w:rPr>
        <w:t>17.2不可抗力的通知</w:t>
      </w:r>
      <w:bookmarkEnd w:id="1119"/>
      <w:bookmarkEnd w:id="1120"/>
    </w:p>
    <w:p w14:paraId="1812AEE9">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14:paraId="0573896D">
      <w:pPr>
        <w:pStyle w:val="41"/>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17.3不可抗力后果的承担</w:t>
      </w:r>
      <w:bookmarkStart w:id="1121" w:name="_Toc389065336"/>
      <w:bookmarkStart w:id="1122" w:name="_Toc373227771"/>
      <w:bookmarkStart w:id="1123" w:name="_Toc395382574"/>
      <w:bookmarkStart w:id="1124" w:name="_Toc373478418"/>
    </w:p>
    <w:p w14:paraId="1762EDD9">
      <w:pPr>
        <w:pStyle w:val="41"/>
        <w:spacing w:line="360" w:lineRule="exact"/>
        <w:ind w:firstLine="442" w:firstLineChars="200"/>
        <w:rPr>
          <w:rFonts w:hint="eastAsia" w:ascii="宋体" w:hAnsi="宋体" w:cs="宋体"/>
          <w:b/>
          <w:bCs/>
          <w:color w:val="auto"/>
          <w:kern w:val="0"/>
          <w:sz w:val="22"/>
        </w:rPr>
      </w:pPr>
      <w:r>
        <w:rPr>
          <w:rFonts w:hint="eastAsia" w:ascii="宋体" w:hAnsi="宋体" w:cs="宋体"/>
          <w:b/>
          <w:bCs/>
          <w:color w:val="auto"/>
          <w:kern w:val="0"/>
          <w:sz w:val="22"/>
        </w:rPr>
        <w:t>因灾害发生的费用由双方分别承担，其中：</w:t>
      </w:r>
    </w:p>
    <w:p w14:paraId="032E054B">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（1）工程本身的损害由发包人承担；</w:t>
      </w:r>
    </w:p>
    <w:p w14:paraId="3D3AC95F">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（2）人员伤亡由其所属单位负责并承担相应费用；</w:t>
      </w:r>
    </w:p>
    <w:p w14:paraId="19AB1A32">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（3）造成施工现场承包人临时设施损坏和修复费用，由承包人承担；</w:t>
      </w:r>
    </w:p>
    <w:p w14:paraId="5C366515">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 xml:space="preserve">    （4）承包人设备、机械、车辆等现场施工用具及人员停、窝工、机械、设备停置损失，由承包人承担；</w:t>
      </w:r>
    </w:p>
    <w:p w14:paraId="1BAC672E">
      <w:pPr>
        <w:pStyle w:val="41"/>
        <w:spacing w:line="360" w:lineRule="exact"/>
        <w:ind w:firstLine="440" w:firstLineChars="200"/>
        <w:rPr>
          <w:rFonts w:hint="eastAsia" w:ascii="宋体" w:hAnsi="宋体" w:cs="宋体"/>
          <w:color w:val="auto"/>
          <w:kern w:val="0"/>
          <w:sz w:val="22"/>
        </w:rPr>
      </w:pPr>
      <w:r>
        <w:rPr>
          <w:rFonts w:hint="eastAsia" w:ascii="宋体" w:hAnsi="宋体" w:cs="宋体"/>
          <w:color w:val="auto"/>
          <w:kern w:val="0"/>
          <w:sz w:val="22"/>
        </w:rPr>
        <w:t>（5）清理、修理工作的责任与费用的承担：由承包人承担。</w:t>
      </w:r>
    </w:p>
    <w:p w14:paraId="164B1CC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17.3.2 不可抗力导致的人员伤亡、财产损失、费用增加和（或）工期延误等后果，由合同当事人按以下原则承担：</w:t>
      </w:r>
    </w:p>
    <w:p w14:paraId="396228D7">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（1）永久工程、已运至施工现场的甲供材料和甲供的工程设备的损坏，以及因工程损坏造成的第三人人员伤亡和财产损失由发包人承担。已运至施工现场的承包人采购材料的损坏由承包人承担。</w:t>
      </w:r>
    </w:p>
    <w:p w14:paraId="02CE35BE">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（2）承包人施工设备的损坏由承包人承担。</w:t>
      </w:r>
    </w:p>
    <w:p w14:paraId="410EA993">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（3）发包人和承包人承担各自人员伤亡和财产的损失。</w:t>
      </w:r>
    </w:p>
    <w:p w14:paraId="009DDAF9">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（4）因不可抗力影响承包人履行合同约定的义务，已经引起或将引起工期延误的，应当顺延工期，由此导致承包人停工的费用损失由承包人承担，停工期间必须支付的工人工资由承包人承担。</w:t>
      </w:r>
    </w:p>
    <w:p w14:paraId="128FD975">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（5）因不可抗力引起或将引起工期延误，发包人要求赶工的，由此增加的赶工费用由发包人承担。</w:t>
      </w:r>
    </w:p>
    <w:p w14:paraId="65192C1F">
      <w:pPr>
        <w:pStyle w:val="61"/>
        <w:spacing w:line="360" w:lineRule="exact"/>
        <w:ind w:firstLine="440" w:firstLineChars="200"/>
        <w:rPr>
          <w:rFonts w:hint="eastAsia" w:ascii="宋体" w:hAnsi="宋体" w:cs="宋体"/>
          <w:color w:val="auto"/>
          <w:kern w:val="0"/>
          <w:sz w:val="22"/>
        </w:rPr>
      </w:pPr>
      <w:r>
        <w:rPr>
          <w:rFonts w:hint="eastAsia" w:ascii="宋体" w:hAnsi="宋体" w:cs="宋体"/>
          <w:color w:val="auto"/>
          <w:sz w:val="22"/>
          <w:szCs w:val="22"/>
        </w:rPr>
        <w:t>（6）承包人在停工期间按照发包人要求照管、清理和修复工程的费用由发包人承担。</w:t>
      </w:r>
    </w:p>
    <w:p w14:paraId="25105B12">
      <w:pPr>
        <w:pStyle w:val="41"/>
        <w:spacing w:line="360" w:lineRule="exact"/>
        <w:ind w:firstLine="442" w:firstLineChars="200"/>
        <w:rPr>
          <w:rFonts w:hint="eastAsia" w:ascii="宋体" w:hAnsi="宋体" w:cs="宋体"/>
          <w:b/>
          <w:bCs/>
          <w:color w:val="auto"/>
          <w:sz w:val="22"/>
        </w:rPr>
      </w:pPr>
      <w:r>
        <w:rPr>
          <w:rFonts w:hint="eastAsia" w:ascii="宋体" w:hAnsi="宋体" w:cs="宋体"/>
          <w:b/>
          <w:bCs/>
          <w:color w:val="auto"/>
          <w:sz w:val="22"/>
        </w:rPr>
        <w:t>17.4 因不可抗力解除合同</w:t>
      </w:r>
      <w:bookmarkEnd w:id="1121"/>
      <w:bookmarkEnd w:id="1122"/>
      <w:bookmarkEnd w:id="1123"/>
      <w:bookmarkEnd w:id="1124"/>
    </w:p>
    <w:p w14:paraId="34C83990">
      <w:pPr>
        <w:pStyle w:val="71"/>
        <w:spacing w:before="0" w:after="0" w:line="360" w:lineRule="exact"/>
        <w:ind w:firstLine="440" w:firstLineChars="200"/>
        <w:rPr>
          <w:rFonts w:hint="eastAsia" w:ascii="宋体" w:hAnsi="宋体" w:cs="宋体"/>
          <w:b w:val="0"/>
          <w:bCs w:val="0"/>
          <w:color w:val="auto"/>
          <w:sz w:val="22"/>
          <w:szCs w:val="22"/>
        </w:rPr>
      </w:pPr>
      <w:bookmarkStart w:id="1125" w:name="_Toc12975964"/>
      <w:bookmarkStart w:id="1126" w:name="_Toc373227772"/>
      <w:bookmarkStart w:id="1127" w:name="_Toc373478419"/>
      <w:bookmarkStart w:id="1128" w:name="_Toc395382575"/>
      <w:bookmarkStart w:id="1129" w:name="_Toc533432799"/>
      <w:bookmarkStart w:id="1130" w:name="_Toc389065337"/>
      <w:bookmarkStart w:id="1131" w:name="_Toc351203650"/>
      <w:r>
        <w:rPr>
          <w:rFonts w:hint="eastAsia" w:ascii="宋体" w:hAnsi="宋体" w:cs="宋体"/>
          <w:b w:val="0"/>
          <w:bCs w:val="0"/>
          <w:color w:val="auto"/>
          <w:sz w:val="22"/>
          <w:szCs w:val="22"/>
        </w:rPr>
        <w:t>合同解除后，发包人应在商定或确定发包人应支付款项后</w:t>
      </w:r>
      <w:r>
        <w:rPr>
          <w:rFonts w:hint="eastAsia" w:ascii="宋体" w:hAnsi="宋体" w:cs="宋体"/>
          <w:b w:val="0"/>
          <w:bCs w:val="0"/>
          <w:color w:val="auto"/>
          <w:sz w:val="22"/>
          <w:szCs w:val="22"/>
          <w:u w:val="single"/>
        </w:rPr>
        <w:t xml:space="preserve">  120   </w:t>
      </w:r>
      <w:r>
        <w:rPr>
          <w:rFonts w:hint="eastAsia" w:ascii="宋体" w:hAnsi="宋体" w:cs="宋体"/>
          <w:b w:val="0"/>
          <w:bCs w:val="0"/>
          <w:color w:val="auto"/>
          <w:sz w:val="22"/>
          <w:szCs w:val="22"/>
        </w:rPr>
        <w:t>天内完成款项的支付。应支付款项以审计部门出具的审计报告为准。</w:t>
      </w:r>
    </w:p>
    <w:p w14:paraId="210A523E">
      <w:pPr>
        <w:pStyle w:val="71"/>
        <w:spacing w:before="0" w:after="0"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 保险</w:t>
      </w:r>
      <w:bookmarkEnd w:id="1125"/>
      <w:bookmarkEnd w:id="1126"/>
      <w:bookmarkEnd w:id="1127"/>
      <w:bookmarkEnd w:id="1128"/>
      <w:bookmarkEnd w:id="1129"/>
      <w:bookmarkEnd w:id="1130"/>
      <w:bookmarkEnd w:id="1131"/>
    </w:p>
    <w:bookmarkEnd w:id="1091"/>
    <w:p w14:paraId="2DCA2C06">
      <w:pPr>
        <w:pStyle w:val="40"/>
        <w:spacing w:line="360" w:lineRule="exact"/>
        <w:ind w:firstLine="442" w:firstLineChars="200"/>
        <w:rPr>
          <w:rFonts w:hint="eastAsia" w:ascii="宋体" w:hAnsi="宋体" w:cs="宋体"/>
          <w:color w:val="auto"/>
          <w:sz w:val="22"/>
          <w:szCs w:val="22"/>
        </w:rPr>
      </w:pPr>
      <w:bookmarkStart w:id="1132" w:name="_Toc373478420"/>
      <w:bookmarkStart w:id="1133" w:name="_Toc389065338"/>
      <w:bookmarkStart w:id="1134" w:name="_Toc12975965"/>
      <w:bookmarkStart w:id="1135" w:name="_Toc395382576"/>
      <w:bookmarkStart w:id="1136" w:name="_Toc533432800"/>
      <w:bookmarkStart w:id="1137" w:name="_Toc373227773"/>
      <w:r>
        <w:rPr>
          <w:rFonts w:hint="eastAsia" w:ascii="宋体" w:hAnsi="宋体" w:cs="宋体"/>
          <w:color w:val="auto"/>
          <w:sz w:val="22"/>
          <w:szCs w:val="22"/>
        </w:rPr>
        <w:t>18.1 工程保险</w:t>
      </w:r>
      <w:bookmarkEnd w:id="1132"/>
      <w:bookmarkEnd w:id="1133"/>
      <w:bookmarkEnd w:id="1134"/>
      <w:bookmarkEnd w:id="1135"/>
      <w:bookmarkEnd w:id="1136"/>
      <w:bookmarkEnd w:id="1137"/>
    </w:p>
    <w:p w14:paraId="293903D5">
      <w:pPr>
        <w:pStyle w:val="61"/>
        <w:spacing w:line="360" w:lineRule="exact"/>
        <w:ind w:firstLine="440" w:firstLineChars="200"/>
        <w:jc w:val="left"/>
        <w:rPr>
          <w:rFonts w:hint="eastAsia" w:ascii="宋体" w:hAnsi="宋体" w:cs="宋体"/>
          <w:b/>
          <w:color w:val="auto"/>
          <w:sz w:val="22"/>
          <w:szCs w:val="22"/>
          <w:u w:val="single"/>
        </w:rPr>
      </w:pPr>
      <w:r>
        <w:rPr>
          <w:rFonts w:hint="eastAsia" w:ascii="宋体" w:hAnsi="宋体" w:cs="宋体"/>
          <w:color w:val="auto"/>
          <w:sz w:val="22"/>
          <w:szCs w:val="22"/>
        </w:rPr>
        <w:t>关于工程保险的特别约定：</w:t>
      </w:r>
      <w:r>
        <w:rPr>
          <w:rFonts w:hint="eastAsia" w:ascii="宋体" w:hAnsi="宋体" w:cs="宋体"/>
          <w:color w:val="auto"/>
          <w:kern w:val="0"/>
          <w:sz w:val="22"/>
          <w:szCs w:val="22"/>
          <w:u w:val="single"/>
        </w:rPr>
        <w:t xml:space="preserve"> </w:t>
      </w:r>
      <w:r>
        <w:rPr>
          <w:rFonts w:hint="eastAsia" w:ascii="宋体" w:hAnsi="宋体" w:cs="宋体"/>
          <w:b/>
          <w:color w:val="auto"/>
          <w:sz w:val="22"/>
          <w:szCs w:val="22"/>
          <w:u w:val="single"/>
        </w:rPr>
        <w:t>本项目工程一切险（或安装工程一切险）和第三者责任险由发包人委托承包人投保，费用总价包干，承包人预估费用低于实际费用，不足部分由承包人补齐；因承包人不投保或投保不足造成的损失全部由承包人承担，与发包人无关</w:t>
      </w:r>
      <w:r>
        <w:rPr>
          <w:rFonts w:hint="eastAsia" w:ascii="宋体" w:hAnsi="宋体" w:cs="宋体"/>
          <w:b/>
          <w:color w:val="auto"/>
          <w:kern w:val="0"/>
          <w:sz w:val="22"/>
          <w:szCs w:val="22"/>
          <w:u w:val="single"/>
        </w:rPr>
        <w:t>。</w:t>
      </w:r>
    </w:p>
    <w:p w14:paraId="62BF8493">
      <w:pPr>
        <w:pStyle w:val="40"/>
        <w:spacing w:line="360" w:lineRule="exact"/>
        <w:ind w:firstLine="442" w:firstLineChars="200"/>
        <w:rPr>
          <w:rFonts w:hint="eastAsia" w:ascii="宋体" w:hAnsi="宋体" w:cs="宋体"/>
          <w:color w:val="auto"/>
          <w:sz w:val="22"/>
          <w:szCs w:val="22"/>
        </w:rPr>
      </w:pPr>
      <w:bookmarkStart w:id="1138" w:name="_Toc395382577"/>
      <w:bookmarkStart w:id="1139" w:name="_Toc533432801"/>
      <w:bookmarkStart w:id="1140" w:name="_Toc12975966"/>
      <w:bookmarkStart w:id="1141" w:name="_Toc373227774"/>
      <w:bookmarkStart w:id="1142" w:name="_Toc373478421"/>
      <w:bookmarkStart w:id="1143" w:name="_Toc389065339"/>
      <w:r>
        <w:rPr>
          <w:rFonts w:hint="eastAsia" w:ascii="宋体" w:hAnsi="宋体" w:cs="宋体"/>
          <w:color w:val="auto"/>
          <w:sz w:val="22"/>
          <w:szCs w:val="22"/>
        </w:rPr>
        <w:t xml:space="preserve">18.3 </w:t>
      </w:r>
      <w:bookmarkStart w:id="1144" w:name="OLE_LINK34"/>
      <w:r>
        <w:rPr>
          <w:rFonts w:hint="eastAsia" w:ascii="宋体" w:hAnsi="宋体" w:cs="宋体"/>
          <w:color w:val="auto"/>
          <w:sz w:val="22"/>
          <w:szCs w:val="22"/>
        </w:rPr>
        <w:t>其他保险</w:t>
      </w:r>
      <w:bookmarkEnd w:id="1138"/>
      <w:bookmarkEnd w:id="1139"/>
      <w:bookmarkEnd w:id="1140"/>
      <w:bookmarkEnd w:id="1141"/>
      <w:bookmarkEnd w:id="1142"/>
      <w:bookmarkEnd w:id="1143"/>
      <w:bookmarkEnd w:id="1144"/>
    </w:p>
    <w:p w14:paraId="58DBAE00">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6"/>
          <w:rFonts w:hint="eastAsia" w:ascii="宋体" w:hAnsi="宋体" w:eastAsia="宋体" w:cs="Times New Roman"/>
          <w:color w:val="auto"/>
          <w:sz w:val="22"/>
          <w:szCs w:val="28"/>
          <w:highlight w:val="none"/>
          <w:u w:val="single"/>
        </w:rPr>
      </w:pPr>
      <w:r>
        <w:rPr>
          <w:rFonts w:hint="eastAsia" w:ascii="宋体" w:hAnsi="宋体" w:eastAsia="宋体" w:cs="宋体"/>
          <w:color w:val="auto"/>
          <w:sz w:val="22"/>
          <w:szCs w:val="22"/>
          <w:highlight w:val="none"/>
        </w:rPr>
        <w:t>关于其他保险的约定：</w:t>
      </w:r>
      <w:r>
        <w:rPr>
          <w:rStyle w:val="66"/>
          <w:rFonts w:hint="eastAsia" w:ascii="宋体" w:hAnsi="宋体" w:eastAsia="宋体" w:cs="Times New Roman"/>
          <w:color w:val="auto"/>
          <w:sz w:val="22"/>
          <w:szCs w:val="28"/>
          <w:highlight w:val="none"/>
          <w:u w:val="single"/>
        </w:rPr>
        <w:t>承包人根据《广西壮族自治区房屋建筑和市政基础设施工程安全生产责任保险实施办法》（桂建发</w:t>
      </w:r>
      <w:r>
        <w:rPr>
          <w:rStyle w:val="66"/>
          <w:rFonts w:hint="eastAsia" w:ascii="宋体" w:hAnsi="宋体" w:cs="Times New Roman"/>
          <w:color w:val="auto"/>
          <w:sz w:val="22"/>
          <w:szCs w:val="28"/>
          <w:highlight w:val="none"/>
          <w:u w:val="single"/>
          <w:lang w:eastAsia="zh-CN"/>
        </w:rPr>
        <w:t>〔2023〕1号</w:t>
      </w:r>
      <w:r>
        <w:rPr>
          <w:rStyle w:val="66"/>
          <w:rFonts w:hint="eastAsia" w:ascii="宋体" w:hAnsi="宋体" w:eastAsia="宋体" w:cs="Times New Roman"/>
          <w:color w:val="auto"/>
          <w:sz w:val="22"/>
          <w:szCs w:val="28"/>
          <w:highlight w:val="none"/>
          <w:u w:val="single"/>
        </w:rPr>
        <w:t>）相关条款，以工程项目为单元参保建筑工程安责险。安全生产责任保险费按分部分项工程费及措施项目费（含单价及总价措施项目费）为计算基数乘以0.2%计入暂估价，工程结算时，由发承包双方根据工程实际情况确认的安全生产责任保险费计入工程造价（注：安全生产责任保险费先由承包人支付，在工程结算时，发承包双方按《广西壮族自治区房屋建筑和市政基础设施工程安全生产责任保险计价规定的通知》（桂建发</w:t>
      </w:r>
      <w:r>
        <w:rPr>
          <w:rStyle w:val="66"/>
          <w:rFonts w:hint="eastAsia" w:ascii="宋体" w:hAnsi="宋体" w:cs="Times New Roman"/>
          <w:color w:val="auto"/>
          <w:sz w:val="22"/>
          <w:szCs w:val="28"/>
          <w:highlight w:val="none"/>
          <w:u w:val="single"/>
          <w:lang w:eastAsia="zh-CN"/>
        </w:rPr>
        <w:t>〔2023〕6号</w:t>
      </w:r>
      <w:r>
        <w:rPr>
          <w:rStyle w:val="66"/>
          <w:rFonts w:hint="eastAsia" w:ascii="宋体" w:hAnsi="宋体" w:eastAsia="宋体" w:cs="Times New Roman"/>
          <w:color w:val="auto"/>
          <w:sz w:val="22"/>
          <w:szCs w:val="28"/>
          <w:highlight w:val="none"/>
          <w:u w:val="single"/>
        </w:rPr>
        <w:t>）的相关条款，根据工程实际情况确认的安全生产责任保险费计入工程造价据实结算。）</w:t>
      </w:r>
    </w:p>
    <w:p w14:paraId="12BB3226">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Style w:val="66"/>
          <w:rFonts w:hint="eastAsia" w:ascii="宋体" w:hAnsi="宋体" w:eastAsia="宋体" w:cs="Times New Roman"/>
          <w:color w:val="auto"/>
          <w:sz w:val="22"/>
          <w:szCs w:val="28"/>
          <w:highlight w:val="none"/>
          <w:u w:val="single"/>
        </w:rPr>
      </w:pPr>
      <w:r>
        <w:rPr>
          <w:rStyle w:val="66"/>
          <w:rFonts w:hint="eastAsia" w:ascii="宋体" w:hAnsi="宋体" w:eastAsia="宋体" w:cs="Times New Roman"/>
          <w:color w:val="auto"/>
          <w:sz w:val="22"/>
          <w:szCs w:val="28"/>
          <w:highlight w:val="none"/>
          <w:u w:val="single"/>
        </w:rPr>
        <w:t>承包人必须为施工现场从事施工的所有作业人员和管理人员办理安全生产责任保险</w:t>
      </w:r>
      <w:r>
        <w:rPr>
          <w:rStyle w:val="66"/>
          <w:rFonts w:hint="eastAsia" w:ascii="宋体" w:hAnsi="宋体" w:eastAsia="宋体" w:cs="Times New Roman"/>
          <w:color w:val="auto"/>
          <w:sz w:val="22"/>
          <w:szCs w:val="28"/>
          <w:highlight w:val="none"/>
          <w:u w:val="single"/>
          <w:lang w:val="en-US" w:eastAsia="zh-CN"/>
        </w:rPr>
        <w:t>及</w:t>
      </w:r>
      <w:r>
        <w:rPr>
          <w:rStyle w:val="66"/>
          <w:rFonts w:hint="eastAsia" w:ascii="宋体" w:hAnsi="宋体" w:eastAsia="宋体" w:cs="Times New Roman"/>
          <w:color w:val="auto"/>
          <w:sz w:val="22"/>
          <w:szCs w:val="28"/>
          <w:highlight w:val="none"/>
          <w:u w:val="single"/>
        </w:rPr>
        <w:t>意外伤害保险，并支付保险费。</w:t>
      </w:r>
    </w:p>
    <w:p w14:paraId="5436598F">
      <w:pPr>
        <w:keepNext w:val="0"/>
        <w:keepLines w:val="0"/>
        <w:pageBreakBefore w:val="0"/>
        <w:widowControl w:val="0"/>
        <w:kinsoku/>
        <w:wordWrap/>
        <w:overflowPunct/>
        <w:topLinePunct w:val="0"/>
        <w:autoSpaceDE/>
        <w:autoSpaceDN/>
        <w:bidi w:val="0"/>
        <w:adjustRightInd/>
        <w:snapToGrid/>
        <w:spacing w:line="420" w:lineRule="exact"/>
        <w:ind w:firstLine="440" w:firstLineChars="200"/>
        <w:rPr>
          <w:rFonts w:hint="eastAsia" w:ascii="宋体" w:hAnsi="宋体" w:cs="宋体"/>
          <w:color w:val="auto"/>
          <w:kern w:val="0"/>
          <w:sz w:val="24"/>
          <w:szCs w:val="28"/>
          <w:highlight w:val="none"/>
        </w:rPr>
      </w:pPr>
      <w:r>
        <w:rPr>
          <w:rStyle w:val="66"/>
          <w:rFonts w:hint="eastAsia" w:ascii="宋体" w:hAnsi="宋体" w:eastAsia="宋体" w:cs="Times New Roman"/>
          <w:color w:val="auto"/>
          <w:sz w:val="22"/>
          <w:szCs w:val="28"/>
          <w:highlight w:val="none"/>
          <w:u w:val="single"/>
        </w:rPr>
        <w:t>承包人是否应为其施工设备等办理财产保险：  由承包人按国家相关规定自行办理。</w:t>
      </w:r>
    </w:p>
    <w:p w14:paraId="1368623B">
      <w:pPr>
        <w:pStyle w:val="41"/>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rPr>
        <w:t>承包人是否应为其施工设备等办理财产保险：</w:t>
      </w:r>
      <w:r>
        <w:rPr>
          <w:rFonts w:hint="eastAsia" w:ascii="宋体" w:hAnsi="宋体" w:cs="宋体"/>
          <w:color w:val="auto"/>
          <w:sz w:val="22"/>
          <w:u w:val="single"/>
        </w:rPr>
        <w:t xml:space="preserve"> </w:t>
      </w:r>
      <w:r>
        <w:rPr>
          <w:rFonts w:hint="eastAsia" w:ascii="宋体" w:hAnsi="宋体" w:cs="宋体"/>
          <w:color w:val="auto"/>
          <w:kern w:val="0"/>
          <w:sz w:val="22"/>
          <w:u w:val="single"/>
        </w:rPr>
        <w:t xml:space="preserve">承包人自行考虑 </w:t>
      </w:r>
      <w:r>
        <w:rPr>
          <w:rFonts w:hint="eastAsia" w:ascii="宋体" w:hAnsi="宋体" w:cs="宋体"/>
          <w:color w:val="auto"/>
          <w:sz w:val="22"/>
          <w:u w:val="single"/>
        </w:rPr>
        <w:t xml:space="preserve"> </w:t>
      </w:r>
      <w:r>
        <w:rPr>
          <w:rFonts w:hint="eastAsia" w:ascii="宋体" w:hAnsi="宋体" w:cs="宋体"/>
          <w:color w:val="auto"/>
          <w:sz w:val="22"/>
        </w:rPr>
        <w:t>。</w:t>
      </w:r>
      <w:bookmarkStart w:id="1145" w:name="_Toc529202612"/>
      <w:bookmarkStart w:id="1146" w:name="_Toc513041358"/>
      <w:bookmarkStart w:id="1147" w:name="_Toc54862578"/>
    </w:p>
    <w:p w14:paraId="4B179B89">
      <w:pPr>
        <w:pStyle w:val="72"/>
        <w:spacing w:line="360" w:lineRule="exac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18.6未按约定投保的补救</w:t>
      </w:r>
      <w:bookmarkEnd w:id="1145"/>
      <w:bookmarkEnd w:id="1146"/>
      <w:bookmarkEnd w:id="1147"/>
    </w:p>
    <w:p w14:paraId="7D09457A">
      <w:pPr>
        <w:pStyle w:val="61"/>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18.6.1投保工程保险产生的相关费用包含在本合同中，费用总价包干，承包人可以自主决定本项目是否办理</w:t>
      </w:r>
      <w:r>
        <w:rPr>
          <w:rFonts w:hint="eastAsia" w:ascii="宋体" w:hAnsi="宋体" w:cs="宋体"/>
          <w:b/>
          <w:color w:val="auto"/>
          <w:sz w:val="22"/>
          <w:szCs w:val="22"/>
          <w:u w:val="single"/>
        </w:rPr>
        <w:t>建筑工程一切险（或安装工程一切险）和第三者责任险</w:t>
      </w:r>
      <w:r>
        <w:rPr>
          <w:rFonts w:hint="eastAsia" w:ascii="宋体" w:hAnsi="宋体" w:cs="宋体"/>
          <w:color w:val="auto"/>
          <w:sz w:val="22"/>
          <w:szCs w:val="22"/>
        </w:rPr>
        <w:t>。但由于承包人的原因，造成未按合同约定办理保险，或未能使保险持续有效的，导致损失未能得到足额赔偿的，由承包人负责补足。</w:t>
      </w:r>
    </w:p>
    <w:p w14:paraId="3D80849E">
      <w:pPr>
        <w:pStyle w:val="40"/>
        <w:spacing w:line="360" w:lineRule="exact"/>
        <w:ind w:firstLine="442" w:firstLineChars="200"/>
        <w:rPr>
          <w:rFonts w:hint="eastAsia" w:ascii="宋体" w:hAnsi="宋体" w:cs="宋体"/>
          <w:color w:val="auto"/>
          <w:sz w:val="22"/>
          <w:szCs w:val="22"/>
        </w:rPr>
      </w:pPr>
      <w:bookmarkStart w:id="1148" w:name="_Toc373478422"/>
      <w:bookmarkStart w:id="1149" w:name="_Toc12975967"/>
      <w:bookmarkStart w:id="1150" w:name="_Toc395382578"/>
      <w:bookmarkStart w:id="1151" w:name="_Toc389065340"/>
      <w:bookmarkStart w:id="1152" w:name="_Toc533432802"/>
      <w:bookmarkStart w:id="1153" w:name="_Toc373227775"/>
      <w:r>
        <w:rPr>
          <w:rFonts w:hint="eastAsia" w:ascii="宋体" w:hAnsi="宋体" w:cs="宋体"/>
          <w:color w:val="auto"/>
          <w:sz w:val="22"/>
          <w:szCs w:val="22"/>
        </w:rPr>
        <w:t>18.7 通知义务</w:t>
      </w:r>
      <w:bookmarkEnd w:id="1148"/>
      <w:bookmarkEnd w:id="1149"/>
      <w:bookmarkEnd w:id="1150"/>
      <w:bookmarkEnd w:id="1151"/>
      <w:bookmarkEnd w:id="1152"/>
      <w:bookmarkEnd w:id="1153"/>
    </w:p>
    <w:p w14:paraId="6B3AAE32">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kern w:val="0"/>
          <w:sz w:val="22"/>
        </w:rPr>
        <w:t>关于变更保险合同时的通知义务的约定：</w:t>
      </w:r>
      <w:r>
        <w:rPr>
          <w:rFonts w:hint="eastAsia" w:ascii="宋体" w:hAnsi="宋体" w:cs="宋体"/>
          <w:color w:val="auto"/>
          <w:kern w:val="0"/>
          <w:sz w:val="22"/>
          <w:u w:val="single"/>
        </w:rPr>
        <w:t>按通用合同条款执行</w:t>
      </w:r>
      <w:r>
        <w:rPr>
          <w:rFonts w:hint="eastAsia" w:ascii="宋体" w:hAnsi="宋体" w:cs="宋体"/>
          <w:color w:val="auto"/>
          <w:sz w:val="22"/>
        </w:rPr>
        <w:t>。</w:t>
      </w:r>
    </w:p>
    <w:bookmarkEnd w:id="1043"/>
    <w:bookmarkEnd w:id="1044"/>
    <w:bookmarkEnd w:id="1045"/>
    <w:bookmarkEnd w:id="1046"/>
    <w:bookmarkEnd w:id="1047"/>
    <w:bookmarkEnd w:id="1048"/>
    <w:bookmarkEnd w:id="1049"/>
    <w:bookmarkEnd w:id="1050"/>
    <w:bookmarkEnd w:id="1051"/>
    <w:bookmarkEnd w:id="1052"/>
    <w:bookmarkEnd w:id="1053"/>
    <w:bookmarkEnd w:id="1054"/>
    <w:p w14:paraId="1622FE24">
      <w:pPr>
        <w:pStyle w:val="71"/>
        <w:spacing w:before="0" w:after="0" w:line="360" w:lineRule="exact"/>
        <w:rPr>
          <w:rFonts w:hint="eastAsia" w:ascii="宋体" w:hAnsi="宋体" w:cs="宋体"/>
          <w:color w:val="auto"/>
          <w:sz w:val="22"/>
          <w:szCs w:val="22"/>
        </w:rPr>
      </w:pPr>
      <w:bookmarkStart w:id="1154" w:name="_Toc395382579"/>
      <w:bookmarkStart w:id="1155" w:name="_Toc373478423"/>
      <w:bookmarkStart w:id="1156" w:name="_Toc389065341"/>
      <w:bookmarkStart w:id="1157" w:name="_Toc12975968"/>
      <w:bookmarkStart w:id="1158" w:name="_Toc351203651"/>
      <w:bookmarkStart w:id="1159" w:name="_Toc373227776"/>
      <w:bookmarkStart w:id="1160" w:name="_Toc533432803"/>
    </w:p>
    <w:p w14:paraId="281C3453">
      <w:pPr>
        <w:pStyle w:val="71"/>
        <w:spacing w:before="0" w:after="0" w:line="360" w:lineRule="exact"/>
        <w:ind w:firstLine="442" w:firstLineChars="200"/>
        <w:rPr>
          <w:rFonts w:hint="eastAsia" w:ascii="宋体" w:hAnsi="宋体" w:cs="宋体"/>
          <w:color w:val="auto"/>
          <w:sz w:val="22"/>
          <w:szCs w:val="22"/>
        </w:rPr>
      </w:pPr>
      <w:r>
        <w:rPr>
          <w:rFonts w:hint="eastAsia" w:ascii="宋体" w:hAnsi="宋体" w:cs="宋体"/>
          <w:color w:val="auto"/>
          <w:sz w:val="22"/>
          <w:szCs w:val="22"/>
        </w:rPr>
        <w:t>20. 争议解决</w:t>
      </w:r>
      <w:bookmarkEnd w:id="1154"/>
      <w:bookmarkEnd w:id="1155"/>
      <w:bookmarkEnd w:id="1156"/>
      <w:bookmarkEnd w:id="1157"/>
      <w:bookmarkEnd w:id="1158"/>
      <w:bookmarkEnd w:id="1159"/>
      <w:bookmarkEnd w:id="1160"/>
    </w:p>
    <w:bookmarkEnd w:id="1055"/>
    <w:bookmarkEnd w:id="1056"/>
    <w:p w14:paraId="3803E55D">
      <w:pPr>
        <w:pStyle w:val="40"/>
        <w:spacing w:line="360" w:lineRule="exact"/>
        <w:ind w:firstLine="442" w:firstLineChars="200"/>
        <w:rPr>
          <w:rFonts w:hint="eastAsia" w:ascii="宋体" w:hAnsi="宋体" w:cs="宋体"/>
          <w:color w:val="auto"/>
          <w:sz w:val="22"/>
          <w:szCs w:val="22"/>
        </w:rPr>
      </w:pPr>
      <w:bookmarkStart w:id="1161" w:name="_Toc395382580"/>
      <w:bookmarkStart w:id="1162" w:name="_Toc389065342"/>
      <w:bookmarkStart w:id="1163" w:name="_Toc533432804"/>
      <w:bookmarkStart w:id="1164" w:name="_Toc12975969"/>
      <w:bookmarkStart w:id="1165" w:name="_Toc373227777"/>
      <w:bookmarkStart w:id="1166" w:name="_Toc373478424"/>
      <w:r>
        <w:rPr>
          <w:rFonts w:hint="eastAsia" w:ascii="宋体" w:hAnsi="宋体" w:cs="宋体"/>
          <w:color w:val="auto"/>
          <w:sz w:val="22"/>
          <w:szCs w:val="22"/>
        </w:rPr>
        <w:t>20.3 争</w:t>
      </w:r>
      <w:bookmarkEnd w:id="1057"/>
      <w:r>
        <w:rPr>
          <w:rFonts w:hint="eastAsia" w:ascii="宋体" w:hAnsi="宋体" w:cs="宋体"/>
          <w:color w:val="auto"/>
          <w:sz w:val="22"/>
          <w:szCs w:val="22"/>
        </w:rPr>
        <w:t>议评审</w:t>
      </w:r>
      <w:bookmarkEnd w:id="1161"/>
      <w:bookmarkEnd w:id="1162"/>
      <w:bookmarkEnd w:id="1163"/>
      <w:bookmarkEnd w:id="1164"/>
      <w:bookmarkEnd w:id="1165"/>
      <w:bookmarkEnd w:id="1166"/>
    </w:p>
    <w:p w14:paraId="5A2C2F48">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合同当事人是否同意将工程争议提交争议评审小组决定：</w:t>
      </w:r>
      <w:r>
        <w:rPr>
          <w:rFonts w:hint="eastAsia" w:ascii="宋体" w:hAnsi="宋体" w:cs="宋体"/>
          <w:color w:val="auto"/>
          <w:sz w:val="22"/>
          <w:u w:val="single"/>
        </w:rPr>
        <w:t xml:space="preserve"> 否，双方约定，在履行合同进程中产生争议时，请工程所在地建设行政主管部门进行调解，调解不成时，向工程所在地人民法院起诉</w:t>
      </w:r>
      <w:r>
        <w:rPr>
          <w:rFonts w:hint="eastAsia" w:ascii="宋体" w:hAnsi="宋体" w:cs="宋体"/>
          <w:color w:val="auto"/>
          <w:sz w:val="22"/>
        </w:rPr>
        <w:t>。</w:t>
      </w:r>
    </w:p>
    <w:p w14:paraId="440CF06E">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20.3.1 争议评审小组的确定</w:t>
      </w:r>
    </w:p>
    <w:p w14:paraId="5575CCBC">
      <w:pPr>
        <w:pStyle w:val="41"/>
        <w:spacing w:line="360" w:lineRule="exact"/>
        <w:ind w:firstLine="440" w:firstLineChars="200"/>
        <w:jc w:val="left"/>
        <w:rPr>
          <w:rFonts w:hint="eastAsia" w:ascii="宋体" w:hAnsi="宋体" w:cs="宋体"/>
          <w:color w:val="auto"/>
          <w:sz w:val="22"/>
          <w:u w:val="single"/>
        </w:rPr>
      </w:pPr>
      <w:r>
        <w:rPr>
          <w:rFonts w:hint="eastAsia" w:ascii="宋体" w:hAnsi="宋体" w:cs="宋体"/>
          <w:color w:val="auto"/>
          <w:sz w:val="22"/>
        </w:rPr>
        <w:t>争议评审小组成员的确定：</w:t>
      </w:r>
      <w:r>
        <w:rPr>
          <w:rFonts w:hint="eastAsia" w:ascii="宋体" w:hAnsi="宋体" w:cs="宋体"/>
          <w:color w:val="auto"/>
          <w:sz w:val="22"/>
          <w:u w:val="single"/>
        </w:rPr>
        <w:t xml:space="preserve"> 无  </w:t>
      </w:r>
      <w:r>
        <w:rPr>
          <w:rFonts w:hint="eastAsia" w:ascii="宋体" w:hAnsi="宋体" w:cs="宋体"/>
          <w:color w:val="auto"/>
          <w:sz w:val="22"/>
        </w:rPr>
        <w:t>。</w:t>
      </w:r>
    </w:p>
    <w:p w14:paraId="0A00D1B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选定争议评审员的期限：</w:t>
      </w:r>
      <w:r>
        <w:rPr>
          <w:rFonts w:hint="eastAsia" w:ascii="宋体" w:hAnsi="宋体" w:cs="宋体"/>
          <w:color w:val="auto"/>
          <w:sz w:val="22"/>
          <w:u w:val="single"/>
        </w:rPr>
        <w:t xml:space="preserve"> 无  </w:t>
      </w:r>
      <w:r>
        <w:rPr>
          <w:rFonts w:hint="eastAsia" w:ascii="宋体" w:hAnsi="宋体" w:cs="宋体"/>
          <w:color w:val="auto"/>
          <w:sz w:val="22"/>
        </w:rPr>
        <w:t>。</w:t>
      </w:r>
    </w:p>
    <w:p w14:paraId="7646A93D">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争议评审小组成员的报酬承担方式：</w:t>
      </w:r>
      <w:r>
        <w:rPr>
          <w:rFonts w:hint="eastAsia" w:ascii="宋体" w:hAnsi="宋体" w:cs="宋体"/>
          <w:color w:val="auto"/>
          <w:sz w:val="22"/>
          <w:u w:val="single"/>
        </w:rPr>
        <w:t xml:space="preserve">无 </w:t>
      </w:r>
      <w:r>
        <w:rPr>
          <w:rFonts w:hint="eastAsia" w:ascii="宋体" w:hAnsi="宋体" w:cs="宋体"/>
          <w:color w:val="auto"/>
          <w:sz w:val="22"/>
        </w:rPr>
        <w:t>。</w:t>
      </w:r>
    </w:p>
    <w:p w14:paraId="4A052F6F">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其他事项的约定：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391DB612">
      <w:pPr>
        <w:pStyle w:val="41"/>
        <w:autoSpaceDE w:val="0"/>
        <w:autoSpaceDN w:val="0"/>
        <w:adjustRightInd w:val="0"/>
        <w:spacing w:line="360" w:lineRule="exact"/>
        <w:ind w:firstLine="440" w:firstLineChars="200"/>
        <w:jc w:val="left"/>
        <w:rPr>
          <w:rFonts w:hint="eastAsia" w:ascii="宋体" w:hAnsi="宋体" w:cs="宋体"/>
          <w:color w:val="auto"/>
          <w:kern w:val="0"/>
          <w:sz w:val="22"/>
        </w:rPr>
      </w:pPr>
      <w:r>
        <w:rPr>
          <w:rFonts w:hint="eastAsia" w:ascii="宋体" w:hAnsi="宋体" w:cs="宋体"/>
          <w:color w:val="auto"/>
          <w:kern w:val="0"/>
          <w:sz w:val="22"/>
        </w:rPr>
        <w:t>20.3.2 争议评审小组的决定</w:t>
      </w:r>
    </w:p>
    <w:p w14:paraId="7DAB3A49">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合同当事人关于本项的约定：</w:t>
      </w:r>
      <w:r>
        <w:rPr>
          <w:rFonts w:hint="eastAsia" w:ascii="宋体" w:hAnsi="宋体" w:cs="宋体"/>
          <w:color w:val="auto"/>
          <w:sz w:val="22"/>
          <w:u w:val="single"/>
        </w:rPr>
        <w:t xml:space="preserve"> 无 </w:t>
      </w:r>
      <w:r>
        <w:rPr>
          <w:rFonts w:hint="eastAsia" w:ascii="宋体" w:hAnsi="宋体" w:cs="宋体"/>
          <w:color w:val="auto"/>
          <w:sz w:val="22"/>
        </w:rPr>
        <w:t>。</w:t>
      </w:r>
    </w:p>
    <w:p w14:paraId="6AF8DE15">
      <w:pPr>
        <w:pStyle w:val="40"/>
        <w:spacing w:line="360" w:lineRule="exact"/>
        <w:ind w:firstLine="442" w:firstLineChars="200"/>
        <w:rPr>
          <w:rFonts w:hint="eastAsia" w:ascii="宋体" w:hAnsi="宋体" w:cs="宋体"/>
          <w:color w:val="auto"/>
          <w:sz w:val="22"/>
          <w:szCs w:val="22"/>
        </w:rPr>
      </w:pPr>
      <w:bookmarkStart w:id="1167" w:name="_Toc395382581"/>
      <w:bookmarkStart w:id="1168" w:name="_Toc373227778"/>
      <w:bookmarkStart w:id="1169" w:name="_Toc12975970"/>
      <w:bookmarkStart w:id="1170" w:name="_Toc389065343"/>
      <w:bookmarkStart w:id="1171" w:name="_Toc533432805"/>
      <w:bookmarkStart w:id="1172" w:name="_Toc373478425"/>
      <w:r>
        <w:rPr>
          <w:rFonts w:hint="eastAsia" w:ascii="宋体" w:hAnsi="宋体" w:cs="宋体"/>
          <w:color w:val="auto"/>
          <w:sz w:val="22"/>
          <w:szCs w:val="22"/>
        </w:rPr>
        <w:t>20.4 仲裁或诉讼</w:t>
      </w:r>
      <w:bookmarkEnd w:id="1058"/>
      <w:bookmarkEnd w:id="1167"/>
      <w:bookmarkEnd w:id="1168"/>
      <w:bookmarkEnd w:id="1169"/>
      <w:bookmarkEnd w:id="1170"/>
      <w:bookmarkEnd w:id="1171"/>
      <w:bookmarkEnd w:id="1172"/>
    </w:p>
    <w:p w14:paraId="15E5269A">
      <w:pPr>
        <w:pStyle w:val="41"/>
        <w:spacing w:line="360" w:lineRule="exact"/>
        <w:ind w:firstLine="440" w:firstLineChars="200"/>
        <w:rPr>
          <w:rFonts w:hint="eastAsia" w:ascii="宋体" w:hAnsi="宋体" w:cs="宋体"/>
          <w:color w:val="auto"/>
          <w:sz w:val="22"/>
        </w:rPr>
      </w:pPr>
      <w:r>
        <w:rPr>
          <w:rFonts w:hint="eastAsia" w:ascii="宋体" w:hAnsi="宋体" w:cs="宋体"/>
          <w:color w:val="auto"/>
          <w:sz w:val="22"/>
        </w:rPr>
        <w:t>因合同及合同有关事项发生的争议，按下列第</w:t>
      </w:r>
      <w:r>
        <w:rPr>
          <w:rFonts w:hint="eastAsia" w:ascii="宋体" w:hAnsi="宋体" w:cs="宋体"/>
          <w:color w:val="auto"/>
          <w:sz w:val="22"/>
          <w:u w:val="single"/>
        </w:rPr>
        <w:t>（2）</w:t>
      </w:r>
      <w:r>
        <w:rPr>
          <w:rFonts w:hint="eastAsia" w:ascii="宋体" w:hAnsi="宋体" w:cs="宋体"/>
          <w:color w:val="auto"/>
          <w:sz w:val="22"/>
        </w:rPr>
        <w:t>种方式解决：</w:t>
      </w:r>
    </w:p>
    <w:p w14:paraId="3512109E">
      <w:pPr>
        <w:pStyle w:val="41"/>
        <w:numPr>
          <w:ilvl w:val="0"/>
          <w:numId w:val="15"/>
        </w:num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提请</w:t>
      </w:r>
      <w:r>
        <w:rPr>
          <w:rFonts w:hint="eastAsia" w:ascii="宋体" w:hAnsi="宋体" w:cs="宋体"/>
          <w:color w:val="auto"/>
          <w:sz w:val="22"/>
          <w:u w:val="single"/>
        </w:rPr>
        <w:t xml:space="preserve">防城港 </w:t>
      </w:r>
      <w:r>
        <w:rPr>
          <w:rFonts w:hint="eastAsia" w:ascii="宋体" w:hAnsi="宋体" w:cs="宋体"/>
          <w:color w:val="auto"/>
          <w:sz w:val="22"/>
        </w:rPr>
        <w:t>仲裁委员会按照该会仲裁规则进行仲裁，仲裁裁决是终局的，对合同双方均有约束力。</w:t>
      </w:r>
    </w:p>
    <w:p w14:paraId="1E56EB9C">
      <w:pPr>
        <w:pStyle w:val="41"/>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（2）向</w:t>
      </w:r>
      <w:r>
        <w:rPr>
          <w:rFonts w:hint="eastAsia" w:ascii="宋体" w:hAnsi="宋体" w:cs="宋体"/>
          <w:color w:val="auto"/>
          <w:sz w:val="22"/>
          <w:u w:val="single"/>
        </w:rPr>
        <w:t>工程所在地</w:t>
      </w:r>
      <w:r>
        <w:rPr>
          <w:rFonts w:hint="eastAsia" w:ascii="宋体" w:hAnsi="宋体" w:cs="宋体"/>
          <w:color w:val="auto"/>
          <w:sz w:val="22"/>
        </w:rPr>
        <w:t>人民法院起诉。</w:t>
      </w:r>
      <w:bookmarkEnd w:id="1059"/>
      <w:bookmarkEnd w:id="1060"/>
      <w:bookmarkEnd w:id="1061"/>
      <w:bookmarkEnd w:id="1062"/>
      <w:bookmarkEnd w:id="1063"/>
      <w:bookmarkEnd w:id="1064"/>
    </w:p>
    <w:p w14:paraId="46FCF0C1">
      <w:pPr>
        <w:pStyle w:val="71"/>
        <w:spacing w:before="0" w:after="0" w:line="360" w:lineRule="exact"/>
        <w:ind w:firstLine="442" w:firstLineChars="200"/>
        <w:rPr>
          <w:rFonts w:hint="eastAsia" w:ascii="宋体" w:hAnsi="宋体" w:cs="宋体"/>
          <w:color w:val="auto"/>
          <w:sz w:val="22"/>
          <w:szCs w:val="22"/>
        </w:rPr>
      </w:pPr>
      <w:bookmarkStart w:id="1173" w:name="_Toc533432806"/>
      <w:bookmarkStart w:id="1174" w:name="_Toc373478426"/>
      <w:bookmarkStart w:id="1175" w:name="_Toc395382582"/>
      <w:bookmarkStart w:id="1176" w:name="_Toc373227779"/>
      <w:bookmarkStart w:id="1177" w:name="_Toc12975971"/>
      <w:bookmarkStart w:id="1178" w:name="_Toc389065344"/>
      <w:r>
        <w:rPr>
          <w:rFonts w:hint="eastAsia" w:ascii="宋体" w:hAnsi="宋体" w:cs="宋体"/>
          <w:color w:val="auto"/>
          <w:sz w:val="22"/>
          <w:szCs w:val="22"/>
        </w:rPr>
        <w:t>21. 补充条款</w:t>
      </w:r>
      <w:bookmarkEnd w:id="1173"/>
      <w:bookmarkEnd w:id="1174"/>
      <w:bookmarkEnd w:id="1175"/>
      <w:bookmarkEnd w:id="1176"/>
      <w:bookmarkEnd w:id="1177"/>
      <w:bookmarkEnd w:id="1178"/>
    </w:p>
    <w:p w14:paraId="0FE957DB">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    21.1承包人有以下情况之一者，将视为违约，发包人有权采取以下措施处理，并视情节轻重处予违约处罚金。</w:t>
      </w:r>
    </w:p>
    <w:p w14:paraId="2BE66342">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21.1.1合同签订之日起十五日内，承包人无法按合同约定及磋商文件的承诺进场经监理工程师认可的全部人员和机械时，视为违约，发包人有权解除合同，发包人有权另行发包工程。</w:t>
      </w:r>
    </w:p>
    <w:p w14:paraId="5908210D">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21.1.2尽管主要机械的数量、型号，应与合同相符，若监理工程师认为合同约定的进场机械不能满足施工进度要求，有权指令承包人增加机械投入，承包人不得拒绝。</w:t>
      </w:r>
    </w:p>
    <w:p w14:paraId="5FD2F610">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21.1.3所有以上违约处罚金金额均在计量支付款内扣除，监理工程师预先下发统一格式含有违约处罚意向的指令，如承包人不及时采取措施纠正，则在指令下达后十五天下发违约处罚通知书</w:t>
      </w:r>
      <w:r>
        <w:rPr>
          <w:rFonts w:hint="eastAsia" w:ascii="宋体" w:hAnsi="宋体" w:cs="宋体"/>
          <w:color w:val="auto"/>
          <w:sz w:val="22"/>
          <w:szCs w:val="22"/>
          <w:lang w:eastAsia="zh-CN"/>
        </w:rPr>
        <w:t>（</w:t>
      </w:r>
      <w:r>
        <w:rPr>
          <w:rFonts w:hint="eastAsia" w:ascii="宋体" w:hAnsi="宋体" w:cs="宋体"/>
          <w:color w:val="auto"/>
          <w:sz w:val="22"/>
          <w:szCs w:val="22"/>
        </w:rPr>
        <w:t>不再陈述违约处罚理由</w:t>
      </w:r>
      <w:r>
        <w:rPr>
          <w:rFonts w:hint="eastAsia" w:ascii="宋体" w:hAnsi="宋体" w:cs="宋体"/>
          <w:color w:val="auto"/>
          <w:sz w:val="22"/>
          <w:szCs w:val="22"/>
          <w:lang w:eastAsia="zh-CN"/>
        </w:rPr>
        <w:t>）</w:t>
      </w:r>
      <w:r>
        <w:rPr>
          <w:rFonts w:hint="eastAsia" w:ascii="宋体" w:hAnsi="宋体" w:cs="宋体"/>
          <w:color w:val="auto"/>
          <w:sz w:val="22"/>
          <w:szCs w:val="22"/>
        </w:rPr>
        <w:t>。</w:t>
      </w:r>
    </w:p>
    <w:p w14:paraId="518B583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21.1.4承包人在合同期内，完成合同约定的全部工程，且质量合格，竣工验收后十五天内可申请返还全部或部分与工期有关（或里程碑罚款）的违约处罚金</w:t>
      </w:r>
      <w:r>
        <w:rPr>
          <w:rFonts w:hint="eastAsia" w:ascii="宋体" w:hAnsi="宋体" w:cs="宋体"/>
          <w:color w:val="auto"/>
          <w:sz w:val="22"/>
          <w:szCs w:val="22"/>
          <w:lang w:eastAsia="zh-CN"/>
        </w:rPr>
        <w:t>（</w:t>
      </w:r>
      <w:r>
        <w:rPr>
          <w:rFonts w:hint="eastAsia" w:ascii="宋体" w:hAnsi="宋体" w:cs="宋体"/>
          <w:color w:val="auto"/>
          <w:sz w:val="22"/>
          <w:szCs w:val="22"/>
        </w:rPr>
        <w:t>不包括利息</w:t>
      </w:r>
      <w:r>
        <w:rPr>
          <w:rFonts w:hint="eastAsia" w:ascii="宋体" w:hAnsi="宋体" w:cs="宋体"/>
          <w:color w:val="auto"/>
          <w:sz w:val="22"/>
          <w:szCs w:val="22"/>
          <w:lang w:eastAsia="zh-CN"/>
        </w:rPr>
        <w:t>）</w:t>
      </w:r>
      <w:r>
        <w:rPr>
          <w:rFonts w:hint="eastAsia" w:ascii="宋体" w:hAnsi="宋体" w:cs="宋体"/>
          <w:color w:val="auto"/>
          <w:sz w:val="22"/>
          <w:szCs w:val="22"/>
        </w:rPr>
        <w:t>。其余罚款不予退回。</w:t>
      </w:r>
    </w:p>
    <w:p w14:paraId="163D6C98">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21.2工程款的使用</w:t>
      </w:r>
    </w:p>
    <w:p w14:paraId="369F7DA5">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21.2.1本工程资金属发包人自筹，承包人在施工期间必须保证资金的专项使用，不得挪作他用，并自觉接受发包人和银行的监督，否则将视为承包人违约。</w:t>
      </w:r>
    </w:p>
    <w:p w14:paraId="50A71901">
      <w:pPr>
        <w:pStyle w:val="74"/>
        <w:spacing w:line="360" w:lineRule="exact"/>
        <w:ind w:firstLine="440" w:firstLineChars="200"/>
        <w:jc w:val="left"/>
        <w:rPr>
          <w:rFonts w:hint="eastAsia" w:ascii="宋体" w:hAnsi="宋体" w:cs="宋体"/>
          <w:color w:val="auto"/>
          <w:sz w:val="22"/>
          <w:szCs w:val="22"/>
        </w:rPr>
      </w:pPr>
      <w:bookmarkStart w:id="1179" w:name="_Toc27987_WPSOffice_Level2"/>
      <w:r>
        <w:rPr>
          <w:rFonts w:hint="eastAsia" w:ascii="宋体" w:hAnsi="宋体" w:cs="宋体"/>
          <w:color w:val="auto"/>
          <w:sz w:val="22"/>
          <w:szCs w:val="22"/>
        </w:rPr>
        <w:t>（1）农民工工资实行分账管理</w:t>
      </w:r>
      <w:bookmarkEnd w:id="1179"/>
    </w:p>
    <w:p w14:paraId="741A60FF">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根据《关于进一步规范防城港市建设领域农民工工资有关问题的通知》（防住建管发</w:t>
      </w:r>
      <w:r>
        <w:rPr>
          <w:rFonts w:hint="eastAsia" w:ascii="宋体" w:hAnsi="宋体" w:cs="宋体"/>
          <w:color w:val="auto"/>
          <w:sz w:val="22"/>
          <w:szCs w:val="22"/>
          <w:lang w:eastAsia="zh-CN"/>
        </w:rPr>
        <w:t>〔2017〕37号</w:t>
      </w:r>
      <w:r>
        <w:rPr>
          <w:rFonts w:hint="eastAsia" w:ascii="宋体" w:hAnsi="宋体" w:cs="宋体"/>
          <w:color w:val="auto"/>
          <w:sz w:val="22"/>
          <w:szCs w:val="22"/>
        </w:rPr>
        <w:t>）第二条，合同承包人应设立农民工工资支付账户，实行农民工工资与其他款项分账管理，农民工工资支付账户信息：</w:t>
      </w:r>
    </w:p>
    <w:p w14:paraId="56564DCB">
      <w:pPr>
        <w:pStyle w:val="74"/>
        <w:spacing w:line="360" w:lineRule="exact"/>
        <w:ind w:firstLine="440" w:firstLineChars="200"/>
        <w:jc w:val="left"/>
        <w:rPr>
          <w:rFonts w:hint="eastAsia" w:ascii="宋体" w:hAnsi="宋体" w:cs="宋体"/>
          <w:color w:val="auto"/>
          <w:sz w:val="22"/>
          <w:szCs w:val="22"/>
          <w:u w:val="single"/>
        </w:rPr>
      </w:pPr>
      <w:r>
        <w:rPr>
          <w:rFonts w:hint="eastAsia" w:ascii="宋体" w:hAnsi="宋体" w:cs="宋体"/>
          <w:color w:val="auto"/>
          <w:sz w:val="22"/>
          <w:szCs w:val="22"/>
          <w:lang w:eastAsia="zh-CN"/>
        </w:rPr>
        <w:t>户名：</w:t>
      </w:r>
    </w:p>
    <w:p w14:paraId="57EE4A66">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开户行：</w:t>
      </w:r>
      <w:r>
        <w:rPr>
          <w:rFonts w:hint="eastAsia" w:ascii="宋体" w:hAnsi="宋体" w:cs="宋体"/>
          <w:color w:val="auto"/>
          <w:sz w:val="22"/>
          <w:szCs w:val="22"/>
          <w:u w:val="single"/>
          <w:lang w:val="en-US" w:eastAsia="zh-CN"/>
        </w:rPr>
        <w:t xml:space="preserve"> </w:t>
      </w:r>
    </w:p>
    <w:p w14:paraId="68028A83">
      <w:pPr>
        <w:pStyle w:val="74"/>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账号</w:t>
      </w:r>
      <w:r>
        <w:rPr>
          <w:rFonts w:hint="eastAsia" w:ascii="宋体" w:hAnsi="宋体" w:cs="宋体"/>
          <w:color w:val="auto"/>
          <w:sz w:val="22"/>
          <w:szCs w:val="22"/>
        </w:rPr>
        <w:t>：</w:t>
      </w:r>
      <w:r>
        <w:rPr>
          <w:rFonts w:hint="eastAsia" w:ascii="宋体" w:hAnsi="宋体" w:cs="宋体"/>
          <w:color w:val="auto"/>
          <w:sz w:val="22"/>
          <w:szCs w:val="22"/>
          <w:u w:val="single"/>
          <w:lang w:val="en-US" w:eastAsia="zh-CN"/>
        </w:rPr>
        <w:t xml:space="preserve"> </w:t>
      </w:r>
    </w:p>
    <w:p w14:paraId="1F7CA0CA">
      <w:pPr>
        <w:pStyle w:val="74"/>
        <w:spacing w:line="360" w:lineRule="exact"/>
        <w:ind w:firstLine="440" w:firstLineChars="200"/>
        <w:jc w:val="left"/>
        <w:rPr>
          <w:rFonts w:hint="eastAsia" w:ascii="宋体" w:hAnsi="宋体" w:cs="宋体"/>
          <w:color w:val="auto"/>
          <w:sz w:val="22"/>
          <w:szCs w:val="22"/>
        </w:rPr>
      </w:pPr>
      <w:bookmarkStart w:id="1180" w:name="_Toc11862_WPSOffice_Level2"/>
      <w:r>
        <w:rPr>
          <w:rFonts w:hint="eastAsia" w:ascii="宋体" w:hAnsi="宋体" w:cs="宋体"/>
          <w:color w:val="auto"/>
          <w:sz w:val="22"/>
          <w:szCs w:val="22"/>
        </w:rPr>
        <w:t>（2）农民工工资支付约定</w:t>
      </w:r>
      <w:bookmarkEnd w:id="1180"/>
    </w:p>
    <w:p w14:paraId="5431F0EB">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 xml:space="preserve">合同承包人申请进度款应明确农民工工资金额，拨付进度款须优先保障农民工工资，再经农民工工资专户转至工人个人账户。  </w:t>
      </w:r>
    </w:p>
    <w:p w14:paraId="4B69C7D8">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21.3 凡进入本工程工作的妇女应持有计生证，否则不准安排工作，禁止使用童工。</w:t>
      </w:r>
    </w:p>
    <w:p w14:paraId="5228C4C9">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21.4本工程合同价款已包含安全防护、文明施工措施费。使用要求：专款专用，具体按《广西壮族自治区建设工程安全文明施工费使用管理细则》（桂建质</w:t>
      </w:r>
      <w:r>
        <w:rPr>
          <w:rFonts w:hint="eastAsia" w:ascii="宋体" w:hAnsi="宋体" w:cs="宋体"/>
          <w:color w:val="auto"/>
          <w:sz w:val="22"/>
          <w:szCs w:val="22"/>
          <w:lang w:eastAsia="zh-CN"/>
        </w:rPr>
        <w:t>〔2015〕16号</w:t>
      </w:r>
      <w:r>
        <w:rPr>
          <w:rFonts w:hint="eastAsia" w:ascii="宋体" w:hAnsi="宋体" w:cs="宋体"/>
          <w:color w:val="auto"/>
          <w:sz w:val="22"/>
          <w:szCs w:val="22"/>
        </w:rPr>
        <w:t>）要求执行。安全防护、文明施工措施费与工程款同步支付。</w:t>
      </w:r>
    </w:p>
    <w:p w14:paraId="531C199C">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21.5承包人须按时足额将农民工工资保障金和建安劳保费存入建设行政主管部门指定的账户。</w:t>
      </w:r>
    </w:p>
    <w:p w14:paraId="696898F6">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21.6承包方出现下列情况之一，则项目的建设应视为</w:t>
      </w:r>
      <w:r>
        <w:rPr>
          <w:rFonts w:hint="eastAsia" w:ascii="宋体" w:hAnsi="宋体" w:cs="宋体"/>
          <w:color w:val="auto"/>
          <w:sz w:val="22"/>
          <w:szCs w:val="22"/>
          <w:lang w:val="en-US" w:eastAsia="zh-CN"/>
        </w:rPr>
        <w:t>已</w:t>
      </w:r>
      <w:r>
        <w:rPr>
          <w:rFonts w:hint="eastAsia" w:ascii="宋体" w:hAnsi="宋体" w:cs="宋体"/>
          <w:color w:val="auto"/>
          <w:sz w:val="22"/>
          <w:szCs w:val="22"/>
        </w:rPr>
        <w:t>被放弃：</w:t>
      </w:r>
    </w:p>
    <w:p w14:paraId="36682A29">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1</w:t>
      </w:r>
      <w:r>
        <w:rPr>
          <w:rFonts w:hint="eastAsia" w:ascii="宋体" w:hAnsi="宋体" w:cs="宋体"/>
          <w:color w:val="auto"/>
          <w:sz w:val="22"/>
          <w:szCs w:val="22"/>
          <w:lang w:eastAsia="zh-CN"/>
        </w:rPr>
        <w:t>）</w:t>
      </w:r>
      <w:r>
        <w:rPr>
          <w:rFonts w:hint="eastAsia" w:ascii="宋体" w:hAnsi="宋体" w:cs="宋体"/>
          <w:color w:val="auto"/>
          <w:sz w:val="22"/>
          <w:szCs w:val="22"/>
        </w:rPr>
        <w:t>书面通知发包方其已终止建设工程，且并不打算重新开始施工；</w:t>
      </w:r>
    </w:p>
    <w:p w14:paraId="744D3D65">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未能在本合同约定的开工日期届满后 14 天内开始建设工程（但因非承包方原因所引起的除外）；</w:t>
      </w:r>
    </w:p>
    <w:p w14:paraId="405D1F62">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3</w:t>
      </w:r>
      <w:r>
        <w:rPr>
          <w:rFonts w:hint="eastAsia" w:ascii="宋体" w:hAnsi="宋体" w:cs="宋体"/>
          <w:color w:val="auto"/>
          <w:sz w:val="22"/>
          <w:szCs w:val="22"/>
          <w:lang w:eastAsia="zh-CN"/>
        </w:rPr>
        <w:t>）</w:t>
      </w:r>
      <w:r>
        <w:rPr>
          <w:rFonts w:hint="eastAsia" w:ascii="宋体" w:hAnsi="宋体" w:cs="宋体"/>
          <w:color w:val="auto"/>
          <w:sz w:val="22"/>
          <w:szCs w:val="22"/>
        </w:rPr>
        <w:t>未能在任何不可抗力事件结束后14 天内恢复建设工程施工（但因非承包方原因所引起的除外）；</w:t>
      </w:r>
    </w:p>
    <w:p w14:paraId="77159EB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rPr>
        <w:t>4）在完工检查日前停止建设工程或者直接或通过专业分包商从项目场地撤走全部或大部分的工作人员，除非上述行为是为了保持或促进项目建设按合同完成所必须的。</w:t>
      </w:r>
    </w:p>
    <w:p w14:paraId="3C601B2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21.7要求承包人增加或更换施工设备</w:t>
      </w:r>
    </w:p>
    <w:p w14:paraId="0B4759A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尽管承包人的施工设备已经按照磋商文件要求进场，但承包人使用的施工设备仍不能满足合同进度计划和（或）质量要求时，发包人有权要求承包人增加或更换施工设备，承包人应</w:t>
      </w:r>
      <w:r>
        <w:rPr>
          <w:rFonts w:hint="eastAsia" w:ascii="宋体" w:hAnsi="宋体" w:cs="宋体"/>
          <w:color w:val="auto"/>
          <w:sz w:val="22"/>
          <w:szCs w:val="22"/>
          <w:lang w:val="en-US" w:eastAsia="zh-CN"/>
        </w:rPr>
        <w:t>及时</w:t>
      </w:r>
      <w:r>
        <w:rPr>
          <w:rFonts w:hint="eastAsia" w:ascii="宋体" w:hAnsi="宋体" w:cs="宋体"/>
          <w:color w:val="auto"/>
          <w:sz w:val="22"/>
          <w:szCs w:val="22"/>
        </w:rPr>
        <w:t>增加或更换，由此增加的费用和（或）工期延误由承包人承担。</w:t>
      </w:r>
    </w:p>
    <w:p w14:paraId="6F1EF3D8">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21.8发包人有权随时终止本工程中任何一个分部分项工程，并按报价书中相应内容扣减分部分项工程费、措施费、利润、规费和税金等相关费用，承包人不得因此提出费用补偿要求。</w:t>
      </w:r>
    </w:p>
    <w:p w14:paraId="18A1A563">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21.9在施工过程中征地及安置工作可能滞后，承包人应自行协调和处理当地群众及各安置住户关系，确保正常施工。可能造成工程进度滞后或者费用增加，费用已包含在综合单价和措施费用中，由承包人承担。</w:t>
      </w:r>
    </w:p>
    <w:p w14:paraId="7A4DCE0E">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21.10防发改函</w:t>
      </w:r>
      <w:r>
        <w:rPr>
          <w:rFonts w:hint="eastAsia" w:ascii="宋体" w:hAnsi="宋体" w:cs="宋体"/>
          <w:color w:val="auto"/>
          <w:sz w:val="22"/>
          <w:szCs w:val="22"/>
          <w:lang w:eastAsia="zh-CN"/>
        </w:rPr>
        <w:t>〔2017〕43号</w:t>
      </w:r>
      <w:r>
        <w:rPr>
          <w:rFonts w:hint="eastAsia" w:ascii="宋体" w:hAnsi="宋体" w:cs="宋体"/>
          <w:color w:val="auto"/>
          <w:sz w:val="22"/>
          <w:szCs w:val="22"/>
        </w:rPr>
        <w:t>文件和防发改前期</w:t>
      </w:r>
      <w:r>
        <w:rPr>
          <w:rFonts w:hint="eastAsia" w:ascii="宋体" w:hAnsi="宋体" w:cs="宋体"/>
          <w:color w:val="auto"/>
          <w:sz w:val="22"/>
          <w:szCs w:val="22"/>
          <w:lang w:eastAsia="zh-CN"/>
        </w:rPr>
        <w:t>〔2018〕251号</w:t>
      </w:r>
      <w:r>
        <w:rPr>
          <w:rFonts w:hint="eastAsia" w:ascii="宋体" w:hAnsi="宋体" w:cs="宋体"/>
          <w:color w:val="auto"/>
          <w:sz w:val="22"/>
          <w:szCs w:val="22"/>
        </w:rPr>
        <w:t>文件，属于本合同条款的一部分。</w:t>
      </w:r>
    </w:p>
    <w:p w14:paraId="21ECFFAF">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21.11由于承包人的原因，造成承包人的供应商或劳务工人等参建人员上访、投诉、静坐、聚众闹事等事件时，（1）如聚集总人数在十人以下时，承包人的企业法定代表人必须在接到发包人的通知后24小时内，派出授权人员到发包人指定的地方解决相应问题。（2）如聚集总人数在十人以上时，承包人的企业法定代表人必须在接到发包人的通知后24小时内到发包人指定的地方解决相应问题。如承包人未能按照以上要求处理相关问题，视为承包人授权发包人代为处理，发包人为解决相应问题所采取的一切措施均视为已得到承包人的授权（承包人的授权包括但不限于从承包人的工程款、质量保证金中扣除相应费用来代付承包人拖欠的费用；如以上费用不足时，发包人可以先行垫付，待事情处理完毕7日后承包人再向发包人返还）。承包人承诺，尽管承包人不完全满意发包人所有解决问题的方法及此事造成的最终后果，但处理的过程如在政府相关部门或建设行政相关管理部门的监督和见证下处理，承包人都同意发包人所采取的一切措施及此事造成的最终后果，承包人并承担所有责任。发包人为此做的任何工作将不会减轻承包人的任何责任。</w:t>
      </w:r>
    </w:p>
    <w:p w14:paraId="3766B74B">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21.12尽管合同有其他约定，未经发包人同意，承包人不得将合同权利和义务全部转让给第三人，也不得将合同的义务全部或部分转让给第三人，法律另有规定的除外。</w:t>
      </w:r>
    </w:p>
    <w:p w14:paraId="1CC58849">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21.13发包人按合同约定支付给承包人的各项价款应专用于合同工程。如发包人提出要求，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支付，直至承包人改正为止。</w:t>
      </w:r>
    </w:p>
    <w:p w14:paraId="7159D5B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21.14建安劳保费扣减金额与发包人实际缴纳金额相等，按照发包人实际缴纳金额在最终支付给承包人的结算款中扣减。（1）本工程如有进度款时，则在本合同的进度款累计支付达到合同金额的10%开始扣减建安劳保费，进度款累计支付达到合同金额的30%时全部扣减完成。（2）本工程如无进度款时，建安劳保费由承包人代缴。</w:t>
      </w:r>
    </w:p>
    <w:p w14:paraId="611433AA">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21.15尽管合同有其他约定，承包人应充分对现场情况进行调查（特别是现场地质情况），不管发包人提供的资料是否完整，当出现与地质有关的变更时，承包人不得以此为由要求调整合同综合单价。承包人的磋商文件中的土石方工程（包括土石比、开挖和运输）、地基与基础工程等有关项目的综合单价已经考虑了上述风险。伐树、挖树根和清除表土的费用包含在相应的土石方单价中，不另行计算。</w:t>
      </w:r>
    </w:p>
    <w:p w14:paraId="5A4777FF">
      <w:pPr>
        <w:pStyle w:val="74"/>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21.16项目管理人员不称职的定义包括但不限于以下内容：不胜任相应岗位的工作、项目出现偷工减料现象的、出现人员死亡事故的、重复出现相同质量缺陷（事故）或出现问题不积极整改的、被相关部门要求停工整改的、进度比原计划滞后60天以上的、拒绝执行监理人或发包人指令的、违反合同约定及相关规定擅自离开施工现场累计超过60天的、现场安全文明施工未达到规定要求的、出现打架斗殴的、违反相关法律法规的其他情形。尽管无法证明以上情形与被更换人员是否存在直接或者间接关系，但当以上情形发生时，发包人有权更换项目组织机构里面的部分或全部人员，并按照专用条款中的“16.2承包人违约”条款对承包人进行处罚。</w:t>
      </w:r>
    </w:p>
    <w:p w14:paraId="796AB987">
      <w:pPr>
        <w:pStyle w:val="74"/>
        <w:spacing w:line="360" w:lineRule="exact"/>
        <w:ind w:firstLine="440" w:firstLineChars="200"/>
        <w:jc w:val="left"/>
        <w:rPr>
          <w:rFonts w:hint="eastAsia" w:ascii="宋体" w:hAnsi="宋体" w:cs="宋体"/>
          <w:color w:val="auto"/>
          <w:sz w:val="22"/>
          <w:szCs w:val="22"/>
        </w:rPr>
      </w:pPr>
      <w:bookmarkStart w:id="1181" w:name="_Toc9461_WPSOffice_Level2"/>
      <w:r>
        <w:rPr>
          <w:rFonts w:hint="eastAsia" w:ascii="宋体" w:hAnsi="宋体" w:cs="宋体"/>
          <w:color w:val="auto"/>
          <w:sz w:val="22"/>
          <w:szCs w:val="22"/>
        </w:rPr>
        <w:t>21.18 发包人的任何批准不能免除或减轻承包人应承担的任何义务。</w:t>
      </w:r>
      <w:bookmarkEnd w:id="1181"/>
    </w:p>
    <w:p w14:paraId="709EF536">
      <w:pPr>
        <w:pStyle w:val="38"/>
        <w:spacing w:line="360" w:lineRule="auto"/>
        <w:jc w:val="left"/>
        <w:rPr>
          <w:rFonts w:hint="eastAsia" w:ascii="Times New Roman" w:hAnsi="Times New Roman" w:eastAsia="黑体" w:cs="黑体"/>
          <w:b/>
          <w:bCs/>
          <w:color w:val="auto"/>
          <w:sz w:val="28"/>
          <w:szCs w:val="28"/>
        </w:rPr>
      </w:pPr>
    </w:p>
    <w:p w14:paraId="0771CF56">
      <w:pPr>
        <w:pStyle w:val="38"/>
        <w:spacing w:line="360" w:lineRule="auto"/>
        <w:jc w:val="left"/>
        <w:rPr>
          <w:rFonts w:hint="eastAsia" w:ascii="Times New Roman" w:hAnsi="Times New Roman" w:eastAsia="黑体" w:cs="黑体"/>
          <w:b/>
          <w:bCs/>
          <w:color w:val="auto"/>
          <w:sz w:val="28"/>
          <w:szCs w:val="28"/>
        </w:rPr>
      </w:pPr>
    </w:p>
    <w:p w14:paraId="183C4459">
      <w:pPr>
        <w:pStyle w:val="38"/>
        <w:spacing w:line="360" w:lineRule="auto"/>
        <w:ind w:firstLine="562" w:firstLineChars="200"/>
        <w:jc w:val="left"/>
        <w:rPr>
          <w:rFonts w:ascii="Times New Roman" w:hAnsi="Times New Roman" w:eastAsia="黑体"/>
          <w:b/>
          <w:bCs/>
          <w:color w:val="auto"/>
          <w:sz w:val="28"/>
          <w:szCs w:val="28"/>
        </w:rPr>
      </w:pPr>
      <w:r>
        <w:rPr>
          <w:rFonts w:hint="eastAsia" w:ascii="Times New Roman" w:hAnsi="Times New Roman" w:eastAsia="黑体" w:cs="黑体"/>
          <w:b/>
          <w:bCs/>
          <w:color w:val="auto"/>
          <w:sz w:val="28"/>
          <w:szCs w:val="28"/>
        </w:rPr>
        <w:t>附件</w:t>
      </w:r>
      <w:bookmarkEnd w:id="120"/>
    </w:p>
    <w:p w14:paraId="351F0B79">
      <w:pPr>
        <w:pStyle w:val="38"/>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5699F5C0">
      <w:pPr>
        <w:pStyle w:val="38"/>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附件2：工程质量保修书</w:t>
      </w:r>
    </w:p>
    <w:p w14:paraId="19F54102">
      <w:pPr>
        <w:pStyle w:val="38"/>
        <w:spacing w:line="360" w:lineRule="auto"/>
        <w:ind w:firstLine="420" w:firstLineChars="200"/>
        <w:jc w:val="left"/>
        <w:rPr>
          <w:rFonts w:hint="eastAsia"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3CC6729C">
      <w:pPr>
        <w:pStyle w:val="38"/>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617C7CC3">
      <w:pPr>
        <w:pStyle w:val="38"/>
        <w:spacing w:line="360" w:lineRule="auto"/>
        <w:ind w:firstLine="420" w:firstLineChars="200"/>
        <w:jc w:val="left"/>
        <w:rPr>
          <w:rFonts w:ascii="宋体" w:hAnsi="Times New Roman"/>
          <w:color w:val="auto"/>
          <w:szCs w:val="21"/>
        </w:rPr>
      </w:pPr>
      <w:r>
        <w:rPr>
          <w:rFonts w:hint="eastAsia" w:ascii="宋体" w:hAnsi="宋体" w:cs="宋体"/>
          <w:color w:val="auto"/>
          <w:szCs w:val="21"/>
        </w:rPr>
        <w:t>附件5：承包人主要施工管理人员表</w:t>
      </w:r>
    </w:p>
    <w:p w14:paraId="0AE7254F">
      <w:pPr>
        <w:pStyle w:val="38"/>
        <w:spacing w:line="360" w:lineRule="auto"/>
        <w:ind w:firstLine="420" w:firstLineChars="200"/>
        <w:jc w:val="left"/>
        <w:rPr>
          <w:rFonts w:ascii="宋体" w:hAnsi="Times New Roman"/>
          <w:color w:val="auto"/>
          <w:szCs w:val="21"/>
        </w:rPr>
      </w:pPr>
      <w:r>
        <w:rPr>
          <w:rFonts w:hint="eastAsia" w:ascii="宋体" w:hAnsi="宋体" w:cs="宋体"/>
          <w:color w:val="auto"/>
          <w:szCs w:val="21"/>
        </w:rPr>
        <w:t>附件6：分包人主要施工管理人员表</w:t>
      </w:r>
    </w:p>
    <w:p w14:paraId="50C08088">
      <w:pPr>
        <w:pStyle w:val="38"/>
        <w:spacing w:line="360" w:lineRule="auto"/>
        <w:ind w:firstLine="420" w:firstLineChars="200"/>
        <w:jc w:val="left"/>
        <w:rPr>
          <w:rFonts w:ascii="宋体" w:hAnsi="Times New Roman"/>
          <w:color w:val="auto"/>
          <w:szCs w:val="21"/>
        </w:rPr>
      </w:pPr>
      <w:r>
        <w:rPr>
          <w:rFonts w:hint="eastAsia" w:ascii="宋体" w:hAnsi="宋体" w:cs="宋体"/>
          <w:color w:val="auto"/>
          <w:szCs w:val="21"/>
        </w:rPr>
        <w:t>附件7：履约担保格式</w:t>
      </w:r>
    </w:p>
    <w:p w14:paraId="3BD5D59D">
      <w:pPr>
        <w:pStyle w:val="38"/>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附件8：预付款担保格式</w:t>
      </w:r>
    </w:p>
    <w:p w14:paraId="6B38908C">
      <w:pPr>
        <w:pStyle w:val="38"/>
        <w:spacing w:line="360" w:lineRule="auto"/>
        <w:ind w:firstLine="420" w:firstLineChars="200"/>
        <w:jc w:val="left"/>
        <w:rPr>
          <w:rFonts w:ascii="宋体" w:hAnsi="宋体" w:cs="宋体"/>
          <w:color w:val="auto"/>
          <w:szCs w:val="21"/>
        </w:rPr>
      </w:pPr>
      <w:r>
        <w:rPr>
          <w:rFonts w:hint="eastAsia" w:ascii="宋体" w:hAnsi="宋体" w:cs="宋体"/>
          <w:color w:val="auto"/>
          <w:szCs w:val="21"/>
        </w:rPr>
        <w:t>附件9：支付担保格式</w:t>
      </w:r>
    </w:p>
    <w:p w14:paraId="48257006">
      <w:pPr>
        <w:pStyle w:val="38"/>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附件10：预付款</w:t>
      </w:r>
      <w:r>
        <w:rPr>
          <w:rFonts w:hint="eastAsia" w:ascii="Times New Roman" w:hAnsi="Times New Roman"/>
          <w:color w:val="auto"/>
          <w:szCs w:val="21"/>
        </w:rPr>
        <w:t>支付申请（核准）表</w:t>
      </w:r>
    </w:p>
    <w:p w14:paraId="549CADC1">
      <w:pPr>
        <w:pStyle w:val="38"/>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附件11：</w:t>
      </w:r>
      <w:r>
        <w:rPr>
          <w:rFonts w:hint="eastAsia" w:ascii="Times New Roman" w:hAnsi="Times New Roman"/>
          <w:color w:val="auto"/>
          <w:szCs w:val="21"/>
        </w:rPr>
        <w:t>进度款支付申请（核准）表</w:t>
      </w:r>
    </w:p>
    <w:p w14:paraId="0A65B6C7">
      <w:pPr>
        <w:pStyle w:val="38"/>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附件12：竣工结算</w:t>
      </w:r>
      <w:r>
        <w:rPr>
          <w:rFonts w:hint="eastAsia" w:ascii="Times New Roman" w:hAnsi="Times New Roman"/>
          <w:color w:val="auto"/>
          <w:szCs w:val="21"/>
        </w:rPr>
        <w:t>款支付申请（核准）表</w:t>
      </w:r>
    </w:p>
    <w:p w14:paraId="393F8D44">
      <w:pPr>
        <w:pStyle w:val="38"/>
        <w:spacing w:line="360" w:lineRule="auto"/>
        <w:ind w:firstLine="420" w:firstLineChars="200"/>
        <w:jc w:val="left"/>
        <w:rPr>
          <w:rFonts w:hint="eastAsia" w:ascii="Times New Roman" w:hAnsi="Times New Roman"/>
          <w:color w:val="auto"/>
          <w:szCs w:val="21"/>
        </w:rPr>
      </w:pPr>
      <w:r>
        <w:rPr>
          <w:rFonts w:hint="eastAsia" w:ascii="宋体" w:hAnsi="宋体" w:cs="宋体"/>
          <w:color w:val="auto"/>
          <w:szCs w:val="21"/>
        </w:rPr>
        <w:t>附件13：最终结算</w:t>
      </w:r>
      <w:r>
        <w:rPr>
          <w:rFonts w:hint="eastAsia" w:ascii="Times New Roman" w:hAnsi="Times New Roman"/>
          <w:color w:val="auto"/>
          <w:szCs w:val="21"/>
        </w:rPr>
        <w:t>款支付申请（核准）表</w:t>
      </w:r>
    </w:p>
    <w:p w14:paraId="0977A173">
      <w:pPr>
        <w:pStyle w:val="38"/>
        <w:spacing w:line="360" w:lineRule="auto"/>
        <w:ind w:firstLine="420" w:firstLineChars="200"/>
        <w:jc w:val="left"/>
        <w:rPr>
          <w:rFonts w:hint="eastAsia" w:ascii="Times New Roman" w:hAnsi="Times New Roman"/>
          <w:color w:val="auto"/>
          <w:szCs w:val="21"/>
        </w:rPr>
      </w:pPr>
      <w:r>
        <w:rPr>
          <w:rFonts w:hint="eastAsia" w:ascii="Times New Roman" w:hAnsi="Times New Roman"/>
          <w:color w:val="auto"/>
          <w:szCs w:val="21"/>
        </w:rPr>
        <w:t>附件14：总价合同进度款支付分解表</w:t>
      </w:r>
    </w:p>
    <w:p w14:paraId="04D879D3">
      <w:pPr>
        <w:pStyle w:val="38"/>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rPr>
        <w:t>附件1</w:t>
      </w:r>
      <w:r>
        <w:rPr>
          <w:rFonts w:hint="eastAsia" w:ascii="Times New Roman" w:hAnsi="Times New Roman"/>
          <w:color w:val="auto"/>
          <w:szCs w:val="21"/>
          <w:lang w:val="en-US" w:eastAsia="zh-CN"/>
        </w:rPr>
        <w:t>5</w:t>
      </w:r>
      <w:r>
        <w:rPr>
          <w:rFonts w:hint="eastAsia" w:ascii="Times New Roman" w:hAnsi="Times New Roman"/>
          <w:color w:val="auto"/>
          <w:szCs w:val="21"/>
        </w:rPr>
        <w:t>：</w:t>
      </w:r>
      <w:r>
        <w:rPr>
          <w:rFonts w:hint="eastAsia" w:ascii="Times New Roman" w:hAnsi="Times New Roman"/>
          <w:color w:val="auto"/>
          <w:szCs w:val="21"/>
          <w:lang w:val="en-US" w:eastAsia="zh-CN"/>
        </w:rPr>
        <w:t>欠薪催告函</w:t>
      </w:r>
    </w:p>
    <w:p w14:paraId="2958D878">
      <w:pPr>
        <w:pStyle w:val="38"/>
        <w:spacing w:line="360" w:lineRule="auto"/>
        <w:ind w:firstLine="420" w:firstLineChars="200"/>
        <w:jc w:val="left"/>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附件16：项目安全文明施工费使用明细表</w:t>
      </w:r>
    </w:p>
    <w:p w14:paraId="564F55AC">
      <w:pPr>
        <w:pStyle w:val="38"/>
        <w:spacing w:line="360" w:lineRule="auto"/>
        <w:ind w:firstLine="420" w:firstLineChars="200"/>
        <w:jc w:val="left"/>
        <w:rPr>
          <w:rFonts w:hint="default" w:ascii="Times New Roman" w:hAnsi="Times New Roman"/>
          <w:color w:val="auto"/>
          <w:szCs w:val="21"/>
          <w:lang w:val="en-US" w:eastAsia="zh-CN"/>
        </w:rPr>
      </w:pPr>
      <w:r>
        <w:rPr>
          <w:rFonts w:hint="eastAsia" w:ascii="Times New Roman" w:hAnsi="Times New Roman"/>
          <w:color w:val="auto"/>
          <w:szCs w:val="21"/>
          <w:lang w:val="en-US" w:eastAsia="zh-CN"/>
        </w:rPr>
        <w:t>附件17：</w:t>
      </w:r>
      <w:r>
        <w:rPr>
          <w:rFonts w:hint="default" w:ascii="Times New Roman" w:hAnsi="Times New Roman"/>
          <w:color w:val="auto"/>
          <w:szCs w:val="21"/>
          <w:lang w:val="en-US" w:eastAsia="zh-CN"/>
        </w:rPr>
        <w:t>项目原材料进场登记表</w:t>
      </w:r>
    </w:p>
    <w:p w14:paraId="76C1412E">
      <w:pPr>
        <w:pStyle w:val="38"/>
        <w:spacing w:line="360" w:lineRule="auto"/>
        <w:ind w:firstLine="440" w:firstLineChars="200"/>
        <w:jc w:val="left"/>
        <w:rPr>
          <w:rFonts w:hint="default" w:ascii="Times New Roman" w:hAnsi="Times New Roman"/>
          <w:color w:val="auto"/>
          <w:szCs w:val="21"/>
          <w:lang w:val="en-US" w:eastAsia="zh-CN"/>
        </w:rPr>
      </w:pPr>
      <w:r>
        <w:rPr>
          <w:rFonts w:hint="eastAsia" w:ascii="宋体" w:hAnsi="宋体" w:cs="宋体"/>
          <w:i w:val="0"/>
          <w:iCs w:val="0"/>
          <w:color w:val="auto"/>
          <w:kern w:val="0"/>
          <w:sz w:val="22"/>
          <w:szCs w:val="22"/>
          <w:u w:val="none"/>
          <w:lang w:val="en-US" w:eastAsia="zh-CN" w:bidi="ar"/>
        </w:rPr>
        <w:t>附件18：</w:t>
      </w:r>
      <w:r>
        <w:rPr>
          <w:rFonts w:hint="eastAsia" w:ascii="宋体" w:hAnsi="宋体" w:eastAsia="宋体" w:cs="宋体"/>
          <w:i w:val="0"/>
          <w:iCs w:val="0"/>
          <w:color w:val="auto"/>
          <w:kern w:val="0"/>
          <w:sz w:val="22"/>
          <w:szCs w:val="22"/>
          <w:u w:val="none"/>
          <w:lang w:val="en-US" w:eastAsia="zh-CN" w:bidi="ar"/>
        </w:rPr>
        <w:t>项目农民工工资发放登记表</w:t>
      </w:r>
    </w:p>
    <w:p w14:paraId="44EDE25C">
      <w:pPr>
        <w:pStyle w:val="38"/>
        <w:spacing w:line="460" w:lineRule="exact"/>
        <w:ind w:firstLine="420" w:firstLineChars="200"/>
        <w:rPr>
          <w:rFonts w:ascii="Times New Roman" w:hAnsi="Times New Roman"/>
          <w:color w:val="auto"/>
          <w:szCs w:val="21"/>
        </w:rPr>
      </w:pPr>
    </w:p>
    <w:p w14:paraId="204AF5C6">
      <w:pPr>
        <w:pStyle w:val="38"/>
        <w:spacing w:line="460" w:lineRule="exact"/>
        <w:rPr>
          <w:rFonts w:ascii="Times New Roman" w:hAnsi="Times New Roman"/>
          <w:color w:val="auto"/>
          <w:szCs w:val="21"/>
        </w:rPr>
        <w:sectPr>
          <w:footerReference r:id="rId4" w:type="default"/>
          <w:pgSz w:w="11906" w:h="16838"/>
          <w:pgMar w:top="1134" w:right="1134" w:bottom="567" w:left="1417" w:header="567" w:footer="567" w:gutter="0"/>
          <w:pgNumType w:fmt="decimal"/>
          <w:cols w:space="720" w:num="1"/>
          <w:docGrid w:type="lines" w:linePitch="312" w:charSpace="0"/>
        </w:sectPr>
      </w:pPr>
    </w:p>
    <w:p w14:paraId="6D940876">
      <w:pPr>
        <w:pStyle w:val="38"/>
        <w:spacing w:before="156" w:beforeLines="50" w:after="156" w:afterLines="50" w:line="440" w:lineRule="exact"/>
        <w:ind w:firstLine="600" w:firstLineChars="200"/>
        <w:jc w:val="left"/>
        <w:rPr>
          <w:rFonts w:ascii="仿宋_GB2312" w:hAnsi="Times New Roman" w:eastAsia="仿宋_GB2312"/>
          <w:color w:val="auto"/>
          <w:sz w:val="30"/>
          <w:szCs w:val="30"/>
        </w:rPr>
      </w:pPr>
      <w:r>
        <w:rPr>
          <w:rFonts w:hint="eastAsia" w:ascii="仿宋_GB2312" w:hAnsi="Times New Roman" w:eastAsia="仿宋_GB2312" w:cs="仿宋_GB2312"/>
          <w:color w:val="auto"/>
          <w:sz w:val="30"/>
          <w:szCs w:val="30"/>
        </w:rPr>
        <w:t>附件</w:t>
      </w:r>
      <w:r>
        <w:rPr>
          <w:rFonts w:ascii="仿宋_GB2312" w:hAnsi="Times New Roman" w:eastAsia="仿宋_GB2312" w:cs="仿宋_GB2312"/>
          <w:color w:val="auto"/>
          <w:sz w:val="30"/>
          <w:szCs w:val="30"/>
        </w:rPr>
        <w:t>1</w:t>
      </w:r>
      <w:r>
        <w:rPr>
          <w:rFonts w:hint="eastAsia" w:ascii="仿宋_GB2312" w:hAnsi="Times New Roman" w:eastAsia="仿宋_GB2312" w:cs="仿宋_GB2312"/>
          <w:color w:val="auto"/>
          <w:sz w:val="30"/>
          <w:szCs w:val="30"/>
        </w:rPr>
        <w:t>：</w:t>
      </w:r>
    </w:p>
    <w:p w14:paraId="01667049">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承包人承揽工程项目一览表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91"/>
        <w:gridCol w:w="779"/>
        <w:gridCol w:w="1530"/>
        <w:gridCol w:w="1661"/>
        <w:gridCol w:w="850"/>
        <w:gridCol w:w="1560"/>
        <w:gridCol w:w="1972"/>
        <w:gridCol w:w="1571"/>
        <w:gridCol w:w="851"/>
        <w:gridCol w:w="850"/>
      </w:tblGrid>
      <w:tr w14:paraId="010F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191" w:type="dxa"/>
            <w:noWrap w:val="0"/>
            <w:vAlign w:val="center"/>
          </w:tcPr>
          <w:p w14:paraId="317204A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单位工程名称</w:t>
            </w:r>
          </w:p>
        </w:tc>
        <w:tc>
          <w:tcPr>
            <w:tcW w:w="779" w:type="dxa"/>
            <w:noWrap w:val="0"/>
            <w:vAlign w:val="center"/>
          </w:tcPr>
          <w:p w14:paraId="621C1BB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建设规模</w:t>
            </w:r>
          </w:p>
        </w:tc>
        <w:tc>
          <w:tcPr>
            <w:tcW w:w="1530" w:type="dxa"/>
            <w:noWrap w:val="0"/>
            <w:vAlign w:val="center"/>
          </w:tcPr>
          <w:p w14:paraId="1C89774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建筑面积</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平方米</w:t>
            </w:r>
            <w:r>
              <w:rPr>
                <w:rFonts w:hint="eastAsia" w:ascii="Times New Roman" w:hAnsi="Times New Roman" w:eastAsia="仿宋_GB2312" w:cs="仿宋_GB2312"/>
                <w:color w:val="auto"/>
                <w:sz w:val="28"/>
                <w:szCs w:val="28"/>
                <w:lang w:eastAsia="zh-CN"/>
              </w:rPr>
              <w:t>）</w:t>
            </w:r>
          </w:p>
        </w:tc>
        <w:tc>
          <w:tcPr>
            <w:tcW w:w="1661" w:type="dxa"/>
            <w:noWrap w:val="0"/>
            <w:vAlign w:val="center"/>
          </w:tcPr>
          <w:p w14:paraId="5AA6AB8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结构形式</w:t>
            </w:r>
          </w:p>
        </w:tc>
        <w:tc>
          <w:tcPr>
            <w:tcW w:w="850" w:type="dxa"/>
            <w:noWrap w:val="0"/>
            <w:vAlign w:val="center"/>
          </w:tcPr>
          <w:p w14:paraId="25FE02E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层数</w:t>
            </w:r>
          </w:p>
        </w:tc>
        <w:tc>
          <w:tcPr>
            <w:tcW w:w="1560" w:type="dxa"/>
            <w:noWrap w:val="0"/>
            <w:vAlign w:val="center"/>
          </w:tcPr>
          <w:p w14:paraId="771C248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1972" w:type="dxa"/>
            <w:noWrap w:val="0"/>
            <w:vAlign w:val="center"/>
          </w:tcPr>
          <w:p w14:paraId="5B70978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设备安装内容</w:t>
            </w:r>
          </w:p>
        </w:tc>
        <w:tc>
          <w:tcPr>
            <w:tcW w:w="1571" w:type="dxa"/>
            <w:noWrap w:val="0"/>
            <w:vAlign w:val="center"/>
          </w:tcPr>
          <w:p w14:paraId="61A8721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合同价格（元）</w:t>
            </w:r>
          </w:p>
        </w:tc>
        <w:tc>
          <w:tcPr>
            <w:tcW w:w="851" w:type="dxa"/>
            <w:noWrap w:val="0"/>
            <w:vAlign w:val="center"/>
          </w:tcPr>
          <w:p w14:paraId="031624E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开工日期</w:t>
            </w:r>
          </w:p>
        </w:tc>
        <w:tc>
          <w:tcPr>
            <w:tcW w:w="850" w:type="dxa"/>
            <w:noWrap w:val="0"/>
            <w:vAlign w:val="center"/>
          </w:tcPr>
          <w:p w14:paraId="757C44A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竣工日期</w:t>
            </w:r>
          </w:p>
        </w:tc>
      </w:tr>
      <w:tr w14:paraId="3F3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2191" w:type="dxa"/>
            <w:noWrap w:val="0"/>
            <w:vAlign w:val="center"/>
          </w:tcPr>
          <w:p w14:paraId="6214B4D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05630B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08B598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C1E3E5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1519ACA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620313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550630C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B8ACFE3">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46B8F9E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F24C85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15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6E84FDA8">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478BE25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270F861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BD299C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34DCB2A">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DE101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C35CE1A">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94D7F9B">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3D39704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45D7A4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312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2B4BDF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393CA2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6EAB02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29BBDCF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830FB5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30B14BF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11A0FF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DF41DF0">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566088F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339E6DC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5F02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040211D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ED768CC">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56C3B41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5718B968">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B5449CC">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75DF81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22DCD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76E06883">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rPr>
            </w:pPr>
          </w:p>
        </w:tc>
        <w:tc>
          <w:tcPr>
            <w:tcW w:w="851" w:type="dxa"/>
            <w:noWrap w:val="0"/>
            <w:vAlign w:val="center"/>
          </w:tcPr>
          <w:p w14:paraId="67A3F7F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4BA829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380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929F53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2B7304D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D9025D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B60403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060C7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1DA4AE1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D71C678">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62F05AB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2BD6728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6BB3CA2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66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2595B77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6C32B19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7E3E12DC">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47D7944">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446BA04">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7A7ABEC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65700AB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109B844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4CF431E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F93880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09D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58E7026C">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1042D1B4">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0FD9A53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424861A4">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5799B4C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6C27727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4A8504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45DAD54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E1C3A3B">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4BC21D5B">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r w14:paraId="68C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91" w:type="dxa"/>
            <w:noWrap w:val="0"/>
            <w:vAlign w:val="center"/>
          </w:tcPr>
          <w:p w14:paraId="1CC86ABB">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779" w:type="dxa"/>
            <w:noWrap w:val="0"/>
            <w:vAlign w:val="center"/>
          </w:tcPr>
          <w:p w14:paraId="324EF63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30" w:type="dxa"/>
            <w:noWrap w:val="0"/>
            <w:vAlign w:val="center"/>
          </w:tcPr>
          <w:p w14:paraId="1F78946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661" w:type="dxa"/>
            <w:noWrap w:val="0"/>
            <w:vAlign w:val="center"/>
          </w:tcPr>
          <w:p w14:paraId="375EC33A">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22BA39A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60" w:type="dxa"/>
            <w:noWrap w:val="0"/>
            <w:vAlign w:val="center"/>
          </w:tcPr>
          <w:p w14:paraId="525E746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972" w:type="dxa"/>
            <w:noWrap w:val="0"/>
            <w:vAlign w:val="center"/>
          </w:tcPr>
          <w:p w14:paraId="065F0E7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571" w:type="dxa"/>
            <w:noWrap w:val="0"/>
            <w:vAlign w:val="center"/>
          </w:tcPr>
          <w:p w14:paraId="584D77F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1" w:type="dxa"/>
            <w:noWrap w:val="0"/>
            <w:vAlign w:val="center"/>
          </w:tcPr>
          <w:p w14:paraId="58EDD52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850" w:type="dxa"/>
            <w:noWrap w:val="0"/>
            <w:vAlign w:val="center"/>
          </w:tcPr>
          <w:p w14:paraId="79378E4C">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r>
    </w:tbl>
    <w:p w14:paraId="047F4D72">
      <w:pPr>
        <w:pStyle w:val="38"/>
        <w:spacing w:line="460" w:lineRule="exact"/>
        <w:ind w:firstLine="420" w:firstLineChars="200"/>
        <w:rPr>
          <w:rFonts w:ascii="Times New Roman" w:hAnsi="Times New Roman"/>
          <w:color w:val="auto"/>
          <w:szCs w:val="21"/>
        </w:rPr>
        <w:sectPr>
          <w:pgSz w:w="16838" w:h="11906" w:orient="landscape"/>
          <w:pgMar w:top="1417" w:right="1134" w:bottom="1134" w:left="567" w:header="851" w:footer="992" w:gutter="0"/>
          <w:pgNumType w:fmt="decimal"/>
          <w:cols w:space="720" w:num="1"/>
          <w:docGrid w:type="lines" w:linePitch="312" w:charSpace="0"/>
        </w:sectPr>
      </w:pPr>
    </w:p>
    <w:p w14:paraId="16F90705">
      <w:pPr>
        <w:pStyle w:val="38"/>
        <w:spacing w:line="440" w:lineRule="exact"/>
        <w:ind w:firstLine="600" w:firstLineChars="200"/>
        <w:rPr>
          <w:rFonts w:ascii="Times New Roman" w:hAnsi="Times New Roman"/>
          <w:color w:val="auto"/>
          <w:sz w:val="30"/>
          <w:szCs w:val="30"/>
        </w:rPr>
      </w:pPr>
      <w:r>
        <w:rPr>
          <w:rFonts w:hint="eastAsia" w:ascii="Times New Roman" w:hAnsi="宋体" w:cs="宋体"/>
          <w:color w:val="auto"/>
          <w:sz w:val="30"/>
          <w:szCs w:val="30"/>
        </w:rPr>
        <w:t>附件</w:t>
      </w:r>
      <w:r>
        <w:rPr>
          <w:rFonts w:hint="eastAsia" w:ascii="Times New Roman" w:hAnsi="Times New Roman"/>
          <w:color w:val="auto"/>
          <w:sz w:val="30"/>
          <w:szCs w:val="30"/>
        </w:rPr>
        <w:t>2</w:t>
      </w:r>
      <w:r>
        <w:rPr>
          <w:rFonts w:hint="eastAsia" w:ascii="Times New Roman" w:hAnsi="宋体" w:cs="宋体"/>
          <w:color w:val="auto"/>
          <w:sz w:val="30"/>
          <w:szCs w:val="30"/>
        </w:rPr>
        <w:t>：</w:t>
      </w:r>
    </w:p>
    <w:p w14:paraId="280C0DB6">
      <w:pPr>
        <w:pStyle w:val="38"/>
        <w:spacing w:before="156" w:beforeLines="50" w:after="156" w:afterLines="50" w:line="440" w:lineRule="exact"/>
        <w:ind w:firstLine="640" w:firstLineChars="200"/>
        <w:jc w:val="center"/>
        <w:rPr>
          <w:rFonts w:ascii="黑体" w:hAnsi="Times New Roman" w:eastAsia="黑体"/>
          <w:color w:val="auto"/>
          <w:sz w:val="32"/>
          <w:szCs w:val="32"/>
        </w:rPr>
      </w:pPr>
      <w:r>
        <w:rPr>
          <w:rFonts w:hint="eastAsia" w:ascii="黑体" w:hAnsi="宋体" w:eastAsia="黑体" w:cs="黑体"/>
          <w:color w:val="auto"/>
          <w:sz w:val="32"/>
          <w:szCs w:val="32"/>
        </w:rPr>
        <w:t>工程质量保修书</w:t>
      </w:r>
    </w:p>
    <w:p w14:paraId="7D51CB85">
      <w:pPr>
        <w:pStyle w:val="38"/>
        <w:spacing w:line="360" w:lineRule="auto"/>
        <w:ind w:firstLine="420" w:firstLineChars="200"/>
        <w:rPr>
          <w:rFonts w:ascii="宋体" w:hAnsi="Times New Roman"/>
          <w:color w:val="auto"/>
          <w:szCs w:val="21"/>
        </w:rPr>
      </w:pPr>
      <w:r>
        <w:rPr>
          <w:rFonts w:hint="eastAsia" w:ascii="宋体" w:hAnsi="Times New Roman"/>
          <w:color w:val="auto"/>
          <w:szCs w:val="21"/>
        </w:rPr>
        <w:t>发包人：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 xml:space="preserve"> ************</w:t>
      </w:r>
      <w:r>
        <w:rPr>
          <w:rFonts w:hint="eastAsia" w:ascii="宋体" w:hAnsi="Times New Roman"/>
          <w:color w:val="auto"/>
          <w:szCs w:val="21"/>
        </w:rPr>
        <w:t xml:space="preserve"> </w:t>
      </w:r>
      <w:r>
        <w:rPr>
          <w:rFonts w:hint="eastAsia" w:ascii="宋体" w:hAnsi="Times New Roman"/>
          <w:color w:val="auto"/>
          <w:szCs w:val="21"/>
          <w:lang w:val="en-US" w:eastAsia="zh-CN"/>
        </w:rPr>
        <w:t xml:space="preserve"> </w:t>
      </w:r>
    </w:p>
    <w:p w14:paraId="2AD94BE2">
      <w:pPr>
        <w:pStyle w:val="38"/>
        <w:spacing w:line="360" w:lineRule="auto"/>
        <w:rPr>
          <w:rFonts w:ascii="宋体" w:hAnsi="Times New Roman"/>
          <w:color w:val="auto"/>
          <w:szCs w:val="21"/>
        </w:rPr>
      </w:pPr>
    </w:p>
    <w:p w14:paraId="511BD563">
      <w:pPr>
        <w:pStyle w:val="38"/>
        <w:spacing w:line="360" w:lineRule="auto"/>
        <w:ind w:firstLine="420" w:firstLineChars="200"/>
        <w:rPr>
          <w:rFonts w:ascii="宋体" w:hAnsi="Times New Roman"/>
          <w:color w:val="auto"/>
          <w:szCs w:val="21"/>
        </w:rPr>
      </w:pPr>
      <w:r>
        <w:rPr>
          <w:rFonts w:hint="eastAsia" w:ascii="宋体" w:hAnsi="Times New Roman"/>
          <w:color w:val="auto"/>
          <w:szCs w:val="21"/>
        </w:rPr>
        <w:t>承包人：</w:t>
      </w:r>
      <w:r>
        <w:rPr>
          <w:rFonts w:hint="eastAsia" w:ascii="宋体" w:hAnsi="Times New Roman"/>
          <w:color w:val="auto"/>
          <w:szCs w:val="21"/>
          <w:u w:val="single"/>
        </w:rPr>
        <w:t xml:space="preserve"> </w:t>
      </w:r>
      <w:r>
        <w:rPr>
          <w:rFonts w:hint="eastAsia" w:ascii="宋体" w:hAnsi="Times New Roman"/>
          <w:color w:val="auto"/>
          <w:szCs w:val="21"/>
          <w:u w:val="single"/>
          <w:lang w:val="en-US" w:eastAsia="zh-CN"/>
        </w:rPr>
        <w:t>************</w:t>
      </w:r>
      <w:r>
        <w:rPr>
          <w:rFonts w:hint="eastAsia" w:ascii="宋体" w:hAnsi="Times New Roman"/>
          <w:color w:val="auto"/>
          <w:szCs w:val="21"/>
          <w:lang w:val="en-US" w:eastAsia="zh-CN"/>
        </w:rPr>
        <w:t xml:space="preserve"> </w:t>
      </w:r>
    </w:p>
    <w:p w14:paraId="7419DDAA">
      <w:pPr>
        <w:pStyle w:val="38"/>
        <w:spacing w:line="360" w:lineRule="auto"/>
        <w:rPr>
          <w:rFonts w:ascii="宋体" w:hAnsi="Times New Roman"/>
          <w:color w:val="auto"/>
          <w:szCs w:val="21"/>
        </w:rPr>
      </w:pPr>
    </w:p>
    <w:p w14:paraId="32DD9B2B">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发包人和承包人根据《中华人民共和国建筑法》和《建设工程质量管理条例》，经协商一致就</w:t>
      </w:r>
      <w:r>
        <w:rPr>
          <w:rFonts w:ascii="宋体" w:hAnsi="宋体" w:cs="宋体"/>
          <w:color w:val="auto"/>
          <w:szCs w:val="21"/>
          <w:u w:val="single"/>
        </w:rPr>
        <w:t xml:space="preserve">  </w:t>
      </w:r>
      <w:r>
        <w:rPr>
          <w:rFonts w:hint="eastAsia" w:hAnsi="宋体"/>
          <w:color w:val="auto"/>
          <w:sz w:val="22"/>
          <w:u w:val="single"/>
          <w:lang w:val="en-US" w:eastAsia="zh-CN"/>
        </w:rPr>
        <w:t>**************</w:t>
      </w:r>
      <w:r>
        <w:rPr>
          <w:rFonts w:ascii="宋体" w:hAnsi="宋体" w:cs="宋体"/>
          <w:color w:val="auto"/>
          <w:szCs w:val="21"/>
          <w:u w:val="single"/>
        </w:rPr>
        <w:t xml:space="preserve">  </w:t>
      </w:r>
      <w:r>
        <w:rPr>
          <w:rFonts w:hint="eastAsia" w:ascii="宋体" w:hAnsi="宋体" w:cs="宋体"/>
          <w:color w:val="auto"/>
          <w:szCs w:val="21"/>
        </w:rPr>
        <w:t>（工程全称）签订工程质量保修书。</w:t>
      </w:r>
    </w:p>
    <w:p w14:paraId="0892F182">
      <w:pPr>
        <w:pStyle w:val="3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一、工程质量保修范围和内容</w:t>
      </w:r>
    </w:p>
    <w:p w14:paraId="404B714E">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承包人在质量保修期内，按照有关法律规定和合同约定，承担工程质量保修责任。</w:t>
      </w:r>
    </w:p>
    <w:p w14:paraId="45B9A540">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质量保修范围包括</w:t>
      </w:r>
      <w:r>
        <w:rPr>
          <w:rFonts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hAnsi="宋体"/>
          <w:bCs/>
          <w:color w:val="auto"/>
          <w:sz w:val="22"/>
          <w:u w:val="single"/>
          <w:lang w:val="en-US" w:eastAsia="zh-CN"/>
        </w:rPr>
        <w:t>，</w:t>
      </w:r>
      <w:r>
        <w:rPr>
          <w:rFonts w:hint="eastAsia" w:ascii="宋体" w:hAnsi="宋体" w:cs="宋体"/>
          <w:color w:val="auto"/>
          <w:szCs w:val="21"/>
          <w:u w:val="single"/>
          <w:lang w:eastAsia="zh-CN"/>
        </w:rPr>
        <w:t>详见施工</w:t>
      </w:r>
      <w:r>
        <w:rPr>
          <w:rFonts w:hint="eastAsia" w:ascii="宋体" w:hAnsi="宋体" w:cs="宋体"/>
          <w:color w:val="auto"/>
          <w:szCs w:val="21"/>
          <w:u w:val="single"/>
        </w:rPr>
        <w:t>图纸及工程量清单</w:t>
      </w:r>
      <w:r>
        <w:rPr>
          <w:rFonts w:hAnsi="宋体"/>
          <w:color w:val="auto"/>
          <w:sz w:val="22"/>
        </w:rPr>
        <w:t>。</w:t>
      </w:r>
      <w:r>
        <w:rPr>
          <w:rFonts w:hint="eastAsia" w:ascii="宋体" w:hAnsi="宋体" w:cs="宋体"/>
          <w:color w:val="auto"/>
          <w:szCs w:val="21"/>
        </w:rPr>
        <w:t>以及双方约定的其他项目。具体保修的内容，双方约定如下：</w:t>
      </w:r>
    </w:p>
    <w:p w14:paraId="2559AC76">
      <w:pPr>
        <w:pStyle w:val="38"/>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49CF896F">
      <w:pPr>
        <w:pStyle w:val="3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二、质量保修期</w:t>
      </w:r>
    </w:p>
    <w:p w14:paraId="7D5A21BA">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根据《建设工程质量管理条例》及有关规定，工程的质量保修期如下：</w:t>
      </w:r>
    </w:p>
    <w:p w14:paraId="407945BE">
      <w:pPr>
        <w:pStyle w:val="38"/>
        <w:spacing w:line="360" w:lineRule="auto"/>
        <w:ind w:firstLine="420" w:firstLineChars="200"/>
        <w:rPr>
          <w:rFonts w:ascii="Times New Roman" w:hAnsi="Times New Roman"/>
          <w:color w:val="auto"/>
          <w:szCs w:val="21"/>
        </w:rPr>
      </w:pPr>
      <w:r>
        <w:rPr>
          <w:rFonts w:ascii="宋体" w:hAnsi="宋体" w:cs="宋体"/>
          <w:color w:val="auto"/>
          <w:szCs w:val="21"/>
        </w:rPr>
        <w:t>1</w:t>
      </w:r>
      <w:r>
        <w:rPr>
          <w:rFonts w:hint="eastAsia" w:ascii="宋体" w:hAnsi="宋体" w:cs="宋体"/>
          <w:color w:val="auto"/>
          <w:szCs w:val="21"/>
        </w:rPr>
        <w:t>．</w:t>
      </w:r>
      <w:r>
        <w:rPr>
          <w:rFonts w:hint="eastAsia" w:ascii="Times New Roman" w:hAnsi="Times New Roman" w:cs="宋体"/>
          <w:color w:val="auto"/>
          <w:szCs w:val="21"/>
        </w:rPr>
        <w:t>桥梁工程为</w:t>
      </w:r>
      <w:r>
        <w:rPr>
          <w:rFonts w:ascii="Times New Roman" w:hAnsi="Times New Roman"/>
          <w:color w:val="auto"/>
          <w:szCs w:val="21"/>
          <w:u w:val="single"/>
        </w:rPr>
        <w:t xml:space="preserve">     </w:t>
      </w:r>
      <w:r>
        <w:rPr>
          <w:rFonts w:hint="eastAsia" w:ascii="Times New Roman" w:hAnsi="Times New Roman" w:cs="宋体"/>
          <w:color w:val="auto"/>
          <w:szCs w:val="21"/>
        </w:rPr>
        <w:t>年（建议桥梁隧道主体结构工程为设计文件规定的合理使用年限）；</w:t>
      </w:r>
    </w:p>
    <w:p w14:paraId="25F1C809">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2</w:t>
      </w:r>
      <w:r>
        <w:rPr>
          <w:rFonts w:hint="eastAsia" w:ascii="宋体" w:hAnsi="宋体" w:cs="宋体"/>
          <w:color w:val="auto"/>
          <w:szCs w:val="21"/>
        </w:rPr>
        <w:t>．</w:t>
      </w:r>
      <w:r>
        <w:rPr>
          <w:rFonts w:hint="eastAsia" w:ascii="Times New Roman" w:hAnsi="Times New Roman" w:cs="宋体"/>
          <w:color w:val="auto"/>
          <w:szCs w:val="21"/>
        </w:rPr>
        <w:t>道路工程为</w:t>
      </w:r>
      <w:r>
        <w:rPr>
          <w:rFonts w:ascii="Times New Roman" w:hAnsi="Times New Roman"/>
          <w:color w:val="auto"/>
          <w:szCs w:val="21"/>
          <w:u w:val="single"/>
        </w:rPr>
        <w:t xml:space="preserve">     </w:t>
      </w:r>
      <w:r>
        <w:rPr>
          <w:rFonts w:hint="eastAsia" w:ascii="Times New Roman" w:hAnsi="Times New Roman" w:cs="宋体"/>
          <w:color w:val="auto"/>
          <w:szCs w:val="21"/>
        </w:rPr>
        <w:t>年（建议路基、路面、桥面为</w:t>
      </w:r>
      <w:r>
        <w:rPr>
          <w:rFonts w:ascii="Times New Roman" w:hAnsi="Times New Roman"/>
          <w:color w:val="auto"/>
          <w:szCs w:val="21"/>
        </w:rPr>
        <w:t>2</w:t>
      </w:r>
      <w:r>
        <w:rPr>
          <w:rFonts w:hint="eastAsia" w:ascii="Times New Roman" w:hAnsi="Times New Roman" w:cs="宋体"/>
          <w:color w:val="auto"/>
          <w:szCs w:val="21"/>
        </w:rPr>
        <w:t>年）；</w:t>
      </w:r>
    </w:p>
    <w:p w14:paraId="74C2F03F">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3</w:t>
      </w:r>
      <w:r>
        <w:rPr>
          <w:rFonts w:hint="eastAsia" w:ascii="宋体" w:hAnsi="宋体" w:cs="宋体"/>
          <w:color w:val="auto"/>
          <w:szCs w:val="21"/>
        </w:rPr>
        <w:t>．</w:t>
      </w:r>
      <w:r>
        <w:rPr>
          <w:rFonts w:hint="eastAsia" w:ascii="Times New Roman" w:hAnsi="Times New Roman" w:cs="宋体"/>
          <w:color w:val="auto"/>
          <w:szCs w:val="21"/>
        </w:rPr>
        <w:t>排水（雨水）工程为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年（建议道路工程中的排水工程为</w:t>
      </w:r>
      <w:r>
        <w:rPr>
          <w:rFonts w:ascii="Times New Roman" w:hAnsi="Times New Roman"/>
          <w:color w:val="auto"/>
          <w:szCs w:val="21"/>
        </w:rPr>
        <w:t>3</w:t>
      </w:r>
      <w:r>
        <w:rPr>
          <w:rFonts w:hint="eastAsia" w:ascii="Times New Roman" w:hAnsi="Times New Roman" w:cs="宋体"/>
          <w:color w:val="auto"/>
          <w:szCs w:val="21"/>
        </w:rPr>
        <w:t>年）；</w:t>
      </w:r>
    </w:p>
    <w:p w14:paraId="47FD891B">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4</w:t>
      </w:r>
      <w:r>
        <w:rPr>
          <w:rFonts w:hint="eastAsia" w:ascii="宋体" w:hAnsi="宋体" w:cs="宋体"/>
          <w:color w:val="auto"/>
          <w:szCs w:val="21"/>
        </w:rPr>
        <w:t>．</w:t>
      </w:r>
      <w:r>
        <w:rPr>
          <w:rFonts w:hint="eastAsia" w:ascii="Times New Roman" w:hAnsi="Times New Roman" w:cs="宋体"/>
          <w:color w:val="auto"/>
          <w:szCs w:val="21"/>
        </w:rPr>
        <w:t>绿化工程为</w:t>
      </w:r>
      <w:r>
        <w:rPr>
          <w:rFonts w:ascii="Times New Roman" w:hAnsi="Times New Roman"/>
          <w:color w:val="auto"/>
          <w:szCs w:val="21"/>
        </w:rPr>
        <w:t xml:space="preserve"> </w:t>
      </w:r>
      <w:r>
        <w:rPr>
          <w:rFonts w:hint="eastAsia" w:ascii="Times New Roman" w:hAnsi="Times New Roman" w:cs="宋体"/>
          <w:color w:val="auto"/>
          <w:szCs w:val="21"/>
          <w:u w:val="single"/>
        </w:rPr>
        <w:t>单位工程竣工验收合格后</w:t>
      </w:r>
      <w:r>
        <w:rPr>
          <w:rFonts w:ascii="Times New Roman" w:hAnsi="Times New Roman"/>
          <w:color w:val="auto"/>
          <w:szCs w:val="21"/>
          <w:u w:val="single"/>
        </w:rPr>
        <w:t xml:space="preserve">    </w:t>
      </w:r>
      <w:r>
        <w:rPr>
          <w:rFonts w:hint="eastAsia" w:ascii="Times New Roman" w:hAnsi="Times New Roman" w:cs="宋体"/>
          <w:color w:val="auto"/>
          <w:szCs w:val="21"/>
        </w:rPr>
        <w:t>；</w:t>
      </w:r>
    </w:p>
    <w:p w14:paraId="36100A04">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Times New Roman" w:cs="宋体"/>
          <w:color w:val="auto"/>
          <w:szCs w:val="21"/>
        </w:rPr>
        <w:t>地下防水工程为</w:t>
      </w:r>
      <w:r>
        <w:rPr>
          <w:rFonts w:ascii="Times New Roman" w:hAnsi="Times New Roman"/>
          <w:color w:val="auto"/>
          <w:szCs w:val="21"/>
          <w:u w:val="single"/>
        </w:rPr>
        <w:t xml:space="preserve">     </w:t>
      </w:r>
      <w:r>
        <w:rPr>
          <w:rFonts w:hint="eastAsia" w:ascii="Times New Roman" w:hAnsi="Times New Roman" w:cs="宋体"/>
          <w:color w:val="auto"/>
          <w:szCs w:val="21"/>
        </w:rPr>
        <w:t>年（建议为</w:t>
      </w:r>
      <w:r>
        <w:rPr>
          <w:rFonts w:ascii="Times New Roman" w:hAnsi="Times New Roman"/>
          <w:color w:val="auto"/>
          <w:szCs w:val="21"/>
        </w:rPr>
        <w:t>5</w:t>
      </w:r>
      <w:r>
        <w:rPr>
          <w:rFonts w:hint="eastAsia" w:ascii="Times New Roman" w:hAnsi="Times New Roman" w:cs="宋体"/>
          <w:color w:val="auto"/>
          <w:szCs w:val="21"/>
        </w:rPr>
        <w:t>年）；</w:t>
      </w:r>
    </w:p>
    <w:p w14:paraId="2D1BB2E6">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6</w:t>
      </w:r>
      <w:r>
        <w:rPr>
          <w:rFonts w:hint="eastAsia" w:ascii="宋体" w:hAnsi="宋体" w:cs="宋体"/>
          <w:color w:val="auto"/>
          <w:szCs w:val="21"/>
        </w:rPr>
        <w:t>．</w:t>
      </w:r>
      <w:r>
        <w:rPr>
          <w:rFonts w:hint="eastAsia" w:ascii="Times New Roman" w:hAnsi="Times New Roman" w:cs="宋体"/>
          <w:color w:val="auto"/>
          <w:szCs w:val="21"/>
        </w:rPr>
        <w:t>其他附属工程为</w:t>
      </w:r>
      <w:r>
        <w:rPr>
          <w:rFonts w:ascii="Times New Roman" w:hAnsi="Times New Roman"/>
          <w:color w:val="auto"/>
          <w:szCs w:val="21"/>
          <w:u w:val="single"/>
        </w:rPr>
        <w:t xml:space="preserve">  </w:t>
      </w:r>
      <w:r>
        <w:rPr>
          <w:rFonts w:hint="eastAsia" w:ascii="Times New Roman" w:hAnsi="Times New Roman"/>
          <w:color w:val="auto"/>
          <w:szCs w:val="21"/>
          <w:u w:val="single"/>
          <w:lang w:val="en-US" w:eastAsia="zh-CN"/>
        </w:rPr>
        <w:t>2</w:t>
      </w:r>
      <w:r>
        <w:rPr>
          <w:rFonts w:ascii="Times New Roman" w:hAnsi="Times New Roman"/>
          <w:color w:val="auto"/>
          <w:szCs w:val="21"/>
          <w:u w:val="single"/>
        </w:rPr>
        <w:t xml:space="preserve">    </w:t>
      </w:r>
      <w:r>
        <w:rPr>
          <w:rFonts w:hint="eastAsia" w:ascii="Times New Roman" w:hAnsi="Times New Roman" w:cs="宋体"/>
          <w:color w:val="auto"/>
          <w:szCs w:val="21"/>
        </w:rPr>
        <w:t>年</w:t>
      </w:r>
      <w:r>
        <w:rPr>
          <w:rFonts w:hint="eastAsia" w:ascii="Times New Roman" w:hAnsi="Times New Roman" w:cs="宋体"/>
          <w:color w:val="auto"/>
          <w:szCs w:val="21"/>
          <w:lang w:eastAsia="zh-CN"/>
        </w:rPr>
        <w:t>（</w:t>
      </w:r>
      <w:r>
        <w:rPr>
          <w:rFonts w:hint="eastAsia" w:hAnsi="宋体"/>
          <w:bCs/>
          <w:color w:val="auto"/>
          <w:sz w:val="22"/>
          <w:u w:val="single"/>
          <w:lang w:val="en-US" w:eastAsia="zh-CN"/>
        </w:rPr>
        <w:t>运动场翻新改造工程</w:t>
      </w:r>
      <w:r>
        <w:rPr>
          <w:rFonts w:hint="eastAsia" w:ascii="Times New Roman" w:hAnsi="Times New Roman" w:cs="宋体"/>
          <w:color w:val="auto"/>
          <w:szCs w:val="21"/>
          <w:lang w:eastAsia="zh-CN"/>
        </w:rPr>
        <w:t>）</w:t>
      </w:r>
      <w:r>
        <w:rPr>
          <w:rFonts w:hint="eastAsia" w:ascii="Times New Roman" w:hAnsi="Times New Roman" w:cs="宋体"/>
          <w:color w:val="auto"/>
          <w:szCs w:val="21"/>
        </w:rPr>
        <w:t>；</w:t>
      </w:r>
    </w:p>
    <w:p w14:paraId="6AB99547">
      <w:pPr>
        <w:pStyle w:val="38"/>
        <w:spacing w:line="360" w:lineRule="auto"/>
        <w:ind w:firstLine="420" w:firstLineChars="200"/>
        <w:rPr>
          <w:rFonts w:ascii="宋体" w:hAnsi="Times New Roman"/>
          <w:color w:val="auto"/>
          <w:szCs w:val="21"/>
        </w:rPr>
      </w:pPr>
      <w:r>
        <w:rPr>
          <w:rFonts w:ascii="宋体" w:hAnsi="宋体" w:cs="宋体"/>
          <w:color w:val="auto"/>
          <w:szCs w:val="21"/>
        </w:rPr>
        <w:t>7</w:t>
      </w:r>
      <w:r>
        <w:rPr>
          <w:rFonts w:hint="eastAsia" w:ascii="宋体" w:hAnsi="宋体" w:cs="宋体"/>
          <w:color w:val="auto"/>
          <w:szCs w:val="21"/>
        </w:rPr>
        <w:t>．其他项目保修期限约定如下：</w:t>
      </w:r>
    </w:p>
    <w:p w14:paraId="38EA9BF1">
      <w:pPr>
        <w:pStyle w:val="38"/>
        <w:spacing w:line="360" w:lineRule="auto"/>
        <w:ind w:firstLine="420" w:firstLineChars="200"/>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56A465F5">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质量保修期自工程竣工验收合格之日起计算。</w:t>
      </w:r>
    </w:p>
    <w:p w14:paraId="1319AF76">
      <w:pPr>
        <w:pStyle w:val="3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三、缺陷责任期</w:t>
      </w:r>
    </w:p>
    <w:p w14:paraId="5A4D84D9">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工程缺陷责任期为</w:t>
      </w:r>
      <w:r>
        <w:rPr>
          <w:rFonts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ascii="宋体" w:hAnsi="宋体" w:cs="宋体"/>
          <w:color w:val="auto"/>
          <w:szCs w:val="21"/>
          <w:u w:val="single"/>
        </w:rPr>
        <w:t xml:space="preserve"> </w:t>
      </w:r>
      <w:r>
        <w:rPr>
          <w:rFonts w:hint="eastAsia" w:ascii="宋体" w:hAnsi="宋体" w:cs="宋体"/>
          <w:color w:val="auto"/>
          <w:szCs w:val="21"/>
        </w:rPr>
        <w:t>个月</w:t>
      </w:r>
      <w:r>
        <w:rPr>
          <w:rFonts w:hint="eastAsia" w:ascii="Times New Roman" w:hAnsi="宋体" w:cs="宋体"/>
          <w:color w:val="auto"/>
          <w:szCs w:val="21"/>
        </w:rPr>
        <w:t>（最长不超过</w:t>
      </w:r>
      <w:r>
        <w:rPr>
          <w:rFonts w:ascii="Times New Roman" w:hAnsi="宋体"/>
          <w:color w:val="auto"/>
          <w:szCs w:val="21"/>
        </w:rPr>
        <w:t>24</w:t>
      </w:r>
      <w:r>
        <w:rPr>
          <w:rFonts w:hint="eastAsia" w:ascii="Times New Roman" w:hAnsi="宋体" w:cs="宋体"/>
          <w:color w:val="auto"/>
          <w:szCs w:val="21"/>
        </w:rPr>
        <w:t>个月）</w:t>
      </w:r>
      <w:r>
        <w:rPr>
          <w:rFonts w:hint="eastAsia" w:ascii="宋体" w:hAnsi="宋体" w:cs="宋体"/>
          <w:color w:val="auto"/>
          <w:szCs w:val="21"/>
        </w:rPr>
        <w:t>，缺陷责任期自工程竣工验收合格之日起计算。单位工程先于全部工程进行验收，单位工程缺陷责任期自单位工程验收合格之日起算。</w:t>
      </w:r>
    </w:p>
    <w:p w14:paraId="3EED0A43">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缺陷责任期</w:t>
      </w:r>
      <w:r>
        <w:rPr>
          <w:rFonts w:hint="eastAsia" w:ascii="Times New Roman" w:hAnsi="宋体" w:cs="宋体"/>
          <w:color w:val="auto"/>
          <w:szCs w:val="21"/>
          <w:u w:val="single"/>
        </w:rPr>
        <w:t>满</w:t>
      </w:r>
      <w:r>
        <w:rPr>
          <w:rFonts w:hint="eastAsia" w:ascii="仿宋_GB2312" w:hAnsi="宋体"/>
          <w:color w:val="auto"/>
          <w:szCs w:val="21"/>
        </w:rPr>
        <w:t>之日起</w:t>
      </w:r>
      <w:r>
        <w:rPr>
          <w:rFonts w:hint="eastAsia" w:ascii="仿宋_GB2312" w:hAnsi="宋体"/>
          <w:color w:val="auto"/>
          <w:szCs w:val="21"/>
          <w:u w:val="single"/>
        </w:rPr>
        <w:t xml:space="preserve"> </w:t>
      </w:r>
      <w:r>
        <w:rPr>
          <w:rFonts w:ascii="仿宋_GB2312" w:hAnsi="宋体"/>
          <w:color w:val="auto"/>
          <w:szCs w:val="21"/>
          <w:u w:val="single"/>
        </w:rPr>
        <w:t xml:space="preserve">  </w:t>
      </w:r>
      <w:r>
        <w:rPr>
          <w:rFonts w:hint="eastAsia" w:ascii="仿宋_GB2312" w:hAnsi="宋体"/>
          <w:color w:val="auto"/>
          <w:szCs w:val="21"/>
          <w:u w:val="single"/>
        </w:rPr>
        <w:t xml:space="preserve"> </w:t>
      </w:r>
      <w:r>
        <w:rPr>
          <w:rFonts w:hint="eastAsia" w:ascii="仿宋_GB2312" w:hAnsi="宋体"/>
          <w:color w:val="auto"/>
          <w:szCs w:val="21"/>
        </w:rPr>
        <w:t>天</w:t>
      </w:r>
      <w:r>
        <w:rPr>
          <w:rFonts w:hint="eastAsia" w:ascii="Times New Roman" w:hAnsi="宋体" w:cs="宋体"/>
          <w:color w:val="auto"/>
          <w:szCs w:val="21"/>
          <w:u w:val="single"/>
        </w:rPr>
        <w:t>（按</w:t>
      </w:r>
      <w:r>
        <w:rPr>
          <w:rFonts w:ascii="Times New Roman" w:hAnsi="宋体" w:cs="宋体"/>
          <w:color w:val="auto"/>
          <w:szCs w:val="21"/>
          <w:u w:val="single"/>
        </w:rPr>
        <w:t>合同约定期限）</w:t>
      </w:r>
      <w:r>
        <w:rPr>
          <w:rFonts w:hint="eastAsia" w:ascii="Times New Roman" w:hAnsi="宋体" w:cs="宋体"/>
          <w:color w:val="auto"/>
          <w:szCs w:val="21"/>
          <w:u w:val="single"/>
        </w:rPr>
        <w:t>，</w:t>
      </w:r>
      <w:r>
        <w:rPr>
          <w:rFonts w:hint="eastAsia" w:ascii="宋体" w:hAnsi="宋体" w:cs="宋体"/>
          <w:color w:val="auto"/>
          <w:szCs w:val="21"/>
        </w:rPr>
        <w:t>发包人应退还剩余的质量保证金。</w:t>
      </w:r>
    </w:p>
    <w:p w14:paraId="5AD8B386">
      <w:pPr>
        <w:pStyle w:val="3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四、质量保修责任</w:t>
      </w:r>
    </w:p>
    <w:p w14:paraId="02877DC8">
      <w:pPr>
        <w:pStyle w:val="38"/>
        <w:spacing w:line="360" w:lineRule="auto"/>
        <w:ind w:firstLine="420" w:firstLineChars="200"/>
        <w:rPr>
          <w:rFonts w:ascii="宋体" w:hAnsi="Times New Roman"/>
          <w:color w:val="auto"/>
          <w:szCs w:val="21"/>
        </w:rPr>
      </w:pPr>
      <w:r>
        <w:rPr>
          <w:rFonts w:ascii="宋体" w:hAnsi="宋体" w:cs="宋体"/>
          <w:color w:val="auto"/>
          <w:szCs w:val="21"/>
        </w:rPr>
        <w:t>1</w:t>
      </w:r>
      <w:r>
        <w:rPr>
          <w:rFonts w:hint="eastAsia" w:ascii="宋体" w:hAnsi="宋体" w:cs="宋体"/>
          <w:color w:val="auto"/>
          <w:szCs w:val="21"/>
        </w:rPr>
        <w:t>．属于保修范围、内容的项目，承包人应当在接到保修通知之日起</w:t>
      </w:r>
      <w:r>
        <w:rPr>
          <w:rFonts w:ascii="宋体" w:hAnsi="宋体" w:cs="宋体"/>
          <w:color w:val="auto"/>
          <w:szCs w:val="21"/>
          <w:u w:val="single"/>
        </w:rPr>
        <w:t xml:space="preserve">      </w:t>
      </w:r>
      <w:r>
        <w:rPr>
          <w:rFonts w:hint="eastAsia" w:ascii="宋体" w:hAnsi="宋体" w:cs="宋体"/>
          <w:color w:val="auto"/>
          <w:szCs w:val="21"/>
        </w:rPr>
        <w:t>天内派人保修。承包人不在约定期限内派人保修的，发包人可以委托他人修理</w:t>
      </w:r>
      <w:r>
        <w:rPr>
          <w:rFonts w:hint="eastAsia" w:ascii="Times New Roman" w:hAnsi="宋体" w:cs="宋体"/>
          <w:color w:val="auto"/>
          <w:szCs w:val="21"/>
        </w:rPr>
        <w:t>，修理费用从质量保证金内扣除。</w:t>
      </w:r>
    </w:p>
    <w:p w14:paraId="4F8C4A17">
      <w:pPr>
        <w:pStyle w:val="38"/>
        <w:spacing w:line="360" w:lineRule="auto"/>
        <w:ind w:firstLine="420" w:firstLineChars="200"/>
        <w:rPr>
          <w:rFonts w:ascii="宋体" w:hAnsi="Times New Roman"/>
          <w:color w:val="auto"/>
          <w:szCs w:val="21"/>
        </w:rPr>
      </w:pPr>
      <w:r>
        <w:rPr>
          <w:rFonts w:ascii="宋体" w:hAnsi="宋体" w:cs="宋体"/>
          <w:color w:val="auto"/>
          <w:szCs w:val="21"/>
        </w:rPr>
        <w:t>2</w:t>
      </w:r>
      <w:r>
        <w:rPr>
          <w:rFonts w:hint="eastAsia" w:ascii="宋体" w:hAnsi="宋体" w:cs="宋体"/>
          <w:color w:val="auto"/>
          <w:szCs w:val="21"/>
        </w:rPr>
        <w:t>．发生紧急事故需抢修的，承包人在接到事故通知后，应当立即到达事故现场抢修。</w:t>
      </w:r>
    </w:p>
    <w:p w14:paraId="4315BC2D">
      <w:pPr>
        <w:pStyle w:val="38"/>
        <w:spacing w:line="360" w:lineRule="auto"/>
        <w:ind w:firstLine="420" w:firstLineChars="200"/>
        <w:rPr>
          <w:rFonts w:ascii="宋体" w:hAnsi="Times New Roman"/>
          <w:color w:val="auto"/>
          <w:szCs w:val="21"/>
        </w:rPr>
      </w:pPr>
      <w:r>
        <w:rPr>
          <w:rFonts w:ascii="宋体" w:hAnsi="宋体" w:cs="宋体"/>
          <w:color w:val="auto"/>
          <w:szCs w:val="21"/>
        </w:rPr>
        <w:t>3</w:t>
      </w:r>
      <w:r>
        <w:rPr>
          <w:rFonts w:hint="eastAsia" w:ascii="宋体" w:hAnsi="宋体" w:cs="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196FB38">
      <w:pPr>
        <w:pStyle w:val="38"/>
        <w:spacing w:line="360" w:lineRule="auto"/>
        <w:ind w:firstLine="420" w:firstLineChars="200"/>
        <w:rPr>
          <w:rFonts w:ascii="宋体" w:hAnsi="Times New Roman"/>
          <w:color w:val="auto"/>
          <w:szCs w:val="21"/>
        </w:rPr>
      </w:pPr>
      <w:r>
        <w:rPr>
          <w:rFonts w:ascii="宋体" w:hAnsi="宋体" w:cs="宋体"/>
          <w:color w:val="auto"/>
          <w:szCs w:val="21"/>
        </w:rPr>
        <w:t>4</w:t>
      </w:r>
      <w:r>
        <w:rPr>
          <w:rFonts w:hint="eastAsia" w:ascii="宋体" w:hAnsi="宋体" w:cs="宋体"/>
          <w:color w:val="auto"/>
          <w:szCs w:val="21"/>
        </w:rPr>
        <w:t>．质量保修完成后，由发包人组织验收。</w:t>
      </w:r>
    </w:p>
    <w:p w14:paraId="241C2E92">
      <w:pPr>
        <w:pStyle w:val="38"/>
        <w:spacing w:line="360" w:lineRule="auto"/>
        <w:ind w:firstLine="420" w:firstLineChars="200"/>
        <w:rPr>
          <w:rFonts w:ascii="黑体" w:hAnsi="宋体" w:eastAsia="黑体"/>
          <w:color w:val="auto"/>
          <w:szCs w:val="21"/>
        </w:rPr>
      </w:pPr>
      <w:r>
        <w:rPr>
          <w:rFonts w:hint="eastAsia" w:ascii="黑体" w:hAnsi="宋体" w:eastAsia="黑体" w:cs="黑体"/>
          <w:color w:val="auto"/>
          <w:szCs w:val="21"/>
        </w:rPr>
        <w:t>五、保修费用</w:t>
      </w:r>
    </w:p>
    <w:p w14:paraId="380635AD">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保修费用由造成质量缺陷的责任方承担。</w:t>
      </w:r>
    </w:p>
    <w:p w14:paraId="41B23AA8">
      <w:pPr>
        <w:pStyle w:val="38"/>
        <w:spacing w:line="360" w:lineRule="auto"/>
        <w:ind w:firstLine="420" w:firstLineChars="200"/>
        <w:rPr>
          <w:rFonts w:ascii="黑体" w:hAnsi="宋体" w:eastAsia="黑体" w:cs="黑体"/>
          <w:color w:val="auto"/>
          <w:szCs w:val="21"/>
          <w:u w:val="single"/>
        </w:rPr>
      </w:pPr>
      <w:r>
        <w:rPr>
          <w:rFonts w:hint="eastAsia" w:ascii="黑体" w:hAnsi="宋体" w:eastAsia="黑体" w:cs="黑体"/>
          <w:color w:val="auto"/>
          <w:szCs w:val="21"/>
        </w:rPr>
        <w:t>六、双方约定的其他工程质量保修事项：</w:t>
      </w:r>
      <w:r>
        <w:rPr>
          <w:rFonts w:ascii="黑体" w:hAnsi="宋体" w:eastAsia="黑体" w:cs="黑体"/>
          <w:color w:val="auto"/>
          <w:szCs w:val="21"/>
          <w:u w:val="single"/>
        </w:rPr>
        <w:t xml:space="preserve">                                          </w:t>
      </w:r>
    </w:p>
    <w:p w14:paraId="03D6C7BB">
      <w:pPr>
        <w:pStyle w:val="38"/>
        <w:spacing w:line="360" w:lineRule="auto"/>
        <w:ind w:firstLine="420" w:firstLineChars="200"/>
        <w:jc w:val="left"/>
        <w:rPr>
          <w:rFonts w:ascii="宋体" w:hAnsi="Times New Roman"/>
          <w:color w:val="auto"/>
          <w:szCs w:val="21"/>
        </w:rPr>
      </w:pPr>
      <w:r>
        <w:rPr>
          <w:rFonts w:ascii="宋体" w:hAnsi="宋体" w:cs="宋体"/>
          <w:color w:val="auto"/>
          <w:szCs w:val="21"/>
          <w:u w:val="single"/>
        </w:rPr>
        <w:t xml:space="preserve">                                                                               </w:t>
      </w:r>
      <w:r>
        <w:rPr>
          <w:rFonts w:hint="eastAsia" w:ascii="宋体" w:hAnsi="宋体" w:cs="宋体"/>
          <w:color w:val="auto"/>
          <w:szCs w:val="21"/>
        </w:rPr>
        <w:t>。</w:t>
      </w:r>
    </w:p>
    <w:p w14:paraId="10107183">
      <w:pPr>
        <w:pStyle w:val="38"/>
        <w:spacing w:line="360" w:lineRule="auto"/>
        <w:ind w:firstLine="420" w:firstLineChars="200"/>
        <w:rPr>
          <w:rFonts w:ascii="宋体" w:hAnsi="Times New Roman"/>
          <w:color w:val="auto"/>
          <w:szCs w:val="21"/>
        </w:rPr>
      </w:pPr>
      <w:r>
        <w:rPr>
          <w:rFonts w:hint="eastAsia" w:ascii="宋体" w:hAnsi="宋体" w:cs="宋体"/>
          <w:color w:val="auto"/>
          <w:szCs w:val="21"/>
        </w:rPr>
        <w:t>工程质量保修书由发包人、承包人在工程竣工验收前共同</w:t>
      </w:r>
      <w:bookmarkStart w:id="1182" w:name="OLE_LINK35"/>
      <w:r>
        <w:rPr>
          <w:rFonts w:hint="eastAsia" w:ascii="宋体" w:hAnsi="宋体" w:cs="宋体"/>
          <w:color w:val="auto"/>
          <w:szCs w:val="21"/>
        </w:rPr>
        <w:t>签署</w:t>
      </w:r>
      <w:bookmarkEnd w:id="1182"/>
      <w:r>
        <w:rPr>
          <w:rFonts w:hint="eastAsia" w:ascii="宋体" w:hAnsi="宋体" w:cs="宋体"/>
          <w:color w:val="auto"/>
          <w:szCs w:val="21"/>
        </w:rPr>
        <w:t>，作为施工合同附件，其有效期限至保修期满。</w:t>
      </w:r>
    </w:p>
    <w:p w14:paraId="5C47751F">
      <w:pPr>
        <w:pStyle w:val="38"/>
        <w:spacing w:line="360" w:lineRule="auto"/>
        <w:ind w:firstLine="420"/>
        <w:rPr>
          <w:rFonts w:ascii="宋体" w:hAnsi="Times New Roman"/>
          <w:color w:val="auto"/>
          <w:szCs w:val="21"/>
        </w:rPr>
      </w:pPr>
    </w:p>
    <w:p w14:paraId="57AFFFC3">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发包人（公章）：</w:t>
      </w:r>
      <w:r>
        <w:rPr>
          <w:rStyle w:val="25"/>
          <w:rFonts w:hint="eastAsia" w:ascii="宋体" w:hAnsi="宋体" w:eastAsia="宋体" w:cs="宋体"/>
          <w:color w:val="auto"/>
          <w:highlight w:val="none"/>
          <w:u w:val="single"/>
        </w:rPr>
        <w:t xml:space="preserve">         </w:t>
      </w:r>
      <w:r>
        <w:rPr>
          <w:rStyle w:val="25"/>
          <w:rFonts w:hint="eastAsia" w:ascii="宋体" w:hAnsi="宋体" w:eastAsia="宋体" w:cs="宋体"/>
          <w:color w:val="auto"/>
          <w:highlight w:val="none"/>
        </w:rPr>
        <w:t xml:space="preserve">             承包人（公章）：</w:t>
      </w:r>
      <w:r>
        <w:rPr>
          <w:rStyle w:val="25"/>
          <w:rFonts w:hint="eastAsia" w:ascii="宋体" w:hAnsi="宋体" w:eastAsia="宋体" w:cs="宋体"/>
          <w:color w:val="auto"/>
          <w:highlight w:val="none"/>
          <w:u w:val="single"/>
        </w:rPr>
        <w:t>          </w:t>
      </w:r>
    </w:p>
    <w:p w14:paraId="287541FB">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地  址：</w:t>
      </w:r>
      <w:r>
        <w:rPr>
          <w:rStyle w:val="25"/>
          <w:rFonts w:hint="eastAsia" w:ascii="宋体" w:hAnsi="宋体" w:eastAsia="宋体" w:cs="宋体"/>
          <w:color w:val="auto"/>
          <w:highlight w:val="none"/>
          <w:u w:val="single"/>
        </w:rPr>
        <w:t xml:space="preserve">       </w:t>
      </w:r>
      <w:r>
        <w:rPr>
          <w:rStyle w:val="25"/>
          <w:rFonts w:hint="eastAsia" w:ascii="宋体" w:hAnsi="宋体" w:eastAsia="宋体" w:cs="宋体"/>
          <w:color w:val="auto"/>
          <w:highlight w:val="none"/>
        </w:rPr>
        <w:t xml:space="preserve">              地  址：</w:t>
      </w:r>
      <w:r>
        <w:rPr>
          <w:rStyle w:val="25"/>
          <w:rFonts w:hint="eastAsia" w:ascii="宋体" w:hAnsi="宋体" w:eastAsia="宋体" w:cs="宋体"/>
          <w:color w:val="auto"/>
          <w:highlight w:val="none"/>
          <w:u w:val="single"/>
        </w:rPr>
        <w:t>      </w:t>
      </w:r>
    </w:p>
    <w:p w14:paraId="44944866">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法定代表人（签字）：</w:t>
      </w:r>
      <w:r>
        <w:rPr>
          <w:rStyle w:val="25"/>
          <w:rFonts w:hint="eastAsia" w:ascii="宋体" w:hAnsi="宋体" w:eastAsia="宋体" w:cs="宋体"/>
          <w:color w:val="auto"/>
          <w:highlight w:val="none"/>
          <w:u w:val="single"/>
        </w:rPr>
        <w:t xml:space="preserve">      </w:t>
      </w:r>
      <w:r>
        <w:rPr>
          <w:rStyle w:val="25"/>
          <w:rFonts w:hint="eastAsia" w:ascii="宋体" w:hAnsi="宋体" w:eastAsia="宋体" w:cs="宋体"/>
          <w:color w:val="auto"/>
          <w:highlight w:val="none"/>
        </w:rPr>
        <w:t xml:space="preserve">              法定代表人（签字）：</w:t>
      </w:r>
      <w:r>
        <w:rPr>
          <w:rStyle w:val="25"/>
          <w:rFonts w:hint="eastAsia" w:ascii="宋体" w:hAnsi="宋体" w:eastAsia="宋体" w:cs="宋体"/>
          <w:color w:val="auto"/>
          <w:highlight w:val="none"/>
          <w:u w:val="single"/>
        </w:rPr>
        <w:t>     </w:t>
      </w:r>
    </w:p>
    <w:p w14:paraId="16E6A8C1">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委托代理人（签字）：</w:t>
      </w:r>
      <w:r>
        <w:rPr>
          <w:rStyle w:val="25"/>
          <w:rFonts w:hint="eastAsia" w:ascii="宋体" w:hAnsi="宋体" w:eastAsia="宋体" w:cs="宋体"/>
          <w:color w:val="auto"/>
          <w:highlight w:val="none"/>
          <w:u w:val="single"/>
        </w:rPr>
        <w:t xml:space="preserve">      </w:t>
      </w:r>
      <w:r>
        <w:rPr>
          <w:rStyle w:val="25"/>
          <w:rFonts w:hint="eastAsia" w:ascii="宋体" w:hAnsi="宋体" w:eastAsia="宋体" w:cs="宋体"/>
          <w:color w:val="auto"/>
          <w:highlight w:val="none"/>
        </w:rPr>
        <w:t xml:space="preserve">              委托代理人（签字）：</w:t>
      </w:r>
      <w:r>
        <w:rPr>
          <w:rStyle w:val="25"/>
          <w:rFonts w:hint="eastAsia" w:ascii="宋体" w:hAnsi="宋体" w:eastAsia="宋体" w:cs="宋体"/>
          <w:color w:val="auto"/>
          <w:highlight w:val="none"/>
          <w:u w:val="single"/>
        </w:rPr>
        <w:t>     </w:t>
      </w:r>
    </w:p>
    <w:p w14:paraId="2D25DE89">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电  话：</w:t>
      </w:r>
      <w:r>
        <w:rPr>
          <w:rStyle w:val="25"/>
          <w:rFonts w:hint="eastAsia" w:ascii="宋体" w:hAnsi="宋体" w:eastAsia="宋体" w:cs="宋体"/>
          <w:color w:val="auto"/>
          <w:highlight w:val="none"/>
          <w:u w:val="single"/>
        </w:rPr>
        <w:t xml:space="preserve">     </w:t>
      </w:r>
      <w:r>
        <w:rPr>
          <w:rStyle w:val="25"/>
          <w:rFonts w:hint="eastAsia" w:ascii="宋体" w:hAnsi="宋体" w:eastAsia="宋体" w:cs="宋体"/>
          <w:color w:val="auto"/>
          <w:highlight w:val="none"/>
        </w:rPr>
        <w:t xml:space="preserve">              电  话：</w:t>
      </w:r>
      <w:r>
        <w:rPr>
          <w:rStyle w:val="25"/>
          <w:rFonts w:hint="eastAsia" w:ascii="宋体" w:hAnsi="宋体" w:eastAsia="宋体" w:cs="宋体"/>
          <w:color w:val="auto"/>
          <w:highlight w:val="none"/>
          <w:u w:val="single"/>
        </w:rPr>
        <w:t>      </w:t>
      </w:r>
    </w:p>
    <w:p w14:paraId="4248224D">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传  真：</w:t>
      </w:r>
      <w:r>
        <w:rPr>
          <w:rStyle w:val="25"/>
          <w:rFonts w:hint="eastAsia" w:ascii="宋体" w:hAnsi="宋体" w:eastAsia="宋体" w:cs="宋体"/>
          <w:color w:val="auto"/>
          <w:highlight w:val="none"/>
          <w:u w:val="single"/>
        </w:rPr>
        <w:t xml:space="preserve">     </w:t>
      </w:r>
      <w:r>
        <w:rPr>
          <w:rStyle w:val="25"/>
          <w:rFonts w:hint="eastAsia" w:ascii="宋体" w:hAnsi="宋体" w:eastAsia="宋体" w:cs="宋体"/>
          <w:color w:val="auto"/>
          <w:highlight w:val="none"/>
        </w:rPr>
        <w:t xml:space="preserve">              传  真：</w:t>
      </w:r>
      <w:r>
        <w:rPr>
          <w:rStyle w:val="25"/>
          <w:rFonts w:hint="eastAsia" w:ascii="宋体" w:hAnsi="宋体" w:eastAsia="宋体" w:cs="宋体"/>
          <w:color w:val="auto"/>
          <w:highlight w:val="none"/>
          <w:u w:val="single"/>
        </w:rPr>
        <w:t>    </w:t>
      </w:r>
    </w:p>
    <w:p w14:paraId="77394CF0">
      <w:pPr>
        <w:pStyle w:val="38"/>
        <w:spacing w:line="360" w:lineRule="auto"/>
        <w:ind w:firstLine="420" w:firstLineChars="20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开户银行：</w:t>
      </w:r>
      <w:r>
        <w:rPr>
          <w:rStyle w:val="25"/>
          <w:rFonts w:hint="eastAsia" w:ascii="宋体" w:hAnsi="宋体" w:eastAsia="宋体" w:cs="宋体"/>
          <w:color w:val="auto"/>
          <w:highlight w:val="none"/>
          <w:u w:val="single"/>
        </w:rPr>
        <w:t xml:space="preserve">     </w:t>
      </w:r>
      <w:r>
        <w:rPr>
          <w:rStyle w:val="25"/>
          <w:rFonts w:hint="eastAsia" w:ascii="宋体" w:hAnsi="宋体" w:eastAsia="宋体" w:cs="宋体"/>
          <w:color w:val="auto"/>
          <w:highlight w:val="none"/>
        </w:rPr>
        <w:t xml:space="preserve">              开户银行：</w:t>
      </w:r>
      <w:r>
        <w:rPr>
          <w:rStyle w:val="25"/>
          <w:rFonts w:hint="eastAsia" w:ascii="宋体" w:hAnsi="宋体" w:eastAsia="宋体" w:cs="宋体"/>
          <w:color w:val="auto"/>
          <w:highlight w:val="none"/>
          <w:u w:val="single"/>
        </w:rPr>
        <w:t>  </w:t>
      </w:r>
    </w:p>
    <w:p w14:paraId="0BFC12AE">
      <w:pPr>
        <w:pStyle w:val="38"/>
        <w:tabs>
          <w:tab w:val="left" w:pos="2880"/>
          <w:tab w:val="left" w:pos="3060"/>
          <w:tab w:val="left" w:pos="4500"/>
        </w:tabs>
        <w:spacing w:line="360" w:lineRule="auto"/>
        <w:ind w:firstLine="420" w:firstLineChars="200"/>
        <w:rPr>
          <w:rStyle w:val="25"/>
          <w:rFonts w:ascii="Calibri" w:hAnsi="Calibri" w:eastAsia="宋体" w:cs="Times New Roman"/>
          <w:color w:val="auto"/>
          <w:highlight w:val="none"/>
        </w:rPr>
      </w:pPr>
      <w:r>
        <w:rPr>
          <w:rStyle w:val="25"/>
          <w:rFonts w:hint="eastAsia" w:ascii="宋体" w:hAnsi="宋体" w:eastAsia="宋体" w:cs="宋体"/>
          <w:color w:val="auto"/>
          <w:highlight w:val="none"/>
        </w:rPr>
        <w:t>账  号：</w:t>
      </w:r>
      <w:r>
        <w:rPr>
          <w:rStyle w:val="25"/>
          <w:rFonts w:hint="eastAsia" w:ascii="宋体" w:hAnsi="宋体" w:eastAsia="宋体" w:cs="宋体"/>
          <w:color w:val="auto"/>
          <w:highlight w:val="none"/>
          <w:u w:val="single"/>
        </w:rPr>
        <w:t xml:space="preserve">          </w:t>
      </w:r>
      <w:r>
        <w:rPr>
          <w:rStyle w:val="25"/>
          <w:rFonts w:hint="eastAsia" w:ascii="宋体" w:hAnsi="宋体" w:eastAsia="宋体" w:cs="宋体"/>
          <w:color w:val="auto"/>
          <w:highlight w:val="none"/>
        </w:rPr>
        <w:t xml:space="preserve">              账  号：</w:t>
      </w:r>
      <w:r>
        <w:rPr>
          <w:rStyle w:val="25"/>
          <w:rFonts w:hint="eastAsia" w:ascii="宋体" w:hAnsi="宋体" w:eastAsia="宋体" w:cs="宋体"/>
          <w:color w:val="auto"/>
          <w:highlight w:val="none"/>
          <w:u w:val="single"/>
        </w:rPr>
        <w:t></w:t>
      </w:r>
      <w:r>
        <w:rPr>
          <w:rStyle w:val="25"/>
          <w:rFonts w:ascii="宋体" w:hAnsi="宋体" w:eastAsia="宋体" w:cs="Times New Roman"/>
          <w:color w:val="auto"/>
          <w:highlight w:val="none"/>
          <w:u w:val="single"/>
        </w:rPr>
        <w:t></w:t>
      </w:r>
      <w:r>
        <w:rPr>
          <w:rStyle w:val="25"/>
          <w:rFonts w:hint="eastAsia" w:ascii="宋体" w:hAnsi="宋体" w:eastAsia="宋体" w:cs="Times New Roman"/>
          <w:color w:val="auto"/>
          <w:highlight w:val="none"/>
          <w:u w:val="single"/>
        </w:rPr>
        <w:t xml:space="preserve">    </w:t>
      </w:r>
      <w:r>
        <w:rPr>
          <w:rStyle w:val="25"/>
          <w:rFonts w:ascii="宋体" w:hAnsi="宋体" w:eastAsia="宋体" w:cs="Times New Roman"/>
          <w:color w:val="auto"/>
          <w:highlight w:val="none"/>
          <w:u w:val="single"/>
        </w:rPr>
        <w:t></w:t>
      </w:r>
    </w:p>
    <w:p w14:paraId="40E553DC">
      <w:pPr>
        <w:pStyle w:val="38"/>
        <w:tabs>
          <w:tab w:val="left" w:pos="7200"/>
          <w:tab w:val="left" w:pos="7380"/>
          <w:tab w:val="left" w:pos="7560"/>
        </w:tabs>
        <w:spacing w:line="360" w:lineRule="auto"/>
        <w:ind w:firstLine="420" w:firstLineChars="200"/>
        <w:rPr>
          <w:rStyle w:val="25"/>
          <w:rFonts w:ascii="Calibri" w:hAnsi="Calibri" w:eastAsia="宋体" w:cs="Times New Roman"/>
          <w:color w:val="auto"/>
          <w:highlight w:val="none"/>
        </w:rPr>
      </w:pPr>
      <w:r>
        <w:rPr>
          <w:rStyle w:val="25"/>
          <w:rFonts w:ascii="Calibri" w:hAnsi="宋体" w:eastAsia="宋体" w:cs="Times New Roman"/>
          <w:color w:val="auto"/>
          <w:highlight w:val="none"/>
        </w:rPr>
        <w:t>邮政编码：</w:t>
      </w:r>
      <w:r>
        <w:rPr>
          <w:rStyle w:val="25"/>
          <w:rFonts w:ascii="Calibri" w:hAnsi="Calibri" w:eastAsia="宋体" w:cs="Times New Roman"/>
          <w:color w:val="auto"/>
          <w:highlight w:val="none"/>
          <w:u w:val="single"/>
        </w:rPr>
        <w:t xml:space="preserve"> </w:t>
      </w:r>
      <w:r>
        <w:rPr>
          <w:rStyle w:val="25"/>
          <w:rFonts w:ascii="宋体" w:hAnsi="宋体" w:eastAsia="宋体" w:cs="Times New Roman"/>
          <w:color w:val="auto"/>
          <w:highlight w:val="none"/>
          <w:u w:val="single"/>
        </w:rPr>
        <w:t></w:t>
      </w:r>
      <w:r>
        <w:rPr>
          <w:rStyle w:val="25"/>
          <w:rFonts w:hint="eastAsia" w:ascii="宋体" w:hAnsi="宋体" w:eastAsia="宋体" w:cs="Times New Roman"/>
          <w:color w:val="auto"/>
          <w:highlight w:val="none"/>
          <w:u w:val="single"/>
        </w:rPr>
        <w:t xml:space="preserve">  </w:t>
      </w:r>
      <w:r>
        <w:rPr>
          <w:rStyle w:val="25"/>
          <w:rFonts w:ascii="Calibri" w:hAnsi="Calibri" w:eastAsia="宋体" w:cs="Times New Roman"/>
          <w:color w:val="auto"/>
          <w:highlight w:val="none"/>
          <w:u w:val="single"/>
        </w:rPr>
        <w:t xml:space="preserve">    </w:t>
      </w:r>
      <w:r>
        <w:rPr>
          <w:rStyle w:val="25"/>
          <w:rFonts w:ascii="Calibri" w:hAnsi="Calibri" w:eastAsia="宋体" w:cs="Times New Roman"/>
          <w:color w:val="auto"/>
          <w:highlight w:val="none"/>
        </w:rPr>
        <w:t xml:space="preserve"> </w:t>
      </w:r>
      <w:r>
        <w:rPr>
          <w:rStyle w:val="25"/>
          <w:rFonts w:hint="eastAsia" w:ascii="Calibri" w:hAnsi="Calibri" w:eastAsia="宋体" w:cs="Times New Roman"/>
          <w:color w:val="auto"/>
          <w:highlight w:val="none"/>
        </w:rPr>
        <w:t xml:space="preserve">             </w:t>
      </w:r>
      <w:r>
        <w:rPr>
          <w:rStyle w:val="25"/>
          <w:rFonts w:ascii="Calibri" w:hAnsi="宋体" w:eastAsia="宋体" w:cs="Times New Roman"/>
          <w:color w:val="auto"/>
          <w:highlight w:val="none"/>
        </w:rPr>
        <w:t>邮政编码：</w:t>
      </w:r>
      <w:r>
        <w:rPr>
          <w:rStyle w:val="25"/>
          <w:rFonts w:ascii="宋体" w:hAnsi="宋体" w:eastAsia="宋体" w:cs="Times New Roman"/>
          <w:color w:val="auto"/>
          <w:highlight w:val="none"/>
          <w:u w:val="single"/>
        </w:rPr>
        <w:t></w:t>
      </w:r>
      <w:r>
        <w:rPr>
          <w:rStyle w:val="25"/>
          <w:rFonts w:hint="eastAsia" w:ascii="宋体" w:hAnsi="宋体" w:eastAsia="宋体" w:cs="Times New Roman"/>
          <w:color w:val="auto"/>
          <w:highlight w:val="none"/>
          <w:u w:val="single"/>
        </w:rPr>
        <w:t xml:space="preserve">   </w:t>
      </w:r>
      <w:r>
        <w:rPr>
          <w:rStyle w:val="25"/>
          <w:rFonts w:ascii="宋体" w:hAnsi="宋体" w:eastAsia="宋体" w:cs="Times New Roman"/>
          <w:color w:val="auto"/>
          <w:highlight w:val="none"/>
          <w:u w:val="single"/>
        </w:rPr>
        <w:t></w:t>
      </w:r>
    </w:p>
    <w:p w14:paraId="611C342B">
      <w:pPr>
        <w:pStyle w:val="38"/>
        <w:spacing w:line="360" w:lineRule="auto"/>
        <w:rPr>
          <w:rFonts w:ascii="宋体" w:hAnsi="Times New Roman"/>
          <w:color w:val="auto"/>
          <w:szCs w:val="21"/>
        </w:rPr>
      </w:pPr>
    </w:p>
    <w:p w14:paraId="4DB23E3B">
      <w:pPr>
        <w:pStyle w:val="38"/>
        <w:spacing w:line="360" w:lineRule="auto"/>
        <w:rPr>
          <w:rFonts w:ascii="宋体" w:hAnsi="Times New Roman"/>
          <w:color w:val="auto"/>
          <w:szCs w:val="21"/>
        </w:rPr>
      </w:pPr>
    </w:p>
    <w:p w14:paraId="2638A7EC">
      <w:pPr>
        <w:pStyle w:val="38"/>
        <w:spacing w:line="360" w:lineRule="auto"/>
        <w:rPr>
          <w:rFonts w:ascii="宋体" w:hAnsi="Times New Roman"/>
          <w:color w:val="auto"/>
          <w:szCs w:val="21"/>
        </w:rPr>
      </w:pPr>
    </w:p>
    <w:p w14:paraId="23820116">
      <w:pPr>
        <w:pStyle w:val="38"/>
        <w:spacing w:line="360" w:lineRule="auto"/>
        <w:rPr>
          <w:rFonts w:ascii="宋体" w:hAnsi="Times New Roman"/>
          <w:color w:val="auto"/>
          <w:szCs w:val="21"/>
        </w:rPr>
      </w:pPr>
    </w:p>
    <w:p w14:paraId="1566BB8C">
      <w:pPr>
        <w:pStyle w:val="38"/>
        <w:spacing w:line="360" w:lineRule="auto"/>
        <w:rPr>
          <w:rFonts w:ascii="宋体" w:hAnsi="Times New Roman"/>
          <w:color w:val="auto"/>
          <w:szCs w:val="21"/>
        </w:rPr>
      </w:pPr>
    </w:p>
    <w:p w14:paraId="0E9CA755">
      <w:pPr>
        <w:pStyle w:val="38"/>
        <w:spacing w:line="360" w:lineRule="auto"/>
        <w:rPr>
          <w:rFonts w:ascii="宋体" w:hAnsi="Times New Roman"/>
          <w:color w:val="auto"/>
          <w:szCs w:val="21"/>
        </w:rPr>
      </w:pPr>
    </w:p>
    <w:p w14:paraId="57C1A880">
      <w:pPr>
        <w:pStyle w:val="38"/>
        <w:spacing w:line="360" w:lineRule="auto"/>
        <w:rPr>
          <w:rFonts w:ascii="宋体" w:hAnsi="Times New Roman"/>
          <w:color w:val="auto"/>
          <w:szCs w:val="21"/>
        </w:rPr>
      </w:pPr>
    </w:p>
    <w:p w14:paraId="48047E5C">
      <w:pPr>
        <w:pStyle w:val="38"/>
        <w:spacing w:line="360" w:lineRule="auto"/>
        <w:rPr>
          <w:rFonts w:ascii="宋体" w:hAnsi="Times New Roman"/>
          <w:color w:val="auto"/>
          <w:szCs w:val="21"/>
        </w:rPr>
      </w:pPr>
    </w:p>
    <w:p w14:paraId="6D73CF2A">
      <w:pPr>
        <w:pStyle w:val="38"/>
        <w:spacing w:line="360" w:lineRule="auto"/>
        <w:rPr>
          <w:rFonts w:ascii="宋体" w:hAnsi="Times New Roman"/>
          <w:color w:val="auto"/>
          <w:szCs w:val="21"/>
        </w:rPr>
      </w:pPr>
    </w:p>
    <w:p w14:paraId="3C7D147B">
      <w:pPr>
        <w:pStyle w:val="38"/>
        <w:spacing w:line="360" w:lineRule="auto"/>
        <w:rPr>
          <w:rFonts w:ascii="宋体" w:hAnsi="Times New Roman"/>
          <w:color w:val="auto"/>
          <w:szCs w:val="21"/>
        </w:rPr>
      </w:pPr>
    </w:p>
    <w:p w14:paraId="308D9FD9">
      <w:pPr>
        <w:pStyle w:val="38"/>
        <w:spacing w:line="360" w:lineRule="auto"/>
        <w:rPr>
          <w:rFonts w:ascii="宋体" w:hAnsi="Times New Roman"/>
          <w:color w:val="auto"/>
          <w:szCs w:val="21"/>
        </w:rPr>
      </w:pPr>
    </w:p>
    <w:p w14:paraId="46FC7852">
      <w:pPr>
        <w:pStyle w:val="38"/>
        <w:spacing w:line="360" w:lineRule="auto"/>
        <w:rPr>
          <w:rFonts w:ascii="宋体" w:hAnsi="Times New Roman"/>
          <w:color w:val="auto"/>
          <w:szCs w:val="21"/>
        </w:rPr>
      </w:pPr>
    </w:p>
    <w:p w14:paraId="2FE48F25">
      <w:pPr>
        <w:pStyle w:val="38"/>
        <w:spacing w:line="360" w:lineRule="auto"/>
        <w:rPr>
          <w:rFonts w:ascii="宋体" w:hAnsi="Times New Roman"/>
          <w:color w:val="auto"/>
          <w:szCs w:val="21"/>
        </w:rPr>
      </w:pPr>
    </w:p>
    <w:p w14:paraId="5EC108D4">
      <w:pPr>
        <w:pStyle w:val="38"/>
        <w:spacing w:line="360" w:lineRule="auto"/>
        <w:rPr>
          <w:rFonts w:ascii="宋体" w:hAnsi="Times New Roman"/>
          <w:color w:val="auto"/>
          <w:szCs w:val="21"/>
        </w:rPr>
      </w:pPr>
    </w:p>
    <w:p w14:paraId="083ACFB7">
      <w:pPr>
        <w:pStyle w:val="38"/>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t>附件</w:t>
      </w:r>
      <w:r>
        <w:rPr>
          <w:rFonts w:hint="eastAsia" w:ascii="Times New Roman" w:hAnsi="Times New Roman" w:eastAsia="仿宋_GB2312"/>
          <w:color w:val="auto"/>
          <w:sz w:val="30"/>
          <w:szCs w:val="30"/>
        </w:rPr>
        <w:t>3</w:t>
      </w:r>
      <w:r>
        <w:rPr>
          <w:rFonts w:ascii="Times New Roman" w:hAnsi="Times New Roman" w:eastAsia="仿宋_GB2312"/>
          <w:color w:val="auto"/>
          <w:sz w:val="30"/>
          <w:szCs w:val="30"/>
        </w:rPr>
        <w:t>：</w:t>
      </w:r>
    </w:p>
    <w:p w14:paraId="63AC3FDF">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ascii="Times New Roman" w:hAnsi="Times New Roman" w:eastAsia="黑体"/>
          <w:color w:val="auto"/>
          <w:sz w:val="30"/>
          <w:szCs w:val="30"/>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154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D48472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文件名称</w:t>
            </w:r>
          </w:p>
        </w:tc>
        <w:tc>
          <w:tcPr>
            <w:tcW w:w="1276" w:type="dxa"/>
            <w:tcBorders>
              <w:top w:val="single" w:color="auto" w:sz="12" w:space="0"/>
              <w:bottom w:val="double" w:color="auto" w:sz="6" w:space="0"/>
            </w:tcBorders>
            <w:noWrap w:val="0"/>
            <w:vAlign w:val="center"/>
          </w:tcPr>
          <w:p w14:paraId="493F8A4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套数</w:t>
            </w:r>
          </w:p>
        </w:tc>
        <w:tc>
          <w:tcPr>
            <w:tcW w:w="1450" w:type="dxa"/>
            <w:tcBorders>
              <w:top w:val="single" w:color="auto" w:sz="12" w:space="0"/>
              <w:bottom w:val="double" w:color="auto" w:sz="6" w:space="0"/>
            </w:tcBorders>
            <w:noWrap w:val="0"/>
            <w:vAlign w:val="center"/>
          </w:tcPr>
          <w:p w14:paraId="4F3A62A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费用</w:t>
            </w:r>
            <w:r>
              <w:rPr>
                <w:rFonts w:hint="eastAsia" w:ascii="Times New Roman" w:hAnsi="Times New Roman" w:eastAsia="仿宋_GB2312"/>
                <w:color w:val="auto"/>
                <w:sz w:val="28"/>
                <w:szCs w:val="30"/>
              </w:rPr>
              <w:t>（元）</w:t>
            </w:r>
          </w:p>
        </w:tc>
        <w:tc>
          <w:tcPr>
            <w:tcW w:w="1243" w:type="dxa"/>
            <w:tcBorders>
              <w:top w:val="single" w:color="auto" w:sz="12" w:space="0"/>
              <w:bottom w:val="double" w:color="auto" w:sz="6" w:space="0"/>
            </w:tcBorders>
            <w:noWrap w:val="0"/>
            <w:vAlign w:val="center"/>
          </w:tcPr>
          <w:p w14:paraId="23E5442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30"/>
              </w:rPr>
            </w:pPr>
            <w:r>
              <w:rPr>
                <w:rFonts w:ascii="Times New Roman" w:hAnsi="Times New Roman" w:eastAsia="仿宋_GB2312"/>
                <w:color w:val="auto"/>
                <w:sz w:val="28"/>
                <w:szCs w:val="30"/>
              </w:rPr>
              <w:t>质量</w:t>
            </w:r>
          </w:p>
        </w:tc>
        <w:tc>
          <w:tcPr>
            <w:tcW w:w="1450" w:type="dxa"/>
            <w:tcBorders>
              <w:top w:val="single" w:color="auto" w:sz="12" w:space="0"/>
              <w:bottom w:val="double" w:color="auto" w:sz="6" w:space="0"/>
            </w:tcBorders>
            <w:noWrap w:val="0"/>
            <w:vAlign w:val="top"/>
          </w:tcPr>
          <w:p w14:paraId="431BCB8F">
            <w:pPr>
              <w:pStyle w:val="38"/>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移交时间</w:t>
            </w:r>
          </w:p>
        </w:tc>
        <w:tc>
          <w:tcPr>
            <w:tcW w:w="1667" w:type="dxa"/>
            <w:tcBorders>
              <w:top w:val="single" w:color="auto" w:sz="12" w:space="0"/>
              <w:bottom w:val="double" w:color="auto" w:sz="6" w:space="0"/>
            </w:tcBorders>
            <w:noWrap w:val="0"/>
            <w:vAlign w:val="top"/>
          </w:tcPr>
          <w:p w14:paraId="7E8397D4">
            <w:pPr>
              <w:pStyle w:val="38"/>
              <w:spacing w:line="440" w:lineRule="exact"/>
              <w:jc w:val="center"/>
              <w:rPr>
                <w:rFonts w:ascii="Times New Roman" w:hAnsi="Times New Roman" w:eastAsia="仿宋_GB2312"/>
                <w:color w:val="auto"/>
                <w:sz w:val="28"/>
                <w:szCs w:val="30"/>
              </w:rPr>
            </w:pPr>
            <w:r>
              <w:rPr>
                <w:rFonts w:ascii="Times New Roman" w:hAnsi="Times New Roman" w:eastAsia="仿宋_GB2312"/>
                <w:color w:val="auto"/>
                <w:sz w:val="28"/>
                <w:szCs w:val="30"/>
              </w:rPr>
              <w:t>责任人</w:t>
            </w:r>
          </w:p>
        </w:tc>
      </w:tr>
      <w:tr w14:paraId="4CFC9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D3128C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double" w:color="auto" w:sz="6" w:space="0"/>
              <w:bottom w:val="single" w:color="auto" w:sz="6" w:space="0"/>
            </w:tcBorders>
            <w:noWrap w:val="0"/>
            <w:vAlign w:val="center"/>
          </w:tcPr>
          <w:p w14:paraId="3F3B994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6E01DF9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double" w:color="auto" w:sz="6" w:space="0"/>
              <w:bottom w:val="single" w:color="auto" w:sz="6" w:space="0"/>
            </w:tcBorders>
            <w:noWrap w:val="0"/>
            <w:vAlign w:val="center"/>
          </w:tcPr>
          <w:p w14:paraId="54CE15F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double" w:color="auto" w:sz="6" w:space="0"/>
              <w:bottom w:val="single" w:color="auto" w:sz="6" w:space="0"/>
            </w:tcBorders>
            <w:noWrap w:val="0"/>
            <w:vAlign w:val="center"/>
          </w:tcPr>
          <w:p w14:paraId="7AFC8A2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double" w:color="auto" w:sz="6" w:space="0"/>
              <w:bottom w:val="single" w:color="auto" w:sz="6" w:space="0"/>
            </w:tcBorders>
            <w:noWrap w:val="0"/>
            <w:vAlign w:val="center"/>
          </w:tcPr>
          <w:p w14:paraId="22E4295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345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601784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tcBorders>
              <w:top w:val="nil"/>
            </w:tcBorders>
            <w:noWrap w:val="0"/>
            <w:vAlign w:val="center"/>
          </w:tcPr>
          <w:p w14:paraId="482188D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2BE1ECE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tcBorders>
              <w:top w:val="nil"/>
            </w:tcBorders>
            <w:noWrap w:val="0"/>
            <w:vAlign w:val="center"/>
          </w:tcPr>
          <w:p w14:paraId="6F666CE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tcBorders>
              <w:top w:val="nil"/>
            </w:tcBorders>
            <w:noWrap w:val="0"/>
            <w:vAlign w:val="center"/>
          </w:tcPr>
          <w:p w14:paraId="4FDDE25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tcBorders>
              <w:top w:val="nil"/>
            </w:tcBorders>
            <w:noWrap w:val="0"/>
            <w:vAlign w:val="center"/>
          </w:tcPr>
          <w:p w14:paraId="3755153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5E6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67F020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15697A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3B2CB0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C75B27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6996072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3C0050B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69D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A1C78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951A5B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E8755A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60B5A42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6E3FE5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409350B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4525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center"/>
          </w:tcPr>
          <w:p w14:paraId="799813E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3EEEC31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500571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4050D61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77AF27C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725694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4E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B4C17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6C5CFBE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4EB56D3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28D6CC6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F07BD7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66363EC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D229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72D599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2ED23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2A5D45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4B108E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3555CD3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5FE7FF6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5117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22E495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0A4546E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4D1934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735D590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034EA22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1732EFA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0E3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B86667">
            <w:pPr>
              <w:pStyle w:val="38"/>
              <w:rPr>
                <w:rFonts w:ascii="Times New Roman" w:hAnsi="Times New Roman" w:eastAsia="仿宋_GB2312"/>
                <w:color w:val="auto"/>
                <w:sz w:val="30"/>
                <w:szCs w:val="30"/>
              </w:rPr>
            </w:pPr>
          </w:p>
        </w:tc>
        <w:tc>
          <w:tcPr>
            <w:tcW w:w="1276" w:type="dxa"/>
            <w:noWrap w:val="0"/>
            <w:vAlign w:val="top"/>
          </w:tcPr>
          <w:p w14:paraId="0FD5E210">
            <w:pPr>
              <w:pStyle w:val="38"/>
              <w:rPr>
                <w:rFonts w:ascii="Times New Roman" w:hAnsi="Times New Roman" w:eastAsia="仿宋_GB2312"/>
                <w:color w:val="auto"/>
                <w:sz w:val="30"/>
                <w:szCs w:val="30"/>
              </w:rPr>
            </w:pPr>
          </w:p>
        </w:tc>
        <w:tc>
          <w:tcPr>
            <w:tcW w:w="1450" w:type="dxa"/>
            <w:noWrap w:val="0"/>
            <w:vAlign w:val="top"/>
          </w:tcPr>
          <w:p w14:paraId="40007840">
            <w:pPr>
              <w:pStyle w:val="38"/>
              <w:rPr>
                <w:rFonts w:ascii="Times New Roman" w:hAnsi="Times New Roman" w:eastAsia="仿宋_GB2312"/>
                <w:color w:val="auto"/>
                <w:sz w:val="30"/>
                <w:szCs w:val="30"/>
              </w:rPr>
            </w:pPr>
          </w:p>
        </w:tc>
        <w:tc>
          <w:tcPr>
            <w:tcW w:w="1243" w:type="dxa"/>
            <w:noWrap w:val="0"/>
            <w:vAlign w:val="top"/>
          </w:tcPr>
          <w:p w14:paraId="452ECF9B">
            <w:pPr>
              <w:pStyle w:val="38"/>
              <w:rPr>
                <w:rFonts w:ascii="Times New Roman" w:hAnsi="Times New Roman" w:eastAsia="仿宋_GB2312"/>
                <w:color w:val="auto"/>
                <w:sz w:val="30"/>
                <w:szCs w:val="30"/>
              </w:rPr>
            </w:pPr>
          </w:p>
        </w:tc>
        <w:tc>
          <w:tcPr>
            <w:tcW w:w="1450" w:type="dxa"/>
            <w:noWrap w:val="0"/>
            <w:vAlign w:val="top"/>
          </w:tcPr>
          <w:p w14:paraId="35F0A180">
            <w:pPr>
              <w:pStyle w:val="38"/>
              <w:rPr>
                <w:rFonts w:ascii="Times New Roman" w:hAnsi="Times New Roman" w:eastAsia="仿宋_GB2312"/>
                <w:color w:val="auto"/>
                <w:sz w:val="30"/>
                <w:szCs w:val="30"/>
              </w:rPr>
            </w:pPr>
          </w:p>
        </w:tc>
        <w:tc>
          <w:tcPr>
            <w:tcW w:w="1667" w:type="dxa"/>
            <w:noWrap w:val="0"/>
            <w:vAlign w:val="top"/>
          </w:tcPr>
          <w:p w14:paraId="214135EE">
            <w:pPr>
              <w:pStyle w:val="38"/>
              <w:rPr>
                <w:rFonts w:ascii="Times New Roman" w:hAnsi="Times New Roman" w:eastAsia="仿宋_GB2312"/>
                <w:color w:val="auto"/>
                <w:sz w:val="30"/>
                <w:szCs w:val="30"/>
              </w:rPr>
            </w:pPr>
          </w:p>
        </w:tc>
      </w:tr>
      <w:tr w14:paraId="7BC17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C1698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76" w:type="dxa"/>
            <w:noWrap w:val="0"/>
            <w:vAlign w:val="center"/>
          </w:tcPr>
          <w:p w14:paraId="735F0CC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5DA08D0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243" w:type="dxa"/>
            <w:noWrap w:val="0"/>
            <w:vAlign w:val="center"/>
          </w:tcPr>
          <w:p w14:paraId="0300D72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50" w:type="dxa"/>
            <w:noWrap w:val="0"/>
            <w:vAlign w:val="center"/>
          </w:tcPr>
          <w:p w14:paraId="1DF2E3D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667" w:type="dxa"/>
            <w:noWrap w:val="0"/>
            <w:vAlign w:val="center"/>
          </w:tcPr>
          <w:p w14:paraId="7E3FD9F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451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F3F1B4">
            <w:pPr>
              <w:pStyle w:val="38"/>
              <w:rPr>
                <w:rFonts w:ascii="Times New Roman" w:hAnsi="Times New Roman" w:eastAsia="仿宋_GB2312"/>
                <w:color w:val="auto"/>
                <w:sz w:val="30"/>
                <w:szCs w:val="30"/>
              </w:rPr>
            </w:pPr>
          </w:p>
        </w:tc>
        <w:tc>
          <w:tcPr>
            <w:tcW w:w="1276" w:type="dxa"/>
            <w:noWrap w:val="0"/>
            <w:vAlign w:val="top"/>
          </w:tcPr>
          <w:p w14:paraId="34076AD2">
            <w:pPr>
              <w:pStyle w:val="38"/>
              <w:rPr>
                <w:rFonts w:ascii="Times New Roman" w:hAnsi="Times New Roman" w:eastAsia="仿宋_GB2312"/>
                <w:color w:val="auto"/>
                <w:sz w:val="30"/>
                <w:szCs w:val="30"/>
              </w:rPr>
            </w:pPr>
          </w:p>
        </w:tc>
        <w:tc>
          <w:tcPr>
            <w:tcW w:w="1450" w:type="dxa"/>
            <w:noWrap w:val="0"/>
            <w:vAlign w:val="top"/>
          </w:tcPr>
          <w:p w14:paraId="3E4E6FBB">
            <w:pPr>
              <w:pStyle w:val="38"/>
              <w:rPr>
                <w:rFonts w:ascii="Times New Roman" w:hAnsi="Times New Roman" w:eastAsia="仿宋_GB2312"/>
                <w:color w:val="auto"/>
                <w:sz w:val="30"/>
                <w:szCs w:val="30"/>
              </w:rPr>
            </w:pPr>
          </w:p>
        </w:tc>
        <w:tc>
          <w:tcPr>
            <w:tcW w:w="1243" w:type="dxa"/>
            <w:noWrap w:val="0"/>
            <w:vAlign w:val="top"/>
          </w:tcPr>
          <w:p w14:paraId="77A3E409">
            <w:pPr>
              <w:pStyle w:val="38"/>
              <w:rPr>
                <w:rFonts w:ascii="Times New Roman" w:hAnsi="Times New Roman" w:eastAsia="仿宋_GB2312"/>
                <w:color w:val="auto"/>
                <w:sz w:val="30"/>
                <w:szCs w:val="30"/>
              </w:rPr>
            </w:pPr>
          </w:p>
        </w:tc>
        <w:tc>
          <w:tcPr>
            <w:tcW w:w="1450" w:type="dxa"/>
            <w:noWrap w:val="0"/>
            <w:vAlign w:val="top"/>
          </w:tcPr>
          <w:p w14:paraId="446AF340">
            <w:pPr>
              <w:pStyle w:val="38"/>
              <w:rPr>
                <w:rFonts w:ascii="Times New Roman" w:hAnsi="Times New Roman" w:eastAsia="仿宋_GB2312"/>
                <w:color w:val="auto"/>
                <w:sz w:val="30"/>
                <w:szCs w:val="30"/>
              </w:rPr>
            </w:pPr>
          </w:p>
        </w:tc>
        <w:tc>
          <w:tcPr>
            <w:tcW w:w="1667" w:type="dxa"/>
            <w:noWrap w:val="0"/>
            <w:vAlign w:val="top"/>
          </w:tcPr>
          <w:p w14:paraId="3559E0B9">
            <w:pPr>
              <w:pStyle w:val="38"/>
              <w:rPr>
                <w:rFonts w:ascii="Times New Roman" w:hAnsi="Times New Roman" w:eastAsia="仿宋_GB2312"/>
                <w:color w:val="auto"/>
                <w:sz w:val="30"/>
                <w:szCs w:val="30"/>
              </w:rPr>
            </w:pPr>
          </w:p>
        </w:tc>
      </w:tr>
      <w:tr w14:paraId="579C4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A32707">
            <w:pPr>
              <w:pStyle w:val="38"/>
              <w:rPr>
                <w:rFonts w:ascii="Times New Roman" w:hAnsi="Times New Roman" w:eastAsia="仿宋_GB2312"/>
                <w:color w:val="auto"/>
                <w:sz w:val="30"/>
                <w:szCs w:val="30"/>
              </w:rPr>
            </w:pPr>
          </w:p>
        </w:tc>
        <w:tc>
          <w:tcPr>
            <w:tcW w:w="1276" w:type="dxa"/>
            <w:noWrap w:val="0"/>
            <w:vAlign w:val="top"/>
          </w:tcPr>
          <w:p w14:paraId="40CFAF29">
            <w:pPr>
              <w:pStyle w:val="38"/>
              <w:rPr>
                <w:rFonts w:ascii="Times New Roman" w:hAnsi="Times New Roman" w:eastAsia="仿宋_GB2312"/>
                <w:color w:val="auto"/>
                <w:sz w:val="30"/>
                <w:szCs w:val="30"/>
              </w:rPr>
            </w:pPr>
          </w:p>
        </w:tc>
        <w:tc>
          <w:tcPr>
            <w:tcW w:w="1450" w:type="dxa"/>
            <w:noWrap w:val="0"/>
            <w:vAlign w:val="top"/>
          </w:tcPr>
          <w:p w14:paraId="11154571">
            <w:pPr>
              <w:pStyle w:val="38"/>
              <w:rPr>
                <w:rFonts w:ascii="Times New Roman" w:hAnsi="Times New Roman" w:eastAsia="仿宋_GB2312"/>
                <w:color w:val="auto"/>
                <w:sz w:val="30"/>
                <w:szCs w:val="30"/>
              </w:rPr>
            </w:pPr>
          </w:p>
        </w:tc>
        <w:tc>
          <w:tcPr>
            <w:tcW w:w="1243" w:type="dxa"/>
            <w:noWrap w:val="0"/>
            <w:vAlign w:val="top"/>
          </w:tcPr>
          <w:p w14:paraId="29E9F964">
            <w:pPr>
              <w:pStyle w:val="38"/>
              <w:rPr>
                <w:rFonts w:ascii="Times New Roman" w:hAnsi="Times New Roman" w:eastAsia="仿宋_GB2312"/>
                <w:color w:val="auto"/>
                <w:sz w:val="30"/>
                <w:szCs w:val="30"/>
              </w:rPr>
            </w:pPr>
          </w:p>
        </w:tc>
        <w:tc>
          <w:tcPr>
            <w:tcW w:w="1450" w:type="dxa"/>
            <w:noWrap w:val="0"/>
            <w:vAlign w:val="top"/>
          </w:tcPr>
          <w:p w14:paraId="59062211">
            <w:pPr>
              <w:pStyle w:val="38"/>
              <w:rPr>
                <w:rFonts w:ascii="Times New Roman" w:hAnsi="Times New Roman" w:eastAsia="仿宋_GB2312"/>
                <w:color w:val="auto"/>
                <w:sz w:val="30"/>
                <w:szCs w:val="30"/>
              </w:rPr>
            </w:pPr>
          </w:p>
        </w:tc>
        <w:tc>
          <w:tcPr>
            <w:tcW w:w="1667" w:type="dxa"/>
            <w:noWrap w:val="0"/>
            <w:vAlign w:val="top"/>
          </w:tcPr>
          <w:p w14:paraId="0E9BFA9A">
            <w:pPr>
              <w:pStyle w:val="38"/>
              <w:rPr>
                <w:rFonts w:ascii="Times New Roman" w:hAnsi="Times New Roman" w:eastAsia="仿宋_GB2312"/>
                <w:color w:val="auto"/>
                <w:sz w:val="30"/>
                <w:szCs w:val="30"/>
              </w:rPr>
            </w:pPr>
          </w:p>
        </w:tc>
      </w:tr>
      <w:tr w14:paraId="75A4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88300D">
            <w:pPr>
              <w:pStyle w:val="38"/>
              <w:rPr>
                <w:rFonts w:ascii="Times New Roman" w:hAnsi="Times New Roman" w:eastAsia="仿宋_GB2312"/>
                <w:color w:val="auto"/>
                <w:sz w:val="30"/>
                <w:szCs w:val="30"/>
              </w:rPr>
            </w:pPr>
          </w:p>
        </w:tc>
        <w:tc>
          <w:tcPr>
            <w:tcW w:w="1276" w:type="dxa"/>
            <w:noWrap w:val="0"/>
            <w:vAlign w:val="top"/>
          </w:tcPr>
          <w:p w14:paraId="29E6A719">
            <w:pPr>
              <w:pStyle w:val="38"/>
              <w:rPr>
                <w:rFonts w:ascii="Times New Roman" w:hAnsi="Times New Roman" w:eastAsia="仿宋_GB2312"/>
                <w:color w:val="auto"/>
                <w:sz w:val="30"/>
                <w:szCs w:val="30"/>
              </w:rPr>
            </w:pPr>
          </w:p>
        </w:tc>
        <w:tc>
          <w:tcPr>
            <w:tcW w:w="1450" w:type="dxa"/>
            <w:noWrap w:val="0"/>
            <w:vAlign w:val="top"/>
          </w:tcPr>
          <w:p w14:paraId="7E1CACC6">
            <w:pPr>
              <w:pStyle w:val="38"/>
              <w:rPr>
                <w:rFonts w:ascii="Times New Roman" w:hAnsi="Times New Roman" w:eastAsia="仿宋_GB2312"/>
                <w:color w:val="auto"/>
                <w:sz w:val="30"/>
                <w:szCs w:val="30"/>
              </w:rPr>
            </w:pPr>
          </w:p>
        </w:tc>
        <w:tc>
          <w:tcPr>
            <w:tcW w:w="1243" w:type="dxa"/>
            <w:noWrap w:val="0"/>
            <w:vAlign w:val="top"/>
          </w:tcPr>
          <w:p w14:paraId="63584099">
            <w:pPr>
              <w:pStyle w:val="38"/>
              <w:rPr>
                <w:rFonts w:ascii="Times New Roman" w:hAnsi="Times New Roman" w:eastAsia="仿宋_GB2312"/>
                <w:color w:val="auto"/>
                <w:sz w:val="30"/>
                <w:szCs w:val="30"/>
              </w:rPr>
            </w:pPr>
          </w:p>
        </w:tc>
        <w:tc>
          <w:tcPr>
            <w:tcW w:w="1450" w:type="dxa"/>
            <w:noWrap w:val="0"/>
            <w:vAlign w:val="top"/>
          </w:tcPr>
          <w:p w14:paraId="032B79CE">
            <w:pPr>
              <w:pStyle w:val="38"/>
              <w:rPr>
                <w:rFonts w:ascii="Times New Roman" w:hAnsi="Times New Roman" w:eastAsia="仿宋_GB2312"/>
                <w:color w:val="auto"/>
                <w:sz w:val="30"/>
                <w:szCs w:val="30"/>
              </w:rPr>
            </w:pPr>
          </w:p>
        </w:tc>
        <w:tc>
          <w:tcPr>
            <w:tcW w:w="1667" w:type="dxa"/>
            <w:noWrap w:val="0"/>
            <w:vAlign w:val="top"/>
          </w:tcPr>
          <w:p w14:paraId="7D2F1A21">
            <w:pPr>
              <w:pStyle w:val="38"/>
              <w:rPr>
                <w:rFonts w:ascii="Times New Roman" w:hAnsi="Times New Roman" w:eastAsia="仿宋_GB2312"/>
                <w:color w:val="auto"/>
                <w:sz w:val="30"/>
                <w:szCs w:val="30"/>
              </w:rPr>
            </w:pPr>
          </w:p>
        </w:tc>
      </w:tr>
      <w:tr w14:paraId="37999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0A30FC0">
            <w:pPr>
              <w:pStyle w:val="38"/>
              <w:rPr>
                <w:rFonts w:ascii="Times New Roman" w:hAnsi="Times New Roman" w:eastAsia="仿宋_GB2312"/>
                <w:color w:val="auto"/>
                <w:sz w:val="30"/>
                <w:szCs w:val="30"/>
              </w:rPr>
            </w:pPr>
          </w:p>
        </w:tc>
        <w:tc>
          <w:tcPr>
            <w:tcW w:w="1276" w:type="dxa"/>
            <w:noWrap w:val="0"/>
            <w:vAlign w:val="top"/>
          </w:tcPr>
          <w:p w14:paraId="7B238D40">
            <w:pPr>
              <w:pStyle w:val="38"/>
              <w:rPr>
                <w:rFonts w:ascii="Times New Roman" w:hAnsi="Times New Roman" w:eastAsia="仿宋_GB2312"/>
                <w:color w:val="auto"/>
                <w:sz w:val="30"/>
                <w:szCs w:val="30"/>
              </w:rPr>
            </w:pPr>
          </w:p>
        </w:tc>
        <w:tc>
          <w:tcPr>
            <w:tcW w:w="1450" w:type="dxa"/>
            <w:noWrap w:val="0"/>
            <w:vAlign w:val="top"/>
          </w:tcPr>
          <w:p w14:paraId="0309A00D">
            <w:pPr>
              <w:pStyle w:val="38"/>
              <w:rPr>
                <w:rFonts w:ascii="Times New Roman" w:hAnsi="Times New Roman" w:eastAsia="仿宋_GB2312"/>
                <w:color w:val="auto"/>
                <w:sz w:val="30"/>
                <w:szCs w:val="30"/>
              </w:rPr>
            </w:pPr>
          </w:p>
        </w:tc>
        <w:tc>
          <w:tcPr>
            <w:tcW w:w="1243" w:type="dxa"/>
            <w:noWrap w:val="0"/>
            <w:vAlign w:val="top"/>
          </w:tcPr>
          <w:p w14:paraId="757CF500">
            <w:pPr>
              <w:pStyle w:val="38"/>
              <w:rPr>
                <w:rFonts w:ascii="Times New Roman" w:hAnsi="Times New Roman" w:eastAsia="仿宋_GB2312"/>
                <w:color w:val="auto"/>
                <w:sz w:val="30"/>
                <w:szCs w:val="30"/>
              </w:rPr>
            </w:pPr>
          </w:p>
        </w:tc>
        <w:tc>
          <w:tcPr>
            <w:tcW w:w="1450" w:type="dxa"/>
            <w:noWrap w:val="0"/>
            <w:vAlign w:val="top"/>
          </w:tcPr>
          <w:p w14:paraId="760902D2">
            <w:pPr>
              <w:pStyle w:val="38"/>
              <w:rPr>
                <w:rFonts w:ascii="Times New Roman" w:hAnsi="Times New Roman" w:eastAsia="仿宋_GB2312"/>
                <w:color w:val="auto"/>
                <w:sz w:val="30"/>
                <w:szCs w:val="30"/>
              </w:rPr>
            </w:pPr>
          </w:p>
        </w:tc>
        <w:tc>
          <w:tcPr>
            <w:tcW w:w="1667" w:type="dxa"/>
            <w:noWrap w:val="0"/>
            <w:vAlign w:val="top"/>
          </w:tcPr>
          <w:p w14:paraId="39EAF3C3">
            <w:pPr>
              <w:pStyle w:val="38"/>
              <w:rPr>
                <w:rFonts w:ascii="Times New Roman" w:hAnsi="Times New Roman" w:eastAsia="仿宋_GB2312"/>
                <w:color w:val="auto"/>
                <w:sz w:val="30"/>
                <w:szCs w:val="30"/>
              </w:rPr>
            </w:pPr>
          </w:p>
        </w:tc>
      </w:tr>
      <w:tr w14:paraId="281D1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noWrap w:val="0"/>
            <w:vAlign w:val="top"/>
          </w:tcPr>
          <w:p w14:paraId="4E4A3B4E">
            <w:pPr>
              <w:pStyle w:val="38"/>
              <w:rPr>
                <w:rFonts w:ascii="Times New Roman" w:hAnsi="Times New Roman" w:eastAsia="仿宋_GB2312"/>
                <w:color w:val="auto"/>
                <w:sz w:val="30"/>
                <w:szCs w:val="30"/>
              </w:rPr>
            </w:pPr>
          </w:p>
        </w:tc>
        <w:tc>
          <w:tcPr>
            <w:tcW w:w="1276" w:type="dxa"/>
            <w:noWrap w:val="0"/>
            <w:vAlign w:val="top"/>
          </w:tcPr>
          <w:p w14:paraId="7D509BFB">
            <w:pPr>
              <w:pStyle w:val="38"/>
              <w:rPr>
                <w:rFonts w:ascii="Times New Roman" w:hAnsi="Times New Roman" w:eastAsia="仿宋_GB2312"/>
                <w:color w:val="auto"/>
                <w:sz w:val="30"/>
                <w:szCs w:val="30"/>
              </w:rPr>
            </w:pPr>
          </w:p>
        </w:tc>
        <w:tc>
          <w:tcPr>
            <w:tcW w:w="1450" w:type="dxa"/>
            <w:noWrap w:val="0"/>
            <w:vAlign w:val="top"/>
          </w:tcPr>
          <w:p w14:paraId="59EAB8DC">
            <w:pPr>
              <w:pStyle w:val="38"/>
              <w:rPr>
                <w:rFonts w:ascii="Times New Roman" w:hAnsi="Times New Roman" w:eastAsia="仿宋_GB2312"/>
                <w:color w:val="auto"/>
                <w:sz w:val="30"/>
                <w:szCs w:val="30"/>
              </w:rPr>
            </w:pPr>
          </w:p>
        </w:tc>
        <w:tc>
          <w:tcPr>
            <w:tcW w:w="1243" w:type="dxa"/>
            <w:noWrap w:val="0"/>
            <w:vAlign w:val="top"/>
          </w:tcPr>
          <w:p w14:paraId="1955314D">
            <w:pPr>
              <w:pStyle w:val="38"/>
              <w:rPr>
                <w:rFonts w:ascii="Times New Roman" w:hAnsi="Times New Roman" w:eastAsia="仿宋_GB2312"/>
                <w:color w:val="auto"/>
                <w:sz w:val="30"/>
                <w:szCs w:val="30"/>
              </w:rPr>
            </w:pPr>
          </w:p>
        </w:tc>
        <w:tc>
          <w:tcPr>
            <w:tcW w:w="1450" w:type="dxa"/>
            <w:noWrap w:val="0"/>
            <w:vAlign w:val="top"/>
          </w:tcPr>
          <w:p w14:paraId="15C6556E">
            <w:pPr>
              <w:pStyle w:val="38"/>
              <w:rPr>
                <w:rFonts w:ascii="Times New Roman" w:hAnsi="Times New Roman" w:eastAsia="仿宋_GB2312"/>
                <w:color w:val="auto"/>
                <w:sz w:val="30"/>
                <w:szCs w:val="30"/>
              </w:rPr>
            </w:pPr>
          </w:p>
        </w:tc>
        <w:tc>
          <w:tcPr>
            <w:tcW w:w="1667" w:type="dxa"/>
            <w:noWrap w:val="0"/>
            <w:vAlign w:val="top"/>
          </w:tcPr>
          <w:p w14:paraId="686E83B8">
            <w:pPr>
              <w:pStyle w:val="38"/>
              <w:rPr>
                <w:rFonts w:ascii="Times New Roman" w:hAnsi="Times New Roman" w:eastAsia="仿宋_GB2312"/>
                <w:color w:val="auto"/>
                <w:sz w:val="30"/>
                <w:szCs w:val="30"/>
              </w:rPr>
            </w:pPr>
          </w:p>
        </w:tc>
      </w:tr>
      <w:tr w14:paraId="13A4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3AA824">
            <w:pPr>
              <w:pStyle w:val="38"/>
              <w:rPr>
                <w:rFonts w:ascii="Times New Roman" w:hAnsi="Times New Roman" w:eastAsia="仿宋_GB2312"/>
                <w:color w:val="auto"/>
                <w:sz w:val="30"/>
                <w:szCs w:val="30"/>
              </w:rPr>
            </w:pPr>
          </w:p>
        </w:tc>
        <w:tc>
          <w:tcPr>
            <w:tcW w:w="1276" w:type="dxa"/>
            <w:noWrap w:val="0"/>
            <w:vAlign w:val="top"/>
          </w:tcPr>
          <w:p w14:paraId="7B090670">
            <w:pPr>
              <w:pStyle w:val="38"/>
              <w:rPr>
                <w:rFonts w:ascii="Times New Roman" w:hAnsi="Times New Roman" w:eastAsia="仿宋_GB2312"/>
                <w:color w:val="auto"/>
                <w:sz w:val="30"/>
                <w:szCs w:val="30"/>
              </w:rPr>
            </w:pPr>
          </w:p>
        </w:tc>
        <w:tc>
          <w:tcPr>
            <w:tcW w:w="1450" w:type="dxa"/>
            <w:noWrap w:val="0"/>
            <w:vAlign w:val="top"/>
          </w:tcPr>
          <w:p w14:paraId="1EF434C6">
            <w:pPr>
              <w:pStyle w:val="38"/>
              <w:rPr>
                <w:rFonts w:ascii="Times New Roman" w:hAnsi="Times New Roman" w:eastAsia="仿宋_GB2312"/>
                <w:color w:val="auto"/>
                <w:sz w:val="30"/>
                <w:szCs w:val="30"/>
              </w:rPr>
            </w:pPr>
          </w:p>
        </w:tc>
        <w:tc>
          <w:tcPr>
            <w:tcW w:w="1243" w:type="dxa"/>
            <w:noWrap w:val="0"/>
            <w:vAlign w:val="top"/>
          </w:tcPr>
          <w:p w14:paraId="4A9E9AA1">
            <w:pPr>
              <w:pStyle w:val="38"/>
              <w:rPr>
                <w:rFonts w:ascii="Times New Roman" w:hAnsi="Times New Roman" w:eastAsia="仿宋_GB2312"/>
                <w:color w:val="auto"/>
                <w:sz w:val="30"/>
                <w:szCs w:val="30"/>
              </w:rPr>
            </w:pPr>
          </w:p>
        </w:tc>
        <w:tc>
          <w:tcPr>
            <w:tcW w:w="1450" w:type="dxa"/>
            <w:noWrap w:val="0"/>
            <w:vAlign w:val="top"/>
          </w:tcPr>
          <w:p w14:paraId="36F3C896">
            <w:pPr>
              <w:pStyle w:val="38"/>
              <w:rPr>
                <w:rFonts w:ascii="Times New Roman" w:hAnsi="Times New Roman" w:eastAsia="仿宋_GB2312"/>
                <w:color w:val="auto"/>
                <w:sz w:val="30"/>
                <w:szCs w:val="30"/>
              </w:rPr>
            </w:pPr>
          </w:p>
        </w:tc>
        <w:tc>
          <w:tcPr>
            <w:tcW w:w="1667" w:type="dxa"/>
            <w:noWrap w:val="0"/>
            <w:vAlign w:val="top"/>
          </w:tcPr>
          <w:p w14:paraId="09940643">
            <w:pPr>
              <w:pStyle w:val="38"/>
              <w:rPr>
                <w:rFonts w:ascii="Times New Roman" w:hAnsi="Times New Roman" w:eastAsia="仿宋_GB2312"/>
                <w:color w:val="auto"/>
                <w:sz w:val="30"/>
                <w:szCs w:val="30"/>
              </w:rPr>
            </w:pPr>
          </w:p>
        </w:tc>
      </w:tr>
      <w:tr w14:paraId="1F787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7DB439C">
            <w:pPr>
              <w:pStyle w:val="38"/>
              <w:rPr>
                <w:rFonts w:ascii="Times New Roman" w:hAnsi="Times New Roman" w:eastAsia="仿宋_GB2312"/>
                <w:color w:val="auto"/>
                <w:sz w:val="30"/>
                <w:szCs w:val="30"/>
              </w:rPr>
            </w:pPr>
          </w:p>
        </w:tc>
        <w:tc>
          <w:tcPr>
            <w:tcW w:w="1276" w:type="dxa"/>
            <w:noWrap w:val="0"/>
            <w:vAlign w:val="top"/>
          </w:tcPr>
          <w:p w14:paraId="0D6FF8E5">
            <w:pPr>
              <w:pStyle w:val="38"/>
              <w:rPr>
                <w:rFonts w:ascii="Times New Roman" w:hAnsi="Times New Roman" w:eastAsia="仿宋_GB2312"/>
                <w:color w:val="auto"/>
                <w:sz w:val="30"/>
                <w:szCs w:val="30"/>
              </w:rPr>
            </w:pPr>
          </w:p>
        </w:tc>
        <w:tc>
          <w:tcPr>
            <w:tcW w:w="1450" w:type="dxa"/>
            <w:noWrap w:val="0"/>
            <w:vAlign w:val="top"/>
          </w:tcPr>
          <w:p w14:paraId="6DE7C98B">
            <w:pPr>
              <w:pStyle w:val="38"/>
              <w:rPr>
                <w:rFonts w:ascii="Times New Roman" w:hAnsi="Times New Roman" w:eastAsia="仿宋_GB2312"/>
                <w:color w:val="auto"/>
                <w:sz w:val="30"/>
                <w:szCs w:val="30"/>
              </w:rPr>
            </w:pPr>
          </w:p>
        </w:tc>
        <w:tc>
          <w:tcPr>
            <w:tcW w:w="1243" w:type="dxa"/>
            <w:noWrap w:val="0"/>
            <w:vAlign w:val="top"/>
          </w:tcPr>
          <w:p w14:paraId="0139997E">
            <w:pPr>
              <w:pStyle w:val="38"/>
              <w:rPr>
                <w:rFonts w:ascii="Times New Roman" w:hAnsi="Times New Roman" w:eastAsia="仿宋_GB2312"/>
                <w:color w:val="auto"/>
                <w:sz w:val="30"/>
                <w:szCs w:val="30"/>
              </w:rPr>
            </w:pPr>
          </w:p>
        </w:tc>
        <w:tc>
          <w:tcPr>
            <w:tcW w:w="1450" w:type="dxa"/>
            <w:noWrap w:val="0"/>
            <w:vAlign w:val="top"/>
          </w:tcPr>
          <w:p w14:paraId="6109114C">
            <w:pPr>
              <w:pStyle w:val="38"/>
              <w:rPr>
                <w:rFonts w:ascii="Times New Roman" w:hAnsi="Times New Roman" w:eastAsia="仿宋_GB2312"/>
                <w:color w:val="auto"/>
                <w:sz w:val="30"/>
                <w:szCs w:val="30"/>
              </w:rPr>
            </w:pPr>
          </w:p>
        </w:tc>
        <w:tc>
          <w:tcPr>
            <w:tcW w:w="1667" w:type="dxa"/>
            <w:noWrap w:val="0"/>
            <w:vAlign w:val="top"/>
          </w:tcPr>
          <w:p w14:paraId="76EAE07F">
            <w:pPr>
              <w:pStyle w:val="38"/>
              <w:rPr>
                <w:rFonts w:ascii="Times New Roman" w:hAnsi="Times New Roman" w:eastAsia="仿宋_GB2312"/>
                <w:color w:val="auto"/>
                <w:sz w:val="30"/>
                <w:szCs w:val="30"/>
              </w:rPr>
            </w:pPr>
          </w:p>
        </w:tc>
      </w:tr>
    </w:tbl>
    <w:p w14:paraId="7D7EC209">
      <w:pPr>
        <w:pStyle w:val="38"/>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4</w:t>
      </w:r>
      <w:r>
        <w:rPr>
          <w:rFonts w:hint="eastAsia" w:ascii="Times New Roman" w:hAnsi="Times New Roman" w:eastAsia="仿宋_GB2312" w:cs="仿宋_GB2312"/>
          <w:color w:val="auto"/>
          <w:sz w:val="30"/>
          <w:szCs w:val="30"/>
        </w:rPr>
        <w:t>：</w:t>
      </w:r>
    </w:p>
    <w:p w14:paraId="48FAB4B5">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承包人用于本工程施工的机械设备表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41A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248A6A6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序号</w:t>
            </w:r>
          </w:p>
        </w:tc>
        <w:tc>
          <w:tcPr>
            <w:tcW w:w="1418" w:type="dxa"/>
            <w:noWrap w:val="0"/>
            <w:vAlign w:val="center"/>
          </w:tcPr>
          <w:p w14:paraId="0253A0F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机械或设备名称</w:t>
            </w:r>
          </w:p>
        </w:tc>
        <w:tc>
          <w:tcPr>
            <w:tcW w:w="850" w:type="dxa"/>
            <w:noWrap w:val="0"/>
            <w:vAlign w:val="center"/>
          </w:tcPr>
          <w:p w14:paraId="71546F2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规格型号</w:t>
            </w:r>
          </w:p>
        </w:tc>
        <w:tc>
          <w:tcPr>
            <w:tcW w:w="1058" w:type="dxa"/>
            <w:noWrap w:val="0"/>
            <w:vAlign w:val="center"/>
          </w:tcPr>
          <w:p w14:paraId="0E99216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数量</w:t>
            </w:r>
          </w:p>
        </w:tc>
        <w:tc>
          <w:tcPr>
            <w:tcW w:w="880" w:type="dxa"/>
            <w:noWrap w:val="0"/>
            <w:vAlign w:val="center"/>
          </w:tcPr>
          <w:p w14:paraId="029BEC1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产地</w:t>
            </w:r>
          </w:p>
        </w:tc>
        <w:tc>
          <w:tcPr>
            <w:tcW w:w="1020" w:type="dxa"/>
            <w:noWrap w:val="0"/>
            <w:vAlign w:val="center"/>
          </w:tcPr>
          <w:p w14:paraId="04271A5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制造年份</w:t>
            </w:r>
          </w:p>
        </w:tc>
        <w:tc>
          <w:tcPr>
            <w:tcW w:w="1480" w:type="dxa"/>
            <w:noWrap w:val="0"/>
            <w:vAlign w:val="center"/>
          </w:tcPr>
          <w:p w14:paraId="3A47966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额定功率（</w:t>
            </w:r>
            <w:r>
              <w:rPr>
                <w:rFonts w:ascii="Times New Roman" w:hAnsi="Times New Roman" w:eastAsia="仿宋_GB2312"/>
                <w:color w:val="auto"/>
                <w:sz w:val="28"/>
                <w:szCs w:val="28"/>
              </w:rPr>
              <w:t>kW</w:t>
            </w:r>
            <w:r>
              <w:rPr>
                <w:rFonts w:hint="eastAsia" w:ascii="Times New Roman" w:hAnsi="Times New Roman" w:eastAsia="仿宋_GB2312" w:cs="仿宋_GB2312"/>
                <w:color w:val="auto"/>
                <w:sz w:val="28"/>
                <w:szCs w:val="28"/>
              </w:rPr>
              <w:t>）</w:t>
            </w:r>
          </w:p>
        </w:tc>
        <w:tc>
          <w:tcPr>
            <w:tcW w:w="1020" w:type="dxa"/>
            <w:noWrap w:val="0"/>
            <w:vAlign w:val="center"/>
          </w:tcPr>
          <w:p w14:paraId="6FD606F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生产能力</w:t>
            </w:r>
          </w:p>
        </w:tc>
        <w:tc>
          <w:tcPr>
            <w:tcW w:w="921" w:type="dxa"/>
            <w:noWrap w:val="0"/>
            <w:vAlign w:val="center"/>
          </w:tcPr>
          <w:p w14:paraId="2781016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备注</w:t>
            </w:r>
          </w:p>
        </w:tc>
      </w:tr>
      <w:tr w14:paraId="7F5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57D94A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5CED83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CC4D46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A5EF07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3337CA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38D758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B67495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491239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CD2406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5E5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center"/>
          </w:tcPr>
          <w:p w14:paraId="0B617C9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09ABBE3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3EA873E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233F8B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75458F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CEFCB0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E774F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DC6AFF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67DD8C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2A3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F5115C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1F294DA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2AA88F5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9C5325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405DA26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0D5E5F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8A56B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A37F64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94E089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AD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35ACB8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5D096A7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29D138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0272569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283D50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66C34D3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07DF6C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526238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146FE1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7A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C4673D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2C761A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41650D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441808A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17BABE2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539220F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22BA617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54E65E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3801C65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17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57B442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39F7235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40974FA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65AB41A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3A214CE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9F1D04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143E73E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B134EB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7E072A4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FA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E14787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264C9FD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6A121D6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7D06BDC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01C46C2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4676C30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691FCA6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615044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1139992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1B3EAB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0A0BE6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0A0E8BD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38450C0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2E47860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3A1EDDB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153EC6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31DAE4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0E5D47F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5B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B1CE4E2">
            <w:pPr>
              <w:pStyle w:val="38"/>
              <w:rPr>
                <w:rFonts w:ascii="Times New Roman" w:hAnsi="Times New Roman" w:eastAsia="仿宋_GB2312"/>
                <w:color w:val="auto"/>
                <w:sz w:val="30"/>
                <w:szCs w:val="30"/>
              </w:rPr>
            </w:pPr>
          </w:p>
        </w:tc>
        <w:tc>
          <w:tcPr>
            <w:tcW w:w="1418" w:type="dxa"/>
            <w:noWrap w:val="0"/>
            <w:vAlign w:val="top"/>
          </w:tcPr>
          <w:p w14:paraId="3D1ACAF0">
            <w:pPr>
              <w:pStyle w:val="38"/>
              <w:rPr>
                <w:rFonts w:ascii="Times New Roman" w:hAnsi="Times New Roman" w:eastAsia="仿宋_GB2312"/>
                <w:color w:val="auto"/>
                <w:sz w:val="30"/>
                <w:szCs w:val="30"/>
              </w:rPr>
            </w:pPr>
          </w:p>
        </w:tc>
        <w:tc>
          <w:tcPr>
            <w:tcW w:w="850" w:type="dxa"/>
            <w:noWrap w:val="0"/>
            <w:vAlign w:val="top"/>
          </w:tcPr>
          <w:p w14:paraId="2DE1938B">
            <w:pPr>
              <w:pStyle w:val="38"/>
              <w:rPr>
                <w:rFonts w:ascii="Times New Roman" w:hAnsi="Times New Roman" w:eastAsia="仿宋_GB2312"/>
                <w:color w:val="auto"/>
                <w:sz w:val="30"/>
                <w:szCs w:val="30"/>
              </w:rPr>
            </w:pPr>
          </w:p>
        </w:tc>
        <w:tc>
          <w:tcPr>
            <w:tcW w:w="1058" w:type="dxa"/>
            <w:noWrap w:val="0"/>
            <w:vAlign w:val="top"/>
          </w:tcPr>
          <w:p w14:paraId="4BDC71D4">
            <w:pPr>
              <w:pStyle w:val="38"/>
              <w:rPr>
                <w:rFonts w:ascii="Times New Roman" w:hAnsi="Times New Roman" w:eastAsia="仿宋_GB2312"/>
                <w:color w:val="auto"/>
                <w:sz w:val="30"/>
                <w:szCs w:val="30"/>
              </w:rPr>
            </w:pPr>
          </w:p>
        </w:tc>
        <w:tc>
          <w:tcPr>
            <w:tcW w:w="880" w:type="dxa"/>
            <w:noWrap w:val="0"/>
            <w:vAlign w:val="top"/>
          </w:tcPr>
          <w:p w14:paraId="37BAFC8E">
            <w:pPr>
              <w:pStyle w:val="38"/>
              <w:rPr>
                <w:rFonts w:ascii="Times New Roman" w:hAnsi="Times New Roman" w:eastAsia="仿宋_GB2312"/>
                <w:color w:val="auto"/>
                <w:sz w:val="30"/>
                <w:szCs w:val="30"/>
              </w:rPr>
            </w:pPr>
          </w:p>
        </w:tc>
        <w:tc>
          <w:tcPr>
            <w:tcW w:w="1020" w:type="dxa"/>
            <w:noWrap w:val="0"/>
            <w:vAlign w:val="top"/>
          </w:tcPr>
          <w:p w14:paraId="56F45CA2">
            <w:pPr>
              <w:pStyle w:val="38"/>
              <w:rPr>
                <w:rFonts w:ascii="Times New Roman" w:hAnsi="Times New Roman" w:eastAsia="仿宋_GB2312"/>
                <w:color w:val="auto"/>
                <w:sz w:val="30"/>
                <w:szCs w:val="30"/>
              </w:rPr>
            </w:pPr>
          </w:p>
        </w:tc>
        <w:tc>
          <w:tcPr>
            <w:tcW w:w="1480" w:type="dxa"/>
            <w:noWrap w:val="0"/>
            <w:vAlign w:val="top"/>
          </w:tcPr>
          <w:p w14:paraId="2E36372A">
            <w:pPr>
              <w:pStyle w:val="38"/>
              <w:rPr>
                <w:rFonts w:ascii="Times New Roman" w:hAnsi="Times New Roman" w:eastAsia="仿宋_GB2312"/>
                <w:color w:val="auto"/>
                <w:sz w:val="30"/>
                <w:szCs w:val="30"/>
              </w:rPr>
            </w:pPr>
          </w:p>
        </w:tc>
        <w:tc>
          <w:tcPr>
            <w:tcW w:w="1020" w:type="dxa"/>
            <w:noWrap w:val="0"/>
            <w:vAlign w:val="top"/>
          </w:tcPr>
          <w:p w14:paraId="4840DC20">
            <w:pPr>
              <w:pStyle w:val="38"/>
              <w:rPr>
                <w:rFonts w:ascii="Times New Roman" w:hAnsi="Times New Roman" w:eastAsia="仿宋_GB2312"/>
                <w:color w:val="auto"/>
                <w:sz w:val="30"/>
                <w:szCs w:val="30"/>
              </w:rPr>
            </w:pPr>
          </w:p>
        </w:tc>
        <w:tc>
          <w:tcPr>
            <w:tcW w:w="921" w:type="dxa"/>
            <w:noWrap w:val="0"/>
            <w:vAlign w:val="top"/>
          </w:tcPr>
          <w:p w14:paraId="33E8F48C">
            <w:pPr>
              <w:pStyle w:val="38"/>
              <w:rPr>
                <w:rFonts w:ascii="Times New Roman" w:hAnsi="Times New Roman" w:eastAsia="仿宋_GB2312"/>
                <w:color w:val="auto"/>
                <w:sz w:val="30"/>
                <w:szCs w:val="30"/>
              </w:rPr>
            </w:pPr>
          </w:p>
        </w:tc>
      </w:tr>
      <w:tr w14:paraId="5EC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9E98DA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18" w:type="dxa"/>
            <w:noWrap w:val="0"/>
            <w:vAlign w:val="center"/>
          </w:tcPr>
          <w:p w14:paraId="633C049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50" w:type="dxa"/>
            <w:noWrap w:val="0"/>
            <w:vAlign w:val="center"/>
          </w:tcPr>
          <w:p w14:paraId="16068D6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58" w:type="dxa"/>
            <w:noWrap w:val="0"/>
            <w:vAlign w:val="center"/>
          </w:tcPr>
          <w:p w14:paraId="1C67B64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880" w:type="dxa"/>
            <w:noWrap w:val="0"/>
            <w:vAlign w:val="center"/>
          </w:tcPr>
          <w:p w14:paraId="5171ED3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0C4704D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480" w:type="dxa"/>
            <w:noWrap w:val="0"/>
            <w:vAlign w:val="center"/>
          </w:tcPr>
          <w:p w14:paraId="4CDB2B0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020" w:type="dxa"/>
            <w:noWrap w:val="0"/>
            <w:vAlign w:val="center"/>
          </w:tcPr>
          <w:p w14:paraId="71FE08D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921" w:type="dxa"/>
            <w:noWrap w:val="0"/>
            <w:vAlign w:val="center"/>
          </w:tcPr>
          <w:p w14:paraId="23CFB69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top"/>
          </w:tcPr>
          <w:p w14:paraId="71C5A009">
            <w:pPr>
              <w:pStyle w:val="38"/>
              <w:rPr>
                <w:rFonts w:ascii="Times New Roman" w:hAnsi="Times New Roman" w:eastAsia="仿宋_GB2312"/>
                <w:color w:val="auto"/>
                <w:sz w:val="30"/>
                <w:szCs w:val="30"/>
              </w:rPr>
            </w:pPr>
          </w:p>
        </w:tc>
        <w:tc>
          <w:tcPr>
            <w:tcW w:w="1418" w:type="dxa"/>
            <w:noWrap w:val="0"/>
            <w:vAlign w:val="top"/>
          </w:tcPr>
          <w:p w14:paraId="12055931">
            <w:pPr>
              <w:pStyle w:val="38"/>
              <w:rPr>
                <w:rFonts w:ascii="Times New Roman" w:hAnsi="Times New Roman" w:eastAsia="仿宋_GB2312"/>
                <w:color w:val="auto"/>
                <w:sz w:val="30"/>
                <w:szCs w:val="30"/>
              </w:rPr>
            </w:pPr>
          </w:p>
        </w:tc>
        <w:tc>
          <w:tcPr>
            <w:tcW w:w="850" w:type="dxa"/>
            <w:noWrap w:val="0"/>
            <w:vAlign w:val="top"/>
          </w:tcPr>
          <w:p w14:paraId="7E6A3906">
            <w:pPr>
              <w:pStyle w:val="38"/>
              <w:rPr>
                <w:rFonts w:ascii="Times New Roman" w:hAnsi="Times New Roman" w:eastAsia="仿宋_GB2312"/>
                <w:color w:val="auto"/>
                <w:sz w:val="30"/>
                <w:szCs w:val="30"/>
              </w:rPr>
            </w:pPr>
          </w:p>
        </w:tc>
        <w:tc>
          <w:tcPr>
            <w:tcW w:w="1058" w:type="dxa"/>
            <w:noWrap w:val="0"/>
            <w:vAlign w:val="top"/>
          </w:tcPr>
          <w:p w14:paraId="3BE0EA8E">
            <w:pPr>
              <w:pStyle w:val="38"/>
              <w:rPr>
                <w:rFonts w:ascii="Times New Roman" w:hAnsi="Times New Roman" w:eastAsia="仿宋_GB2312"/>
                <w:color w:val="auto"/>
                <w:sz w:val="30"/>
                <w:szCs w:val="30"/>
              </w:rPr>
            </w:pPr>
          </w:p>
        </w:tc>
        <w:tc>
          <w:tcPr>
            <w:tcW w:w="880" w:type="dxa"/>
            <w:noWrap w:val="0"/>
            <w:vAlign w:val="top"/>
          </w:tcPr>
          <w:p w14:paraId="46F215EB">
            <w:pPr>
              <w:pStyle w:val="38"/>
              <w:rPr>
                <w:rFonts w:ascii="Times New Roman" w:hAnsi="Times New Roman" w:eastAsia="仿宋_GB2312"/>
                <w:color w:val="auto"/>
                <w:sz w:val="30"/>
                <w:szCs w:val="30"/>
              </w:rPr>
            </w:pPr>
          </w:p>
        </w:tc>
        <w:tc>
          <w:tcPr>
            <w:tcW w:w="1020" w:type="dxa"/>
            <w:noWrap w:val="0"/>
            <w:vAlign w:val="top"/>
          </w:tcPr>
          <w:p w14:paraId="7179223E">
            <w:pPr>
              <w:pStyle w:val="38"/>
              <w:rPr>
                <w:rFonts w:ascii="Times New Roman" w:hAnsi="Times New Roman" w:eastAsia="仿宋_GB2312"/>
                <w:color w:val="auto"/>
                <w:sz w:val="30"/>
                <w:szCs w:val="30"/>
              </w:rPr>
            </w:pPr>
          </w:p>
        </w:tc>
        <w:tc>
          <w:tcPr>
            <w:tcW w:w="1480" w:type="dxa"/>
            <w:noWrap w:val="0"/>
            <w:vAlign w:val="top"/>
          </w:tcPr>
          <w:p w14:paraId="0BA89D44">
            <w:pPr>
              <w:pStyle w:val="38"/>
              <w:rPr>
                <w:rFonts w:ascii="Times New Roman" w:hAnsi="Times New Roman" w:eastAsia="仿宋_GB2312"/>
                <w:color w:val="auto"/>
                <w:sz w:val="30"/>
                <w:szCs w:val="30"/>
              </w:rPr>
            </w:pPr>
          </w:p>
        </w:tc>
        <w:tc>
          <w:tcPr>
            <w:tcW w:w="1020" w:type="dxa"/>
            <w:noWrap w:val="0"/>
            <w:vAlign w:val="top"/>
          </w:tcPr>
          <w:p w14:paraId="1E6829C5">
            <w:pPr>
              <w:pStyle w:val="38"/>
              <w:rPr>
                <w:rFonts w:ascii="Times New Roman" w:hAnsi="Times New Roman" w:eastAsia="仿宋_GB2312"/>
                <w:color w:val="auto"/>
                <w:sz w:val="30"/>
                <w:szCs w:val="30"/>
              </w:rPr>
            </w:pPr>
          </w:p>
        </w:tc>
        <w:tc>
          <w:tcPr>
            <w:tcW w:w="921" w:type="dxa"/>
            <w:noWrap w:val="0"/>
            <w:vAlign w:val="top"/>
          </w:tcPr>
          <w:p w14:paraId="6BDEB7BC">
            <w:pPr>
              <w:pStyle w:val="38"/>
              <w:rPr>
                <w:rFonts w:ascii="Times New Roman" w:hAnsi="Times New Roman" w:eastAsia="仿宋_GB2312"/>
                <w:color w:val="auto"/>
                <w:sz w:val="30"/>
                <w:szCs w:val="30"/>
              </w:rPr>
            </w:pPr>
          </w:p>
        </w:tc>
      </w:tr>
      <w:tr w14:paraId="2C1E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617FF74">
            <w:pPr>
              <w:pStyle w:val="38"/>
              <w:rPr>
                <w:rFonts w:ascii="Times New Roman" w:hAnsi="Times New Roman" w:eastAsia="仿宋_GB2312"/>
                <w:color w:val="auto"/>
                <w:sz w:val="30"/>
                <w:szCs w:val="30"/>
              </w:rPr>
            </w:pPr>
          </w:p>
        </w:tc>
        <w:tc>
          <w:tcPr>
            <w:tcW w:w="1418" w:type="dxa"/>
            <w:noWrap w:val="0"/>
            <w:vAlign w:val="top"/>
          </w:tcPr>
          <w:p w14:paraId="7B5A078A">
            <w:pPr>
              <w:pStyle w:val="38"/>
              <w:rPr>
                <w:rFonts w:ascii="Times New Roman" w:hAnsi="Times New Roman" w:eastAsia="仿宋_GB2312"/>
                <w:color w:val="auto"/>
                <w:sz w:val="30"/>
                <w:szCs w:val="30"/>
              </w:rPr>
            </w:pPr>
          </w:p>
        </w:tc>
        <w:tc>
          <w:tcPr>
            <w:tcW w:w="850" w:type="dxa"/>
            <w:noWrap w:val="0"/>
            <w:vAlign w:val="top"/>
          </w:tcPr>
          <w:p w14:paraId="4F8638C7">
            <w:pPr>
              <w:pStyle w:val="38"/>
              <w:rPr>
                <w:rFonts w:ascii="Times New Roman" w:hAnsi="Times New Roman" w:eastAsia="仿宋_GB2312"/>
                <w:color w:val="auto"/>
                <w:sz w:val="30"/>
                <w:szCs w:val="30"/>
              </w:rPr>
            </w:pPr>
          </w:p>
        </w:tc>
        <w:tc>
          <w:tcPr>
            <w:tcW w:w="1058" w:type="dxa"/>
            <w:noWrap w:val="0"/>
            <w:vAlign w:val="top"/>
          </w:tcPr>
          <w:p w14:paraId="1E802148">
            <w:pPr>
              <w:pStyle w:val="38"/>
              <w:rPr>
                <w:rFonts w:ascii="Times New Roman" w:hAnsi="Times New Roman" w:eastAsia="仿宋_GB2312"/>
                <w:color w:val="auto"/>
                <w:sz w:val="30"/>
                <w:szCs w:val="30"/>
              </w:rPr>
            </w:pPr>
          </w:p>
        </w:tc>
        <w:tc>
          <w:tcPr>
            <w:tcW w:w="880" w:type="dxa"/>
            <w:noWrap w:val="0"/>
            <w:vAlign w:val="top"/>
          </w:tcPr>
          <w:p w14:paraId="5CD07F4B">
            <w:pPr>
              <w:pStyle w:val="38"/>
              <w:rPr>
                <w:rFonts w:ascii="Times New Roman" w:hAnsi="Times New Roman" w:eastAsia="仿宋_GB2312"/>
                <w:color w:val="auto"/>
                <w:sz w:val="30"/>
                <w:szCs w:val="30"/>
              </w:rPr>
            </w:pPr>
          </w:p>
        </w:tc>
        <w:tc>
          <w:tcPr>
            <w:tcW w:w="1020" w:type="dxa"/>
            <w:noWrap w:val="0"/>
            <w:vAlign w:val="top"/>
          </w:tcPr>
          <w:p w14:paraId="0ED97C7A">
            <w:pPr>
              <w:pStyle w:val="38"/>
              <w:rPr>
                <w:rFonts w:ascii="Times New Roman" w:hAnsi="Times New Roman" w:eastAsia="仿宋_GB2312"/>
                <w:color w:val="auto"/>
                <w:sz w:val="30"/>
                <w:szCs w:val="30"/>
              </w:rPr>
            </w:pPr>
          </w:p>
        </w:tc>
        <w:tc>
          <w:tcPr>
            <w:tcW w:w="1480" w:type="dxa"/>
            <w:noWrap w:val="0"/>
            <w:vAlign w:val="top"/>
          </w:tcPr>
          <w:p w14:paraId="74F01180">
            <w:pPr>
              <w:pStyle w:val="38"/>
              <w:rPr>
                <w:rFonts w:ascii="Times New Roman" w:hAnsi="Times New Roman" w:eastAsia="仿宋_GB2312"/>
                <w:color w:val="auto"/>
                <w:sz w:val="30"/>
                <w:szCs w:val="30"/>
              </w:rPr>
            </w:pPr>
          </w:p>
        </w:tc>
        <w:tc>
          <w:tcPr>
            <w:tcW w:w="1020" w:type="dxa"/>
            <w:noWrap w:val="0"/>
            <w:vAlign w:val="top"/>
          </w:tcPr>
          <w:p w14:paraId="0504CC01">
            <w:pPr>
              <w:pStyle w:val="38"/>
              <w:rPr>
                <w:rFonts w:ascii="Times New Roman" w:hAnsi="Times New Roman" w:eastAsia="仿宋_GB2312"/>
                <w:color w:val="auto"/>
                <w:sz w:val="30"/>
                <w:szCs w:val="30"/>
              </w:rPr>
            </w:pPr>
          </w:p>
        </w:tc>
        <w:tc>
          <w:tcPr>
            <w:tcW w:w="921" w:type="dxa"/>
            <w:noWrap w:val="0"/>
            <w:vAlign w:val="top"/>
          </w:tcPr>
          <w:p w14:paraId="426870BB">
            <w:pPr>
              <w:pStyle w:val="38"/>
              <w:rPr>
                <w:rFonts w:ascii="Times New Roman" w:hAnsi="Times New Roman" w:eastAsia="仿宋_GB2312"/>
                <w:color w:val="auto"/>
                <w:sz w:val="30"/>
                <w:szCs w:val="30"/>
              </w:rPr>
            </w:pPr>
          </w:p>
        </w:tc>
      </w:tr>
      <w:tr w14:paraId="5C5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A0EC6E6">
            <w:pPr>
              <w:pStyle w:val="38"/>
              <w:rPr>
                <w:rFonts w:ascii="Times New Roman" w:hAnsi="Times New Roman" w:eastAsia="仿宋_GB2312"/>
                <w:color w:val="auto"/>
                <w:sz w:val="30"/>
                <w:szCs w:val="30"/>
              </w:rPr>
            </w:pPr>
          </w:p>
        </w:tc>
        <w:tc>
          <w:tcPr>
            <w:tcW w:w="1418" w:type="dxa"/>
            <w:noWrap w:val="0"/>
            <w:vAlign w:val="top"/>
          </w:tcPr>
          <w:p w14:paraId="25BCF066">
            <w:pPr>
              <w:pStyle w:val="38"/>
              <w:rPr>
                <w:rFonts w:ascii="Times New Roman" w:hAnsi="Times New Roman" w:eastAsia="仿宋_GB2312"/>
                <w:color w:val="auto"/>
                <w:sz w:val="30"/>
                <w:szCs w:val="30"/>
              </w:rPr>
            </w:pPr>
          </w:p>
        </w:tc>
        <w:tc>
          <w:tcPr>
            <w:tcW w:w="850" w:type="dxa"/>
            <w:noWrap w:val="0"/>
            <w:vAlign w:val="top"/>
          </w:tcPr>
          <w:p w14:paraId="66125C63">
            <w:pPr>
              <w:pStyle w:val="38"/>
              <w:rPr>
                <w:rFonts w:ascii="Times New Roman" w:hAnsi="Times New Roman" w:eastAsia="仿宋_GB2312"/>
                <w:color w:val="auto"/>
                <w:sz w:val="30"/>
                <w:szCs w:val="30"/>
              </w:rPr>
            </w:pPr>
          </w:p>
        </w:tc>
        <w:tc>
          <w:tcPr>
            <w:tcW w:w="1058" w:type="dxa"/>
            <w:noWrap w:val="0"/>
            <w:vAlign w:val="top"/>
          </w:tcPr>
          <w:p w14:paraId="6C71D509">
            <w:pPr>
              <w:pStyle w:val="38"/>
              <w:rPr>
                <w:rFonts w:ascii="Times New Roman" w:hAnsi="Times New Roman" w:eastAsia="仿宋_GB2312"/>
                <w:color w:val="auto"/>
                <w:sz w:val="30"/>
                <w:szCs w:val="30"/>
              </w:rPr>
            </w:pPr>
          </w:p>
        </w:tc>
        <w:tc>
          <w:tcPr>
            <w:tcW w:w="880" w:type="dxa"/>
            <w:noWrap w:val="0"/>
            <w:vAlign w:val="top"/>
          </w:tcPr>
          <w:p w14:paraId="1CFF8681">
            <w:pPr>
              <w:pStyle w:val="38"/>
              <w:rPr>
                <w:rFonts w:ascii="Times New Roman" w:hAnsi="Times New Roman" w:eastAsia="仿宋_GB2312"/>
                <w:color w:val="auto"/>
                <w:sz w:val="30"/>
                <w:szCs w:val="30"/>
              </w:rPr>
            </w:pPr>
          </w:p>
        </w:tc>
        <w:tc>
          <w:tcPr>
            <w:tcW w:w="1020" w:type="dxa"/>
            <w:noWrap w:val="0"/>
            <w:vAlign w:val="top"/>
          </w:tcPr>
          <w:p w14:paraId="069DCF59">
            <w:pPr>
              <w:pStyle w:val="38"/>
              <w:rPr>
                <w:rFonts w:ascii="Times New Roman" w:hAnsi="Times New Roman" w:eastAsia="仿宋_GB2312"/>
                <w:color w:val="auto"/>
                <w:sz w:val="30"/>
                <w:szCs w:val="30"/>
              </w:rPr>
            </w:pPr>
          </w:p>
        </w:tc>
        <w:tc>
          <w:tcPr>
            <w:tcW w:w="1480" w:type="dxa"/>
            <w:noWrap w:val="0"/>
            <w:vAlign w:val="top"/>
          </w:tcPr>
          <w:p w14:paraId="7BD5BE90">
            <w:pPr>
              <w:pStyle w:val="38"/>
              <w:rPr>
                <w:rFonts w:ascii="Times New Roman" w:hAnsi="Times New Roman" w:eastAsia="仿宋_GB2312"/>
                <w:color w:val="auto"/>
                <w:sz w:val="30"/>
                <w:szCs w:val="30"/>
              </w:rPr>
            </w:pPr>
          </w:p>
        </w:tc>
        <w:tc>
          <w:tcPr>
            <w:tcW w:w="1020" w:type="dxa"/>
            <w:noWrap w:val="0"/>
            <w:vAlign w:val="top"/>
          </w:tcPr>
          <w:p w14:paraId="4446092B">
            <w:pPr>
              <w:pStyle w:val="38"/>
              <w:rPr>
                <w:rFonts w:ascii="Times New Roman" w:hAnsi="Times New Roman" w:eastAsia="仿宋_GB2312"/>
                <w:color w:val="auto"/>
                <w:sz w:val="30"/>
                <w:szCs w:val="30"/>
              </w:rPr>
            </w:pPr>
          </w:p>
        </w:tc>
        <w:tc>
          <w:tcPr>
            <w:tcW w:w="921" w:type="dxa"/>
            <w:noWrap w:val="0"/>
            <w:vAlign w:val="top"/>
          </w:tcPr>
          <w:p w14:paraId="6E1FEF6C">
            <w:pPr>
              <w:pStyle w:val="38"/>
              <w:rPr>
                <w:rFonts w:ascii="Times New Roman" w:hAnsi="Times New Roman" w:eastAsia="仿宋_GB2312"/>
                <w:color w:val="auto"/>
                <w:sz w:val="30"/>
                <w:szCs w:val="30"/>
              </w:rPr>
            </w:pPr>
          </w:p>
        </w:tc>
      </w:tr>
      <w:tr w14:paraId="4B8C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1E75AAF">
            <w:pPr>
              <w:pStyle w:val="38"/>
              <w:rPr>
                <w:rFonts w:ascii="Times New Roman" w:hAnsi="Times New Roman" w:eastAsia="仿宋_GB2312"/>
                <w:color w:val="auto"/>
                <w:sz w:val="30"/>
                <w:szCs w:val="30"/>
              </w:rPr>
            </w:pPr>
          </w:p>
        </w:tc>
        <w:tc>
          <w:tcPr>
            <w:tcW w:w="1418" w:type="dxa"/>
            <w:noWrap w:val="0"/>
            <w:vAlign w:val="top"/>
          </w:tcPr>
          <w:p w14:paraId="76827FB7">
            <w:pPr>
              <w:pStyle w:val="38"/>
              <w:rPr>
                <w:rFonts w:ascii="Times New Roman" w:hAnsi="Times New Roman" w:eastAsia="仿宋_GB2312"/>
                <w:color w:val="auto"/>
                <w:sz w:val="30"/>
                <w:szCs w:val="30"/>
              </w:rPr>
            </w:pPr>
          </w:p>
        </w:tc>
        <w:tc>
          <w:tcPr>
            <w:tcW w:w="850" w:type="dxa"/>
            <w:noWrap w:val="0"/>
            <w:vAlign w:val="top"/>
          </w:tcPr>
          <w:p w14:paraId="18E379C5">
            <w:pPr>
              <w:pStyle w:val="38"/>
              <w:rPr>
                <w:rFonts w:ascii="Times New Roman" w:hAnsi="Times New Roman" w:eastAsia="仿宋_GB2312"/>
                <w:color w:val="auto"/>
                <w:sz w:val="30"/>
                <w:szCs w:val="30"/>
              </w:rPr>
            </w:pPr>
          </w:p>
        </w:tc>
        <w:tc>
          <w:tcPr>
            <w:tcW w:w="1058" w:type="dxa"/>
            <w:noWrap w:val="0"/>
            <w:vAlign w:val="top"/>
          </w:tcPr>
          <w:p w14:paraId="67779BFE">
            <w:pPr>
              <w:pStyle w:val="38"/>
              <w:rPr>
                <w:rFonts w:ascii="Times New Roman" w:hAnsi="Times New Roman" w:eastAsia="仿宋_GB2312"/>
                <w:color w:val="auto"/>
                <w:sz w:val="30"/>
                <w:szCs w:val="30"/>
              </w:rPr>
            </w:pPr>
          </w:p>
        </w:tc>
        <w:tc>
          <w:tcPr>
            <w:tcW w:w="880" w:type="dxa"/>
            <w:noWrap w:val="0"/>
            <w:vAlign w:val="top"/>
          </w:tcPr>
          <w:p w14:paraId="6DB4BD34">
            <w:pPr>
              <w:pStyle w:val="38"/>
              <w:rPr>
                <w:rFonts w:ascii="Times New Roman" w:hAnsi="Times New Roman" w:eastAsia="仿宋_GB2312"/>
                <w:color w:val="auto"/>
                <w:sz w:val="30"/>
                <w:szCs w:val="30"/>
              </w:rPr>
            </w:pPr>
          </w:p>
        </w:tc>
        <w:tc>
          <w:tcPr>
            <w:tcW w:w="1020" w:type="dxa"/>
            <w:noWrap w:val="0"/>
            <w:vAlign w:val="top"/>
          </w:tcPr>
          <w:p w14:paraId="0737FB65">
            <w:pPr>
              <w:pStyle w:val="38"/>
              <w:rPr>
                <w:rFonts w:ascii="Times New Roman" w:hAnsi="Times New Roman" w:eastAsia="仿宋_GB2312"/>
                <w:color w:val="auto"/>
                <w:sz w:val="30"/>
                <w:szCs w:val="30"/>
              </w:rPr>
            </w:pPr>
          </w:p>
        </w:tc>
        <w:tc>
          <w:tcPr>
            <w:tcW w:w="1480" w:type="dxa"/>
            <w:noWrap w:val="0"/>
            <w:vAlign w:val="top"/>
          </w:tcPr>
          <w:p w14:paraId="33C2FEF7">
            <w:pPr>
              <w:pStyle w:val="38"/>
              <w:rPr>
                <w:rFonts w:ascii="Times New Roman" w:hAnsi="Times New Roman" w:eastAsia="仿宋_GB2312"/>
                <w:color w:val="auto"/>
                <w:sz w:val="30"/>
                <w:szCs w:val="30"/>
              </w:rPr>
            </w:pPr>
          </w:p>
        </w:tc>
        <w:tc>
          <w:tcPr>
            <w:tcW w:w="1020" w:type="dxa"/>
            <w:noWrap w:val="0"/>
            <w:vAlign w:val="top"/>
          </w:tcPr>
          <w:p w14:paraId="17B8B61E">
            <w:pPr>
              <w:pStyle w:val="38"/>
              <w:rPr>
                <w:rFonts w:ascii="Times New Roman" w:hAnsi="Times New Roman" w:eastAsia="仿宋_GB2312"/>
                <w:color w:val="auto"/>
                <w:sz w:val="30"/>
                <w:szCs w:val="30"/>
              </w:rPr>
            </w:pPr>
          </w:p>
        </w:tc>
        <w:tc>
          <w:tcPr>
            <w:tcW w:w="921" w:type="dxa"/>
            <w:noWrap w:val="0"/>
            <w:vAlign w:val="top"/>
          </w:tcPr>
          <w:p w14:paraId="0AB7E7D7">
            <w:pPr>
              <w:pStyle w:val="38"/>
              <w:rPr>
                <w:rFonts w:ascii="Times New Roman" w:hAnsi="Times New Roman" w:eastAsia="仿宋_GB2312"/>
                <w:color w:val="auto"/>
                <w:sz w:val="30"/>
                <w:szCs w:val="30"/>
              </w:rPr>
            </w:pPr>
          </w:p>
        </w:tc>
      </w:tr>
      <w:tr w14:paraId="78F0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B552374">
            <w:pPr>
              <w:pStyle w:val="38"/>
              <w:rPr>
                <w:rFonts w:ascii="Times New Roman" w:hAnsi="Times New Roman" w:eastAsia="仿宋_GB2312"/>
                <w:color w:val="auto"/>
                <w:sz w:val="30"/>
                <w:szCs w:val="30"/>
              </w:rPr>
            </w:pPr>
          </w:p>
        </w:tc>
        <w:tc>
          <w:tcPr>
            <w:tcW w:w="1418" w:type="dxa"/>
            <w:noWrap w:val="0"/>
            <w:vAlign w:val="top"/>
          </w:tcPr>
          <w:p w14:paraId="440B326D">
            <w:pPr>
              <w:pStyle w:val="38"/>
              <w:rPr>
                <w:rFonts w:ascii="Times New Roman" w:hAnsi="Times New Roman" w:eastAsia="仿宋_GB2312"/>
                <w:color w:val="auto"/>
                <w:sz w:val="30"/>
                <w:szCs w:val="30"/>
              </w:rPr>
            </w:pPr>
          </w:p>
        </w:tc>
        <w:tc>
          <w:tcPr>
            <w:tcW w:w="850" w:type="dxa"/>
            <w:noWrap w:val="0"/>
            <w:vAlign w:val="top"/>
          </w:tcPr>
          <w:p w14:paraId="30E54074">
            <w:pPr>
              <w:pStyle w:val="38"/>
              <w:rPr>
                <w:rFonts w:ascii="Times New Roman" w:hAnsi="Times New Roman" w:eastAsia="仿宋_GB2312"/>
                <w:color w:val="auto"/>
                <w:sz w:val="30"/>
                <w:szCs w:val="30"/>
              </w:rPr>
            </w:pPr>
          </w:p>
        </w:tc>
        <w:tc>
          <w:tcPr>
            <w:tcW w:w="1058" w:type="dxa"/>
            <w:noWrap w:val="0"/>
            <w:vAlign w:val="top"/>
          </w:tcPr>
          <w:p w14:paraId="3619E7C0">
            <w:pPr>
              <w:pStyle w:val="38"/>
              <w:rPr>
                <w:rFonts w:ascii="Times New Roman" w:hAnsi="Times New Roman" w:eastAsia="仿宋_GB2312"/>
                <w:color w:val="auto"/>
                <w:sz w:val="30"/>
                <w:szCs w:val="30"/>
              </w:rPr>
            </w:pPr>
          </w:p>
        </w:tc>
        <w:tc>
          <w:tcPr>
            <w:tcW w:w="880" w:type="dxa"/>
            <w:noWrap w:val="0"/>
            <w:vAlign w:val="top"/>
          </w:tcPr>
          <w:p w14:paraId="657DDD92">
            <w:pPr>
              <w:pStyle w:val="38"/>
              <w:rPr>
                <w:rFonts w:ascii="Times New Roman" w:hAnsi="Times New Roman" w:eastAsia="仿宋_GB2312"/>
                <w:color w:val="auto"/>
                <w:sz w:val="30"/>
                <w:szCs w:val="30"/>
              </w:rPr>
            </w:pPr>
          </w:p>
        </w:tc>
        <w:tc>
          <w:tcPr>
            <w:tcW w:w="1020" w:type="dxa"/>
            <w:noWrap w:val="0"/>
            <w:vAlign w:val="top"/>
          </w:tcPr>
          <w:p w14:paraId="7C215C84">
            <w:pPr>
              <w:pStyle w:val="38"/>
              <w:rPr>
                <w:rFonts w:ascii="Times New Roman" w:hAnsi="Times New Roman" w:eastAsia="仿宋_GB2312"/>
                <w:color w:val="auto"/>
                <w:sz w:val="30"/>
                <w:szCs w:val="30"/>
              </w:rPr>
            </w:pPr>
          </w:p>
        </w:tc>
        <w:tc>
          <w:tcPr>
            <w:tcW w:w="1480" w:type="dxa"/>
            <w:noWrap w:val="0"/>
            <w:vAlign w:val="top"/>
          </w:tcPr>
          <w:p w14:paraId="357AA8F2">
            <w:pPr>
              <w:pStyle w:val="38"/>
              <w:rPr>
                <w:rFonts w:ascii="Times New Roman" w:hAnsi="Times New Roman" w:eastAsia="仿宋_GB2312"/>
                <w:color w:val="auto"/>
                <w:sz w:val="30"/>
                <w:szCs w:val="30"/>
              </w:rPr>
            </w:pPr>
          </w:p>
        </w:tc>
        <w:tc>
          <w:tcPr>
            <w:tcW w:w="1020" w:type="dxa"/>
            <w:noWrap w:val="0"/>
            <w:vAlign w:val="top"/>
          </w:tcPr>
          <w:p w14:paraId="0515C0D0">
            <w:pPr>
              <w:pStyle w:val="38"/>
              <w:rPr>
                <w:rFonts w:ascii="Times New Roman" w:hAnsi="Times New Roman" w:eastAsia="仿宋_GB2312"/>
                <w:color w:val="auto"/>
                <w:sz w:val="30"/>
                <w:szCs w:val="30"/>
              </w:rPr>
            </w:pPr>
          </w:p>
        </w:tc>
        <w:tc>
          <w:tcPr>
            <w:tcW w:w="921" w:type="dxa"/>
            <w:noWrap w:val="0"/>
            <w:vAlign w:val="top"/>
          </w:tcPr>
          <w:p w14:paraId="5E58A5D5">
            <w:pPr>
              <w:pStyle w:val="38"/>
              <w:rPr>
                <w:rFonts w:ascii="Times New Roman" w:hAnsi="Times New Roman" w:eastAsia="仿宋_GB2312"/>
                <w:color w:val="auto"/>
                <w:sz w:val="30"/>
                <w:szCs w:val="30"/>
              </w:rPr>
            </w:pPr>
          </w:p>
        </w:tc>
      </w:tr>
      <w:tr w14:paraId="38D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970F5CE">
            <w:pPr>
              <w:pStyle w:val="38"/>
              <w:rPr>
                <w:rFonts w:ascii="Times New Roman" w:hAnsi="Times New Roman" w:eastAsia="仿宋_GB2312"/>
                <w:color w:val="auto"/>
                <w:sz w:val="30"/>
                <w:szCs w:val="30"/>
              </w:rPr>
            </w:pPr>
          </w:p>
        </w:tc>
        <w:tc>
          <w:tcPr>
            <w:tcW w:w="1418" w:type="dxa"/>
            <w:noWrap w:val="0"/>
            <w:vAlign w:val="top"/>
          </w:tcPr>
          <w:p w14:paraId="1870BE00">
            <w:pPr>
              <w:pStyle w:val="38"/>
              <w:rPr>
                <w:rFonts w:ascii="Times New Roman" w:hAnsi="Times New Roman" w:eastAsia="仿宋_GB2312"/>
                <w:color w:val="auto"/>
                <w:sz w:val="30"/>
                <w:szCs w:val="30"/>
              </w:rPr>
            </w:pPr>
          </w:p>
        </w:tc>
        <w:tc>
          <w:tcPr>
            <w:tcW w:w="850" w:type="dxa"/>
            <w:noWrap w:val="0"/>
            <w:vAlign w:val="top"/>
          </w:tcPr>
          <w:p w14:paraId="2DBC154A">
            <w:pPr>
              <w:pStyle w:val="38"/>
              <w:rPr>
                <w:rFonts w:ascii="Times New Roman" w:hAnsi="Times New Roman" w:eastAsia="仿宋_GB2312"/>
                <w:color w:val="auto"/>
                <w:sz w:val="30"/>
                <w:szCs w:val="30"/>
              </w:rPr>
            </w:pPr>
          </w:p>
        </w:tc>
        <w:tc>
          <w:tcPr>
            <w:tcW w:w="1058" w:type="dxa"/>
            <w:noWrap w:val="0"/>
            <w:vAlign w:val="top"/>
          </w:tcPr>
          <w:p w14:paraId="75412751">
            <w:pPr>
              <w:pStyle w:val="38"/>
              <w:rPr>
                <w:rFonts w:ascii="Times New Roman" w:hAnsi="Times New Roman" w:eastAsia="仿宋_GB2312"/>
                <w:color w:val="auto"/>
                <w:sz w:val="30"/>
                <w:szCs w:val="30"/>
              </w:rPr>
            </w:pPr>
          </w:p>
        </w:tc>
        <w:tc>
          <w:tcPr>
            <w:tcW w:w="880" w:type="dxa"/>
            <w:noWrap w:val="0"/>
            <w:vAlign w:val="top"/>
          </w:tcPr>
          <w:p w14:paraId="42F5B731">
            <w:pPr>
              <w:pStyle w:val="38"/>
              <w:rPr>
                <w:rFonts w:ascii="Times New Roman" w:hAnsi="Times New Roman" w:eastAsia="仿宋_GB2312"/>
                <w:color w:val="auto"/>
                <w:sz w:val="30"/>
                <w:szCs w:val="30"/>
              </w:rPr>
            </w:pPr>
          </w:p>
        </w:tc>
        <w:tc>
          <w:tcPr>
            <w:tcW w:w="1020" w:type="dxa"/>
            <w:noWrap w:val="0"/>
            <w:vAlign w:val="top"/>
          </w:tcPr>
          <w:p w14:paraId="78874371">
            <w:pPr>
              <w:pStyle w:val="38"/>
              <w:rPr>
                <w:rFonts w:ascii="Times New Roman" w:hAnsi="Times New Roman" w:eastAsia="仿宋_GB2312"/>
                <w:color w:val="auto"/>
                <w:sz w:val="30"/>
                <w:szCs w:val="30"/>
              </w:rPr>
            </w:pPr>
          </w:p>
        </w:tc>
        <w:tc>
          <w:tcPr>
            <w:tcW w:w="1480" w:type="dxa"/>
            <w:noWrap w:val="0"/>
            <w:vAlign w:val="top"/>
          </w:tcPr>
          <w:p w14:paraId="43482C7A">
            <w:pPr>
              <w:pStyle w:val="38"/>
              <w:rPr>
                <w:rFonts w:ascii="Times New Roman" w:hAnsi="Times New Roman" w:eastAsia="仿宋_GB2312"/>
                <w:color w:val="auto"/>
                <w:sz w:val="30"/>
                <w:szCs w:val="30"/>
              </w:rPr>
            </w:pPr>
          </w:p>
        </w:tc>
        <w:tc>
          <w:tcPr>
            <w:tcW w:w="1020" w:type="dxa"/>
            <w:noWrap w:val="0"/>
            <w:vAlign w:val="top"/>
          </w:tcPr>
          <w:p w14:paraId="41F23BD8">
            <w:pPr>
              <w:pStyle w:val="38"/>
              <w:rPr>
                <w:rFonts w:ascii="Times New Roman" w:hAnsi="Times New Roman" w:eastAsia="仿宋_GB2312"/>
                <w:color w:val="auto"/>
                <w:sz w:val="30"/>
                <w:szCs w:val="30"/>
              </w:rPr>
            </w:pPr>
          </w:p>
        </w:tc>
        <w:tc>
          <w:tcPr>
            <w:tcW w:w="921" w:type="dxa"/>
            <w:noWrap w:val="0"/>
            <w:vAlign w:val="top"/>
          </w:tcPr>
          <w:p w14:paraId="5B822711">
            <w:pPr>
              <w:pStyle w:val="38"/>
              <w:rPr>
                <w:rFonts w:ascii="Times New Roman" w:hAnsi="Times New Roman" w:eastAsia="仿宋_GB2312"/>
                <w:color w:val="auto"/>
                <w:sz w:val="30"/>
                <w:szCs w:val="30"/>
              </w:rPr>
            </w:pPr>
          </w:p>
        </w:tc>
      </w:tr>
    </w:tbl>
    <w:p w14:paraId="38FA3813">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6918A10C">
      <w:pPr>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w:t>
      </w:r>
      <w:bookmarkStart w:id="1183" w:name="_Toc296944567"/>
      <w:bookmarkStart w:id="1184" w:name="_Toc296346729"/>
      <w:bookmarkStart w:id="1185" w:name="_Toc296891056"/>
      <w:bookmarkStart w:id="1186" w:name="_Toc296503228"/>
      <w:bookmarkStart w:id="1187" w:name="_Toc296347227"/>
      <w:bookmarkStart w:id="1188" w:name="_Toc296891268"/>
      <w:bookmarkStart w:id="1189" w:name="_Toc26726169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5</w:t>
      </w:r>
      <w:r>
        <w:rPr>
          <w:rFonts w:hint="eastAsia" w:ascii="Times New Roman" w:hAnsi="Times New Roman" w:eastAsia="仿宋_GB2312" w:cs="仿宋_GB2312"/>
          <w:color w:val="auto"/>
          <w:sz w:val="30"/>
          <w:szCs w:val="30"/>
        </w:rPr>
        <w:t>：</w:t>
      </w:r>
    </w:p>
    <w:bookmarkEnd w:id="1183"/>
    <w:bookmarkEnd w:id="1184"/>
    <w:bookmarkEnd w:id="1185"/>
    <w:bookmarkEnd w:id="1186"/>
    <w:bookmarkEnd w:id="1187"/>
    <w:bookmarkEnd w:id="1188"/>
    <w:bookmarkEnd w:id="1189"/>
    <w:p w14:paraId="01E7B883">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承包人主要施工管理人员表</w:t>
      </w:r>
    </w:p>
    <w:tbl>
      <w:tblPr>
        <w:tblStyle w:val="2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387"/>
        <w:gridCol w:w="1176"/>
        <w:gridCol w:w="3957"/>
      </w:tblGrid>
      <w:tr w14:paraId="7BA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2EFF3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642598C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387" w:type="dxa"/>
            <w:noWrap w:val="0"/>
            <w:vAlign w:val="center"/>
          </w:tcPr>
          <w:p w14:paraId="7AA91EF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76" w:type="dxa"/>
            <w:noWrap w:val="0"/>
            <w:vAlign w:val="center"/>
          </w:tcPr>
          <w:p w14:paraId="41E828C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3957" w:type="dxa"/>
            <w:noWrap w:val="0"/>
            <w:vAlign w:val="center"/>
          </w:tcPr>
          <w:p w14:paraId="2ADFD8DB">
            <w:pPr>
              <w:pStyle w:val="38"/>
              <w:keepNext/>
              <w:adjustRightInd w:val="0"/>
              <w:spacing w:line="440" w:lineRule="exact"/>
              <w:ind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计划进场时间</w:t>
            </w:r>
          </w:p>
        </w:tc>
      </w:tr>
      <w:tr w14:paraId="72C9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6F05506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4B61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7C0BCF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3791667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579621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23D4902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3C60A11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37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5CE912E">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0584FD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3D3966E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088C9C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11A936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85F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43BAA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F62541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59BB53F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121C6B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68FDB33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01B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31970C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641FD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146029C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3B42B36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5D30440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6C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46E9C00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16D2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9DB3AF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02428294">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DE8C600">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43C57B6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0B3220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11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E5F305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03B55F1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4CB8B9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69BFDF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260C3E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18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BAE2C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2829A13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858DC8A">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ED3B10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6A23279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00C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BF0F4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5C5970E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A8D30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ED8A02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E346C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45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7F585A6">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61885B2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280829F">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2D45F8E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85FD7A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41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448FC86">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539030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6DFE6B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1DEE7FB">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3848B01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8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49EA7E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E4E0AB">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06F0A3C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52C2695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EBB4CD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858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4A0DCC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4BE53C18">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F6A7B6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454B940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0824547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F3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7A793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76536E46">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6D8CDB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1BD0D04D">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849379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B6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AAC07D7">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75B62C89">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1A1515C4">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78827CE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12BF22C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32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0DFAB4D">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F9D1125">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3E75FFB1">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738FBDF">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780EB2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76B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44F82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EBB5B27">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524A5682">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75A99EF3">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4EFDA97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DF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9F1806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9D4B9F8">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6709B308">
            <w:pPr>
              <w:pStyle w:val="38"/>
              <w:keepNext/>
              <w:adjustRightInd w:val="0"/>
              <w:spacing w:line="440" w:lineRule="exact"/>
              <w:ind w:left="63" w:leftChars="30" w:right="63" w:rightChars="30"/>
              <w:jc w:val="center"/>
              <w:textAlignment w:val="baseline"/>
              <w:rPr>
                <w:rFonts w:hint="eastAsia" w:ascii="Times New Roman" w:hAnsi="Times New Roman" w:eastAsia="仿宋_GB2312" w:cs="Times New Roman"/>
                <w:color w:val="auto"/>
                <w:sz w:val="28"/>
                <w:szCs w:val="28"/>
                <w:lang w:eastAsia="zh-CN"/>
              </w:rPr>
            </w:pPr>
          </w:p>
        </w:tc>
        <w:tc>
          <w:tcPr>
            <w:tcW w:w="1176" w:type="dxa"/>
            <w:noWrap w:val="0"/>
            <w:vAlign w:val="center"/>
          </w:tcPr>
          <w:p w14:paraId="678FF900">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B0CD6C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B5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1F7673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3DCCF4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387" w:type="dxa"/>
            <w:noWrap w:val="0"/>
            <w:vAlign w:val="center"/>
          </w:tcPr>
          <w:p w14:paraId="432F7A3A">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1176" w:type="dxa"/>
            <w:noWrap w:val="0"/>
            <w:vAlign w:val="center"/>
          </w:tcPr>
          <w:p w14:paraId="392BA03E">
            <w:pPr>
              <w:pStyle w:val="38"/>
              <w:keepNext/>
              <w:adjustRightInd w:val="0"/>
              <w:spacing w:line="440" w:lineRule="exact"/>
              <w:ind w:left="63" w:leftChars="30" w:right="63" w:rightChars="30"/>
              <w:jc w:val="center"/>
              <w:textAlignment w:val="baseline"/>
              <w:rPr>
                <w:rFonts w:ascii="Times New Roman" w:hAnsi="Times New Roman" w:eastAsia="仿宋_GB2312" w:cs="Times New Roman"/>
                <w:color w:val="auto"/>
                <w:sz w:val="28"/>
                <w:szCs w:val="28"/>
              </w:rPr>
            </w:pPr>
          </w:p>
        </w:tc>
        <w:tc>
          <w:tcPr>
            <w:tcW w:w="3957" w:type="dxa"/>
            <w:noWrap w:val="0"/>
            <w:vAlign w:val="center"/>
          </w:tcPr>
          <w:p w14:paraId="5D57BDF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555A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751C2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F8D5C4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29023AD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7D83819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75114A1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C5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6CF5D9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6ABA8D4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387" w:type="dxa"/>
            <w:noWrap w:val="0"/>
            <w:vAlign w:val="center"/>
          </w:tcPr>
          <w:p w14:paraId="4DA8A62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76" w:type="dxa"/>
            <w:noWrap w:val="0"/>
            <w:vAlign w:val="center"/>
          </w:tcPr>
          <w:p w14:paraId="1A5AD4C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3957" w:type="dxa"/>
            <w:noWrap w:val="0"/>
            <w:vAlign w:val="center"/>
          </w:tcPr>
          <w:p w14:paraId="4A29230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50C66092">
      <w:pPr>
        <w:pStyle w:val="38"/>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r>
        <w:rPr>
          <w:rFonts w:hint="eastAsia" w:ascii="Times New Roman" w:hAnsi="Times New Roman" w:eastAsia="仿宋_GB2312" w:cs="仿宋_GB2312"/>
          <w:color w:val="auto"/>
          <w:sz w:val="30"/>
          <w:szCs w:val="30"/>
        </w:rPr>
        <w:t>附</w:t>
      </w:r>
      <w:bookmarkStart w:id="1190" w:name="_Toc296944568"/>
      <w:bookmarkStart w:id="1191" w:name="_Toc296346730"/>
      <w:bookmarkStart w:id="1192" w:name="_Toc296891057"/>
      <w:bookmarkStart w:id="1193" w:name="_Toc296347228"/>
      <w:bookmarkStart w:id="1194" w:name="_Toc296891269"/>
      <w:bookmarkStart w:id="1195" w:name="_Toc29650322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6</w:t>
      </w:r>
      <w:r>
        <w:rPr>
          <w:rFonts w:hint="eastAsia" w:ascii="Times New Roman" w:hAnsi="Times New Roman" w:eastAsia="仿宋_GB2312" w:cs="仿宋_GB2312"/>
          <w:color w:val="auto"/>
          <w:sz w:val="30"/>
          <w:szCs w:val="30"/>
        </w:rPr>
        <w:t>：</w:t>
      </w:r>
    </w:p>
    <w:bookmarkEnd w:id="1190"/>
    <w:bookmarkEnd w:id="1191"/>
    <w:bookmarkEnd w:id="1192"/>
    <w:bookmarkEnd w:id="1193"/>
    <w:bookmarkEnd w:id="1194"/>
    <w:bookmarkEnd w:id="1195"/>
    <w:p w14:paraId="287FF214">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分包人主要施工管理人员表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A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0ADB52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名</w:t>
            </w:r>
            <w:r>
              <w:rPr>
                <w:rFonts w:ascii="Times New Roman" w:hAnsi="Times New Roman" w:eastAsia="仿宋_GB2312"/>
                <w:color w:val="auto"/>
                <w:sz w:val="28"/>
                <w:szCs w:val="28"/>
              </w:rPr>
              <w:t xml:space="preserve">    </w:t>
            </w:r>
            <w:r>
              <w:rPr>
                <w:rFonts w:hint="eastAsia" w:ascii="Times New Roman" w:hAnsi="Times New Roman" w:eastAsia="仿宋_GB2312" w:cs="仿宋_GB2312"/>
                <w:color w:val="auto"/>
                <w:sz w:val="28"/>
                <w:szCs w:val="28"/>
              </w:rPr>
              <w:t>称</w:t>
            </w:r>
          </w:p>
        </w:tc>
        <w:tc>
          <w:tcPr>
            <w:tcW w:w="1418" w:type="dxa"/>
            <w:noWrap w:val="0"/>
            <w:vAlign w:val="center"/>
          </w:tcPr>
          <w:p w14:paraId="1C8D39F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姓名</w:t>
            </w:r>
          </w:p>
        </w:tc>
        <w:tc>
          <w:tcPr>
            <w:tcW w:w="1134" w:type="dxa"/>
            <w:noWrap w:val="0"/>
            <w:vAlign w:val="center"/>
          </w:tcPr>
          <w:p w14:paraId="20EDA00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职务</w:t>
            </w:r>
          </w:p>
        </w:tc>
        <w:tc>
          <w:tcPr>
            <w:tcW w:w="1134" w:type="dxa"/>
            <w:noWrap w:val="0"/>
            <w:vAlign w:val="center"/>
          </w:tcPr>
          <w:p w14:paraId="3926BE2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职称</w:t>
            </w:r>
          </w:p>
        </w:tc>
        <w:tc>
          <w:tcPr>
            <w:tcW w:w="4252" w:type="dxa"/>
            <w:noWrap w:val="0"/>
            <w:vAlign w:val="center"/>
          </w:tcPr>
          <w:p w14:paraId="19D4348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r>
              <w:rPr>
                <w:rFonts w:hint="eastAsia" w:ascii="Times New Roman" w:hAnsi="Times New Roman" w:eastAsia="仿宋_GB2312" w:cs="仿宋_GB2312"/>
                <w:color w:val="auto"/>
                <w:sz w:val="30"/>
                <w:szCs w:val="30"/>
              </w:rPr>
              <w:t>主要资历、经验及承担过的项目</w:t>
            </w:r>
          </w:p>
        </w:tc>
      </w:tr>
      <w:tr w14:paraId="093C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F3319B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一、总部人员</w:t>
            </w:r>
          </w:p>
        </w:tc>
      </w:tr>
      <w:tr w14:paraId="6FC5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DFC44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项目主管</w:t>
            </w:r>
          </w:p>
        </w:tc>
        <w:tc>
          <w:tcPr>
            <w:tcW w:w="1418" w:type="dxa"/>
            <w:noWrap w:val="0"/>
            <w:vAlign w:val="center"/>
          </w:tcPr>
          <w:p w14:paraId="1796906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8279DF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BCF564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01C40F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3A0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CA5DBDF">
            <w:pPr>
              <w:pStyle w:val="38"/>
              <w:keepNext/>
              <w:adjustRightInd w:val="0"/>
              <w:spacing w:after="60"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77F0A4D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CEBAAE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387CDC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F13BB5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9B2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8098C2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306D2CE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6ABA66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32CEDA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91422F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7B3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22762B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777F36E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18004F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A61117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7AC4C0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3A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1DCBE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二、现场人员</w:t>
            </w:r>
          </w:p>
        </w:tc>
      </w:tr>
      <w:tr w14:paraId="2620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B7DF8E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项目经理</w:t>
            </w:r>
          </w:p>
        </w:tc>
        <w:tc>
          <w:tcPr>
            <w:tcW w:w="1418" w:type="dxa"/>
            <w:noWrap w:val="0"/>
            <w:vAlign w:val="center"/>
          </w:tcPr>
          <w:p w14:paraId="4B3C71F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EDB084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2CF13A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77AD173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EC8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5E1EF1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项目副经理</w:t>
            </w:r>
          </w:p>
        </w:tc>
        <w:tc>
          <w:tcPr>
            <w:tcW w:w="1418" w:type="dxa"/>
            <w:noWrap w:val="0"/>
            <w:vAlign w:val="center"/>
          </w:tcPr>
          <w:p w14:paraId="65546E9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9B9910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1934FF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F33B6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209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F58CDF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技术负责人</w:t>
            </w:r>
          </w:p>
        </w:tc>
        <w:tc>
          <w:tcPr>
            <w:tcW w:w="1418" w:type="dxa"/>
            <w:noWrap w:val="0"/>
            <w:vAlign w:val="center"/>
          </w:tcPr>
          <w:p w14:paraId="73D4E0E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884E03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558ACE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0DFE36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0FB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622FF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造价管理</w:t>
            </w:r>
          </w:p>
        </w:tc>
        <w:tc>
          <w:tcPr>
            <w:tcW w:w="1418" w:type="dxa"/>
            <w:noWrap w:val="0"/>
            <w:vAlign w:val="center"/>
          </w:tcPr>
          <w:p w14:paraId="405CCE5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16CDE5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4BB888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4341A6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4674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B4735E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质量管理</w:t>
            </w:r>
          </w:p>
        </w:tc>
        <w:tc>
          <w:tcPr>
            <w:tcW w:w="1418" w:type="dxa"/>
            <w:noWrap w:val="0"/>
            <w:vAlign w:val="center"/>
          </w:tcPr>
          <w:p w14:paraId="76F6BC3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18D8787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B46259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CC894E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590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214F49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材料管理</w:t>
            </w:r>
          </w:p>
        </w:tc>
        <w:tc>
          <w:tcPr>
            <w:tcW w:w="1418" w:type="dxa"/>
            <w:noWrap w:val="0"/>
            <w:vAlign w:val="center"/>
          </w:tcPr>
          <w:p w14:paraId="16E4B02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E639BD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D6D6B8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1068F4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0E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DD0447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计划管理</w:t>
            </w:r>
          </w:p>
        </w:tc>
        <w:tc>
          <w:tcPr>
            <w:tcW w:w="1418" w:type="dxa"/>
            <w:noWrap w:val="0"/>
            <w:vAlign w:val="center"/>
          </w:tcPr>
          <w:p w14:paraId="381BA83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76CE085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437AA4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F5D0CF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2B0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36046E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安全管理</w:t>
            </w:r>
          </w:p>
        </w:tc>
        <w:tc>
          <w:tcPr>
            <w:tcW w:w="1418" w:type="dxa"/>
            <w:noWrap w:val="0"/>
            <w:vAlign w:val="center"/>
          </w:tcPr>
          <w:p w14:paraId="4F56C4B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1F7D6A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8092E39">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3D4A053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8E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01B91DF">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r>
              <w:rPr>
                <w:rFonts w:hint="eastAsia" w:ascii="Times New Roman" w:hAnsi="Times New Roman" w:eastAsia="仿宋_GB2312" w:cs="仿宋_GB2312"/>
                <w:color w:val="auto"/>
                <w:sz w:val="28"/>
                <w:szCs w:val="28"/>
              </w:rPr>
              <w:t>其他人员</w:t>
            </w:r>
          </w:p>
        </w:tc>
        <w:tc>
          <w:tcPr>
            <w:tcW w:w="1418" w:type="dxa"/>
            <w:noWrap w:val="0"/>
            <w:vAlign w:val="center"/>
          </w:tcPr>
          <w:p w14:paraId="3CBA167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AEE4CAD">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3F31EEB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4D3947C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3F6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EDCB9A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2C57F7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44BC623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7912384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110A079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1883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E05CAF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28810B03">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582DEA08">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4680A19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6EEB5C77">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09CB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22D14E6">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06FC7AA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31C9AA02">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2F3EEBF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5AC6AD1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797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FDD43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1A638891">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22C97175">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561FFD80">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2EB62A6A">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r w14:paraId="63F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A15443C">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418" w:type="dxa"/>
            <w:noWrap w:val="0"/>
            <w:vAlign w:val="center"/>
          </w:tcPr>
          <w:p w14:paraId="43A7F0C4">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28"/>
                <w:szCs w:val="28"/>
              </w:rPr>
            </w:pPr>
          </w:p>
        </w:tc>
        <w:tc>
          <w:tcPr>
            <w:tcW w:w="1134" w:type="dxa"/>
            <w:noWrap w:val="0"/>
            <w:vAlign w:val="center"/>
          </w:tcPr>
          <w:p w14:paraId="061B929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1134" w:type="dxa"/>
            <w:noWrap w:val="0"/>
            <w:vAlign w:val="center"/>
          </w:tcPr>
          <w:p w14:paraId="1A48C19B">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c>
          <w:tcPr>
            <w:tcW w:w="4252" w:type="dxa"/>
            <w:noWrap w:val="0"/>
            <w:vAlign w:val="center"/>
          </w:tcPr>
          <w:p w14:paraId="003E954E">
            <w:pPr>
              <w:pStyle w:val="38"/>
              <w:keepNext/>
              <w:adjustRightInd w:val="0"/>
              <w:spacing w:line="440" w:lineRule="exact"/>
              <w:ind w:left="63" w:leftChars="30" w:right="63" w:rightChars="30"/>
              <w:jc w:val="center"/>
              <w:textAlignment w:val="baseline"/>
              <w:rPr>
                <w:rFonts w:ascii="Times New Roman" w:hAnsi="Times New Roman" w:eastAsia="仿宋_GB2312"/>
                <w:color w:val="auto"/>
                <w:sz w:val="30"/>
                <w:szCs w:val="30"/>
              </w:rPr>
            </w:pPr>
          </w:p>
        </w:tc>
      </w:tr>
    </w:tbl>
    <w:p w14:paraId="4989E6A2">
      <w:pPr>
        <w:pStyle w:val="38"/>
        <w:spacing w:line="440" w:lineRule="exact"/>
        <w:ind w:firstLine="600" w:firstLineChars="200"/>
        <w:rPr>
          <w:rFonts w:ascii="Times New Roman" w:hAnsi="Times New Roman" w:eastAsia="黑体"/>
          <w:color w:val="auto"/>
          <w:sz w:val="30"/>
          <w:szCs w:val="30"/>
        </w:rPr>
      </w:pPr>
      <w:r>
        <w:rPr>
          <w:rFonts w:ascii="Times New Roman" w:hAnsi="Times New Roman" w:eastAsia="仿宋_GB2312"/>
          <w:color w:val="auto"/>
          <w:sz w:val="30"/>
          <w:szCs w:val="30"/>
        </w:rPr>
        <w:br w:type="page"/>
      </w:r>
      <w:bookmarkStart w:id="1196" w:name="_Toc267261701"/>
      <w:r>
        <w:rPr>
          <w:rFonts w:hint="eastAsia" w:ascii="Times New Roman" w:hAnsi="Times New Roman" w:eastAsia="仿宋_GB2312" w:cs="仿宋_GB2312"/>
          <w:color w:val="auto"/>
          <w:sz w:val="30"/>
          <w:szCs w:val="30"/>
        </w:rPr>
        <w:t>附</w:t>
      </w:r>
      <w:bookmarkStart w:id="1197" w:name="_Toc296944570"/>
      <w:bookmarkStart w:id="1198" w:name="_Toc296891271"/>
      <w:bookmarkStart w:id="1199" w:name="_Toc296347230"/>
      <w:bookmarkStart w:id="1200" w:name="_Toc296503231"/>
      <w:bookmarkStart w:id="1201" w:name="_Toc296346732"/>
      <w:bookmarkStart w:id="1202" w:name="_Toc296891059"/>
      <w:r>
        <w:rPr>
          <w:rFonts w:hint="eastAsia" w:ascii="Times New Roman" w:hAnsi="Times New Roman" w:eastAsia="仿宋_GB2312" w:cs="仿宋_GB2312"/>
          <w:color w:val="auto"/>
          <w:sz w:val="30"/>
          <w:szCs w:val="30"/>
        </w:rPr>
        <w:t>件</w:t>
      </w:r>
      <w:r>
        <w:rPr>
          <w:rFonts w:hint="eastAsia" w:ascii="Times New Roman" w:hAnsi="Times New Roman" w:eastAsia="仿宋_GB2312"/>
          <w:color w:val="auto"/>
          <w:sz w:val="30"/>
          <w:szCs w:val="30"/>
        </w:rPr>
        <w:t>7</w:t>
      </w:r>
      <w:r>
        <w:rPr>
          <w:rFonts w:hint="eastAsia" w:ascii="Times New Roman" w:hAnsi="Times New Roman" w:eastAsia="仿宋_GB2312" w:cs="仿宋_GB2312"/>
          <w:color w:val="auto"/>
          <w:sz w:val="30"/>
          <w:szCs w:val="30"/>
        </w:rPr>
        <w:t>：</w:t>
      </w:r>
    </w:p>
    <w:bookmarkEnd w:id="1196"/>
    <w:bookmarkEnd w:id="1197"/>
    <w:bookmarkEnd w:id="1198"/>
    <w:bookmarkEnd w:id="1199"/>
    <w:bookmarkEnd w:id="1200"/>
    <w:bookmarkEnd w:id="1201"/>
    <w:bookmarkEnd w:id="1202"/>
    <w:p w14:paraId="2D31325D">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履约担保</w:t>
      </w:r>
    </w:p>
    <w:p w14:paraId="602400EA">
      <w:pPr>
        <w:pStyle w:val="38"/>
        <w:spacing w:line="360" w:lineRule="auto"/>
        <w:rPr>
          <w:rFonts w:ascii="Times New Roman" w:hAnsi="Times New Roman"/>
          <w:color w:val="auto"/>
          <w:szCs w:val="21"/>
          <w:u w:val="single"/>
        </w:rPr>
      </w:pPr>
    </w:p>
    <w:p w14:paraId="28538D7E">
      <w:pPr>
        <w:pStyle w:val="38"/>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（发包人名称）：</w:t>
      </w:r>
    </w:p>
    <w:p w14:paraId="395D2D1D">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鉴于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w:t>
      </w:r>
      <w:r>
        <w:rPr>
          <w:rFonts w:ascii="Times New Roman" w:hAnsi="宋体"/>
          <w:color w:val="auto"/>
          <w:szCs w:val="21"/>
        </w:rPr>
        <w:t xml:space="preserve"> </w:t>
      </w:r>
      <w:r>
        <w:rPr>
          <w:rFonts w:hint="eastAsia" w:ascii="Times New Roman" w:hAnsi="宋体" w:cs="宋体"/>
          <w:color w:val="auto"/>
          <w:szCs w:val="21"/>
        </w:rPr>
        <w:t>已于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日发放成交通知书，明确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日为</w:t>
      </w:r>
      <w:r>
        <w:rPr>
          <w:rFonts w:ascii="Times New Roman" w:hAnsi="Times New Roman"/>
          <w:color w:val="auto"/>
          <w:szCs w:val="21"/>
          <w:u w:val="single"/>
        </w:rPr>
        <w:t xml:space="preserve">                       </w:t>
      </w:r>
      <w:r>
        <w:rPr>
          <w:rFonts w:hint="eastAsia" w:ascii="Times New Roman" w:hAnsi="宋体" w:cs="宋体"/>
          <w:color w:val="auto"/>
          <w:szCs w:val="21"/>
        </w:rPr>
        <w:t>（工程名称）的成交人。我方愿意无条件地、不可撤销地就承包人履行与你方签订的合同，向你方提供连带责任担保。</w:t>
      </w:r>
      <w:r>
        <w:rPr>
          <w:rFonts w:ascii="Times New Roman" w:hAnsi="Times New Roman"/>
          <w:color w:val="auto"/>
          <w:szCs w:val="21"/>
        </w:rPr>
        <w:t xml:space="preserve"> </w:t>
      </w:r>
    </w:p>
    <w:p w14:paraId="7F7AEFE6">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6486E1D">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担保有效期自你方与承包人签订的合同生效之日起至你方签发或应签发工程接收证书之日止。</w:t>
      </w:r>
    </w:p>
    <w:p w14:paraId="6F6F0956">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在本担保有效期内，因承包人违反合同约定的义务给你方造成经济损失时，我方在收到你方以书面形式提出的在担保金额内的赔偿要求后，在</w:t>
      </w:r>
      <w:r>
        <w:rPr>
          <w:rFonts w:ascii="Times New Roman" w:hAnsi="Times New Roman"/>
          <w:color w:val="auto"/>
          <w:szCs w:val="21"/>
        </w:rPr>
        <w:t>7</w:t>
      </w:r>
      <w:r>
        <w:rPr>
          <w:rFonts w:hint="eastAsia" w:ascii="Times New Roman" w:hAnsi="宋体" w:cs="宋体"/>
          <w:color w:val="auto"/>
          <w:szCs w:val="21"/>
        </w:rPr>
        <w:t>天内无条件支付。</w:t>
      </w:r>
    </w:p>
    <w:p w14:paraId="526B05D6">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你方和承包人按合同约定变更合同时，我方承担本担保规定的义务不变。</w:t>
      </w:r>
    </w:p>
    <w:p w14:paraId="4E7845C5">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9BCA493">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4CB7E8C1">
      <w:pPr>
        <w:pStyle w:val="38"/>
        <w:spacing w:line="360" w:lineRule="auto"/>
        <w:rPr>
          <w:rFonts w:ascii="Times New Roman" w:hAnsi="Times New Roman"/>
          <w:color w:val="auto"/>
          <w:szCs w:val="21"/>
        </w:rPr>
      </w:pPr>
    </w:p>
    <w:p w14:paraId="0B8EF03B">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w:t>
      </w:r>
      <w:r>
        <w:rPr>
          <w:rFonts w:ascii="Times New Roman" w:hAnsi="Times New Roman"/>
          <w:color w:val="auto"/>
          <w:szCs w:val="21"/>
        </w:rPr>
        <w:t xml:space="preserve"> </w:t>
      </w:r>
      <w:r>
        <w:rPr>
          <w:rFonts w:hint="eastAsia" w:ascii="Times New Roman" w:hAnsi="宋体" w:cs="宋体"/>
          <w:color w:val="auto"/>
          <w:szCs w:val="21"/>
        </w:rPr>
        <w:t>保</w:t>
      </w:r>
      <w:r>
        <w:rPr>
          <w:rFonts w:ascii="Times New Roman" w:hAnsi="Times New Roman"/>
          <w:color w:val="auto"/>
          <w:szCs w:val="21"/>
        </w:rPr>
        <w:t xml:space="preserve"> </w:t>
      </w:r>
      <w:r>
        <w:rPr>
          <w:rFonts w:hint="eastAsia" w:ascii="Times New Roman" w:hAnsi="宋体" w:cs="宋体"/>
          <w:color w:val="auto"/>
          <w:szCs w:val="21"/>
        </w:rPr>
        <w:t>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23406E99">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7BE26144">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62291F5">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DE98D71">
      <w:pPr>
        <w:pStyle w:val="38"/>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6F6EFF40">
      <w:pPr>
        <w:pStyle w:val="38"/>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3F3C3975">
      <w:pPr>
        <w:pStyle w:val="38"/>
        <w:spacing w:line="360" w:lineRule="auto"/>
        <w:ind w:left="1329" w:firstLine="420" w:firstLineChars="200"/>
        <w:rPr>
          <w:rFonts w:ascii="Times New Roman" w:hAnsi="Times New Roman"/>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E4FBB57">
      <w:pPr>
        <w:pStyle w:val="38"/>
        <w:spacing w:line="360" w:lineRule="auto"/>
        <w:ind w:left="1329" w:hanging="1329" w:hangingChars="633"/>
        <w:rPr>
          <w:rFonts w:ascii="Times New Roman" w:hAnsi="Times New Roman"/>
          <w:color w:val="auto"/>
          <w:szCs w:val="21"/>
        </w:rPr>
      </w:pPr>
    </w:p>
    <w:p w14:paraId="51E4A017">
      <w:pPr>
        <w:pStyle w:val="38"/>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5CD90FD5">
      <w:pPr>
        <w:ind w:firstLine="600" w:firstLineChars="200"/>
        <w:rPr>
          <w:rFonts w:hint="eastAsia"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br w:type="page"/>
      </w:r>
    </w:p>
    <w:p w14:paraId="30D12AED">
      <w:pPr>
        <w:pStyle w:val="38"/>
        <w:spacing w:line="360" w:lineRule="auto"/>
        <w:ind w:firstLine="600" w:firstLineChars="200"/>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8</w:t>
      </w:r>
      <w:r>
        <w:rPr>
          <w:rFonts w:hint="eastAsia" w:ascii="Times New Roman" w:hAnsi="Times New Roman" w:eastAsia="仿宋_GB2312" w:cs="仿宋_GB2312"/>
          <w:color w:val="auto"/>
          <w:sz w:val="30"/>
          <w:szCs w:val="30"/>
        </w:rPr>
        <w:t>：</w:t>
      </w:r>
    </w:p>
    <w:p w14:paraId="2C39C9EA">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预付款担保</w:t>
      </w:r>
    </w:p>
    <w:p w14:paraId="3554CCBA">
      <w:pPr>
        <w:pStyle w:val="38"/>
        <w:spacing w:line="360" w:lineRule="auto"/>
        <w:ind w:firstLine="420" w:firstLineChars="200"/>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 xml:space="preserve"> </w:t>
      </w:r>
      <w:r>
        <w:rPr>
          <w:rFonts w:hint="eastAsia" w:ascii="Times New Roman" w:hAnsi="宋体" w:cs="宋体"/>
          <w:color w:val="auto"/>
          <w:szCs w:val="21"/>
        </w:rPr>
        <w:t>（发包人名称）：</w:t>
      </w:r>
    </w:p>
    <w:p w14:paraId="13444052">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根据</w:t>
      </w:r>
      <w:r>
        <w:rPr>
          <w:rFonts w:ascii="Times New Roman" w:hAnsi="Times New Roman"/>
          <w:color w:val="auto"/>
          <w:szCs w:val="21"/>
          <w:u w:val="single"/>
        </w:rPr>
        <w:t xml:space="preserve">                 </w:t>
      </w:r>
      <w:r>
        <w:rPr>
          <w:rFonts w:hint="eastAsia" w:ascii="Times New Roman" w:hAnsi="宋体" w:cs="宋体"/>
          <w:color w:val="auto"/>
          <w:szCs w:val="21"/>
        </w:rPr>
        <w:t>（承包人名称）（以下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承包人</w:t>
      </w:r>
      <w:r>
        <w:rPr>
          <w:rFonts w:ascii="Times New Roman" w:hAnsi="Times New Roman"/>
          <w:color w:val="auto"/>
          <w:szCs w:val="21"/>
        </w:rPr>
        <w:t>”</w:t>
      </w:r>
      <w:r>
        <w:rPr>
          <w:rFonts w:hint="eastAsia" w:ascii="Times New Roman" w:hAnsi="宋体" w:cs="宋体"/>
          <w:color w:val="auto"/>
          <w:szCs w:val="21"/>
        </w:rPr>
        <w:t>）与</w:t>
      </w:r>
      <w:r>
        <w:rPr>
          <w:rFonts w:ascii="Times New Roman" w:hAnsi="Times New Roman"/>
          <w:color w:val="auto"/>
          <w:szCs w:val="21"/>
          <w:u w:val="single"/>
        </w:rPr>
        <w:t xml:space="preserve">                        </w:t>
      </w:r>
      <w:r>
        <w:rPr>
          <w:rFonts w:hint="eastAsia" w:ascii="Times New Roman" w:hAnsi="宋体" w:cs="宋体"/>
          <w:color w:val="auto"/>
          <w:szCs w:val="21"/>
        </w:rPr>
        <w:t>（发包人名称）（以下简称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日签订的</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B970D61">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担保金额人民币（大写）</w:t>
      </w:r>
      <w:r>
        <w:rPr>
          <w:rFonts w:ascii="Times New Roman" w:hAnsi="Times New Roman"/>
          <w:color w:val="auto"/>
          <w:szCs w:val="21"/>
          <w:u w:val="single"/>
        </w:rPr>
        <w:t xml:space="preserve">                </w:t>
      </w:r>
      <w:r>
        <w:rPr>
          <w:rFonts w:hint="eastAsia" w:ascii="Times New Roman" w:hAnsi="宋体" w:cs="宋体"/>
          <w:color w:val="auto"/>
          <w:szCs w:val="21"/>
        </w:rPr>
        <w:t>（</w:t>
      </w:r>
      <w:r>
        <w:rPr>
          <w:rFonts w:ascii="Times New Roman" w:hAnsi="Times New Roman"/>
          <w:color w:val="auto"/>
          <w:szCs w:val="21"/>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41652F28">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担保有效期自预付款支付给承包人起生效，至你方签发的进度款支付证书说明已完全扣清止。</w:t>
      </w:r>
    </w:p>
    <w:p w14:paraId="091E2982">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24EE54F">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你方和承包人按合同约定变更合同时，我方承担本保函规定的义务不变。</w:t>
      </w:r>
    </w:p>
    <w:p w14:paraId="0116B40D">
      <w:pPr>
        <w:pStyle w:val="38"/>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因本保函发生的纠纷，可由双方协商解决，协商不成的，任何一方均可提请</w:t>
      </w:r>
      <w:r>
        <w:rPr>
          <w:rFonts w:ascii="Times New Roman" w:hAnsi="Times New Roman"/>
          <w:color w:val="auto"/>
          <w:szCs w:val="21"/>
          <w:u w:val="single"/>
        </w:rPr>
        <w:t xml:space="preserve">      </w:t>
      </w:r>
      <w:r>
        <w:rPr>
          <w:rFonts w:hint="eastAsia" w:ascii="Times New Roman" w:hAnsi="宋体" w:cs="宋体"/>
          <w:color w:val="auto"/>
          <w:szCs w:val="21"/>
        </w:rPr>
        <w:t>仲裁委员会仲裁。</w:t>
      </w:r>
    </w:p>
    <w:p w14:paraId="016AC54B">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6. </w:t>
      </w:r>
      <w:r>
        <w:rPr>
          <w:rFonts w:hint="eastAsia" w:ascii="Times New Roman" w:hAnsi="宋体" w:cs="宋体"/>
          <w:color w:val="auto"/>
          <w:szCs w:val="21"/>
        </w:rPr>
        <w:t>本保函自我方法定代表人（或其授权代理人）签字并加盖公章之日起生效。</w:t>
      </w:r>
    </w:p>
    <w:p w14:paraId="5A5BFF89">
      <w:pPr>
        <w:pStyle w:val="38"/>
        <w:spacing w:line="360" w:lineRule="auto"/>
        <w:rPr>
          <w:rFonts w:ascii="Times New Roman" w:hAnsi="Times New Roman"/>
          <w:color w:val="auto"/>
          <w:szCs w:val="21"/>
        </w:rPr>
      </w:pPr>
    </w:p>
    <w:p w14:paraId="589272AA">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（盖单位章）</w:t>
      </w:r>
    </w:p>
    <w:p w14:paraId="463AE3C4">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法定代表人或其委托代理人：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3A7BCD67">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330138C2">
      <w:pPr>
        <w:pStyle w:val="38"/>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424D565E">
      <w:pPr>
        <w:pStyle w:val="38"/>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电</w:t>
      </w:r>
      <w:r>
        <w:rPr>
          <w:rFonts w:ascii="Times New Roman" w:hAnsi="Times New Roman"/>
          <w:color w:val="auto"/>
          <w:szCs w:val="21"/>
        </w:rPr>
        <w:t xml:space="preserve">    </w:t>
      </w:r>
      <w:r>
        <w:rPr>
          <w:rFonts w:hint="eastAsia" w:ascii="Times New Roman" w:hAnsi="宋体" w:cs="宋体"/>
          <w:color w:val="auto"/>
          <w:szCs w:val="21"/>
        </w:rPr>
        <w:t>话：</w:t>
      </w:r>
      <w:r>
        <w:rPr>
          <w:rFonts w:ascii="Times New Roman" w:hAnsi="Times New Roman"/>
          <w:color w:val="auto"/>
          <w:szCs w:val="21"/>
          <w:u w:val="single"/>
        </w:rPr>
        <w:t xml:space="preserve">                            </w:t>
      </w:r>
    </w:p>
    <w:p w14:paraId="08E3D962">
      <w:pPr>
        <w:pStyle w:val="38"/>
        <w:spacing w:line="360" w:lineRule="auto"/>
        <w:ind w:firstLine="420" w:firstLineChars="200"/>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5E0AB159">
      <w:pPr>
        <w:pStyle w:val="38"/>
        <w:spacing w:line="360" w:lineRule="auto"/>
        <w:ind w:firstLine="420" w:firstLineChars="200"/>
        <w:rPr>
          <w:rFonts w:ascii="Times New Roman" w:hAnsi="宋体"/>
          <w:color w:val="auto"/>
          <w:szCs w:val="21"/>
        </w:rPr>
      </w:pPr>
      <w:r>
        <w:rPr>
          <w:rFonts w:ascii="Times New Roman" w:hAnsi="Times New Roman"/>
          <w:color w:val="auto"/>
          <w:szCs w:val="21"/>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28906CC4">
      <w:pPr>
        <w:pStyle w:val="38"/>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C05F55E">
      <w:pPr>
        <w:pStyle w:val="38"/>
        <w:spacing w:line="360" w:lineRule="auto"/>
        <w:ind w:right="150" w:firstLine="420" w:firstLineChars="200"/>
        <w:jc w:val="left"/>
        <w:rPr>
          <w:rFonts w:ascii="仿宋_GB2312" w:hAnsi="宋体" w:cs="宋体"/>
          <w:color w:val="auto"/>
          <w:szCs w:val="21"/>
        </w:rPr>
      </w:pPr>
    </w:p>
    <w:p w14:paraId="728A451B">
      <w:pPr>
        <w:pStyle w:val="38"/>
        <w:spacing w:line="440" w:lineRule="exact"/>
        <w:jc w:val="left"/>
        <w:rPr>
          <w:rFonts w:hint="eastAsia" w:ascii="Times New Roman" w:hAnsi="Times New Roman" w:eastAsia="仿宋_GB2312" w:cs="仿宋_GB2312"/>
          <w:color w:val="auto"/>
          <w:sz w:val="30"/>
          <w:szCs w:val="30"/>
        </w:rPr>
      </w:pPr>
    </w:p>
    <w:p w14:paraId="4417BFD9">
      <w:pPr>
        <w:pStyle w:val="38"/>
        <w:spacing w:line="440" w:lineRule="exact"/>
        <w:jc w:val="left"/>
        <w:rPr>
          <w:rFonts w:hint="eastAsia" w:ascii="Times New Roman" w:hAnsi="Times New Roman" w:eastAsia="仿宋_GB2312" w:cs="仿宋_GB2312"/>
          <w:color w:val="auto"/>
          <w:sz w:val="30"/>
          <w:szCs w:val="30"/>
        </w:rPr>
      </w:pPr>
    </w:p>
    <w:p w14:paraId="2D39C50D">
      <w:pPr>
        <w:pStyle w:val="38"/>
        <w:spacing w:line="440" w:lineRule="exact"/>
        <w:ind w:firstLine="600" w:firstLineChars="200"/>
        <w:jc w:val="left"/>
        <w:rPr>
          <w:rFonts w:ascii="Times New Roman" w:hAnsi="Times New Roman" w:eastAsia="黑体"/>
          <w:color w:val="auto"/>
          <w:sz w:val="30"/>
          <w:szCs w:val="30"/>
        </w:rPr>
      </w:pPr>
      <w:r>
        <w:rPr>
          <w:rFonts w:hint="eastAsia" w:ascii="Times New Roman" w:hAnsi="Times New Roman" w:eastAsia="仿宋_GB2312" w:cs="仿宋_GB2312"/>
          <w:color w:val="auto"/>
          <w:sz w:val="30"/>
          <w:szCs w:val="30"/>
        </w:rPr>
        <w:t>附件</w:t>
      </w:r>
      <w:r>
        <w:rPr>
          <w:rFonts w:hint="eastAsia" w:ascii="Times New Roman" w:hAnsi="Times New Roman" w:eastAsia="仿宋_GB2312"/>
          <w:color w:val="auto"/>
          <w:sz w:val="30"/>
          <w:szCs w:val="30"/>
        </w:rPr>
        <w:t>9</w:t>
      </w:r>
      <w:r>
        <w:rPr>
          <w:rFonts w:hint="eastAsia" w:ascii="Times New Roman" w:hAnsi="Times New Roman" w:eastAsia="仿宋_GB2312" w:cs="仿宋_GB2312"/>
          <w:color w:val="auto"/>
          <w:sz w:val="30"/>
          <w:szCs w:val="30"/>
        </w:rPr>
        <w:t>：</w:t>
      </w:r>
    </w:p>
    <w:p w14:paraId="0B5C2BDF">
      <w:pPr>
        <w:pStyle w:val="38"/>
        <w:spacing w:before="156" w:beforeLines="50" w:after="156" w:afterLines="50" w:line="440" w:lineRule="exact"/>
        <w:ind w:firstLine="600" w:firstLineChars="200"/>
        <w:jc w:val="center"/>
        <w:rPr>
          <w:rFonts w:ascii="Times New Roman" w:hAnsi="Times New Roman" w:eastAsia="黑体"/>
          <w:color w:val="auto"/>
          <w:sz w:val="30"/>
          <w:szCs w:val="30"/>
        </w:rPr>
      </w:pPr>
      <w:r>
        <w:rPr>
          <w:rFonts w:hint="eastAsia" w:ascii="Times New Roman" w:hAnsi="Times New Roman" w:eastAsia="黑体" w:cs="黑体"/>
          <w:color w:val="auto"/>
          <w:sz w:val="30"/>
          <w:szCs w:val="30"/>
        </w:rPr>
        <w:t>支付担保</w:t>
      </w:r>
    </w:p>
    <w:p w14:paraId="5FADC4FC">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u w:val="single"/>
        </w:rPr>
        <w:t xml:space="preserve">                     </w:t>
      </w:r>
      <w:r>
        <w:rPr>
          <w:rFonts w:hint="eastAsia" w:ascii="Times New Roman" w:hAnsi="宋体" w:cs="宋体"/>
          <w:color w:val="auto"/>
          <w:szCs w:val="21"/>
        </w:rPr>
        <w:t>（承包人）：</w:t>
      </w:r>
    </w:p>
    <w:p w14:paraId="5FD8073C">
      <w:pPr>
        <w:pStyle w:val="38"/>
        <w:spacing w:line="360" w:lineRule="auto"/>
        <w:ind w:firstLine="420" w:firstLineChars="200"/>
        <w:jc w:val="left"/>
        <w:rPr>
          <w:rFonts w:ascii="Times New Roman" w:hAnsi="宋体"/>
          <w:color w:val="auto"/>
          <w:szCs w:val="21"/>
        </w:rPr>
      </w:pPr>
      <w:r>
        <w:rPr>
          <w:rFonts w:hint="eastAsia" w:ascii="Times New Roman" w:hAnsi="宋体" w:cs="宋体"/>
          <w:color w:val="auto"/>
          <w:szCs w:val="21"/>
        </w:rPr>
        <w:t>鉴于你方作为承包人已经与</w:t>
      </w:r>
      <w:r>
        <w:rPr>
          <w:rFonts w:ascii="Times New Roman" w:hAnsi="Times New Roman"/>
          <w:color w:val="auto"/>
          <w:szCs w:val="21"/>
          <w:u w:val="single"/>
        </w:rPr>
        <w:t xml:space="preserve">           </w:t>
      </w:r>
      <w:r>
        <w:rPr>
          <w:rFonts w:hint="eastAsia" w:ascii="Times New Roman" w:hAnsi="宋体" w:cs="宋体"/>
          <w:color w:val="auto"/>
          <w:szCs w:val="21"/>
        </w:rPr>
        <w:t>（发包人名称）（以下</w:t>
      </w:r>
      <w:r>
        <w:rPr>
          <w:rFonts w:hint="eastAsia" w:ascii="Times New Roman" w:hAnsi="宋体" w:cs="宋体"/>
          <w:color w:val="auto"/>
          <w:szCs w:val="21"/>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发包人</w:t>
      </w:r>
      <w:r>
        <w:rPr>
          <w:rFonts w:ascii="Times New Roman" w:hAnsi="Times New Roman"/>
          <w:color w:val="auto"/>
          <w:szCs w:val="21"/>
        </w:rPr>
        <w:t>”</w:t>
      </w:r>
      <w:r>
        <w:rPr>
          <w:rFonts w:hint="eastAsia" w:ascii="Times New Roman" w:hAnsi="宋体" w:cs="宋体"/>
          <w:color w:val="auto"/>
          <w:szCs w:val="21"/>
        </w:rPr>
        <w:t>）于</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日签订了</w:t>
      </w:r>
      <w:r>
        <w:rPr>
          <w:rFonts w:ascii="Times New Roman" w:hAnsi="Times New Roman"/>
          <w:color w:val="auto"/>
          <w:szCs w:val="21"/>
          <w:u w:val="single"/>
        </w:rPr>
        <w:t xml:space="preserve">                          </w:t>
      </w:r>
      <w:r>
        <w:rPr>
          <w:rFonts w:hint="eastAsia" w:ascii="Times New Roman" w:hAnsi="宋体" w:cs="宋体"/>
          <w:color w:val="auto"/>
          <w:szCs w:val="21"/>
        </w:rPr>
        <w:t>（工程名称）《建设工程施工合同》（以下</w:t>
      </w:r>
      <w:r>
        <w:rPr>
          <w:rFonts w:hint="eastAsia"/>
          <w:color w:val="auto"/>
          <w:lang w:val="en-US" w:eastAsia="zh-CN"/>
        </w:rPr>
        <w:t>简</w:t>
      </w:r>
      <w:r>
        <w:rPr>
          <w:rFonts w:hint="eastAsia" w:ascii="Times New Roman" w:hAnsi="宋体" w:cs="宋体"/>
          <w:color w:val="auto"/>
          <w:szCs w:val="21"/>
        </w:rPr>
        <w:t>称</w:t>
      </w:r>
      <w:r>
        <w:rPr>
          <w:rFonts w:ascii="Times New Roman" w:hAnsi="Times New Roman"/>
          <w:color w:val="auto"/>
          <w:szCs w:val="21"/>
        </w:rPr>
        <w:t>“</w:t>
      </w:r>
      <w:r>
        <w:rPr>
          <w:rFonts w:hint="eastAsia" w:ascii="Times New Roman" w:hAnsi="宋体" w:cs="宋体"/>
          <w:color w:val="auto"/>
          <w:szCs w:val="21"/>
        </w:rPr>
        <w:t>主合同</w:t>
      </w:r>
      <w:r>
        <w:rPr>
          <w:rFonts w:ascii="Times New Roman" w:hAnsi="Times New Roman"/>
          <w:color w:val="auto"/>
          <w:szCs w:val="21"/>
        </w:rPr>
        <w:t>”</w:t>
      </w:r>
      <w:r>
        <w:rPr>
          <w:rFonts w:hint="eastAsia" w:ascii="Times New Roman" w:hAnsi="宋体" w:cs="宋体"/>
          <w:color w:val="auto"/>
          <w:szCs w:val="21"/>
        </w:rPr>
        <w:t>），应发包人的申请，我方愿就发包人履行主合同约定的工程款支付义务以保证的方式向你方提供如下担保：</w:t>
      </w:r>
    </w:p>
    <w:p w14:paraId="2FEF409E">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一、保证的范围及保证金额</w:t>
      </w:r>
    </w:p>
    <w:p w14:paraId="26DB9875">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我方的保证范围是主合同约定的工程款。</w:t>
      </w:r>
    </w:p>
    <w:p w14:paraId="25C80206">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本保函所称主合同约定的工程款是指主合同约定的除工程质量保证金以外的合同价款。</w:t>
      </w:r>
    </w:p>
    <w:p w14:paraId="142BEE0D">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我方保证的金额是主合同约定的工程款的</w:t>
      </w:r>
      <w:r>
        <w:rPr>
          <w:rFonts w:ascii="Times New Roman" w:hAnsi="Times New Roman"/>
          <w:color w:val="auto"/>
          <w:szCs w:val="21"/>
          <w:u w:val="single"/>
        </w:rPr>
        <w:t xml:space="preserve">      </w:t>
      </w:r>
      <w:r>
        <w:rPr>
          <w:rFonts w:ascii="Times New Roman" w:hAnsi="Times New Roman"/>
          <w:color w:val="auto"/>
          <w:szCs w:val="21"/>
        </w:rPr>
        <w:t>%</w:t>
      </w:r>
      <w:r>
        <w:rPr>
          <w:rFonts w:hint="eastAsia" w:ascii="Times New Roman" w:hAnsi="宋体" w:cs="宋体"/>
          <w:color w:val="auto"/>
          <w:szCs w:val="21"/>
        </w:rPr>
        <w:t>，数额最高不超过人民币</w:t>
      </w:r>
      <w:r>
        <w:rPr>
          <w:rFonts w:hint="eastAsia" w:ascii="Times New Roman" w:hAnsi="宋体" w:cs="宋体"/>
          <w:color w:val="auto"/>
          <w:szCs w:val="21"/>
          <w:lang w:eastAsia="zh-CN"/>
        </w:rPr>
        <w:t>（</w:t>
      </w:r>
      <w:r>
        <w:rPr>
          <w:rFonts w:hint="eastAsia" w:ascii="Times New Roman" w:hAnsi="宋体" w:cs="宋体"/>
          <w:color w:val="auto"/>
          <w:szCs w:val="21"/>
        </w:rPr>
        <w:t>大写</w:t>
      </w:r>
      <w:r>
        <w:rPr>
          <w:rFonts w:hint="eastAsia" w:ascii="Times New Roman" w:hAnsi="宋体" w:cs="宋体"/>
          <w:color w:val="auto"/>
          <w:szCs w:val="21"/>
          <w:u w:val="single"/>
          <w:lang w:eastAsia="zh-CN"/>
        </w:rPr>
        <w:t>）</w:t>
      </w:r>
      <w:r>
        <w:rPr>
          <w:rFonts w:hint="eastAsia" w:ascii="Times New Roman" w:hAnsi="宋体" w:cs="宋体"/>
          <w:color w:val="auto"/>
          <w:szCs w:val="21"/>
          <w:u w:val="single"/>
          <w:lang w:val="en-US" w:eastAsia="zh-CN"/>
        </w:rPr>
        <w:t xml:space="preserve">             </w:t>
      </w:r>
      <w:r>
        <w:rPr>
          <w:rFonts w:hint="eastAsia" w:ascii="Times New Roman" w:hAnsi="宋体" w:cs="宋体"/>
          <w:color w:val="auto"/>
          <w:szCs w:val="21"/>
        </w:rPr>
        <w:t>（</w:t>
      </w:r>
      <w:r>
        <w:rPr>
          <w:rFonts w:hint="eastAsia" w:hAnsi="宋体" w:cs="宋体"/>
          <w:color w:val="auto"/>
          <w:szCs w:val="21"/>
          <w:lang w:val="en-US" w:eastAsia="zh-CN"/>
        </w:rPr>
        <w:t>小写</w:t>
      </w:r>
      <w:r>
        <w:rPr>
          <w:rFonts w:hint="eastAsia" w:hAnsi="宋体" w:cs="宋体"/>
          <w:color w:val="auto"/>
          <w:szCs w:val="21"/>
          <w:lang w:eastAsia="zh-CN"/>
        </w:rPr>
        <w:t>）（</w:t>
      </w:r>
      <w:r>
        <w:rPr>
          <w:rFonts w:hint="default" w:ascii="Arial" w:hAnsi="Arial" w:cs="Arial"/>
          <w:color w:val="auto"/>
          <w:szCs w:val="21"/>
          <w:lang w:eastAsia="zh-CN"/>
        </w:rPr>
        <w:t>¥</w:t>
      </w:r>
      <w:r>
        <w:rPr>
          <w:rFonts w:ascii="Times New Roman" w:hAnsi="Times New Roman"/>
          <w:color w:val="auto"/>
          <w:szCs w:val="21"/>
          <w:u w:val="single"/>
        </w:rPr>
        <w:t xml:space="preserve">        </w:t>
      </w:r>
      <w:r>
        <w:rPr>
          <w:rFonts w:hint="eastAsia" w:ascii="Times New Roman" w:hAnsi="宋体" w:cs="宋体"/>
          <w:color w:val="auto"/>
          <w:szCs w:val="21"/>
        </w:rPr>
        <w:t>）。</w:t>
      </w:r>
    </w:p>
    <w:p w14:paraId="1A46D42B">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二、保证的方式及保证期间</w:t>
      </w:r>
    </w:p>
    <w:p w14:paraId="0E6499E7">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我方保证的方式为：连带责任保证。</w:t>
      </w:r>
    </w:p>
    <w:p w14:paraId="0136031B">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我方保证的期间为：自本合同生效之日起至主合同约定的工程款支付完毕之日后</w:t>
      </w:r>
      <w:r>
        <w:rPr>
          <w:rFonts w:ascii="Times New Roman" w:hAnsi="Times New Roman"/>
          <w:color w:val="auto"/>
          <w:szCs w:val="21"/>
          <w:u w:val="single"/>
        </w:rPr>
        <w:t xml:space="preserve">    </w:t>
      </w:r>
      <w:r>
        <w:rPr>
          <w:rFonts w:hint="eastAsia" w:ascii="Times New Roman" w:hAnsi="宋体" w:cs="宋体"/>
          <w:color w:val="auto"/>
          <w:szCs w:val="21"/>
        </w:rPr>
        <w:t>日内。</w:t>
      </w:r>
    </w:p>
    <w:p w14:paraId="028437DB">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你方与发包人协议变更工程款支付日期的，经我方书面同意后，保证期间按照变更后的支付日期做相应调整。</w:t>
      </w:r>
    </w:p>
    <w:p w14:paraId="6B055757">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三、承担保证责任的形式</w:t>
      </w:r>
    </w:p>
    <w:p w14:paraId="4BD163DA">
      <w:pPr>
        <w:pStyle w:val="38"/>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我方承担保证责任的形式是代为支付。发包人未按主合同约定向你方支付工程款的，由我方在保证金额内代为支付。</w:t>
      </w:r>
    </w:p>
    <w:p w14:paraId="0526FCAD">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四、代偿的安排</w:t>
      </w:r>
    </w:p>
    <w:p w14:paraId="29A4B3A7">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71791189">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12807AB3">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我方收到你方的书面索赔通知及相应的证明材料后７天内无条件支付。</w:t>
      </w:r>
    </w:p>
    <w:p w14:paraId="5607526F">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五、保证责任的解除</w:t>
      </w:r>
    </w:p>
    <w:p w14:paraId="730CFF5C">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在本保函承诺的保证期间内，你方未书面向我方主张保证责任的，自保证期间届满次日起，我方保证责任解除。</w:t>
      </w:r>
    </w:p>
    <w:p w14:paraId="6B369290">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发包人按主合同约定履行了工程款的全部支付义务的，自本保函承诺的保证期间届满次日起，我方保证责任解除。</w:t>
      </w:r>
    </w:p>
    <w:p w14:paraId="046C5283">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我方按照本保函向你方履行保证责任所支付金额达到本保函保证金额时，自我方向你方支付（支付款项从我方账户划出）之日起，保证责任即解除。</w:t>
      </w:r>
    </w:p>
    <w:p w14:paraId="673102DB">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按照法律法规的规定或出现应解除我方保证责任的其他情形的，我方在本保函项下的保证责任亦解除。</w:t>
      </w:r>
    </w:p>
    <w:p w14:paraId="587B8720">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5. </w:t>
      </w:r>
      <w:r>
        <w:rPr>
          <w:rFonts w:hint="eastAsia" w:ascii="Times New Roman" w:hAnsi="宋体" w:cs="宋体"/>
          <w:color w:val="auto"/>
          <w:szCs w:val="21"/>
        </w:rPr>
        <w:t>我方解除保证责任后，你方应自我方保证责任解除之日起</w:t>
      </w:r>
      <w:r>
        <w:rPr>
          <w:rFonts w:ascii="Times New Roman" w:hAnsi="Times New Roman"/>
          <w:color w:val="auto"/>
          <w:szCs w:val="21"/>
          <w:u w:val="single"/>
        </w:rPr>
        <w:t xml:space="preserve">  </w:t>
      </w:r>
      <w:r>
        <w:rPr>
          <w:rFonts w:hint="eastAsia" w:ascii="Times New Roman" w:hAnsi="宋体" w:cs="宋体"/>
          <w:color w:val="auto"/>
          <w:szCs w:val="21"/>
        </w:rPr>
        <w:t>个工作日内，将本保函原件返还我方。</w:t>
      </w:r>
    </w:p>
    <w:p w14:paraId="7C15CA2C">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六、免责条款</w:t>
      </w:r>
    </w:p>
    <w:p w14:paraId="2D077590">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1. </w:t>
      </w:r>
      <w:r>
        <w:rPr>
          <w:rFonts w:hint="eastAsia" w:ascii="Times New Roman" w:hAnsi="宋体" w:cs="宋体"/>
          <w:color w:val="auto"/>
          <w:szCs w:val="21"/>
        </w:rPr>
        <w:t>因你方违约致使发包人不能履行义务的，我方不承担保证责任。</w:t>
      </w:r>
    </w:p>
    <w:p w14:paraId="444AE596">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2. </w:t>
      </w:r>
      <w:r>
        <w:rPr>
          <w:rFonts w:hint="eastAsia" w:ascii="Times New Roman" w:hAnsi="宋体" w:cs="宋体"/>
          <w:color w:val="auto"/>
          <w:szCs w:val="21"/>
        </w:rPr>
        <w:t>依照法律法规的规定或你方与发包人的另行约定，免除发包人部分或全部义务的，我方亦免除其相应的保证责任。</w:t>
      </w:r>
    </w:p>
    <w:p w14:paraId="79DAD0A0">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3. </w:t>
      </w:r>
      <w:r>
        <w:rPr>
          <w:rFonts w:hint="eastAsia" w:ascii="Times New Roman" w:hAnsi="宋体" w:cs="宋体"/>
          <w:color w:val="auto"/>
          <w:szCs w:val="21"/>
        </w:rPr>
        <w:t>你方与发包人协议变更主合同的，如加重发包人责任致使我方保证责任加重的，需征得我方书面同意，否则我方不再承担因此而加重部分的保证责任，但主合同第</w:t>
      </w:r>
      <w:r>
        <w:rPr>
          <w:rFonts w:ascii="Times New Roman" w:hAnsi="Times New Roman"/>
          <w:color w:val="auto"/>
          <w:szCs w:val="21"/>
        </w:rPr>
        <w:t>10</w:t>
      </w:r>
      <w:r>
        <w:rPr>
          <w:rFonts w:hint="eastAsia" w:ascii="Times New Roman" w:hAnsi="宋体" w:cs="宋体"/>
          <w:color w:val="auto"/>
          <w:szCs w:val="21"/>
        </w:rPr>
        <w:t>条〔变更〕约定的变更不受本款限制。</w:t>
      </w:r>
    </w:p>
    <w:p w14:paraId="6C53A426">
      <w:pPr>
        <w:pStyle w:val="38"/>
        <w:spacing w:line="360" w:lineRule="auto"/>
        <w:ind w:firstLine="420" w:firstLineChars="200"/>
        <w:jc w:val="left"/>
        <w:rPr>
          <w:rFonts w:ascii="Times New Roman" w:hAnsi="Times New Roman"/>
          <w:color w:val="auto"/>
          <w:szCs w:val="21"/>
        </w:rPr>
      </w:pPr>
      <w:r>
        <w:rPr>
          <w:rFonts w:ascii="Times New Roman" w:hAnsi="Times New Roman"/>
          <w:color w:val="auto"/>
          <w:szCs w:val="21"/>
        </w:rPr>
        <w:t xml:space="preserve">4. </w:t>
      </w:r>
      <w:r>
        <w:rPr>
          <w:rFonts w:hint="eastAsia" w:ascii="Times New Roman" w:hAnsi="宋体" w:cs="宋体"/>
          <w:color w:val="auto"/>
          <w:szCs w:val="21"/>
        </w:rPr>
        <w:t>因不可抗力造成发包人不能履行义务的，我方不承担保证责任。</w:t>
      </w:r>
    </w:p>
    <w:p w14:paraId="7D229F41">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七、争议解决</w:t>
      </w:r>
    </w:p>
    <w:p w14:paraId="39EA7171">
      <w:pPr>
        <w:pStyle w:val="38"/>
        <w:spacing w:line="360" w:lineRule="auto"/>
        <w:ind w:firstLine="420" w:firstLineChars="200"/>
        <w:rPr>
          <w:rFonts w:ascii="Times New Roman" w:hAnsi="Times New Roman"/>
          <w:color w:val="auto"/>
          <w:szCs w:val="21"/>
        </w:rPr>
      </w:pPr>
      <w:r>
        <w:rPr>
          <w:rFonts w:hint="eastAsia" w:ascii="Times New Roman" w:hAnsi="宋体" w:cs="宋体"/>
          <w:color w:val="auto"/>
          <w:szCs w:val="21"/>
        </w:rPr>
        <w:t>因本保函或本保函相关事项发生的纠纷，可由双方协商解决，协商不成的，按下列第</w:t>
      </w:r>
      <w:r>
        <w:rPr>
          <w:rFonts w:ascii="Times New Roman" w:hAnsi="Times New Roman"/>
          <w:color w:val="auto"/>
          <w:szCs w:val="21"/>
          <w:u w:val="single"/>
        </w:rPr>
        <w:t xml:space="preserve">     </w:t>
      </w:r>
      <w:r>
        <w:rPr>
          <w:rFonts w:hint="eastAsia" w:ascii="Times New Roman" w:hAnsi="宋体" w:cs="宋体"/>
          <w:color w:val="auto"/>
          <w:szCs w:val="21"/>
        </w:rPr>
        <w:t>种方式解决：</w:t>
      </w:r>
    </w:p>
    <w:p w14:paraId="6B9F5F04">
      <w:pPr>
        <w:pStyle w:val="38"/>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w:t>
      </w:r>
      <w:r>
        <w:rPr>
          <w:rFonts w:ascii="Times New Roman" w:hAnsi="Times New Roman"/>
          <w:color w:val="auto"/>
          <w:szCs w:val="21"/>
        </w:rPr>
        <w:t>1</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仲裁委员会申请仲裁；（</w:t>
      </w:r>
      <w:r>
        <w:rPr>
          <w:rFonts w:ascii="Times New Roman" w:hAnsi="Times New Roman"/>
          <w:color w:val="auto"/>
          <w:szCs w:val="21"/>
        </w:rPr>
        <w:t>2</w:t>
      </w:r>
      <w:r>
        <w:rPr>
          <w:rFonts w:hint="eastAsia" w:ascii="Times New Roman" w:hAnsi="宋体" w:cs="宋体"/>
          <w:color w:val="auto"/>
          <w:szCs w:val="21"/>
        </w:rPr>
        <w:t>）向</w:t>
      </w:r>
      <w:r>
        <w:rPr>
          <w:rFonts w:ascii="Times New Roman" w:hAnsi="Times New Roman"/>
          <w:color w:val="auto"/>
          <w:szCs w:val="21"/>
          <w:u w:val="single"/>
        </w:rPr>
        <w:t xml:space="preserve">                 </w:t>
      </w:r>
      <w:r>
        <w:rPr>
          <w:rFonts w:hint="eastAsia" w:ascii="Times New Roman" w:hAnsi="宋体" w:cs="宋体"/>
          <w:color w:val="auto"/>
          <w:szCs w:val="21"/>
        </w:rPr>
        <w:t>人民法院起诉。</w:t>
      </w:r>
    </w:p>
    <w:p w14:paraId="0DFBDF18">
      <w:pPr>
        <w:pStyle w:val="38"/>
        <w:spacing w:line="360" w:lineRule="auto"/>
        <w:ind w:firstLine="420" w:firstLineChars="200"/>
        <w:jc w:val="left"/>
        <w:rPr>
          <w:rFonts w:ascii="黑体" w:hAnsi="Times New Roman" w:eastAsia="黑体"/>
          <w:color w:val="auto"/>
          <w:szCs w:val="21"/>
        </w:rPr>
      </w:pPr>
      <w:r>
        <w:rPr>
          <w:rFonts w:hint="eastAsia" w:ascii="黑体" w:hAnsi="宋体" w:eastAsia="黑体" w:cs="黑体"/>
          <w:color w:val="auto"/>
          <w:szCs w:val="21"/>
        </w:rPr>
        <w:t>八、保函的生效</w:t>
      </w:r>
    </w:p>
    <w:p w14:paraId="05EDF0A1">
      <w:pPr>
        <w:pStyle w:val="38"/>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本保函自我方法定代表人（或其授权代理人）签字并加盖公章之日起生效。</w:t>
      </w:r>
    </w:p>
    <w:p w14:paraId="6B2FF37A">
      <w:pPr>
        <w:pStyle w:val="38"/>
        <w:spacing w:line="360" w:lineRule="auto"/>
        <w:ind w:right="600" w:firstLine="420" w:firstLineChars="200"/>
        <w:jc w:val="left"/>
        <w:rPr>
          <w:rFonts w:ascii="Times New Roman" w:hAnsi="Times New Roman"/>
          <w:color w:val="auto"/>
          <w:szCs w:val="21"/>
        </w:rPr>
      </w:pPr>
      <w:r>
        <w:rPr>
          <w:rFonts w:hint="eastAsia" w:ascii="Times New Roman" w:hAnsi="宋体" w:cs="宋体"/>
          <w:color w:val="auto"/>
          <w:szCs w:val="21"/>
        </w:rPr>
        <w:t>担保人：</w:t>
      </w:r>
      <w:r>
        <w:rPr>
          <w:rFonts w:ascii="Times New Roman" w:hAnsi="Times New Roman"/>
          <w:color w:val="auto"/>
          <w:szCs w:val="21"/>
          <w:u w:val="single"/>
        </w:rPr>
        <w:t xml:space="preserve">                                   </w:t>
      </w:r>
      <w:r>
        <w:rPr>
          <w:rFonts w:hint="eastAsia" w:ascii="Times New Roman" w:hAnsi="宋体" w:cs="宋体"/>
          <w:color w:val="auto"/>
          <w:szCs w:val="21"/>
        </w:rPr>
        <w:t>（盖章）</w:t>
      </w:r>
    </w:p>
    <w:p w14:paraId="0D247718">
      <w:pPr>
        <w:pStyle w:val="38"/>
        <w:spacing w:line="360" w:lineRule="auto"/>
        <w:ind w:right="1200" w:firstLine="420" w:firstLineChars="200"/>
        <w:rPr>
          <w:rFonts w:ascii="Times New Roman" w:hAnsi="Times New Roman"/>
          <w:color w:val="auto"/>
          <w:szCs w:val="21"/>
        </w:rPr>
      </w:pPr>
      <w:r>
        <w:rPr>
          <w:rFonts w:hint="eastAsia" w:ascii="Times New Roman" w:hAnsi="宋体" w:cs="宋体"/>
          <w:color w:val="auto"/>
          <w:szCs w:val="21"/>
        </w:rPr>
        <w:t>法定代表人或委托代理人：</w:t>
      </w:r>
      <w:r>
        <w:rPr>
          <w:rFonts w:ascii="Times New Roman" w:hAnsi="Times New Roman"/>
          <w:color w:val="auto"/>
          <w:szCs w:val="21"/>
          <w:u w:val="single"/>
        </w:rPr>
        <w:t xml:space="preserve">                   </w:t>
      </w:r>
      <w:r>
        <w:rPr>
          <w:rFonts w:hint="eastAsia" w:ascii="Times New Roman" w:hAnsi="宋体" w:cs="宋体"/>
          <w:color w:val="auto"/>
          <w:szCs w:val="21"/>
        </w:rPr>
        <w:t>（签字）</w:t>
      </w:r>
    </w:p>
    <w:p w14:paraId="53348A46">
      <w:pPr>
        <w:pStyle w:val="38"/>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地</w:t>
      </w:r>
      <w:r>
        <w:rPr>
          <w:rFonts w:ascii="Times New Roman" w:hAnsi="Times New Roman"/>
          <w:color w:val="auto"/>
          <w:szCs w:val="21"/>
        </w:rPr>
        <w:t xml:space="preserve">    </w:t>
      </w:r>
      <w:r>
        <w:rPr>
          <w:rFonts w:hint="eastAsia" w:ascii="Times New Roman" w:hAnsi="宋体" w:cs="宋体"/>
          <w:color w:val="auto"/>
          <w:szCs w:val="21"/>
        </w:rPr>
        <w:t>址：</w:t>
      </w:r>
      <w:r>
        <w:rPr>
          <w:rFonts w:ascii="Times New Roman" w:hAnsi="Times New Roman"/>
          <w:color w:val="auto"/>
          <w:szCs w:val="21"/>
          <w:u w:val="single"/>
        </w:rPr>
        <w:t xml:space="preserve">                                        </w:t>
      </w:r>
    </w:p>
    <w:p w14:paraId="11348A7C">
      <w:pPr>
        <w:pStyle w:val="38"/>
        <w:spacing w:line="360" w:lineRule="auto"/>
        <w:ind w:firstLine="420" w:firstLineChars="200"/>
        <w:jc w:val="left"/>
        <w:rPr>
          <w:rFonts w:ascii="Times New Roman" w:hAnsi="Times New Roman"/>
          <w:color w:val="auto"/>
          <w:szCs w:val="21"/>
        </w:rPr>
      </w:pPr>
      <w:r>
        <w:rPr>
          <w:rFonts w:hint="eastAsia" w:ascii="Times New Roman" w:hAnsi="宋体" w:cs="宋体"/>
          <w:color w:val="auto"/>
          <w:szCs w:val="21"/>
        </w:rPr>
        <w:t>邮政编码：</w:t>
      </w:r>
      <w:r>
        <w:rPr>
          <w:rFonts w:ascii="Times New Roman" w:hAnsi="Times New Roman"/>
          <w:color w:val="auto"/>
          <w:szCs w:val="21"/>
          <w:u w:val="single"/>
        </w:rPr>
        <w:t xml:space="preserve">                                        </w:t>
      </w:r>
    </w:p>
    <w:p w14:paraId="224BEC54">
      <w:pPr>
        <w:pStyle w:val="38"/>
        <w:spacing w:line="360" w:lineRule="auto"/>
        <w:ind w:firstLine="420" w:firstLineChars="200"/>
        <w:jc w:val="left"/>
        <w:rPr>
          <w:rFonts w:ascii="Times New Roman" w:hAnsi="Times New Roman"/>
          <w:color w:val="auto"/>
          <w:szCs w:val="21"/>
          <w:u w:val="single"/>
        </w:rPr>
      </w:pPr>
      <w:r>
        <w:rPr>
          <w:rFonts w:hint="eastAsia" w:ascii="Times New Roman" w:hAnsi="宋体" w:cs="宋体"/>
          <w:color w:val="auto"/>
          <w:szCs w:val="21"/>
        </w:rPr>
        <w:t>传</w:t>
      </w:r>
      <w:r>
        <w:rPr>
          <w:rFonts w:ascii="Times New Roman" w:hAnsi="Times New Roman"/>
          <w:color w:val="auto"/>
          <w:szCs w:val="21"/>
        </w:rPr>
        <w:t xml:space="preserve">    </w:t>
      </w:r>
      <w:r>
        <w:rPr>
          <w:rFonts w:hint="eastAsia" w:ascii="Times New Roman" w:hAnsi="宋体" w:cs="宋体"/>
          <w:color w:val="auto"/>
          <w:szCs w:val="21"/>
        </w:rPr>
        <w:t>真：</w:t>
      </w:r>
      <w:r>
        <w:rPr>
          <w:rFonts w:ascii="Times New Roman" w:hAnsi="Times New Roman"/>
          <w:color w:val="auto"/>
          <w:szCs w:val="21"/>
          <w:u w:val="single"/>
        </w:rPr>
        <w:t xml:space="preserve">                                        </w:t>
      </w:r>
    </w:p>
    <w:p w14:paraId="0BF5969D">
      <w:pPr>
        <w:pStyle w:val="38"/>
        <w:spacing w:line="360" w:lineRule="auto"/>
        <w:ind w:right="150" w:firstLine="420" w:firstLineChars="200"/>
        <w:jc w:val="left"/>
        <w:rPr>
          <w:rFonts w:ascii="Times New Roman" w:hAnsi="宋体" w:cs="宋体"/>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u w:val="single"/>
        </w:rPr>
        <w:t xml:space="preserve">             </w:t>
      </w:r>
      <w:r>
        <w:rPr>
          <w:rFonts w:hint="eastAsia" w:ascii="Times New Roman" w:hAnsi="宋体" w:cs="宋体"/>
          <w:color w:val="auto"/>
          <w:szCs w:val="21"/>
        </w:rPr>
        <w:t>年</w:t>
      </w:r>
      <w:r>
        <w:rPr>
          <w:rFonts w:ascii="Times New Roman" w:hAnsi="Times New Roman"/>
          <w:color w:val="auto"/>
          <w:szCs w:val="21"/>
          <w:u w:val="single"/>
        </w:rPr>
        <w:t xml:space="preserve">      </w:t>
      </w:r>
      <w:r>
        <w:rPr>
          <w:rFonts w:hint="eastAsia" w:ascii="Times New Roman" w:hAnsi="宋体" w:cs="宋体"/>
          <w:color w:val="auto"/>
          <w:szCs w:val="21"/>
        </w:rPr>
        <w:t>月</w:t>
      </w:r>
      <w:r>
        <w:rPr>
          <w:rFonts w:ascii="Times New Roman" w:hAnsi="Times New Roman"/>
          <w:color w:val="auto"/>
          <w:szCs w:val="21"/>
          <w:u w:val="single"/>
        </w:rPr>
        <w:t xml:space="preserve">      </w:t>
      </w:r>
      <w:r>
        <w:rPr>
          <w:rFonts w:hint="eastAsia" w:ascii="Times New Roman" w:hAnsi="宋体" w:cs="宋体"/>
          <w:color w:val="auto"/>
          <w:szCs w:val="21"/>
        </w:rPr>
        <w:t>日</w:t>
      </w:r>
    </w:p>
    <w:p w14:paraId="5682EAAA">
      <w:pPr>
        <w:pStyle w:val="38"/>
        <w:spacing w:line="360" w:lineRule="auto"/>
        <w:ind w:right="150" w:firstLine="420" w:firstLineChars="200"/>
        <w:jc w:val="left"/>
        <w:rPr>
          <w:rFonts w:ascii="仿宋_GB2312" w:hAnsi="宋体" w:cs="宋体"/>
          <w:color w:val="auto"/>
          <w:szCs w:val="21"/>
        </w:rPr>
      </w:pPr>
      <w:r>
        <w:rPr>
          <w:rFonts w:hint="eastAsia" w:ascii="Times New Roman" w:hAnsi="宋体" w:cs="宋体"/>
          <w:color w:val="auto"/>
          <w:szCs w:val="21"/>
        </w:rPr>
        <w:t>（备注</w:t>
      </w:r>
      <w:r>
        <w:rPr>
          <w:rFonts w:ascii="Times New Roman" w:hAnsi="宋体" w:cs="宋体"/>
          <w:color w:val="auto"/>
          <w:szCs w:val="21"/>
        </w:rPr>
        <w:t>：</w:t>
      </w:r>
      <w:r>
        <w:rPr>
          <w:rFonts w:hint="eastAsia" w:ascii="Times New Roman"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326FD989">
      <w:pPr>
        <w:pStyle w:val="38"/>
        <w:spacing w:line="360" w:lineRule="auto"/>
        <w:ind w:right="150" w:firstLine="420" w:firstLineChars="200"/>
        <w:jc w:val="left"/>
        <w:rPr>
          <w:rFonts w:ascii="仿宋_GB2312" w:hAnsi="宋体" w:cs="宋体"/>
          <w:color w:val="auto"/>
          <w:szCs w:val="21"/>
        </w:rPr>
      </w:pPr>
    </w:p>
    <w:p w14:paraId="76632CEE">
      <w:pPr>
        <w:pStyle w:val="38"/>
        <w:spacing w:line="360" w:lineRule="auto"/>
        <w:ind w:right="150" w:firstLine="420" w:firstLineChars="200"/>
        <w:jc w:val="left"/>
        <w:rPr>
          <w:rFonts w:ascii="仿宋_GB2312" w:hAnsi="宋体" w:cs="宋体"/>
          <w:color w:val="auto"/>
          <w:szCs w:val="21"/>
        </w:rPr>
      </w:pPr>
    </w:p>
    <w:p w14:paraId="066EE070">
      <w:pPr>
        <w:pStyle w:val="38"/>
        <w:spacing w:line="360" w:lineRule="auto"/>
        <w:ind w:right="150" w:firstLine="420" w:firstLineChars="200"/>
        <w:jc w:val="left"/>
        <w:rPr>
          <w:rFonts w:ascii="仿宋_GB2312" w:hAnsi="宋体" w:cs="宋体"/>
          <w:color w:val="auto"/>
          <w:szCs w:val="21"/>
        </w:rPr>
      </w:pPr>
    </w:p>
    <w:p w14:paraId="78A5849B">
      <w:pPr>
        <w:pStyle w:val="38"/>
        <w:ind w:firstLine="600" w:firstLineChars="200"/>
        <w:jc w:val="left"/>
        <w:rPr>
          <w:rFonts w:hint="eastAsia" w:ascii="Times New Roman" w:hAnsi="宋体" w:cs="宋体"/>
          <w:color w:val="auto"/>
          <w:sz w:val="30"/>
          <w:szCs w:val="30"/>
        </w:rPr>
      </w:pPr>
      <w:r>
        <w:rPr>
          <w:rFonts w:hint="eastAsia" w:ascii="Times New Roman" w:hAnsi="宋体" w:cs="宋体"/>
          <w:color w:val="auto"/>
          <w:sz w:val="30"/>
          <w:szCs w:val="30"/>
        </w:rPr>
        <w:t>附件10：</w:t>
      </w:r>
    </w:p>
    <w:p w14:paraId="79009B8D">
      <w:pPr>
        <w:pStyle w:val="38"/>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预付款支付申请（核准）表</w:t>
      </w:r>
    </w:p>
    <w:p w14:paraId="35811C6C">
      <w:pPr>
        <w:pStyle w:val="38"/>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4C2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185" w:type="dxa"/>
            <w:noWrap w:val="0"/>
            <w:vAlign w:val="top"/>
          </w:tcPr>
          <w:p w14:paraId="23926010">
            <w:pPr>
              <w:pStyle w:val="38"/>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4C0D9537">
            <w:pPr>
              <w:pStyle w:val="38"/>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我方根据施工合同的约定，现申请支付工程预付款额为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p>
          <w:p w14:paraId="282F869D">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14:paraId="780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3F907901">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40" w:type="dxa"/>
                  <w:noWrap w:val="0"/>
                  <w:vAlign w:val="center"/>
                </w:tcPr>
                <w:p w14:paraId="4AA11ED8">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764" w:type="dxa"/>
                  <w:noWrap w:val="0"/>
                  <w:vAlign w:val="center"/>
                </w:tcPr>
                <w:p w14:paraId="3C343AB9">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2240" w:type="dxa"/>
                  <w:noWrap w:val="0"/>
                  <w:vAlign w:val="center"/>
                </w:tcPr>
                <w:p w14:paraId="5BF67CC0">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080" w:type="dxa"/>
                  <w:noWrap w:val="0"/>
                  <w:vAlign w:val="center"/>
                </w:tcPr>
                <w:p w14:paraId="12D0910D">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DFD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F5BC0B8">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40" w:type="dxa"/>
                  <w:noWrap w:val="0"/>
                  <w:vAlign w:val="top"/>
                </w:tcPr>
                <w:p w14:paraId="207DC2FE">
                  <w:pPr>
                    <w:pStyle w:val="38"/>
                    <w:spacing w:line="280" w:lineRule="exact"/>
                    <w:rPr>
                      <w:rFonts w:hint="eastAsia" w:ascii="Times New Roman" w:hAnsi="Times New Roman"/>
                      <w:color w:val="auto"/>
                      <w:szCs w:val="21"/>
                    </w:rPr>
                  </w:pPr>
                  <w:r>
                    <w:rPr>
                      <w:rFonts w:hint="eastAsia" w:ascii="Times New Roman" w:hAnsi="Times New Roman"/>
                      <w:color w:val="auto"/>
                      <w:szCs w:val="21"/>
                    </w:rPr>
                    <w:t>已签约合同价款金额</w:t>
                  </w:r>
                </w:p>
              </w:tc>
              <w:tc>
                <w:tcPr>
                  <w:tcW w:w="1764" w:type="dxa"/>
                  <w:noWrap w:val="0"/>
                  <w:vAlign w:val="top"/>
                </w:tcPr>
                <w:p w14:paraId="52D4E500">
                  <w:pPr>
                    <w:pStyle w:val="38"/>
                    <w:spacing w:line="280" w:lineRule="exact"/>
                    <w:rPr>
                      <w:rFonts w:hint="eastAsia" w:ascii="Times New Roman" w:hAnsi="Times New Roman"/>
                      <w:color w:val="auto"/>
                      <w:szCs w:val="21"/>
                    </w:rPr>
                  </w:pPr>
                </w:p>
              </w:tc>
              <w:tc>
                <w:tcPr>
                  <w:tcW w:w="2240" w:type="dxa"/>
                  <w:noWrap w:val="0"/>
                  <w:vAlign w:val="top"/>
                </w:tcPr>
                <w:p w14:paraId="5A52C871">
                  <w:pPr>
                    <w:pStyle w:val="38"/>
                    <w:spacing w:line="280" w:lineRule="exact"/>
                    <w:rPr>
                      <w:rFonts w:hint="eastAsia" w:ascii="Times New Roman" w:hAnsi="Times New Roman"/>
                      <w:color w:val="auto"/>
                      <w:szCs w:val="21"/>
                    </w:rPr>
                  </w:pPr>
                </w:p>
              </w:tc>
              <w:tc>
                <w:tcPr>
                  <w:tcW w:w="1080" w:type="dxa"/>
                  <w:noWrap w:val="0"/>
                  <w:vAlign w:val="top"/>
                </w:tcPr>
                <w:p w14:paraId="76C3DFAB">
                  <w:pPr>
                    <w:pStyle w:val="38"/>
                    <w:spacing w:line="280" w:lineRule="exact"/>
                    <w:rPr>
                      <w:rFonts w:hint="eastAsia" w:ascii="Times New Roman" w:hAnsi="Times New Roman"/>
                      <w:color w:val="auto"/>
                      <w:szCs w:val="21"/>
                    </w:rPr>
                  </w:pPr>
                </w:p>
              </w:tc>
            </w:tr>
            <w:tr w14:paraId="37A4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7E5F24E">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40" w:type="dxa"/>
                  <w:noWrap w:val="0"/>
                  <w:vAlign w:val="top"/>
                </w:tcPr>
                <w:p w14:paraId="17369931">
                  <w:pPr>
                    <w:pStyle w:val="38"/>
                    <w:spacing w:line="280" w:lineRule="exact"/>
                    <w:rPr>
                      <w:rFonts w:hint="eastAsia" w:ascii="Times New Roman" w:hAnsi="Times New Roman"/>
                      <w:color w:val="auto"/>
                      <w:szCs w:val="21"/>
                    </w:rPr>
                  </w:pPr>
                  <w:r>
                    <w:rPr>
                      <w:rFonts w:hint="eastAsia" w:ascii="Times New Roman" w:hAnsi="Times New Roman"/>
                      <w:color w:val="auto"/>
                      <w:szCs w:val="21"/>
                    </w:rPr>
                    <w:t>其中：安全文明施工费</w:t>
                  </w:r>
                </w:p>
              </w:tc>
              <w:tc>
                <w:tcPr>
                  <w:tcW w:w="1764" w:type="dxa"/>
                  <w:noWrap w:val="0"/>
                  <w:vAlign w:val="top"/>
                </w:tcPr>
                <w:p w14:paraId="28F3CACA">
                  <w:pPr>
                    <w:pStyle w:val="38"/>
                    <w:spacing w:line="280" w:lineRule="exact"/>
                    <w:rPr>
                      <w:rFonts w:hint="eastAsia" w:ascii="Times New Roman" w:hAnsi="Times New Roman"/>
                      <w:color w:val="auto"/>
                      <w:szCs w:val="21"/>
                    </w:rPr>
                  </w:pPr>
                </w:p>
              </w:tc>
              <w:tc>
                <w:tcPr>
                  <w:tcW w:w="2240" w:type="dxa"/>
                  <w:noWrap w:val="0"/>
                  <w:vAlign w:val="top"/>
                </w:tcPr>
                <w:p w14:paraId="3755835A">
                  <w:pPr>
                    <w:pStyle w:val="38"/>
                    <w:spacing w:line="280" w:lineRule="exact"/>
                    <w:rPr>
                      <w:rFonts w:hint="eastAsia" w:ascii="Times New Roman" w:hAnsi="Times New Roman"/>
                      <w:color w:val="auto"/>
                      <w:szCs w:val="21"/>
                    </w:rPr>
                  </w:pPr>
                </w:p>
              </w:tc>
              <w:tc>
                <w:tcPr>
                  <w:tcW w:w="1080" w:type="dxa"/>
                  <w:noWrap w:val="0"/>
                  <w:vAlign w:val="top"/>
                </w:tcPr>
                <w:p w14:paraId="399F0881">
                  <w:pPr>
                    <w:pStyle w:val="38"/>
                    <w:spacing w:line="280" w:lineRule="exact"/>
                    <w:rPr>
                      <w:rFonts w:hint="eastAsia" w:ascii="Times New Roman" w:hAnsi="Times New Roman"/>
                      <w:color w:val="auto"/>
                      <w:szCs w:val="21"/>
                    </w:rPr>
                  </w:pPr>
                </w:p>
              </w:tc>
            </w:tr>
            <w:tr w14:paraId="02A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61295D6">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40" w:type="dxa"/>
                  <w:noWrap w:val="0"/>
                  <w:vAlign w:val="top"/>
                </w:tcPr>
                <w:p w14:paraId="55AC858B">
                  <w:pPr>
                    <w:pStyle w:val="38"/>
                    <w:spacing w:line="280" w:lineRule="exact"/>
                    <w:rPr>
                      <w:rFonts w:hint="eastAsia" w:ascii="Times New Roman" w:hAnsi="Times New Roman"/>
                      <w:color w:val="auto"/>
                      <w:szCs w:val="21"/>
                    </w:rPr>
                  </w:pPr>
                  <w:r>
                    <w:rPr>
                      <w:rFonts w:hint="eastAsia" w:ascii="Times New Roman" w:hAnsi="Times New Roman"/>
                      <w:color w:val="auto"/>
                      <w:szCs w:val="21"/>
                    </w:rPr>
                    <w:t>应支付的预付款</w:t>
                  </w:r>
                </w:p>
              </w:tc>
              <w:tc>
                <w:tcPr>
                  <w:tcW w:w="1764" w:type="dxa"/>
                  <w:noWrap w:val="0"/>
                  <w:vAlign w:val="top"/>
                </w:tcPr>
                <w:p w14:paraId="1BD499BC">
                  <w:pPr>
                    <w:pStyle w:val="38"/>
                    <w:spacing w:line="280" w:lineRule="exact"/>
                    <w:rPr>
                      <w:rFonts w:hint="eastAsia" w:ascii="Times New Roman" w:hAnsi="Times New Roman"/>
                      <w:color w:val="auto"/>
                      <w:szCs w:val="21"/>
                    </w:rPr>
                  </w:pPr>
                </w:p>
              </w:tc>
              <w:tc>
                <w:tcPr>
                  <w:tcW w:w="2240" w:type="dxa"/>
                  <w:noWrap w:val="0"/>
                  <w:vAlign w:val="top"/>
                </w:tcPr>
                <w:p w14:paraId="016556F1">
                  <w:pPr>
                    <w:pStyle w:val="38"/>
                    <w:spacing w:line="280" w:lineRule="exact"/>
                    <w:rPr>
                      <w:rFonts w:hint="eastAsia" w:ascii="Times New Roman" w:hAnsi="Times New Roman"/>
                      <w:color w:val="auto"/>
                      <w:szCs w:val="21"/>
                    </w:rPr>
                  </w:pPr>
                </w:p>
              </w:tc>
              <w:tc>
                <w:tcPr>
                  <w:tcW w:w="1080" w:type="dxa"/>
                  <w:noWrap w:val="0"/>
                  <w:vAlign w:val="top"/>
                </w:tcPr>
                <w:p w14:paraId="71CA9B4A">
                  <w:pPr>
                    <w:pStyle w:val="38"/>
                    <w:spacing w:line="280" w:lineRule="exact"/>
                    <w:rPr>
                      <w:rFonts w:hint="eastAsia" w:ascii="Times New Roman" w:hAnsi="Times New Roman"/>
                      <w:color w:val="auto"/>
                      <w:szCs w:val="21"/>
                    </w:rPr>
                  </w:pPr>
                </w:p>
              </w:tc>
            </w:tr>
            <w:tr w14:paraId="25E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14:paraId="12EB650F">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40" w:type="dxa"/>
                  <w:noWrap w:val="0"/>
                  <w:vAlign w:val="top"/>
                </w:tcPr>
                <w:p w14:paraId="6848F813">
                  <w:pPr>
                    <w:pStyle w:val="38"/>
                    <w:spacing w:line="280" w:lineRule="exact"/>
                    <w:rPr>
                      <w:rFonts w:hint="eastAsia" w:ascii="Times New Roman" w:hAnsi="Times New Roman"/>
                      <w:color w:val="auto"/>
                      <w:szCs w:val="21"/>
                    </w:rPr>
                  </w:pPr>
                  <w:r>
                    <w:rPr>
                      <w:rFonts w:hint="eastAsia" w:ascii="Times New Roman" w:hAnsi="Times New Roman"/>
                      <w:color w:val="auto"/>
                      <w:szCs w:val="21"/>
                    </w:rPr>
                    <w:t>应支付的安全文明施工费预付款</w:t>
                  </w:r>
                </w:p>
              </w:tc>
              <w:tc>
                <w:tcPr>
                  <w:tcW w:w="1764" w:type="dxa"/>
                  <w:noWrap w:val="0"/>
                  <w:vAlign w:val="top"/>
                </w:tcPr>
                <w:p w14:paraId="09A1C03C">
                  <w:pPr>
                    <w:pStyle w:val="38"/>
                    <w:spacing w:line="280" w:lineRule="exact"/>
                    <w:rPr>
                      <w:rFonts w:hint="eastAsia" w:ascii="Times New Roman" w:hAnsi="Times New Roman"/>
                      <w:color w:val="auto"/>
                      <w:szCs w:val="21"/>
                    </w:rPr>
                  </w:pPr>
                </w:p>
              </w:tc>
              <w:tc>
                <w:tcPr>
                  <w:tcW w:w="2240" w:type="dxa"/>
                  <w:noWrap w:val="0"/>
                  <w:vAlign w:val="top"/>
                </w:tcPr>
                <w:p w14:paraId="69E45713">
                  <w:pPr>
                    <w:pStyle w:val="38"/>
                    <w:spacing w:line="280" w:lineRule="exact"/>
                    <w:rPr>
                      <w:rFonts w:hint="eastAsia" w:ascii="Times New Roman" w:hAnsi="Times New Roman"/>
                      <w:color w:val="auto"/>
                      <w:szCs w:val="21"/>
                    </w:rPr>
                  </w:pPr>
                </w:p>
              </w:tc>
              <w:tc>
                <w:tcPr>
                  <w:tcW w:w="1080" w:type="dxa"/>
                  <w:noWrap w:val="0"/>
                  <w:vAlign w:val="top"/>
                </w:tcPr>
                <w:p w14:paraId="31C57896">
                  <w:pPr>
                    <w:pStyle w:val="38"/>
                    <w:spacing w:line="280" w:lineRule="exact"/>
                    <w:rPr>
                      <w:rFonts w:hint="eastAsia" w:ascii="Times New Roman" w:hAnsi="Times New Roman"/>
                      <w:color w:val="auto"/>
                      <w:szCs w:val="21"/>
                    </w:rPr>
                  </w:pPr>
                </w:p>
              </w:tc>
            </w:tr>
            <w:tr w14:paraId="2C87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1CA1E3D">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340" w:type="dxa"/>
                  <w:noWrap w:val="0"/>
                  <w:vAlign w:val="top"/>
                </w:tcPr>
                <w:p w14:paraId="3B832D1C">
                  <w:pPr>
                    <w:pStyle w:val="38"/>
                    <w:spacing w:line="280" w:lineRule="exact"/>
                    <w:rPr>
                      <w:rFonts w:hint="eastAsia" w:ascii="Times New Roman" w:hAnsi="Times New Roman"/>
                      <w:color w:val="auto"/>
                      <w:szCs w:val="21"/>
                    </w:rPr>
                  </w:pPr>
                  <w:r>
                    <w:rPr>
                      <w:rFonts w:hint="eastAsia" w:ascii="Times New Roman" w:hAnsi="Times New Roman"/>
                      <w:color w:val="auto"/>
                      <w:szCs w:val="21"/>
                    </w:rPr>
                    <w:t>合计应支付的预付款</w:t>
                  </w:r>
                </w:p>
              </w:tc>
              <w:tc>
                <w:tcPr>
                  <w:tcW w:w="1764" w:type="dxa"/>
                  <w:noWrap w:val="0"/>
                  <w:vAlign w:val="top"/>
                </w:tcPr>
                <w:p w14:paraId="75FF3BD8">
                  <w:pPr>
                    <w:pStyle w:val="38"/>
                    <w:spacing w:line="280" w:lineRule="exact"/>
                    <w:rPr>
                      <w:rFonts w:hint="eastAsia" w:ascii="Times New Roman" w:hAnsi="Times New Roman"/>
                      <w:color w:val="auto"/>
                      <w:szCs w:val="21"/>
                    </w:rPr>
                  </w:pPr>
                </w:p>
              </w:tc>
              <w:tc>
                <w:tcPr>
                  <w:tcW w:w="2240" w:type="dxa"/>
                  <w:noWrap w:val="0"/>
                  <w:vAlign w:val="top"/>
                </w:tcPr>
                <w:p w14:paraId="5BBCDD80">
                  <w:pPr>
                    <w:pStyle w:val="38"/>
                    <w:spacing w:line="280" w:lineRule="exact"/>
                    <w:rPr>
                      <w:rFonts w:hint="eastAsia" w:ascii="Times New Roman" w:hAnsi="Times New Roman"/>
                      <w:color w:val="auto"/>
                      <w:szCs w:val="21"/>
                    </w:rPr>
                  </w:pPr>
                </w:p>
              </w:tc>
              <w:tc>
                <w:tcPr>
                  <w:tcW w:w="1080" w:type="dxa"/>
                  <w:noWrap w:val="0"/>
                  <w:vAlign w:val="top"/>
                </w:tcPr>
                <w:p w14:paraId="23E88C29">
                  <w:pPr>
                    <w:pStyle w:val="38"/>
                    <w:spacing w:line="280" w:lineRule="exact"/>
                    <w:rPr>
                      <w:rFonts w:hint="eastAsia" w:ascii="Times New Roman" w:hAnsi="Times New Roman"/>
                      <w:color w:val="auto"/>
                      <w:szCs w:val="21"/>
                    </w:rPr>
                  </w:pPr>
                </w:p>
              </w:tc>
            </w:tr>
            <w:tr w14:paraId="655A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14:paraId="3F8E8217">
                  <w:pPr>
                    <w:pStyle w:val="38"/>
                    <w:spacing w:line="280" w:lineRule="exact"/>
                    <w:jc w:val="center"/>
                    <w:rPr>
                      <w:rFonts w:hint="eastAsia" w:ascii="Times New Roman" w:hAnsi="Times New Roman"/>
                      <w:color w:val="auto"/>
                      <w:szCs w:val="21"/>
                    </w:rPr>
                  </w:pPr>
                </w:p>
              </w:tc>
              <w:tc>
                <w:tcPr>
                  <w:tcW w:w="3340" w:type="dxa"/>
                  <w:noWrap w:val="0"/>
                  <w:vAlign w:val="top"/>
                </w:tcPr>
                <w:p w14:paraId="475CCA60">
                  <w:pPr>
                    <w:pStyle w:val="38"/>
                    <w:spacing w:line="280" w:lineRule="exact"/>
                    <w:rPr>
                      <w:rFonts w:hint="eastAsia" w:ascii="Times New Roman" w:hAnsi="Times New Roman"/>
                      <w:color w:val="auto"/>
                      <w:szCs w:val="21"/>
                    </w:rPr>
                  </w:pPr>
                </w:p>
              </w:tc>
              <w:tc>
                <w:tcPr>
                  <w:tcW w:w="1764" w:type="dxa"/>
                  <w:noWrap w:val="0"/>
                  <w:vAlign w:val="top"/>
                </w:tcPr>
                <w:p w14:paraId="584791A7">
                  <w:pPr>
                    <w:pStyle w:val="38"/>
                    <w:spacing w:line="280" w:lineRule="exact"/>
                    <w:rPr>
                      <w:rFonts w:hint="eastAsia" w:ascii="Times New Roman" w:hAnsi="Times New Roman"/>
                      <w:color w:val="auto"/>
                      <w:szCs w:val="21"/>
                    </w:rPr>
                  </w:pPr>
                </w:p>
              </w:tc>
              <w:tc>
                <w:tcPr>
                  <w:tcW w:w="2240" w:type="dxa"/>
                  <w:noWrap w:val="0"/>
                  <w:vAlign w:val="top"/>
                </w:tcPr>
                <w:p w14:paraId="5C5D1BF2">
                  <w:pPr>
                    <w:pStyle w:val="38"/>
                    <w:spacing w:line="280" w:lineRule="exact"/>
                    <w:rPr>
                      <w:rFonts w:hint="eastAsia" w:ascii="Times New Roman" w:hAnsi="Times New Roman"/>
                      <w:color w:val="auto"/>
                      <w:szCs w:val="21"/>
                    </w:rPr>
                  </w:pPr>
                </w:p>
              </w:tc>
              <w:tc>
                <w:tcPr>
                  <w:tcW w:w="1080" w:type="dxa"/>
                  <w:noWrap w:val="0"/>
                  <w:vAlign w:val="top"/>
                </w:tcPr>
                <w:p w14:paraId="084B9FC6">
                  <w:pPr>
                    <w:pStyle w:val="38"/>
                    <w:spacing w:line="280" w:lineRule="exact"/>
                    <w:rPr>
                      <w:rFonts w:hint="eastAsia" w:ascii="Times New Roman" w:hAnsi="Times New Roman"/>
                      <w:color w:val="auto"/>
                      <w:szCs w:val="21"/>
                    </w:rPr>
                  </w:pPr>
                </w:p>
              </w:tc>
            </w:tr>
          </w:tbl>
          <w:p w14:paraId="6F59F477">
            <w:pPr>
              <w:pStyle w:val="38"/>
              <w:wordWrap w:val="0"/>
              <w:spacing w:line="400" w:lineRule="exact"/>
              <w:ind w:right="420"/>
              <w:rPr>
                <w:rFonts w:hint="eastAsia" w:ascii="Times New Roman" w:hAnsi="Times New Roman"/>
                <w:color w:val="auto"/>
                <w:szCs w:val="21"/>
              </w:rPr>
            </w:pPr>
          </w:p>
          <w:p w14:paraId="190B6018">
            <w:pPr>
              <w:pStyle w:val="38"/>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329CAB0C">
            <w:pPr>
              <w:pStyle w:val="38"/>
              <w:spacing w:line="400" w:lineRule="exact"/>
              <w:ind w:right="420" w:firstLine="420" w:firstLineChars="200"/>
              <w:rPr>
                <w:rFonts w:hint="eastAsia" w:ascii="Times New Roman" w:hAnsi="Times New Roman"/>
                <w:color w:val="auto"/>
                <w:szCs w:val="21"/>
                <w:u w:val="single"/>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p>
          <w:p w14:paraId="6F563782">
            <w:pPr>
              <w:pStyle w:val="38"/>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0248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5" w:type="dxa"/>
            <w:noWrap w:val="0"/>
            <w:vAlign w:val="top"/>
          </w:tcPr>
          <w:p w14:paraId="65EEAB06">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07C57443">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□与合同约定不相符，修改意见见附件。</w:t>
            </w:r>
          </w:p>
          <w:p w14:paraId="7830FC85">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□与合同约定相符，具体金额由造价工程师复核。</w:t>
            </w:r>
          </w:p>
          <w:p w14:paraId="3F56D29F">
            <w:pPr>
              <w:pStyle w:val="38"/>
              <w:spacing w:line="360" w:lineRule="exact"/>
              <w:ind w:firstLine="435"/>
              <w:jc w:val="right"/>
              <w:rPr>
                <w:rFonts w:hint="eastAsia" w:ascii="Times New Roman" w:hAnsi="Times New Roman"/>
                <w:color w:val="auto"/>
                <w:szCs w:val="21"/>
              </w:rPr>
            </w:pPr>
          </w:p>
          <w:p w14:paraId="64746830">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1268F089">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1012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noWrap w:val="0"/>
            <w:vAlign w:val="top"/>
          </w:tcPr>
          <w:p w14:paraId="35C5FD16">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174B6FB5">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F8C34E0">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79BA6B1">
            <w:pPr>
              <w:pStyle w:val="38"/>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CD027AF">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40698273">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7E85D90C">
      <w:pPr>
        <w:pStyle w:val="38"/>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329FEEFB">
      <w:pPr>
        <w:pStyle w:val="38"/>
        <w:spacing w:before="156" w:beforeLines="50"/>
        <w:ind w:firstLine="540" w:firstLineChars="300"/>
        <w:rPr>
          <w:rFonts w:hint="eastAsia" w:ascii="Times New Roman" w:hAnsi="Times New Roman" w:eastAsia="仿宋_GB2312"/>
          <w:color w:val="auto"/>
          <w:sz w:val="30"/>
          <w:szCs w:val="30"/>
        </w:rPr>
      </w:pPr>
      <w:r>
        <w:rPr>
          <w:rFonts w:hint="eastAsia" w:ascii="Times New Roman" w:hAnsi="Times New Roman"/>
          <w:color w:val="auto"/>
          <w:sz w:val="18"/>
          <w:szCs w:val="18"/>
        </w:rPr>
        <w:t xml:space="preserve"> 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1E168ECD">
      <w:pPr>
        <w:pStyle w:val="38"/>
        <w:spacing w:before="156" w:beforeLines="50"/>
        <w:ind w:left="1200" w:firstLine="600" w:firstLineChars="200"/>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附件11：</w:t>
      </w:r>
    </w:p>
    <w:p w14:paraId="7D04DE06">
      <w:pPr>
        <w:pStyle w:val="38"/>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进度款支付申请（核准）表</w:t>
      </w:r>
    </w:p>
    <w:p w14:paraId="5A023E15">
      <w:pPr>
        <w:pStyle w:val="38"/>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CB4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noWrap w:val="0"/>
            <w:vAlign w:val="top"/>
          </w:tcPr>
          <w:p w14:paraId="7B1A4E9C">
            <w:pPr>
              <w:pStyle w:val="38"/>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0F91AB0">
            <w:pPr>
              <w:pStyle w:val="38"/>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w:t>
            </w:r>
            <w:r>
              <w:rPr>
                <w:rFonts w:hint="eastAsia" w:ascii="Times New Roman" w:hAnsi="Times New Roman"/>
                <w:color w:val="auto"/>
                <w:szCs w:val="21"/>
                <w:u w:val="single"/>
              </w:rPr>
              <w:t xml:space="preserve">               </w:t>
            </w:r>
            <w:r>
              <w:rPr>
                <w:rFonts w:hint="eastAsia" w:ascii="Times New Roman" w:hAnsi="Times New Roman"/>
                <w:color w:val="auto"/>
                <w:szCs w:val="21"/>
              </w:rPr>
              <w:t>工作，根据施工合同的约定，现申请支付本期的合同款额为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76"/>
              <w:gridCol w:w="1328"/>
              <w:gridCol w:w="1426"/>
              <w:gridCol w:w="1250"/>
              <w:gridCol w:w="919"/>
            </w:tblGrid>
            <w:tr w14:paraId="42B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4" w:type="dxa"/>
                  <w:noWrap w:val="0"/>
                  <w:vAlign w:val="center"/>
                </w:tcPr>
                <w:p w14:paraId="3A42BAC4">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276" w:type="dxa"/>
                  <w:noWrap w:val="0"/>
                  <w:vAlign w:val="center"/>
                </w:tcPr>
                <w:p w14:paraId="26D8272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328" w:type="dxa"/>
                  <w:noWrap w:val="0"/>
                  <w:vAlign w:val="center"/>
                </w:tcPr>
                <w:p w14:paraId="2328A232">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实际金额（元）</w:t>
                  </w:r>
                </w:p>
              </w:tc>
              <w:tc>
                <w:tcPr>
                  <w:tcW w:w="1426" w:type="dxa"/>
                  <w:noWrap w:val="0"/>
                  <w:vAlign w:val="center"/>
                </w:tcPr>
                <w:p w14:paraId="214DA6E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250" w:type="dxa"/>
                  <w:noWrap w:val="0"/>
                  <w:vAlign w:val="center"/>
                </w:tcPr>
                <w:p w14:paraId="6BE7A68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919" w:type="dxa"/>
                  <w:noWrap w:val="0"/>
                  <w:vAlign w:val="center"/>
                </w:tcPr>
                <w:p w14:paraId="705AF3C6">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7A21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4BBEED0">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276" w:type="dxa"/>
                  <w:noWrap w:val="0"/>
                  <w:vAlign w:val="top"/>
                </w:tcPr>
                <w:p w14:paraId="12A9B6DE">
                  <w:pPr>
                    <w:pStyle w:val="38"/>
                    <w:spacing w:line="280" w:lineRule="exact"/>
                    <w:rPr>
                      <w:rFonts w:hint="eastAsia" w:ascii="Times New Roman" w:hAnsi="Times New Roman"/>
                      <w:color w:val="auto"/>
                      <w:szCs w:val="21"/>
                    </w:rPr>
                  </w:pPr>
                  <w:r>
                    <w:rPr>
                      <w:rFonts w:hint="eastAsia" w:ascii="Times New Roman" w:hAnsi="Times New Roman"/>
                      <w:color w:val="auto"/>
                      <w:szCs w:val="21"/>
                    </w:rPr>
                    <w:t>累计已完成的工程价款</w:t>
                  </w:r>
                </w:p>
              </w:tc>
              <w:tc>
                <w:tcPr>
                  <w:tcW w:w="1328" w:type="dxa"/>
                  <w:noWrap w:val="0"/>
                  <w:vAlign w:val="top"/>
                </w:tcPr>
                <w:p w14:paraId="65FE1415">
                  <w:pPr>
                    <w:pStyle w:val="38"/>
                    <w:spacing w:line="280" w:lineRule="exact"/>
                    <w:rPr>
                      <w:rFonts w:hint="eastAsia" w:ascii="Times New Roman" w:hAnsi="Times New Roman"/>
                      <w:color w:val="auto"/>
                      <w:szCs w:val="21"/>
                    </w:rPr>
                  </w:pPr>
                </w:p>
              </w:tc>
              <w:tc>
                <w:tcPr>
                  <w:tcW w:w="1426" w:type="dxa"/>
                  <w:noWrap w:val="0"/>
                  <w:vAlign w:val="top"/>
                </w:tcPr>
                <w:p w14:paraId="3624244A">
                  <w:pPr>
                    <w:pStyle w:val="38"/>
                    <w:spacing w:line="280" w:lineRule="exact"/>
                    <w:rPr>
                      <w:rFonts w:hint="eastAsia" w:ascii="Times New Roman" w:hAnsi="Times New Roman"/>
                      <w:color w:val="auto"/>
                      <w:szCs w:val="21"/>
                    </w:rPr>
                  </w:pPr>
                </w:p>
              </w:tc>
              <w:tc>
                <w:tcPr>
                  <w:tcW w:w="1250" w:type="dxa"/>
                  <w:noWrap w:val="0"/>
                  <w:vAlign w:val="top"/>
                </w:tcPr>
                <w:p w14:paraId="33C7DA7E">
                  <w:pPr>
                    <w:pStyle w:val="38"/>
                    <w:spacing w:line="280" w:lineRule="exact"/>
                    <w:rPr>
                      <w:rFonts w:hint="eastAsia" w:ascii="Times New Roman" w:hAnsi="Times New Roman"/>
                      <w:color w:val="auto"/>
                      <w:szCs w:val="21"/>
                    </w:rPr>
                  </w:pPr>
                </w:p>
              </w:tc>
              <w:tc>
                <w:tcPr>
                  <w:tcW w:w="919" w:type="dxa"/>
                  <w:noWrap w:val="0"/>
                  <w:vAlign w:val="top"/>
                </w:tcPr>
                <w:p w14:paraId="32D05D2E">
                  <w:pPr>
                    <w:pStyle w:val="38"/>
                    <w:spacing w:line="280" w:lineRule="exact"/>
                    <w:rPr>
                      <w:rFonts w:hint="eastAsia" w:ascii="Times New Roman" w:hAnsi="Times New Roman"/>
                      <w:color w:val="auto"/>
                      <w:szCs w:val="21"/>
                    </w:rPr>
                  </w:pPr>
                </w:p>
              </w:tc>
            </w:tr>
            <w:tr w14:paraId="30CA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6B75095">
                  <w:pPr>
                    <w:pStyle w:val="38"/>
                    <w:spacing w:line="280" w:lineRule="exact"/>
                    <w:jc w:val="center"/>
                    <w:rPr>
                      <w:rFonts w:hint="eastAsia" w:ascii="Times New Roman" w:hAnsi="Times New Roman"/>
                      <w:color w:val="auto"/>
                      <w:szCs w:val="21"/>
                    </w:rPr>
                  </w:pPr>
                </w:p>
              </w:tc>
              <w:tc>
                <w:tcPr>
                  <w:tcW w:w="3276" w:type="dxa"/>
                  <w:noWrap w:val="0"/>
                  <w:vAlign w:val="top"/>
                </w:tcPr>
                <w:p w14:paraId="64727471">
                  <w:pPr>
                    <w:pStyle w:val="38"/>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04E5145C">
                  <w:pPr>
                    <w:pStyle w:val="38"/>
                    <w:spacing w:line="280" w:lineRule="exact"/>
                    <w:rPr>
                      <w:rFonts w:hint="eastAsia" w:ascii="Times New Roman" w:hAnsi="Times New Roman"/>
                      <w:color w:val="auto"/>
                      <w:szCs w:val="21"/>
                    </w:rPr>
                  </w:pPr>
                </w:p>
              </w:tc>
              <w:tc>
                <w:tcPr>
                  <w:tcW w:w="1426" w:type="dxa"/>
                  <w:noWrap w:val="0"/>
                  <w:vAlign w:val="top"/>
                </w:tcPr>
                <w:p w14:paraId="6199E305">
                  <w:pPr>
                    <w:pStyle w:val="38"/>
                    <w:spacing w:line="280" w:lineRule="exact"/>
                    <w:rPr>
                      <w:rFonts w:hint="eastAsia" w:ascii="Times New Roman" w:hAnsi="Times New Roman"/>
                      <w:color w:val="auto"/>
                      <w:szCs w:val="21"/>
                    </w:rPr>
                  </w:pPr>
                </w:p>
              </w:tc>
              <w:tc>
                <w:tcPr>
                  <w:tcW w:w="1250" w:type="dxa"/>
                  <w:noWrap w:val="0"/>
                  <w:vAlign w:val="top"/>
                </w:tcPr>
                <w:p w14:paraId="32693C41">
                  <w:pPr>
                    <w:pStyle w:val="38"/>
                    <w:spacing w:line="280" w:lineRule="exact"/>
                    <w:rPr>
                      <w:rFonts w:hint="eastAsia" w:ascii="Times New Roman" w:hAnsi="Times New Roman"/>
                      <w:color w:val="auto"/>
                      <w:szCs w:val="21"/>
                    </w:rPr>
                  </w:pPr>
                </w:p>
              </w:tc>
              <w:tc>
                <w:tcPr>
                  <w:tcW w:w="919" w:type="dxa"/>
                  <w:noWrap w:val="0"/>
                  <w:vAlign w:val="top"/>
                </w:tcPr>
                <w:p w14:paraId="6383C26E">
                  <w:pPr>
                    <w:pStyle w:val="38"/>
                    <w:spacing w:line="280" w:lineRule="exact"/>
                    <w:rPr>
                      <w:rFonts w:hint="eastAsia" w:ascii="Times New Roman" w:hAnsi="Times New Roman"/>
                      <w:color w:val="auto"/>
                      <w:szCs w:val="21"/>
                    </w:rPr>
                  </w:pPr>
                </w:p>
              </w:tc>
            </w:tr>
            <w:tr w14:paraId="6EA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8394F3F">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276" w:type="dxa"/>
                  <w:noWrap w:val="0"/>
                  <w:vAlign w:val="top"/>
                </w:tcPr>
                <w:p w14:paraId="389CAFAC">
                  <w:pPr>
                    <w:pStyle w:val="38"/>
                    <w:spacing w:line="280" w:lineRule="exact"/>
                    <w:rPr>
                      <w:rFonts w:hint="eastAsia" w:ascii="Times New Roman" w:hAnsi="Times New Roman"/>
                      <w:color w:val="auto"/>
                      <w:szCs w:val="21"/>
                    </w:rPr>
                  </w:pPr>
                  <w:r>
                    <w:rPr>
                      <w:rFonts w:hint="eastAsia" w:ascii="Times New Roman" w:hAnsi="Times New Roman"/>
                      <w:color w:val="auto"/>
                      <w:szCs w:val="21"/>
                    </w:rPr>
                    <w:t>累计已实际支付的工程价款</w:t>
                  </w:r>
                </w:p>
              </w:tc>
              <w:tc>
                <w:tcPr>
                  <w:tcW w:w="1328" w:type="dxa"/>
                  <w:noWrap w:val="0"/>
                  <w:vAlign w:val="top"/>
                </w:tcPr>
                <w:p w14:paraId="45F0B92A">
                  <w:pPr>
                    <w:pStyle w:val="38"/>
                    <w:spacing w:line="280" w:lineRule="exact"/>
                    <w:rPr>
                      <w:rFonts w:hint="eastAsia" w:ascii="Times New Roman" w:hAnsi="Times New Roman"/>
                      <w:color w:val="auto"/>
                      <w:szCs w:val="21"/>
                    </w:rPr>
                  </w:pPr>
                </w:p>
              </w:tc>
              <w:tc>
                <w:tcPr>
                  <w:tcW w:w="1426" w:type="dxa"/>
                  <w:noWrap w:val="0"/>
                  <w:vAlign w:val="top"/>
                </w:tcPr>
                <w:p w14:paraId="174871F3">
                  <w:pPr>
                    <w:pStyle w:val="38"/>
                    <w:spacing w:line="280" w:lineRule="exact"/>
                    <w:rPr>
                      <w:rFonts w:hint="eastAsia" w:ascii="Times New Roman" w:hAnsi="Times New Roman"/>
                      <w:color w:val="auto"/>
                      <w:szCs w:val="21"/>
                    </w:rPr>
                  </w:pPr>
                </w:p>
              </w:tc>
              <w:tc>
                <w:tcPr>
                  <w:tcW w:w="1250" w:type="dxa"/>
                  <w:noWrap w:val="0"/>
                  <w:vAlign w:val="top"/>
                </w:tcPr>
                <w:p w14:paraId="20240DC5">
                  <w:pPr>
                    <w:pStyle w:val="38"/>
                    <w:spacing w:line="280" w:lineRule="exact"/>
                    <w:rPr>
                      <w:rFonts w:hint="eastAsia" w:ascii="Times New Roman" w:hAnsi="Times New Roman"/>
                      <w:color w:val="auto"/>
                      <w:szCs w:val="21"/>
                    </w:rPr>
                  </w:pPr>
                </w:p>
              </w:tc>
              <w:tc>
                <w:tcPr>
                  <w:tcW w:w="919" w:type="dxa"/>
                  <w:noWrap w:val="0"/>
                  <w:vAlign w:val="top"/>
                </w:tcPr>
                <w:p w14:paraId="75D38F1C">
                  <w:pPr>
                    <w:pStyle w:val="38"/>
                    <w:spacing w:line="280" w:lineRule="exact"/>
                    <w:rPr>
                      <w:rFonts w:hint="eastAsia" w:ascii="Times New Roman" w:hAnsi="Times New Roman"/>
                      <w:color w:val="auto"/>
                      <w:szCs w:val="21"/>
                    </w:rPr>
                  </w:pPr>
                </w:p>
              </w:tc>
            </w:tr>
            <w:tr w14:paraId="401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60AE5C2">
                  <w:pPr>
                    <w:pStyle w:val="38"/>
                    <w:spacing w:line="280" w:lineRule="exact"/>
                    <w:jc w:val="center"/>
                    <w:rPr>
                      <w:rFonts w:hint="eastAsia" w:ascii="Times New Roman" w:hAnsi="Times New Roman"/>
                      <w:color w:val="auto"/>
                      <w:szCs w:val="21"/>
                    </w:rPr>
                  </w:pPr>
                </w:p>
              </w:tc>
              <w:tc>
                <w:tcPr>
                  <w:tcW w:w="3276" w:type="dxa"/>
                  <w:noWrap w:val="0"/>
                  <w:vAlign w:val="top"/>
                </w:tcPr>
                <w:p w14:paraId="5CD243C6">
                  <w:pPr>
                    <w:pStyle w:val="38"/>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B98EE68">
                  <w:pPr>
                    <w:pStyle w:val="38"/>
                    <w:spacing w:line="280" w:lineRule="exact"/>
                    <w:rPr>
                      <w:rFonts w:hint="eastAsia" w:ascii="Times New Roman" w:hAnsi="Times New Roman"/>
                      <w:color w:val="auto"/>
                      <w:szCs w:val="21"/>
                    </w:rPr>
                  </w:pPr>
                </w:p>
              </w:tc>
              <w:tc>
                <w:tcPr>
                  <w:tcW w:w="1426" w:type="dxa"/>
                  <w:noWrap w:val="0"/>
                  <w:vAlign w:val="top"/>
                </w:tcPr>
                <w:p w14:paraId="28C21D88">
                  <w:pPr>
                    <w:pStyle w:val="38"/>
                    <w:spacing w:line="280" w:lineRule="exact"/>
                    <w:rPr>
                      <w:rFonts w:hint="eastAsia" w:ascii="Times New Roman" w:hAnsi="Times New Roman"/>
                      <w:color w:val="auto"/>
                      <w:szCs w:val="21"/>
                    </w:rPr>
                  </w:pPr>
                </w:p>
              </w:tc>
              <w:tc>
                <w:tcPr>
                  <w:tcW w:w="1250" w:type="dxa"/>
                  <w:noWrap w:val="0"/>
                  <w:vAlign w:val="top"/>
                </w:tcPr>
                <w:p w14:paraId="2F86F011">
                  <w:pPr>
                    <w:pStyle w:val="38"/>
                    <w:spacing w:line="280" w:lineRule="exact"/>
                    <w:rPr>
                      <w:rFonts w:hint="eastAsia" w:ascii="Times New Roman" w:hAnsi="Times New Roman"/>
                      <w:color w:val="auto"/>
                      <w:szCs w:val="21"/>
                    </w:rPr>
                  </w:pPr>
                </w:p>
              </w:tc>
              <w:tc>
                <w:tcPr>
                  <w:tcW w:w="919" w:type="dxa"/>
                  <w:noWrap w:val="0"/>
                  <w:vAlign w:val="top"/>
                </w:tcPr>
                <w:p w14:paraId="7889677B">
                  <w:pPr>
                    <w:pStyle w:val="38"/>
                    <w:spacing w:line="280" w:lineRule="exact"/>
                    <w:rPr>
                      <w:rFonts w:hint="eastAsia" w:ascii="Times New Roman" w:hAnsi="Times New Roman"/>
                      <w:color w:val="auto"/>
                      <w:szCs w:val="21"/>
                    </w:rPr>
                  </w:pPr>
                </w:p>
              </w:tc>
            </w:tr>
            <w:tr w14:paraId="10C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5716A77">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276" w:type="dxa"/>
                  <w:noWrap w:val="0"/>
                  <w:vAlign w:val="top"/>
                </w:tcPr>
                <w:p w14:paraId="719E0488">
                  <w:pPr>
                    <w:pStyle w:val="38"/>
                    <w:spacing w:line="280" w:lineRule="exact"/>
                    <w:rPr>
                      <w:rFonts w:hint="eastAsia" w:ascii="Times New Roman" w:hAnsi="Times New Roman"/>
                      <w:color w:val="auto"/>
                      <w:szCs w:val="21"/>
                    </w:rPr>
                  </w:pPr>
                  <w:r>
                    <w:rPr>
                      <w:rFonts w:hint="eastAsia" w:ascii="Times New Roman" w:hAnsi="Times New Roman"/>
                      <w:color w:val="auto"/>
                      <w:szCs w:val="21"/>
                    </w:rPr>
                    <w:t>本周期已完成的工程价款</w:t>
                  </w:r>
                </w:p>
              </w:tc>
              <w:tc>
                <w:tcPr>
                  <w:tcW w:w="1328" w:type="dxa"/>
                  <w:noWrap w:val="0"/>
                  <w:vAlign w:val="top"/>
                </w:tcPr>
                <w:p w14:paraId="0BD540B4">
                  <w:pPr>
                    <w:pStyle w:val="38"/>
                    <w:spacing w:line="280" w:lineRule="exact"/>
                    <w:rPr>
                      <w:rFonts w:hint="eastAsia" w:ascii="Times New Roman" w:hAnsi="Times New Roman"/>
                      <w:color w:val="auto"/>
                      <w:szCs w:val="21"/>
                    </w:rPr>
                  </w:pPr>
                </w:p>
              </w:tc>
              <w:tc>
                <w:tcPr>
                  <w:tcW w:w="1426" w:type="dxa"/>
                  <w:noWrap w:val="0"/>
                  <w:vAlign w:val="top"/>
                </w:tcPr>
                <w:p w14:paraId="578624E0">
                  <w:pPr>
                    <w:pStyle w:val="38"/>
                    <w:spacing w:line="280" w:lineRule="exact"/>
                    <w:rPr>
                      <w:rFonts w:hint="eastAsia" w:ascii="Times New Roman" w:hAnsi="Times New Roman"/>
                      <w:color w:val="auto"/>
                      <w:szCs w:val="21"/>
                    </w:rPr>
                  </w:pPr>
                </w:p>
              </w:tc>
              <w:tc>
                <w:tcPr>
                  <w:tcW w:w="1250" w:type="dxa"/>
                  <w:noWrap w:val="0"/>
                  <w:vAlign w:val="top"/>
                </w:tcPr>
                <w:p w14:paraId="2A61701E">
                  <w:pPr>
                    <w:pStyle w:val="38"/>
                    <w:spacing w:line="280" w:lineRule="exact"/>
                    <w:rPr>
                      <w:rFonts w:hint="eastAsia" w:ascii="Times New Roman" w:hAnsi="Times New Roman"/>
                      <w:color w:val="auto"/>
                      <w:szCs w:val="21"/>
                    </w:rPr>
                  </w:pPr>
                </w:p>
              </w:tc>
              <w:tc>
                <w:tcPr>
                  <w:tcW w:w="919" w:type="dxa"/>
                  <w:noWrap w:val="0"/>
                  <w:vAlign w:val="top"/>
                </w:tcPr>
                <w:p w14:paraId="5976665A">
                  <w:pPr>
                    <w:pStyle w:val="38"/>
                    <w:spacing w:line="280" w:lineRule="exact"/>
                    <w:rPr>
                      <w:rFonts w:hint="eastAsia" w:ascii="Times New Roman" w:hAnsi="Times New Roman"/>
                      <w:color w:val="auto"/>
                      <w:szCs w:val="21"/>
                    </w:rPr>
                  </w:pPr>
                </w:p>
              </w:tc>
            </w:tr>
            <w:tr w14:paraId="1A52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25BCC599">
                  <w:pPr>
                    <w:pStyle w:val="38"/>
                    <w:spacing w:line="280" w:lineRule="exact"/>
                    <w:jc w:val="center"/>
                    <w:rPr>
                      <w:rFonts w:hint="eastAsia" w:ascii="Times New Roman" w:hAnsi="Times New Roman"/>
                      <w:color w:val="auto"/>
                      <w:szCs w:val="21"/>
                    </w:rPr>
                  </w:pPr>
                </w:p>
              </w:tc>
              <w:tc>
                <w:tcPr>
                  <w:tcW w:w="3276" w:type="dxa"/>
                  <w:noWrap w:val="0"/>
                  <w:vAlign w:val="top"/>
                </w:tcPr>
                <w:p w14:paraId="0E17287C">
                  <w:pPr>
                    <w:pStyle w:val="38"/>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27788184">
                  <w:pPr>
                    <w:pStyle w:val="38"/>
                    <w:spacing w:line="280" w:lineRule="exact"/>
                    <w:rPr>
                      <w:rFonts w:hint="eastAsia" w:ascii="Times New Roman" w:hAnsi="Times New Roman"/>
                      <w:color w:val="auto"/>
                      <w:szCs w:val="21"/>
                    </w:rPr>
                  </w:pPr>
                </w:p>
              </w:tc>
              <w:tc>
                <w:tcPr>
                  <w:tcW w:w="1426" w:type="dxa"/>
                  <w:noWrap w:val="0"/>
                  <w:vAlign w:val="top"/>
                </w:tcPr>
                <w:p w14:paraId="3857AF6B">
                  <w:pPr>
                    <w:pStyle w:val="38"/>
                    <w:spacing w:line="280" w:lineRule="exact"/>
                    <w:rPr>
                      <w:rFonts w:hint="eastAsia" w:ascii="Times New Roman" w:hAnsi="Times New Roman"/>
                      <w:color w:val="auto"/>
                      <w:szCs w:val="21"/>
                    </w:rPr>
                  </w:pPr>
                </w:p>
              </w:tc>
              <w:tc>
                <w:tcPr>
                  <w:tcW w:w="1250" w:type="dxa"/>
                  <w:noWrap w:val="0"/>
                  <w:vAlign w:val="top"/>
                </w:tcPr>
                <w:p w14:paraId="0AD64FCF">
                  <w:pPr>
                    <w:pStyle w:val="38"/>
                    <w:spacing w:line="280" w:lineRule="exact"/>
                    <w:rPr>
                      <w:rFonts w:hint="eastAsia" w:ascii="Times New Roman" w:hAnsi="Times New Roman"/>
                      <w:color w:val="auto"/>
                      <w:szCs w:val="21"/>
                    </w:rPr>
                  </w:pPr>
                </w:p>
              </w:tc>
              <w:tc>
                <w:tcPr>
                  <w:tcW w:w="919" w:type="dxa"/>
                  <w:noWrap w:val="0"/>
                  <w:vAlign w:val="top"/>
                </w:tcPr>
                <w:p w14:paraId="109111A7">
                  <w:pPr>
                    <w:pStyle w:val="38"/>
                    <w:spacing w:line="280" w:lineRule="exact"/>
                    <w:rPr>
                      <w:rFonts w:hint="eastAsia" w:ascii="Times New Roman" w:hAnsi="Times New Roman"/>
                      <w:color w:val="auto"/>
                      <w:szCs w:val="21"/>
                    </w:rPr>
                  </w:pPr>
                </w:p>
              </w:tc>
            </w:tr>
            <w:tr w14:paraId="0237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30A32CF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276" w:type="dxa"/>
                  <w:noWrap w:val="0"/>
                  <w:vAlign w:val="top"/>
                </w:tcPr>
                <w:p w14:paraId="21DEED0C">
                  <w:pPr>
                    <w:pStyle w:val="38"/>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78424FB2">
                  <w:pPr>
                    <w:pStyle w:val="38"/>
                    <w:spacing w:line="280" w:lineRule="exact"/>
                    <w:rPr>
                      <w:rFonts w:hint="eastAsia" w:ascii="Times New Roman" w:hAnsi="Times New Roman"/>
                      <w:color w:val="auto"/>
                      <w:szCs w:val="21"/>
                    </w:rPr>
                  </w:pPr>
                </w:p>
              </w:tc>
              <w:tc>
                <w:tcPr>
                  <w:tcW w:w="1426" w:type="dxa"/>
                  <w:noWrap w:val="0"/>
                  <w:vAlign w:val="top"/>
                </w:tcPr>
                <w:p w14:paraId="59741F0A">
                  <w:pPr>
                    <w:pStyle w:val="38"/>
                    <w:spacing w:line="280" w:lineRule="exact"/>
                    <w:rPr>
                      <w:rFonts w:hint="eastAsia" w:ascii="Times New Roman" w:hAnsi="Times New Roman"/>
                      <w:color w:val="auto"/>
                      <w:szCs w:val="21"/>
                    </w:rPr>
                  </w:pPr>
                </w:p>
              </w:tc>
              <w:tc>
                <w:tcPr>
                  <w:tcW w:w="1250" w:type="dxa"/>
                  <w:noWrap w:val="0"/>
                  <w:vAlign w:val="top"/>
                </w:tcPr>
                <w:p w14:paraId="1EF8397F">
                  <w:pPr>
                    <w:pStyle w:val="38"/>
                    <w:spacing w:line="280" w:lineRule="exact"/>
                    <w:rPr>
                      <w:rFonts w:hint="eastAsia" w:ascii="Times New Roman" w:hAnsi="Times New Roman"/>
                      <w:color w:val="auto"/>
                      <w:szCs w:val="21"/>
                    </w:rPr>
                  </w:pPr>
                </w:p>
              </w:tc>
              <w:tc>
                <w:tcPr>
                  <w:tcW w:w="919" w:type="dxa"/>
                  <w:noWrap w:val="0"/>
                  <w:vAlign w:val="top"/>
                </w:tcPr>
                <w:p w14:paraId="2719C16D">
                  <w:pPr>
                    <w:pStyle w:val="38"/>
                    <w:spacing w:line="280" w:lineRule="exact"/>
                    <w:rPr>
                      <w:rFonts w:hint="eastAsia" w:ascii="Times New Roman" w:hAnsi="Times New Roman"/>
                      <w:color w:val="auto"/>
                      <w:szCs w:val="21"/>
                    </w:rPr>
                  </w:pPr>
                </w:p>
              </w:tc>
            </w:tr>
            <w:tr w14:paraId="3EB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B7AA9F3">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4.1</w:t>
                  </w:r>
                </w:p>
              </w:tc>
              <w:tc>
                <w:tcPr>
                  <w:tcW w:w="3276" w:type="dxa"/>
                  <w:noWrap w:val="0"/>
                  <w:vAlign w:val="top"/>
                </w:tcPr>
                <w:p w14:paraId="68A4481E">
                  <w:pPr>
                    <w:pStyle w:val="38"/>
                    <w:spacing w:line="280" w:lineRule="exact"/>
                    <w:rPr>
                      <w:rFonts w:hint="eastAsia" w:ascii="Times New Roman" w:hAnsi="Times New Roman"/>
                      <w:color w:val="auto"/>
                      <w:szCs w:val="21"/>
                    </w:rPr>
                  </w:pPr>
                  <w:r>
                    <w:rPr>
                      <w:rFonts w:hint="eastAsia" w:ascii="Times New Roman" w:hAnsi="Times New Roman"/>
                      <w:color w:val="auto"/>
                      <w:szCs w:val="21"/>
                    </w:rPr>
                    <w:t>本周期实际应抵扣的预付款</w:t>
                  </w:r>
                </w:p>
              </w:tc>
              <w:tc>
                <w:tcPr>
                  <w:tcW w:w="1328" w:type="dxa"/>
                  <w:noWrap w:val="0"/>
                  <w:vAlign w:val="top"/>
                </w:tcPr>
                <w:p w14:paraId="14CFD749">
                  <w:pPr>
                    <w:pStyle w:val="38"/>
                    <w:spacing w:line="280" w:lineRule="exact"/>
                    <w:rPr>
                      <w:rFonts w:hint="eastAsia" w:ascii="Times New Roman" w:hAnsi="Times New Roman"/>
                      <w:color w:val="auto"/>
                      <w:szCs w:val="21"/>
                    </w:rPr>
                  </w:pPr>
                </w:p>
              </w:tc>
              <w:tc>
                <w:tcPr>
                  <w:tcW w:w="1426" w:type="dxa"/>
                  <w:noWrap w:val="0"/>
                  <w:vAlign w:val="top"/>
                </w:tcPr>
                <w:p w14:paraId="72B5235B">
                  <w:pPr>
                    <w:pStyle w:val="38"/>
                    <w:spacing w:line="280" w:lineRule="exact"/>
                    <w:rPr>
                      <w:rFonts w:hint="eastAsia" w:ascii="Times New Roman" w:hAnsi="Times New Roman"/>
                      <w:color w:val="auto"/>
                      <w:szCs w:val="21"/>
                    </w:rPr>
                  </w:pPr>
                </w:p>
              </w:tc>
              <w:tc>
                <w:tcPr>
                  <w:tcW w:w="1250" w:type="dxa"/>
                  <w:noWrap w:val="0"/>
                  <w:vAlign w:val="top"/>
                </w:tcPr>
                <w:p w14:paraId="14F834B7">
                  <w:pPr>
                    <w:pStyle w:val="38"/>
                    <w:spacing w:line="280" w:lineRule="exact"/>
                    <w:rPr>
                      <w:rFonts w:hint="eastAsia" w:ascii="Times New Roman" w:hAnsi="Times New Roman"/>
                      <w:color w:val="auto"/>
                      <w:szCs w:val="21"/>
                    </w:rPr>
                  </w:pPr>
                </w:p>
              </w:tc>
              <w:tc>
                <w:tcPr>
                  <w:tcW w:w="919" w:type="dxa"/>
                  <w:noWrap w:val="0"/>
                  <w:vAlign w:val="top"/>
                </w:tcPr>
                <w:p w14:paraId="2F638A90">
                  <w:pPr>
                    <w:pStyle w:val="38"/>
                    <w:spacing w:line="280" w:lineRule="exact"/>
                    <w:rPr>
                      <w:rFonts w:hint="eastAsia" w:ascii="Times New Roman" w:hAnsi="Times New Roman"/>
                      <w:color w:val="auto"/>
                      <w:szCs w:val="21"/>
                    </w:rPr>
                  </w:pPr>
                </w:p>
              </w:tc>
            </w:tr>
            <w:tr w14:paraId="6E09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18FDBCAD">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4.2</w:t>
                  </w:r>
                </w:p>
              </w:tc>
              <w:tc>
                <w:tcPr>
                  <w:tcW w:w="3276" w:type="dxa"/>
                  <w:noWrap w:val="0"/>
                  <w:vAlign w:val="top"/>
                </w:tcPr>
                <w:p w14:paraId="465C982C">
                  <w:pPr>
                    <w:pStyle w:val="38"/>
                    <w:spacing w:line="280" w:lineRule="exact"/>
                    <w:rPr>
                      <w:rFonts w:hint="eastAsia" w:ascii="Times New Roman" w:hAnsi="Times New Roman"/>
                      <w:color w:val="auto"/>
                      <w:szCs w:val="21"/>
                    </w:rPr>
                  </w:pPr>
                  <w:r>
                    <w:rPr>
                      <w:rFonts w:hint="eastAsia" w:ascii="Times New Roman" w:hAnsi="Times New Roman"/>
                      <w:color w:val="auto"/>
                      <w:szCs w:val="21"/>
                    </w:rPr>
                    <w:t>本周期应扣减的金额</w:t>
                  </w:r>
                </w:p>
              </w:tc>
              <w:tc>
                <w:tcPr>
                  <w:tcW w:w="1328" w:type="dxa"/>
                  <w:noWrap w:val="0"/>
                  <w:vAlign w:val="top"/>
                </w:tcPr>
                <w:p w14:paraId="1867FAB8">
                  <w:pPr>
                    <w:pStyle w:val="38"/>
                    <w:spacing w:line="280" w:lineRule="exact"/>
                    <w:rPr>
                      <w:rFonts w:hint="eastAsia" w:ascii="Times New Roman" w:hAnsi="Times New Roman"/>
                      <w:color w:val="auto"/>
                      <w:szCs w:val="21"/>
                    </w:rPr>
                  </w:pPr>
                </w:p>
              </w:tc>
              <w:tc>
                <w:tcPr>
                  <w:tcW w:w="1426" w:type="dxa"/>
                  <w:noWrap w:val="0"/>
                  <w:vAlign w:val="top"/>
                </w:tcPr>
                <w:p w14:paraId="64255C06">
                  <w:pPr>
                    <w:pStyle w:val="38"/>
                    <w:spacing w:line="280" w:lineRule="exact"/>
                    <w:rPr>
                      <w:rFonts w:hint="eastAsia" w:ascii="Times New Roman" w:hAnsi="Times New Roman"/>
                      <w:color w:val="auto"/>
                      <w:szCs w:val="21"/>
                    </w:rPr>
                  </w:pPr>
                </w:p>
              </w:tc>
              <w:tc>
                <w:tcPr>
                  <w:tcW w:w="1250" w:type="dxa"/>
                  <w:noWrap w:val="0"/>
                  <w:vAlign w:val="top"/>
                </w:tcPr>
                <w:p w14:paraId="38015F57">
                  <w:pPr>
                    <w:pStyle w:val="38"/>
                    <w:spacing w:line="280" w:lineRule="exact"/>
                    <w:rPr>
                      <w:rFonts w:hint="eastAsia" w:ascii="Times New Roman" w:hAnsi="Times New Roman"/>
                      <w:color w:val="auto"/>
                      <w:szCs w:val="21"/>
                    </w:rPr>
                  </w:pPr>
                </w:p>
              </w:tc>
              <w:tc>
                <w:tcPr>
                  <w:tcW w:w="919" w:type="dxa"/>
                  <w:noWrap w:val="0"/>
                  <w:vAlign w:val="top"/>
                </w:tcPr>
                <w:p w14:paraId="33056D2E">
                  <w:pPr>
                    <w:pStyle w:val="38"/>
                    <w:spacing w:line="280" w:lineRule="exact"/>
                    <w:rPr>
                      <w:rFonts w:hint="eastAsia" w:ascii="Times New Roman" w:hAnsi="Times New Roman"/>
                      <w:color w:val="auto"/>
                      <w:szCs w:val="21"/>
                    </w:rPr>
                  </w:pPr>
                </w:p>
              </w:tc>
            </w:tr>
            <w:tr w14:paraId="166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5C7ED5AD">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5</w:t>
                  </w:r>
                </w:p>
              </w:tc>
              <w:tc>
                <w:tcPr>
                  <w:tcW w:w="3276" w:type="dxa"/>
                  <w:noWrap w:val="0"/>
                  <w:vAlign w:val="top"/>
                </w:tcPr>
                <w:p w14:paraId="54D6DA96">
                  <w:pPr>
                    <w:pStyle w:val="38"/>
                    <w:spacing w:line="280" w:lineRule="exact"/>
                    <w:rPr>
                      <w:rFonts w:hint="eastAsia" w:ascii="Times New Roman" w:hAnsi="Times New Roman"/>
                      <w:color w:val="auto"/>
                      <w:szCs w:val="21"/>
                    </w:rPr>
                  </w:pPr>
                  <w:r>
                    <w:rPr>
                      <w:rFonts w:hint="eastAsia" w:ascii="Times New Roman" w:hAnsi="Times New Roman"/>
                      <w:color w:val="auto"/>
                      <w:szCs w:val="21"/>
                    </w:rPr>
                    <w:t>本周期应支付的合同价款</w:t>
                  </w:r>
                </w:p>
              </w:tc>
              <w:tc>
                <w:tcPr>
                  <w:tcW w:w="1328" w:type="dxa"/>
                  <w:noWrap w:val="0"/>
                  <w:vAlign w:val="top"/>
                </w:tcPr>
                <w:p w14:paraId="4CD81863">
                  <w:pPr>
                    <w:pStyle w:val="38"/>
                    <w:spacing w:line="280" w:lineRule="exact"/>
                    <w:rPr>
                      <w:rFonts w:hint="eastAsia" w:ascii="Times New Roman" w:hAnsi="Times New Roman"/>
                      <w:color w:val="auto"/>
                      <w:szCs w:val="21"/>
                    </w:rPr>
                  </w:pPr>
                </w:p>
              </w:tc>
              <w:tc>
                <w:tcPr>
                  <w:tcW w:w="1426" w:type="dxa"/>
                  <w:noWrap w:val="0"/>
                  <w:vAlign w:val="top"/>
                </w:tcPr>
                <w:p w14:paraId="2B5B0A95">
                  <w:pPr>
                    <w:pStyle w:val="38"/>
                    <w:spacing w:line="280" w:lineRule="exact"/>
                    <w:rPr>
                      <w:rFonts w:hint="eastAsia" w:ascii="Times New Roman" w:hAnsi="Times New Roman"/>
                      <w:color w:val="auto"/>
                      <w:szCs w:val="21"/>
                    </w:rPr>
                  </w:pPr>
                </w:p>
              </w:tc>
              <w:tc>
                <w:tcPr>
                  <w:tcW w:w="1250" w:type="dxa"/>
                  <w:noWrap w:val="0"/>
                  <w:vAlign w:val="top"/>
                </w:tcPr>
                <w:p w14:paraId="33199DBE">
                  <w:pPr>
                    <w:pStyle w:val="38"/>
                    <w:spacing w:line="280" w:lineRule="exact"/>
                    <w:rPr>
                      <w:rFonts w:hint="eastAsia" w:ascii="Times New Roman" w:hAnsi="Times New Roman"/>
                      <w:color w:val="auto"/>
                      <w:szCs w:val="21"/>
                    </w:rPr>
                  </w:pPr>
                </w:p>
              </w:tc>
              <w:tc>
                <w:tcPr>
                  <w:tcW w:w="919" w:type="dxa"/>
                  <w:noWrap w:val="0"/>
                  <w:vAlign w:val="top"/>
                </w:tcPr>
                <w:p w14:paraId="0259FCAA">
                  <w:pPr>
                    <w:pStyle w:val="38"/>
                    <w:spacing w:line="280" w:lineRule="exact"/>
                    <w:rPr>
                      <w:rFonts w:hint="eastAsia" w:ascii="Times New Roman" w:hAnsi="Times New Roman"/>
                      <w:color w:val="auto"/>
                      <w:szCs w:val="21"/>
                    </w:rPr>
                  </w:pPr>
                </w:p>
              </w:tc>
            </w:tr>
            <w:tr w14:paraId="215D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63A949F2">
                  <w:pPr>
                    <w:pStyle w:val="38"/>
                    <w:spacing w:line="280" w:lineRule="exact"/>
                    <w:jc w:val="center"/>
                    <w:rPr>
                      <w:rFonts w:hint="eastAsia" w:ascii="Times New Roman" w:hAnsi="Times New Roman"/>
                      <w:color w:val="auto"/>
                      <w:szCs w:val="21"/>
                    </w:rPr>
                  </w:pPr>
                </w:p>
              </w:tc>
              <w:tc>
                <w:tcPr>
                  <w:tcW w:w="3276" w:type="dxa"/>
                  <w:noWrap w:val="0"/>
                  <w:vAlign w:val="top"/>
                </w:tcPr>
                <w:p w14:paraId="6419D328">
                  <w:pPr>
                    <w:pStyle w:val="38"/>
                    <w:spacing w:line="280" w:lineRule="exact"/>
                    <w:rPr>
                      <w:rFonts w:hint="eastAsia" w:ascii="Times New Roman" w:hAnsi="Times New Roman"/>
                      <w:color w:val="auto"/>
                      <w:szCs w:val="21"/>
                    </w:rPr>
                  </w:pPr>
                  <w:r>
                    <w:rPr>
                      <w:rFonts w:hint="eastAsia" w:ascii="Times New Roman" w:hAnsi="Times New Roman"/>
                      <w:color w:val="auto"/>
                      <w:szCs w:val="21"/>
                    </w:rPr>
                    <w:t>其中：人工费</w:t>
                  </w:r>
                </w:p>
              </w:tc>
              <w:tc>
                <w:tcPr>
                  <w:tcW w:w="1328" w:type="dxa"/>
                  <w:noWrap w:val="0"/>
                  <w:vAlign w:val="top"/>
                </w:tcPr>
                <w:p w14:paraId="7E9835FB">
                  <w:pPr>
                    <w:pStyle w:val="38"/>
                    <w:spacing w:line="280" w:lineRule="exact"/>
                    <w:rPr>
                      <w:rFonts w:hint="eastAsia" w:ascii="Times New Roman" w:hAnsi="Times New Roman"/>
                      <w:color w:val="auto"/>
                      <w:szCs w:val="21"/>
                    </w:rPr>
                  </w:pPr>
                </w:p>
              </w:tc>
              <w:tc>
                <w:tcPr>
                  <w:tcW w:w="1426" w:type="dxa"/>
                  <w:noWrap w:val="0"/>
                  <w:vAlign w:val="top"/>
                </w:tcPr>
                <w:p w14:paraId="72C8E91E">
                  <w:pPr>
                    <w:pStyle w:val="38"/>
                    <w:spacing w:line="280" w:lineRule="exact"/>
                    <w:rPr>
                      <w:rFonts w:hint="eastAsia" w:ascii="Times New Roman" w:hAnsi="Times New Roman"/>
                      <w:color w:val="auto"/>
                      <w:szCs w:val="21"/>
                    </w:rPr>
                  </w:pPr>
                </w:p>
              </w:tc>
              <w:tc>
                <w:tcPr>
                  <w:tcW w:w="1250" w:type="dxa"/>
                  <w:noWrap w:val="0"/>
                  <w:vAlign w:val="top"/>
                </w:tcPr>
                <w:p w14:paraId="21F618F5">
                  <w:pPr>
                    <w:pStyle w:val="38"/>
                    <w:spacing w:line="280" w:lineRule="exact"/>
                    <w:rPr>
                      <w:rFonts w:hint="eastAsia" w:ascii="Times New Roman" w:hAnsi="Times New Roman"/>
                      <w:color w:val="auto"/>
                      <w:szCs w:val="21"/>
                    </w:rPr>
                  </w:pPr>
                </w:p>
              </w:tc>
              <w:tc>
                <w:tcPr>
                  <w:tcW w:w="919" w:type="dxa"/>
                  <w:noWrap w:val="0"/>
                  <w:vAlign w:val="top"/>
                </w:tcPr>
                <w:p w14:paraId="792BBFB4">
                  <w:pPr>
                    <w:pStyle w:val="38"/>
                    <w:spacing w:line="280" w:lineRule="exact"/>
                    <w:rPr>
                      <w:rFonts w:hint="eastAsia" w:ascii="Times New Roman" w:hAnsi="Times New Roman"/>
                      <w:color w:val="auto"/>
                      <w:szCs w:val="21"/>
                    </w:rPr>
                  </w:pPr>
                </w:p>
              </w:tc>
            </w:tr>
          </w:tbl>
          <w:p w14:paraId="3E4553E3">
            <w:pPr>
              <w:pStyle w:val="38"/>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附：上述3、4详见附件清单。</w:t>
            </w:r>
          </w:p>
          <w:p w14:paraId="3C62C479">
            <w:pPr>
              <w:pStyle w:val="38"/>
              <w:wordWrap w:val="0"/>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 xml:space="preserve">                                      承包人（章）             </w:t>
            </w:r>
          </w:p>
          <w:p w14:paraId="58A37448">
            <w:pPr>
              <w:pStyle w:val="38"/>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581E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072" w:type="dxa"/>
            <w:noWrap w:val="0"/>
            <w:vAlign w:val="top"/>
          </w:tcPr>
          <w:p w14:paraId="4577A57A">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2FC1F997">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466A3EC6">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7538E60F">
            <w:pPr>
              <w:pStyle w:val="38"/>
              <w:spacing w:line="360" w:lineRule="exact"/>
              <w:ind w:firstLine="435"/>
              <w:jc w:val="right"/>
              <w:rPr>
                <w:rFonts w:hint="eastAsia" w:ascii="Times New Roman" w:hAnsi="Times New Roman"/>
                <w:color w:val="auto"/>
                <w:szCs w:val="21"/>
              </w:rPr>
            </w:pPr>
          </w:p>
          <w:p w14:paraId="7CD1EDCC">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3417C3B2">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p w14:paraId="585C2E51">
            <w:pPr>
              <w:pStyle w:val="38"/>
              <w:spacing w:line="360" w:lineRule="exact"/>
              <w:ind w:firstLine="435"/>
              <w:jc w:val="both"/>
              <w:rPr>
                <w:rFonts w:hint="eastAsia" w:ascii="Times New Roman" w:hAnsi="Times New Roman"/>
                <w:color w:val="auto"/>
                <w:szCs w:val="21"/>
                <w:u w:val="single"/>
              </w:rPr>
            </w:pPr>
          </w:p>
        </w:tc>
      </w:tr>
      <w:tr w14:paraId="286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1BED4183">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68DFDFC9">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4149C2B1">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69E21592">
            <w:pPr>
              <w:pStyle w:val="38"/>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33FDEA28">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2091F5EB">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2BE6DF04">
      <w:pPr>
        <w:pStyle w:val="38"/>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1659377C">
      <w:pPr>
        <w:pStyle w:val="38"/>
        <w:spacing w:before="156" w:beforeLines="50"/>
        <w:ind w:firstLine="540" w:firstLineChars="3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4E823FC3">
      <w:pPr>
        <w:pStyle w:val="38"/>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附件12</w:t>
      </w:r>
    </w:p>
    <w:p w14:paraId="67B648C1">
      <w:pPr>
        <w:pStyle w:val="38"/>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竣工结算款支付申请（核准）表</w:t>
      </w:r>
    </w:p>
    <w:p w14:paraId="27D4E410">
      <w:pPr>
        <w:pStyle w:val="38"/>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63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0" w:hRule="atLeast"/>
          <w:jc w:val="center"/>
        </w:trPr>
        <w:tc>
          <w:tcPr>
            <w:tcW w:w="9072" w:type="dxa"/>
            <w:noWrap w:val="0"/>
            <w:vAlign w:val="top"/>
          </w:tcPr>
          <w:p w14:paraId="19525D9D">
            <w:pPr>
              <w:pStyle w:val="38"/>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210A22BF">
            <w:pPr>
              <w:pStyle w:val="38"/>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期间已完成了合同约定的工作，根据施工合同的约定，现申请支付竣工结算的工程款额为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362"/>
              <w:gridCol w:w="1605"/>
              <w:gridCol w:w="1605"/>
              <w:gridCol w:w="1628"/>
            </w:tblGrid>
            <w:tr w14:paraId="222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3" w:type="dxa"/>
                  <w:noWrap w:val="0"/>
                  <w:vAlign w:val="center"/>
                </w:tcPr>
                <w:p w14:paraId="09BF41AC">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2" w:type="dxa"/>
                  <w:noWrap w:val="0"/>
                  <w:vAlign w:val="center"/>
                </w:tcPr>
                <w:p w14:paraId="060E2859">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3143B958">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7FB652EC">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8" w:type="dxa"/>
                  <w:noWrap w:val="0"/>
                  <w:vAlign w:val="center"/>
                </w:tcPr>
                <w:p w14:paraId="78E53B52">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1F7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3C9A141A">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2" w:type="dxa"/>
                  <w:noWrap w:val="0"/>
                  <w:vAlign w:val="top"/>
                </w:tcPr>
                <w:p w14:paraId="088B145E">
                  <w:pPr>
                    <w:pStyle w:val="38"/>
                    <w:spacing w:line="280" w:lineRule="exact"/>
                    <w:rPr>
                      <w:rFonts w:hint="eastAsia" w:ascii="Times New Roman" w:hAnsi="Times New Roman"/>
                      <w:color w:val="auto"/>
                      <w:szCs w:val="21"/>
                    </w:rPr>
                  </w:pPr>
                  <w:r>
                    <w:rPr>
                      <w:rFonts w:hint="eastAsia" w:ascii="Times New Roman" w:hAnsi="Times New Roman"/>
                      <w:color w:val="auto"/>
                      <w:szCs w:val="21"/>
                    </w:rPr>
                    <w:t>竣工结算合同价款总额</w:t>
                  </w:r>
                </w:p>
              </w:tc>
              <w:tc>
                <w:tcPr>
                  <w:tcW w:w="1605" w:type="dxa"/>
                  <w:noWrap w:val="0"/>
                  <w:vAlign w:val="top"/>
                </w:tcPr>
                <w:p w14:paraId="51CFDCCE">
                  <w:pPr>
                    <w:pStyle w:val="38"/>
                    <w:spacing w:line="280" w:lineRule="exact"/>
                    <w:rPr>
                      <w:rFonts w:hint="eastAsia" w:ascii="Times New Roman" w:hAnsi="Times New Roman"/>
                      <w:color w:val="auto"/>
                      <w:szCs w:val="21"/>
                    </w:rPr>
                  </w:pPr>
                </w:p>
              </w:tc>
              <w:tc>
                <w:tcPr>
                  <w:tcW w:w="1605" w:type="dxa"/>
                  <w:noWrap w:val="0"/>
                  <w:vAlign w:val="top"/>
                </w:tcPr>
                <w:p w14:paraId="1D1DB29B">
                  <w:pPr>
                    <w:pStyle w:val="38"/>
                    <w:spacing w:line="280" w:lineRule="exact"/>
                    <w:rPr>
                      <w:rFonts w:hint="eastAsia" w:ascii="Times New Roman" w:hAnsi="Times New Roman"/>
                      <w:color w:val="auto"/>
                      <w:szCs w:val="21"/>
                    </w:rPr>
                  </w:pPr>
                </w:p>
              </w:tc>
              <w:tc>
                <w:tcPr>
                  <w:tcW w:w="1628" w:type="dxa"/>
                  <w:noWrap w:val="0"/>
                  <w:vAlign w:val="top"/>
                </w:tcPr>
                <w:p w14:paraId="0BEB2C5C">
                  <w:pPr>
                    <w:pStyle w:val="38"/>
                    <w:spacing w:line="280" w:lineRule="exact"/>
                    <w:rPr>
                      <w:rFonts w:hint="eastAsia" w:ascii="Times New Roman" w:hAnsi="Times New Roman"/>
                      <w:color w:val="auto"/>
                      <w:szCs w:val="21"/>
                    </w:rPr>
                  </w:pPr>
                </w:p>
              </w:tc>
            </w:tr>
            <w:tr w14:paraId="2B9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6DF84F50">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2" w:type="dxa"/>
                  <w:noWrap w:val="0"/>
                  <w:vAlign w:val="top"/>
                </w:tcPr>
                <w:p w14:paraId="3653CC0B">
                  <w:pPr>
                    <w:pStyle w:val="38"/>
                    <w:spacing w:line="280" w:lineRule="exact"/>
                    <w:rPr>
                      <w:rFonts w:hint="eastAsia" w:ascii="Times New Roman" w:hAnsi="Times New Roman"/>
                      <w:color w:val="auto"/>
                      <w:szCs w:val="21"/>
                    </w:rPr>
                  </w:pPr>
                  <w:r>
                    <w:rPr>
                      <w:rFonts w:hint="eastAsia" w:ascii="Times New Roman" w:hAnsi="Times New Roman"/>
                      <w:color w:val="auto"/>
                      <w:szCs w:val="21"/>
                    </w:rPr>
                    <w:t>累计已实际支付的合同价款</w:t>
                  </w:r>
                </w:p>
              </w:tc>
              <w:tc>
                <w:tcPr>
                  <w:tcW w:w="1605" w:type="dxa"/>
                  <w:noWrap w:val="0"/>
                  <w:vAlign w:val="top"/>
                </w:tcPr>
                <w:p w14:paraId="294C6640">
                  <w:pPr>
                    <w:pStyle w:val="38"/>
                    <w:spacing w:line="280" w:lineRule="exact"/>
                    <w:rPr>
                      <w:rFonts w:hint="eastAsia" w:ascii="Times New Roman" w:hAnsi="Times New Roman"/>
                      <w:color w:val="auto"/>
                      <w:szCs w:val="21"/>
                    </w:rPr>
                  </w:pPr>
                </w:p>
              </w:tc>
              <w:tc>
                <w:tcPr>
                  <w:tcW w:w="1605" w:type="dxa"/>
                  <w:noWrap w:val="0"/>
                  <w:vAlign w:val="top"/>
                </w:tcPr>
                <w:p w14:paraId="5D50A7A3">
                  <w:pPr>
                    <w:pStyle w:val="38"/>
                    <w:spacing w:line="280" w:lineRule="exact"/>
                    <w:rPr>
                      <w:rFonts w:hint="eastAsia" w:ascii="Times New Roman" w:hAnsi="Times New Roman"/>
                      <w:color w:val="auto"/>
                      <w:szCs w:val="21"/>
                    </w:rPr>
                  </w:pPr>
                </w:p>
              </w:tc>
              <w:tc>
                <w:tcPr>
                  <w:tcW w:w="1628" w:type="dxa"/>
                  <w:noWrap w:val="0"/>
                  <w:vAlign w:val="top"/>
                </w:tcPr>
                <w:p w14:paraId="1C2D5CB0">
                  <w:pPr>
                    <w:pStyle w:val="38"/>
                    <w:spacing w:line="280" w:lineRule="exact"/>
                    <w:rPr>
                      <w:rFonts w:hint="eastAsia" w:ascii="Times New Roman" w:hAnsi="Times New Roman"/>
                      <w:color w:val="auto"/>
                      <w:szCs w:val="21"/>
                    </w:rPr>
                  </w:pPr>
                </w:p>
              </w:tc>
            </w:tr>
            <w:tr w14:paraId="5E6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41F810C">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2" w:type="dxa"/>
                  <w:noWrap w:val="0"/>
                  <w:vAlign w:val="top"/>
                </w:tcPr>
                <w:p w14:paraId="086E430D">
                  <w:pPr>
                    <w:pStyle w:val="38"/>
                    <w:spacing w:line="280" w:lineRule="exact"/>
                    <w:rPr>
                      <w:rFonts w:hint="eastAsia" w:ascii="Times New Roman" w:hAnsi="Times New Roman"/>
                      <w:color w:val="auto"/>
                      <w:szCs w:val="21"/>
                    </w:rPr>
                  </w:pPr>
                  <w:r>
                    <w:rPr>
                      <w:rFonts w:hint="eastAsia" w:ascii="Times New Roman" w:hAnsi="Times New Roman"/>
                      <w:color w:val="auto"/>
                      <w:szCs w:val="21"/>
                    </w:rPr>
                    <w:t>应预留的质量保证金</w:t>
                  </w:r>
                </w:p>
              </w:tc>
              <w:tc>
                <w:tcPr>
                  <w:tcW w:w="1605" w:type="dxa"/>
                  <w:noWrap w:val="0"/>
                  <w:vAlign w:val="top"/>
                </w:tcPr>
                <w:p w14:paraId="028BD156">
                  <w:pPr>
                    <w:pStyle w:val="38"/>
                    <w:spacing w:line="280" w:lineRule="exact"/>
                    <w:rPr>
                      <w:rFonts w:hint="eastAsia" w:ascii="Times New Roman" w:hAnsi="Times New Roman"/>
                      <w:color w:val="auto"/>
                      <w:szCs w:val="21"/>
                    </w:rPr>
                  </w:pPr>
                </w:p>
              </w:tc>
              <w:tc>
                <w:tcPr>
                  <w:tcW w:w="1605" w:type="dxa"/>
                  <w:noWrap w:val="0"/>
                  <w:vAlign w:val="top"/>
                </w:tcPr>
                <w:p w14:paraId="4B7C8E0A">
                  <w:pPr>
                    <w:pStyle w:val="38"/>
                    <w:spacing w:line="280" w:lineRule="exact"/>
                    <w:rPr>
                      <w:rFonts w:hint="eastAsia" w:ascii="Times New Roman" w:hAnsi="Times New Roman"/>
                      <w:color w:val="auto"/>
                      <w:szCs w:val="21"/>
                    </w:rPr>
                  </w:pPr>
                </w:p>
              </w:tc>
              <w:tc>
                <w:tcPr>
                  <w:tcW w:w="1628" w:type="dxa"/>
                  <w:noWrap w:val="0"/>
                  <w:vAlign w:val="top"/>
                </w:tcPr>
                <w:p w14:paraId="3723F4BD">
                  <w:pPr>
                    <w:pStyle w:val="38"/>
                    <w:spacing w:line="280" w:lineRule="exact"/>
                    <w:rPr>
                      <w:rFonts w:hint="eastAsia" w:ascii="Times New Roman" w:hAnsi="Times New Roman"/>
                      <w:color w:val="auto"/>
                      <w:szCs w:val="21"/>
                    </w:rPr>
                  </w:pPr>
                </w:p>
              </w:tc>
            </w:tr>
            <w:tr w14:paraId="4CED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151A735">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2" w:type="dxa"/>
                  <w:noWrap w:val="0"/>
                  <w:vAlign w:val="top"/>
                </w:tcPr>
                <w:p w14:paraId="129E449C">
                  <w:pPr>
                    <w:pStyle w:val="38"/>
                    <w:spacing w:line="280" w:lineRule="exact"/>
                    <w:rPr>
                      <w:rFonts w:hint="eastAsia" w:ascii="Times New Roman" w:hAnsi="Times New Roman"/>
                      <w:color w:val="auto"/>
                      <w:szCs w:val="21"/>
                    </w:rPr>
                  </w:pPr>
                  <w:r>
                    <w:rPr>
                      <w:rFonts w:hint="eastAsia" w:ascii="Times New Roman" w:hAnsi="Times New Roman"/>
                      <w:color w:val="auto"/>
                      <w:szCs w:val="21"/>
                    </w:rPr>
                    <w:t>应支付的竣工结算款金额</w:t>
                  </w:r>
                </w:p>
              </w:tc>
              <w:tc>
                <w:tcPr>
                  <w:tcW w:w="1605" w:type="dxa"/>
                  <w:noWrap w:val="0"/>
                  <w:vAlign w:val="top"/>
                </w:tcPr>
                <w:p w14:paraId="5921CEDD">
                  <w:pPr>
                    <w:pStyle w:val="38"/>
                    <w:spacing w:line="280" w:lineRule="exact"/>
                    <w:rPr>
                      <w:rFonts w:hint="eastAsia" w:ascii="Times New Roman" w:hAnsi="Times New Roman"/>
                      <w:color w:val="auto"/>
                      <w:szCs w:val="21"/>
                    </w:rPr>
                  </w:pPr>
                </w:p>
              </w:tc>
              <w:tc>
                <w:tcPr>
                  <w:tcW w:w="1605" w:type="dxa"/>
                  <w:noWrap w:val="0"/>
                  <w:vAlign w:val="top"/>
                </w:tcPr>
                <w:p w14:paraId="45BCCB3E">
                  <w:pPr>
                    <w:pStyle w:val="38"/>
                    <w:spacing w:line="280" w:lineRule="exact"/>
                    <w:rPr>
                      <w:rFonts w:hint="eastAsia" w:ascii="Times New Roman" w:hAnsi="Times New Roman"/>
                      <w:color w:val="auto"/>
                      <w:szCs w:val="21"/>
                    </w:rPr>
                  </w:pPr>
                </w:p>
              </w:tc>
              <w:tc>
                <w:tcPr>
                  <w:tcW w:w="1628" w:type="dxa"/>
                  <w:noWrap w:val="0"/>
                  <w:vAlign w:val="top"/>
                </w:tcPr>
                <w:p w14:paraId="350A63D3">
                  <w:pPr>
                    <w:pStyle w:val="38"/>
                    <w:spacing w:line="280" w:lineRule="exact"/>
                    <w:rPr>
                      <w:rFonts w:hint="eastAsia" w:ascii="Times New Roman" w:hAnsi="Times New Roman"/>
                      <w:color w:val="auto"/>
                      <w:szCs w:val="21"/>
                    </w:rPr>
                  </w:pPr>
                </w:p>
              </w:tc>
            </w:tr>
            <w:tr w14:paraId="7C0A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4C96F46">
                  <w:pPr>
                    <w:pStyle w:val="38"/>
                    <w:spacing w:line="280" w:lineRule="exact"/>
                    <w:jc w:val="center"/>
                    <w:rPr>
                      <w:rFonts w:hint="eastAsia" w:ascii="Times New Roman" w:hAnsi="Times New Roman"/>
                      <w:color w:val="auto"/>
                      <w:szCs w:val="21"/>
                    </w:rPr>
                  </w:pPr>
                </w:p>
              </w:tc>
              <w:tc>
                <w:tcPr>
                  <w:tcW w:w="3362" w:type="dxa"/>
                  <w:noWrap w:val="0"/>
                  <w:vAlign w:val="top"/>
                </w:tcPr>
                <w:p w14:paraId="27B03060">
                  <w:pPr>
                    <w:pStyle w:val="38"/>
                    <w:spacing w:line="280" w:lineRule="exact"/>
                    <w:rPr>
                      <w:rFonts w:hint="eastAsia" w:ascii="Times New Roman" w:hAnsi="Times New Roman"/>
                      <w:color w:val="auto"/>
                      <w:szCs w:val="21"/>
                    </w:rPr>
                  </w:pPr>
                </w:p>
              </w:tc>
              <w:tc>
                <w:tcPr>
                  <w:tcW w:w="1605" w:type="dxa"/>
                  <w:noWrap w:val="0"/>
                  <w:vAlign w:val="top"/>
                </w:tcPr>
                <w:p w14:paraId="33B645D0">
                  <w:pPr>
                    <w:pStyle w:val="38"/>
                    <w:spacing w:line="280" w:lineRule="exact"/>
                    <w:rPr>
                      <w:rFonts w:hint="eastAsia" w:ascii="Times New Roman" w:hAnsi="Times New Roman"/>
                      <w:color w:val="auto"/>
                      <w:szCs w:val="21"/>
                    </w:rPr>
                  </w:pPr>
                </w:p>
              </w:tc>
              <w:tc>
                <w:tcPr>
                  <w:tcW w:w="1605" w:type="dxa"/>
                  <w:noWrap w:val="0"/>
                  <w:vAlign w:val="top"/>
                </w:tcPr>
                <w:p w14:paraId="16444685">
                  <w:pPr>
                    <w:pStyle w:val="38"/>
                    <w:spacing w:line="280" w:lineRule="exact"/>
                    <w:rPr>
                      <w:rFonts w:hint="eastAsia" w:ascii="Times New Roman" w:hAnsi="Times New Roman"/>
                      <w:color w:val="auto"/>
                      <w:szCs w:val="21"/>
                    </w:rPr>
                  </w:pPr>
                </w:p>
              </w:tc>
              <w:tc>
                <w:tcPr>
                  <w:tcW w:w="1628" w:type="dxa"/>
                  <w:noWrap w:val="0"/>
                  <w:vAlign w:val="top"/>
                </w:tcPr>
                <w:p w14:paraId="0F9C31E0">
                  <w:pPr>
                    <w:pStyle w:val="38"/>
                    <w:spacing w:line="280" w:lineRule="exact"/>
                    <w:rPr>
                      <w:rFonts w:hint="eastAsia" w:ascii="Times New Roman" w:hAnsi="Times New Roman"/>
                      <w:color w:val="auto"/>
                      <w:szCs w:val="21"/>
                    </w:rPr>
                  </w:pPr>
                </w:p>
              </w:tc>
            </w:tr>
            <w:tr w14:paraId="2AF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20941003">
                  <w:pPr>
                    <w:pStyle w:val="38"/>
                    <w:spacing w:line="280" w:lineRule="exact"/>
                    <w:jc w:val="center"/>
                    <w:rPr>
                      <w:rFonts w:hint="eastAsia" w:ascii="Times New Roman" w:hAnsi="Times New Roman"/>
                      <w:color w:val="auto"/>
                      <w:szCs w:val="21"/>
                    </w:rPr>
                  </w:pPr>
                </w:p>
              </w:tc>
              <w:tc>
                <w:tcPr>
                  <w:tcW w:w="3362" w:type="dxa"/>
                  <w:noWrap w:val="0"/>
                  <w:vAlign w:val="top"/>
                </w:tcPr>
                <w:p w14:paraId="171572DD">
                  <w:pPr>
                    <w:pStyle w:val="38"/>
                    <w:spacing w:line="280" w:lineRule="exact"/>
                    <w:rPr>
                      <w:rFonts w:hint="eastAsia" w:ascii="Times New Roman" w:hAnsi="Times New Roman"/>
                      <w:color w:val="auto"/>
                      <w:szCs w:val="21"/>
                    </w:rPr>
                  </w:pPr>
                </w:p>
              </w:tc>
              <w:tc>
                <w:tcPr>
                  <w:tcW w:w="1605" w:type="dxa"/>
                  <w:noWrap w:val="0"/>
                  <w:vAlign w:val="top"/>
                </w:tcPr>
                <w:p w14:paraId="42F40DA3">
                  <w:pPr>
                    <w:pStyle w:val="38"/>
                    <w:spacing w:line="280" w:lineRule="exact"/>
                    <w:rPr>
                      <w:rFonts w:hint="eastAsia" w:ascii="Times New Roman" w:hAnsi="Times New Roman"/>
                      <w:color w:val="auto"/>
                      <w:szCs w:val="21"/>
                    </w:rPr>
                  </w:pPr>
                </w:p>
              </w:tc>
              <w:tc>
                <w:tcPr>
                  <w:tcW w:w="1605" w:type="dxa"/>
                  <w:noWrap w:val="0"/>
                  <w:vAlign w:val="top"/>
                </w:tcPr>
                <w:p w14:paraId="6613F7CA">
                  <w:pPr>
                    <w:pStyle w:val="38"/>
                    <w:spacing w:line="280" w:lineRule="exact"/>
                    <w:rPr>
                      <w:rFonts w:hint="eastAsia" w:ascii="Times New Roman" w:hAnsi="Times New Roman"/>
                      <w:color w:val="auto"/>
                      <w:szCs w:val="21"/>
                    </w:rPr>
                  </w:pPr>
                </w:p>
              </w:tc>
              <w:tc>
                <w:tcPr>
                  <w:tcW w:w="1628" w:type="dxa"/>
                  <w:noWrap w:val="0"/>
                  <w:vAlign w:val="top"/>
                </w:tcPr>
                <w:p w14:paraId="1EC78B44">
                  <w:pPr>
                    <w:pStyle w:val="38"/>
                    <w:spacing w:line="280" w:lineRule="exact"/>
                    <w:rPr>
                      <w:rFonts w:hint="eastAsia" w:ascii="Times New Roman" w:hAnsi="Times New Roman"/>
                      <w:color w:val="auto"/>
                      <w:szCs w:val="21"/>
                    </w:rPr>
                  </w:pPr>
                </w:p>
              </w:tc>
            </w:tr>
            <w:tr w14:paraId="51C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5792AB91">
                  <w:pPr>
                    <w:pStyle w:val="38"/>
                    <w:spacing w:line="280" w:lineRule="exact"/>
                    <w:jc w:val="center"/>
                    <w:rPr>
                      <w:rFonts w:hint="eastAsia" w:ascii="Times New Roman" w:hAnsi="Times New Roman"/>
                      <w:color w:val="auto"/>
                      <w:szCs w:val="21"/>
                    </w:rPr>
                  </w:pPr>
                </w:p>
              </w:tc>
              <w:tc>
                <w:tcPr>
                  <w:tcW w:w="3362" w:type="dxa"/>
                  <w:noWrap w:val="0"/>
                  <w:vAlign w:val="top"/>
                </w:tcPr>
                <w:p w14:paraId="75BD5872">
                  <w:pPr>
                    <w:pStyle w:val="38"/>
                    <w:spacing w:line="280" w:lineRule="exact"/>
                    <w:rPr>
                      <w:rFonts w:hint="eastAsia" w:ascii="Times New Roman" w:hAnsi="Times New Roman"/>
                      <w:color w:val="auto"/>
                      <w:szCs w:val="21"/>
                    </w:rPr>
                  </w:pPr>
                </w:p>
              </w:tc>
              <w:tc>
                <w:tcPr>
                  <w:tcW w:w="1605" w:type="dxa"/>
                  <w:noWrap w:val="0"/>
                  <w:vAlign w:val="top"/>
                </w:tcPr>
                <w:p w14:paraId="5CED3395">
                  <w:pPr>
                    <w:pStyle w:val="38"/>
                    <w:spacing w:line="280" w:lineRule="exact"/>
                    <w:rPr>
                      <w:rFonts w:hint="eastAsia" w:ascii="Times New Roman" w:hAnsi="Times New Roman"/>
                      <w:color w:val="auto"/>
                      <w:szCs w:val="21"/>
                    </w:rPr>
                  </w:pPr>
                </w:p>
              </w:tc>
              <w:tc>
                <w:tcPr>
                  <w:tcW w:w="1605" w:type="dxa"/>
                  <w:noWrap w:val="0"/>
                  <w:vAlign w:val="top"/>
                </w:tcPr>
                <w:p w14:paraId="4BB6C60F">
                  <w:pPr>
                    <w:pStyle w:val="38"/>
                    <w:spacing w:line="280" w:lineRule="exact"/>
                    <w:rPr>
                      <w:rFonts w:hint="eastAsia" w:ascii="Times New Roman" w:hAnsi="Times New Roman"/>
                      <w:color w:val="auto"/>
                      <w:szCs w:val="21"/>
                    </w:rPr>
                  </w:pPr>
                </w:p>
              </w:tc>
              <w:tc>
                <w:tcPr>
                  <w:tcW w:w="1628" w:type="dxa"/>
                  <w:noWrap w:val="0"/>
                  <w:vAlign w:val="top"/>
                </w:tcPr>
                <w:p w14:paraId="6568781B">
                  <w:pPr>
                    <w:pStyle w:val="38"/>
                    <w:spacing w:line="280" w:lineRule="exact"/>
                    <w:rPr>
                      <w:rFonts w:hint="eastAsia" w:ascii="Times New Roman" w:hAnsi="Times New Roman"/>
                      <w:color w:val="auto"/>
                      <w:szCs w:val="21"/>
                    </w:rPr>
                  </w:pPr>
                </w:p>
              </w:tc>
            </w:tr>
            <w:tr w14:paraId="744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73785295">
                  <w:pPr>
                    <w:pStyle w:val="38"/>
                    <w:spacing w:line="280" w:lineRule="exact"/>
                    <w:jc w:val="center"/>
                    <w:rPr>
                      <w:rFonts w:hint="eastAsia" w:ascii="Times New Roman" w:hAnsi="Times New Roman"/>
                      <w:color w:val="auto"/>
                      <w:szCs w:val="21"/>
                    </w:rPr>
                  </w:pPr>
                </w:p>
              </w:tc>
              <w:tc>
                <w:tcPr>
                  <w:tcW w:w="3362" w:type="dxa"/>
                  <w:noWrap w:val="0"/>
                  <w:vAlign w:val="top"/>
                </w:tcPr>
                <w:p w14:paraId="2C612EFF">
                  <w:pPr>
                    <w:pStyle w:val="38"/>
                    <w:spacing w:line="280" w:lineRule="exact"/>
                    <w:rPr>
                      <w:rFonts w:hint="eastAsia" w:ascii="Times New Roman" w:hAnsi="Times New Roman"/>
                      <w:color w:val="auto"/>
                      <w:szCs w:val="21"/>
                    </w:rPr>
                  </w:pPr>
                </w:p>
              </w:tc>
              <w:tc>
                <w:tcPr>
                  <w:tcW w:w="1605" w:type="dxa"/>
                  <w:noWrap w:val="0"/>
                  <w:vAlign w:val="top"/>
                </w:tcPr>
                <w:p w14:paraId="4EA4126E">
                  <w:pPr>
                    <w:pStyle w:val="38"/>
                    <w:spacing w:line="280" w:lineRule="exact"/>
                    <w:rPr>
                      <w:rFonts w:hint="eastAsia" w:ascii="Times New Roman" w:hAnsi="Times New Roman"/>
                      <w:color w:val="auto"/>
                      <w:szCs w:val="21"/>
                    </w:rPr>
                  </w:pPr>
                </w:p>
              </w:tc>
              <w:tc>
                <w:tcPr>
                  <w:tcW w:w="1605" w:type="dxa"/>
                  <w:noWrap w:val="0"/>
                  <w:vAlign w:val="top"/>
                </w:tcPr>
                <w:p w14:paraId="62FBE854">
                  <w:pPr>
                    <w:pStyle w:val="38"/>
                    <w:spacing w:line="280" w:lineRule="exact"/>
                    <w:rPr>
                      <w:rFonts w:hint="eastAsia" w:ascii="Times New Roman" w:hAnsi="Times New Roman"/>
                      <w:color w:val="auto"/>
                      <w:szCs w:val="21"/>
                    </w:rPr>
                  </w:pPr>
                </w:p>
              </w:tc>
              <w:tc>
                <w:tcPr>
                  <w:tcW w:w="1628" w:type="dxa"/>
                  <w:noWrap w:val="0"/>
                  <w:vAlign w:val="top"/>
                </w:tcPr>
                <w:p w14:paraId="40630BF2">
                  <w:pPr>
                    <w:pStyle w:val="38"/>
                    <w:spacing w:line="280" w:lineRule="exact"/>
                    <w:rPr>
                      <w:rFonts w:hint="eastAsia" w:ascii="Times New Roman" w:hAnsi="Times New Roman"/>
                      <w:color w:val="auto"/>
                      <w:szCs w:val="21"/>
                    </w:rPr>
                  </w:pPr>
                </w:p>
              </w:tc>
            </w:tr>
            <w:tr w14:paraId="32B4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0"/>
                  <w:vAlign w:val="top"/>
                </w:tcPr>
                <w:p w14:paraId="0C6EDEC7">
                  <w:pPr>
                    <w:pStyle w:val="38"/>
                    <w:spacing w:line="280" w:lineRule="exact"/>
                    <w:jc w:val="center"/>
                    <w:rPr>
                      <w:rFonts w:hint="eastAsia" w:ascii="Times New Roman" w:hAnsi="Times New Roman"/>
                      <w:color w:val="auto"/>
                      <w:szCs w:val="21"/>
                    </w:rPr>
                  </w:pPr>
                </w:p>
              </w:tc>
              <w:tc>
                <w:tcPr>
                  <w:tcW w:w="3362" w:type="dxa"/>
                  <w:noWrap w:val="0"/>
                  <w:vAlign w:val="top"/>
                </w:tcPr>
                <w:p w14:paraId="4D3C61F3">
                  <w:pPr>
                    <w:pStyle w:val="38"/>
                    <w:spacing w:line="280" w:lineRule="exact"/>
                    <w:rPr>
                      <w:rFonts w:hint="eastAsia" w:ascii="Times New Roman" w:hAnsi="Times New Roman"/>
                      <w:color w:val="auto"/>
                      <w:szCs w:val="21"/>
                    </w:rPr>
                  </w:pPr>
                </w:p>
              </w:tc>
              <w:tc>
                <w:tcPr>
                  <w:tcW w:w="1605" w:type="dxa"/>
                  <w:noWrap w:val="0"/>
                  <w:vAlign w:val="top"/>
                </w:tcPr>
                <w:p w14:paraId="27CFA7BA">
                  <w:pPr>
                    <w:pStyle w:val="38"/>
                    <w:spacing w:line="280" w:lineRule="exact"/>
                    <w:rPr>
                      <w:rFonts w:hint="eastAsia" w:ascii="Times New Roman" w:hAnsi="Times New Roman"/>
                      <w:color w:val="auto"/>
                      <w:szCs w:val="21"/>
                    </w:rPr>
                  </w:pPr>
                </w:p>
              </w:tc>
              <w:tc>
                <w:tcPr>
                  <w:tcW w:w="1605" w:type="dxa"/>
                  <w:noWrap w:val="0"/>
                  <w:vAlign w:val="top"/>
                </w:tcPr>
                <w:p w14:paraId="72E42836">
                  <w:pPr>
                    <w:pStyle w:val="38"/>
                    <w:spacing w:line="280" w:lineRule="exact"/>
                    <w:rPr>
                      <w:rFonts w:hint="eastAsia" w:ascii="Times New Roman" w:hAnsi="Times New Roman"/>
                      <w:color w:val="auto"/>
                      <w:szCs w:val="21"/>
                    </w:rPr>
                  </w:pPr>
                </w:p>
              </w:tc>
              <w:tc>
                <w:tcPr>
                  <w:tcW w:w="1628" w:type="dxa"/>
                  <w:noWrap w:val="0"/>
                  <w:vAlign w:val="top"/>
                </w:tcPr>
                <w:p w14:paraId="521BEB9F">
                  <w:pPr>
                    <w:pStyle w:val="38"/>
                    <w:spacing w:line="280" w:lineRule="exact"/>
                    <w:rPr>
                      <w:rFonts w:hint="eastAsia" w:ascii="Times New Roman" w:hAnsi="Times New Roman"/>
                      <w:color w:val="auto"/>
                      <w:szCs w:val="21"/>
                    </w:rPr>
                  </w:pPr>
                </w:p>
              </w:tc>
            </w:tr>
          </w:tbl>
          <w:p w14:paraId="40BBED12">
            <w:pPr>
              <w:pStyle w:val="38"/>
              <w:spacing w:line="400" w:lineRule="exact"/>
              <w:ind w:right="420" w:firstLine="435"/>
              <w:jc w:val="center"/>
              <w:rPr>
                <w:rFonts w:hint="eastAsia" w:ascii="Times New Roman" w:hAnsi="Times New Roman"/>
                <w:color w:val="auto"/>
                <w:szCs w:val="21"/>
              </w:rPr>
            </w:pPr>
          </w:p>
          <w:p w14:paraId="20E65A63">
            <w:pPr>
              <w:pStyle w:val="38"/>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6C2B76DD">
            <w:pPr>
              <w:pStyle w:val="38"/>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造价人员</w:t>
            </w:r>
            <w:r>
              <w:rPr>
                <w:rFonts w:hint="eastAsia" w:ascii="Times New Roman" w:hAnsi="Times New Roman"/>
                <w:color w:val="auto"/>
                <w:szCs w:val="21"/>
                <w:u w:val="single"/>
              </w:rPr>
              <w:t xml:space="preserve">               </w:t>
            </w: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4F93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5DA2FA3">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536C74DB">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257C0EDD">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B43AC3D">
            <w:pPr>
              <w:pStyle w:val="38"/>
              <w:spacing w:line="360" w:lineRule="exact"/>
              <w:ind w:firstLine="435"/>
              <w:jc w:val="right"/>
              <w:rPr>
                <w:rFonts w:hint="eastAsia" w:ascii="Times New Roman" w:hAnsi="Times New Roman"/>
                <w:color w:val="auto"/>
                <w:szCs w:val="21"/>
              </w:rPr>
            </w:pPr>
          </w:p>
          <w:p w14:paraId="4647091A">
            <w:pPr>
              <w:pStyle w:val="38"/>
              <w:spacing w:line="360" w:lineRule="exact"/>
              <w:ind w:firstLine="435"/>
              <w:jc w:val="right"/>
              <w:rPr>
                <w:rFonts w:hint="eastAsia" w:ascii="Times New Roman" w:hAnsi="Times New Roman"/>
                <w:color w:val="auto"/>
                <w:szCs w:val="21"/>
              </w:rPr>
            </w:pPr>
          </w:p>
          <w:p w14:paraId="3C4236C7">
            <w:pPr>
              <w:pStyle w:val="38"/>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0DB25E66">
            <w:pPr>
              <w:pStyle w:val="38"/>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5970ED41">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342A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7F10ED2">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47993E0D">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12C40B35">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0C14B1CF">
            <w:pPr>
              <w:pStyle w:val="38"/>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705836CE">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5166AF2E">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17A7FAF3">
      <w:pPr>
        <w:pStyle w:val="38"/>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注：1.在选择栏中的“□”内作标识“√”。 </w:t>
      </w:r>
    </w:p>
    <w:p w14:paraId="69C7A3D9">
      <w:pPr>
        <w:pStyle w:val="38"/>
        <w:spacing w:before="156" w:beforeLines="50"/>
        <w:ind w:firstLine="720" w:firstLineChars="400"/>
        <w:rPr>
          <w:rFonts w:hint="eastAsia" w:ascii="Times New Roman" w:hAnsi="Times New Roman"/>
          <w:color w:val="auto"/>
          <w:sz w:val="18"/>
          <w:szCs w:val="18"/>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3A0F96">
      <w:pPr>
        <w:pStyle w:val="38"/>
        <w:ind w:right="360" w:firstLine="360" w:firstLineChars="200"/>
        <w:rPr>
          <w:rFonts w:hint="eastAsia" w:ascii="Times New Roman" w:hAnsi="Times New Roman"/>
          <w:color w:val="auto"/>
          <w:sz w:val="18"/>
          <w:szCs w:val="18"/>
        </w:rPr>
      </w:pPr>
      <w:r>
        <w:rPr>
          <w:rFonts w:hint="eastAsia" w:ascii="Times New Roman" w:hAnsi="Times New Roman"/>
          <w:color w:val="auto"/>
          <w:sz w:val="18"/>
          <w:szCs w:val="18"/>
        </w:rPr>
        <w:t xml:space="preserve">                                                                                            </w:t>
      </w:r>
    </w:p>
    <w:p w14:paraId="7415CF70">
      <w:pPr>
        <w:pStyle w:val="38"/>
        <w:ind w:firstLine="600" w:firstLineChars="200"/>
        <w:jc w:val="left"/>
        <w:rPr>
          <w:rFonts w:hint="eastAsia" w:ascii="Times New Roman" w:hAnsi="Times New Roman"/>
          <w:b/>
          <w:color w:val="auto"/>
          <w:sz w:val="30"/>
          <w:szCs w:val="30"/>
        </w:rPr>
      </w:pPr>
      <w:r>
        <w:rPr>
          <w:rFonts w:hint="eastAsia" w:ascii="Times New Roman" w:hAnsi="宋体" w:cs="宋体"/>
          <w:color w:val="auto"/>
          <w:sz w:val="30"/>
          <w:szCs w:val="30"/>
        </w:rPr>
        <w:t>附件13：</w:t>
      </w:r>
    </w:p>
    <w:p w14:paraId="0A0854C2">
      <w:pPr>
        <w:pStyle w:val="38"/>
        <w:ind w:firstLine="723" w:firstLineChars="200"/>
        <w:jc w:val="center"/>
        <w:rPr>
          <w:rFonts w:hint="eastAsia" w:ascii="Times New Roman" w:hAnsi="Times New Roman"/>
          <w:b/>
          <w:color w:val="auto"/>
          <w:sz w:val="36"/>
          <w:szCs w:val="36"/>
        </w:rPr>
      </w:pPr>
      <w:r>
        <w:rPr>
          <w:rFonts w:hint="eastAsia" w:ascii="Times New Roman" w:hAnsi="Times New Roman"/>
          <w:b/>
          <w:color w:val="auto"/>
          <w:sz w:val="36"/>
          <w:szCs w:val="36"/>
        </w:rPr>
        <w:t>最终结算款支付申请（核准）表</w:t>
      </w:r>
    </w:p>
    <w:p w14:paraId="1533C280">
      <w:pPr>
        <w:pStyle w:val="38"/>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工程名称：                                             编号：</w:t>
      </w:r>
    </w:p>
    <w:tbl>
      <w:tblPr>
        <w:tblStyle w:val="2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27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4" w:hRule="atLeast"/>
          <w:jc w:val="center"/>
        </w:trPr>
        <w:tc>
          <w:tcPr>
            <w:tcW w:w="9072" w:type="dxa"/>
            <w:noWrap w:val="0"/>
            <w:vAlign w:val="top"/>
          </w:tcPr>
          <w:p w14:paraId="5503D593">
            <w:pPr>
              <w:pStyle w:val="38"/>
              <w:spacing w:line="480" w:lineRule="exact"/>
              <w:ind w:left="313" w:leftChars="149" w:firstLine="420" w:firstLineChars="200"/>
              <w:rPr>
                <w:rFonts w:hint="eastAsia" w:ascii="Times New Roman" w:hAnsi="Times New Roman"/>
                <w:color w:val="auto"/>
                <w:szCs w:val="21"/>
                <w:u w:val="single"/>
              </w:rPr>
            </w:pPr>
            <w:r>
              <w:rPr>
                <w:rFonts w:hint="eastAsia" w:ascii="Times New Roman" w:hAnsi="Times New Roman"/>
                <w:color w:val="auto"/>
                <w:szCs w:val="21"/>
              </w:rPr>
              <w:t>致：</w:t>
            </w:r>
            <w:r>
              <w:rPr>
                <w:rFonts w:hint="eastAsia" w:ascii="Times New Roman" w:hAnsi="Times New Roman"/>
                <w:color w:val="auto"/>
                <w:szCs w:val="21"/>
                <w:u w:val="single"/>
              </w:rPr>
              <w:t xml:space="preserve">                                   （发包人全称）</w:t>
            </w:r>
          </w:p>
          <w:p w14:paraId="015D57DE">
            <w:pPr>
              <w:pStyle w:val="38"/>
              <w:spacing w:line="400" w:lineRule="exact"/>
              <w:ind w:left="-4" w:leftChars="-2" w:firstLine="420" w:firstLineChars="200"/>
              <w:rPr>
                <w:rFonts w:hint="eastAsia" w:ascii="Times New Roman" w:hAnsi="Times New Roman"/>
                <w:color w:val="auto"/>
                <w:szCs w:val="21"/>
              </w:rPr>
            </w:pPr>
            <w:r>
              <w:rPr>
                <w:rFonts w:hint="eastAsia" w:ascii="Times New Roman" w:hAnsi="Times New Roman"/>
                <w:color w:val="auto"/>
                <w:szCs w:val="21"/>
              </w:rPr>
              <w:t>我方于</w:t>
            </w:r>
            <w:r>
              <w:rPr>
                <w:rFonts w:hint="eastAsia" w:ascii="Times New Roman" w:hAnsi="Times New Roman"/>
                <w:color w:val="auto"/>
                <w:szCs w:val="21"/>
                <w:u w:val="single"/>
              </w:rPr>
              <w:t xml:space="preserve">         </w:t>
            </w:r>
            <w:r>
              <w:rPr>
                <w:rFonts w:hint="eastAsia" w:ascii="Times New Roman" w:hAnsi="Times New Roman"/>
                <w:color w:val="auto"/>
                <w:szCs w:val="21"/>
              </w:rPr>
              <w:t>至</w:t>
            </w:r>
            <w:r>
              <w:rPr>
                <w:rFonts w:hint="eastAsia" w:ascii="Times New Roman" w:hAnsi="Times New Roman"/>
                <w:color w:val="auto"/>
                <w:szCs w:val="21"/>
                <w:u w:val="single"/>
              </w:rPr>
              <w:t xml:space="preserve">          </w:t>
            </w:r>
            <w:r>
              <w:rPr>
                <w:rFonts w:hint="eastAsia" w:ascii="Times New Roman" w:hAnsi="Times New Roman"/>
                <w:color w:val="auto"/>
                <w:szCs w:val="21"/>
              </w:rPr>
              <w:t>期间已完成了缺陷修复工作，根据施工合同的约定，现申请支付最终结清合同款额为</w:t>
            </w:r>
            <w:r>
              <w:rPr>
                <w:rFonts w:hint="eastAsia" w:ascii="Times New Roman" w:hAnsi="Times New Roman"/>
                <w:color w:val="auto"/>
                <w:szCs w:val="21"/>
                <w:lang w:eastAsia="zh-CN"/>
              </w:rPr>
              <w:t>（</w:t>
            </w:r>
            <w:r>
              <w:rPr>
                <w:rFonts w:hint="eastAsia" w:ascii="Times New Roman" w:hAnsi="Times New Roman"/>
                <w:color w:val="auto"/>
                <w:szCs w:val="21"/>
              </w:rPr>
              <w:t>大写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lang w:eastAsia="zh-CN"/>
              </w:rPr>
              <w:t>（</w:t>
            </w:r>
            <w:r>
              <w:rPr>
                <w:rFonts w:hint="eastAsia" w:ascii="Times New Roman" w:hAnsi="Times New Roman"/>
                <w:color w:val="auto"/>
                <w:szCs w:val="21"/>
              </w:rPr>
              <w:t>小写</w:t>
            </w:r>
            <w:r>
              <w:rPr>
                <w:rFonts w:hint="eastAsia" w:ascii="Times New Roman" w:hAnsi="Times New Roman"/>
                <w:color w:val="auto"/>
                <w:szCs w:val="21"/>
                <w:lang w:eastAsia="zh-CN"/>
              </w:rPr>
              <w:t>）</w:t>
            </w:r>
            <w:r>
              <w:rPr>
                <w:rFonts w:hint="eastAsia" w:ascii="Times New Roman" w:hAnsi="Times New Roman"/>
                <w:color w:val="auto"/>
                <w:szCs w:val="21"/>
                <w:u w:val="single"/>
              </w:rPr>
              <w:t xml:space="preserve">         </w:t>
            </w:r>
            <w:r>
              <w:rPr>
                <w:rFonts w:hint="eastAsia" w:ascii="Times New Roman" w:hAnsi="Times New Roman"/>
                <w:color w:val="auto"/>
                <w:szCs w:val="21"/>
              </w:rPr>
              <w:t>元，请予核准。</w:t>
            </w:r>
          </w:p>
          <w:tbl>
            <w:tblPr>
              <w:tblStyle w:val="2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64"/>
              <w:gridCol w:w="1605"/>
              <w:gridCol w:w="1605"/>
              <w:gridCol w:w="1627"/>
            </w:tblGrid>
            <w:tr w14:paraId="75F1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2" w:type="dxa"/>
                  <w:noWrap w:val="0"/>
                  <w:vAlign w:val="center"/>
                </w:tcPr>
                <w:p w14:paraId="658DE486">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序号</w:t>
                  </w:r>
                </w:p>
              </w:tc>
              <w:tc>
                <w:tcPr>
                  <w:tcW w:w="3364" w:type="dxa"/>
                  <w:noWrap w:val="0"/>
                  <w:vAlign w:val="center"/>
                </w:tcPr>
                <w:p w14:paraId="13F8EC8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名      称</w:t>
                  </w:r>
                </w:p>
              </w:tc>
              <w:tc>
                <w:tcPr>
                  <w:tcW w:w="1605" w:type="dxa"/>
                  <w:noWrap w:val="0"/>
                  <w:vAlign w:val="center"/>
                </w:tcPr>
                <w:p w14:paraId="0D67E599">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申请金额（元）</w:t>
                  </w:r>
                </w:p>
              </w:tc>
              <w:tc>
                <w:tcPr>
                  <w:tcW w:w="1605" w:type="dxa"/>
                  <w:noWrap w:val="0"/>
                  <w:vAlign w:val="center"/>
                </w:tcPr>
                <w:p w14:paraId="1CBD2EAC">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复核金额（元）</w:t>
                  </w:r>
                </w:p>
              </w:tc>
              <w:tc>
                <w:tcPr>
                  <w:tcW w:w="1627" w:type="dxa"/>
                  <w:noWrap w:val="0"/>
                  <w:vAlign w:val="center"/>
                </w:tcPr>
                <w:p w14:paraId="79F0C1D7">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备注</w:t>
                  </w:r>
                </w:p>
              </w:tc>
            </w:tr>
            <w:tr w14:paraId="242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7C8C4B">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1</w:t>
                  </w:r>
                </w:p>
              </w:tc>
              <w:tc>
                <w:tcPr>
                  <w:tcW w:w="3364" w:type="dxa"/>
                  <w:noWrap w:val="0"/>
                  <w:vAlign w:val="top"/>
                </w:tcPr>
                <w:p w14:paraId="44254D1C">
                  <w:pPr>
                    <w:pStyle w:val="38"/>
                    <w:spacing w:line="280" w:lineRule="exact"/>
                    <w:rPr>
                      <w:rFonts w:hint="eastAsia" w:ascii="Times New Roman" w:hAnsi="Times New Roman"/>
                      <w:color w:val="auto"/>
                      <w:szCs w:val="21"/>
                    </w:rPr>
                  </w:pPr>
                  <w:r>
                    <w:rPr>
                      <w:rFonts w:hint="eastAsia" w:ascii="Times New Roman" w:hAnsi="Times New Roman"/>
                      <w:color w:val="auto"/>
                      <w:szCs w:val="21"/>
                    </w:rPr>
                    <w:t>已预留的质量保证金</w:t>
                  </w:r>
                </w:p>
              </w:tc>
              <w:tc>
                <w:tcPr>
                  <w:tcW w:w="1605" w:type="dxa"/>
                  <w:noWrap w:val="0"/>
                  <w:vAlign w:val="top"/>
                </w:tcPr>
                <w:p w14:paraId="038E493F">
                  <w:pPr>
                    <w:pStyle w:val="38"/>
                    <w:spacing w:line="280" w:lineRule="exact"/>
                    <w:rPr>
                      <w:rFonts w:hint="eastAsia" w:ascii="Times New Roman" w:hAnsi="Times New Roman"/>
                      <w:color w:val="auto"/>
                      <w:szCs w:val="21"/>
                    </w:rPr>
                  </w:pPr>
                </w:p>
              </w:tc>
              <w:tc>
                <w:tcPr>
                  <w:tcW w:w="1605" w:type="dxa"/>
                  <w:noWrap w:val="0"/>
                  <w:vAlign w:val="top"/>
                </w:tcPr>
                <w:p w14:paraId="33BCFF1A">
                  <w:pPr>
                    <w:pStyle w:val="38"/>
                    <w:spacing w:line="280" w:lineRule="exact"/>
                    <w:rPr>
                      <w:rFonts w:hint="eastAsia" w:ascii="Times New Roman" w:hAnsi="Times New Roman"/>
                      <w:color w:val="auto"/>
                      <w:szCs w:val="21"/>
                    </w:rPr>
                  </w:pPr>
                </w:p>
              </w:tc>
              <w:tc>
                <w:tcPr>
                  <w:tcW w:w="1627" w:type="dxa"/>
                  <w:noWrap w:val="0"/>
                  <w:vAlign w:val="top"/>
                </w:tcPr>
                <w:p w14:paraId="2E63E95D">
                  <w:pPr>
                    <w:pStyle w:val="38"/>
                    <w:spacing w:line="280" w:lineRule="exact"/>
                    <w:rPr>
                      <w:rFonts w:hint="eastAsia" w:ascii="Times New Roman" w:hAnsi="Times New Roman"/>
                      <w:color w:val="auto"/>
                      <w:szCs w:val="21"/>
                    </w:rPr>
                  </w:pPr>
                </w:p>
              </w:tc>
            </w:tr>
            <w:tr w14:paraId="684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885E27C">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2</w:t>
                  </w:r>
                </w:p>
              </w:tc>
              <w:tc>
                <w:tcPr>
                  <w:tcW w:w="3364" w:type="dxa"/>
                  <w:noWrap w:val="0"/>
                  <w:vAlign w:val="top"/>
                </w:tcPr>
                <w:p w14:paraId="3A0E7551">
                  <w:pPr>
                    <w:pStyle w:val="38"/>
                    <w:spacing w:line="280" w:lineRule="exact"/>
                    <w:rPr>
                      <w:rFonts w:hint="eastAsia" w:ascii="Times New Roman" w:hAnsi="Times New Roman"/>
                      <w:color w:val="auto"/>
                      <w:szCs w:val="21"/>
                    </w:rPr>
                  </w:pPr>
                  <w:r>
                    <w:rPr>
                      <w:rFonts w:hint="eastAsia" w:ascii="Times New Roman" w:hAnsi="Times New Roman"/>
                      <w:color w:val="auto"/>
                      <w:szCs w:val="21"/>
                    </w:rPr>
                    <w:t>应增加因发包人原因造成缺陷的修复金额</w:t>
                  </w:r>
                </w:p>
              </w:tc>
              <w:tc>
                <w:tcPr>
                  <w:tcW w:w="1605" w:type="dxa"/>
                  <w:noWrap w:val="0"/>
                  <w:vAlign w:val="top"/>
                </w:tcPr>
                <w:p w14:paraId="1749134D">
                  <w:pPr>
                    <w:pStyle w:val="38"/>
                    <w:spacing w:line="280" w:lineRule="exact"/>
                    <w:rPr>
                      <w:rFonts w:hint="eastAsia" w:ascii="Times New Roman" w:hAnsi="Times New Roman"/>
                      <w:color w:val="auto"/>
                      <w:szCs w:val="21"/>
                    </w:rPr>
                  </w:pPr>
                </w:p>
              </w:tc>
              <w:tc>
                <w:tcPr>
                  <w:tcW w:w="1605" w:type="dxa"/>
                  <w:noWrap w:val="0"/>
                  <w:vAlign w:val="top"/>
                </w:tcPr>
                <w:p w14:paraId="264F8445">
                  <w:pPr>
                    <w:pStyle w:val="38"/>
                    <w:spacing w:line="280" w:lineRule="exact"/>
                    <w:rPr>
                      <w:rFonts w:hint="eastAsia" w:ascii="Times New Roman" w:hAnsi="Times New Roman"/>
                      <w:color w:val="auto"/>
                      <w:szCs w:val="21"/>
                    </w:rPr>
                  </w:pPr>
                </w:p>
              </w:tc>
              <w:tc>
                <w:tcPr>
                  <w:tcW w:w="1627" w:type="dxa"/>
                  <w:noWrap w:val="0"/>
                  <w:vAlign w:val="top"/>
                </w:tcPr>
                <w:p w14:paraId="7DF7086A">
                  <w:pPr>
                    <w:pStyle w:val="38"/>
                    <w:spacing w:line="280" w:lineRule="exact"/>
                    <w:rPr>
                      <w:rFonts w:hint="eastAsia" w:ascii="Times New Roman" w:hAnsi="Times New Roman"/>
                      <w:color w:val="auto"/>
                      <w:szCs w:val="21"/>
                    </w:rPr>
                  </w:pPr>
                </w:p>
              </w:tc>
            </w:tr>
            <w:tr w14:paraId="6CCE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1051F465">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3</w:t>
                  </w:r>
                </w:p>
              </w:tc>
              <w:tc>
                <w:tcPr>
                  <w:tcW w:w="3364" w:type="dxa"/>
                  <w:noWrap w:val="0"/>
                  <w:vAlign w:val="top"/>
                </w:tcPr>
                <w:p w14:paraId="223E932F">
                  <w:pPr>
                    <w:pStyle w:val="38"/>
                    <w:spacing w:line="280" w:lineRule="exact"/>
                    <w:rPr>
                      <w:rFonts w:hint="eastAsia" w:ascii="Times New Roman" w:hAnsi="Times New Roman"/>
                      <w:color w:val="auto"/>
                      <w:szCs w:val="21"/>
                    </w:rPr>
                  </w:pPr>
                  <w:r>
                    <w:rPr>
                      <w:rFonts w:hint="eastAsia" w:ascii="Times New Roman" w:hAnsi="Times New Roman"/>
                      <w:color w:val="auto"/>
                      <w:szCs w:val="21"/>
                    </w:rPr>
                    <w:t>应扣减承包人不修复缺陷、发包人组织修复的金额</w:t>
                  </w:r>
                </w:p>
              </w:tc>
              <w:tc>
                <w:tcPr>
                  <w:tcW w:w="1605" w:type="dxa"/>
                  <w:noWrap w:val="0"/>
                  <w:vAlign w:val="top"/>
                </w:tcPr>
                <w:p w14:paraId="3EC8C649">
                  <w:pPr>
                    <w:pStyle w:val="38"/>
                    <w:spacing w:line="280" w:lineRule="exact"/>
                    <w:rPr>
                      <w:rFonts w:hint="eastAsia" w:ascii="Times New Roman" w:hAnsi="Times New Roman"/>
                      <w:color w:val="auto"/>
                      <w:szCs w:val="21"/>
                    </w:rPr>
                  </w:pPr>
                </w:p>
              </w:tc>
              <w:tc>
                <w:tcPr>
                  <w:tcW w:w="1605" w:type="dxa"/>
                  <w:noWrap w:val="0"/>
                  <w:vAlign w:val="top"/>
                </w:tcPr>
                <w:p w14:paraId="71E09568">
                  <w:pPr>
                    <w:pStyle w:val="38"/>
                    <w:spacing w:line="280" w:lineRule="exact"/>
                    <w:rPr>
                      <w:rFonts w:hint="eastAsia" w:ascii="Times New Roman" w:hAnsi="Times New Roman"/>
                      <w:color w:val="auto"/>
                      <w:szCs w:val="21"/>
                    </w:rPr>
                  </w:pPr>
                </w:p>
              </w:tc>
              <w:tc>
                <w:tcPr>
                  <w:tcW w:w="1627" w:type="dxa"/>
                  <w:noWrap w:val="0"/>
                  <w:vAlign w:val="top"/>
                </w:tcPr>
                <w:p w14:paraId="51D4C86D">
                  <w:pPr>
                    <w:pStyle w:val="38"/>
                    <w:spacing w:line="280" w:lineRule="exact"/>
                    <w:rPr>
                      <w:rFonts w:hint="eastAsia" w:ascii="Times New Roman" w:hAnsi="Times New Roman"/>
                      <w:color w:val="auto"/>
                      <w:szCs w:val="21"/>
                    </w:rPr>
                  </w:pPr>
                </w:p>
              </w:tc>
            </w:tr>
            <w:tr w14:paraId="1406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336F408">
                  <w:pPr>
                    <w:pStyle w:val="38"/>
                    <w:spacing w:line="280" w:lineRule="exact"/>
                    <w:jc w:val="center"/>
                    <w:rPr>
                      <w:rFonts w:hint="eastAsia" w:ascii="Times New Roman" w:hAnsi="Times New Roman"/>
                      <w:color w:val="auto"/>
                      <w:szCs w:val="21"/>
                    </w:rPr>
                  </w:pPr>
                  <w:r>
                    <w:rPr>
                      <w:rFonts w:hint="eastAsia" w:ascii="Times New Roman" w:hAnsi="Times New Roman"/>
                      <w:color w:val="auto"/>
                      <w:szCs w:val="21"/>
                    </w:rPr>
                    <w:t>4</w:t>
                  </w:r>
                </w:p>
              </w:tc>
              <w:tc>
                <w:tcPr>
                  <w:tcW w:w="3364" w:type="dxa"/>
                  <w:noWrap w:val="0"/>
                  <w:vAlign w:val="top"/>
                </w:tcPr>
                <w:p w14:paraId="460B7E20">
                  <w:pPr>
                    <w:pStyle w:val="38"/>
                    <w:spacing w:line="280" w:lineRule="exact"/>
                    <w:rPr>
                      <w:rFonts w:hint="eastAsia" w:ascii="Times New Roman" w:hAnsi="Times New Roman"/>
                      <w:color w:val="auto"/>
                      <w:szCs w:val="21"/>
                    </w:rPr>
                  </w:pPr>
                  <w:r>
                    <w:rPr>
                      <w:rFonts w:hint="eastAsia" w:ascii="Times New Roman" w:hAnsi="Times New Roman"/>
                      <w:color w:val="auto"/>
                      <w:szCs w:val="21"/>
                    </w:rPr>
                    <w:t>最终应支付的合同价款</w:t>
                  </w:r>
                </w:p>
              </w:tc>
              <w:tc>
                <w:tcPr>
                  <w:tcW w:w="1605" w:type="dxa"/>
                  <w:noWrap w:val="0"/>
                  <w:vAlign w:val="top"/>
                </w:tcPr>
                <w:p w14:paraId="72C96777">
                  <w:pPr>
                    <w:pStyle w:val="38"/>
                    <w:spacing w:line="280" w:lineRule="exact"/>
                    <w:rPr>
                      <w:rFonts w:hint="eastAsia" w:ascii="Times New Roman" w:hAnsi="Times New Roman"/>
                      <w:color w:val="auto"/>
                      <w:szCs w:val="21"/>
                    </w:rPr>
                  </w:pPr>
                </w:p>
              </w:tc>
              <w:tc>
                <w:tcPr>
                  <w:tcW w:w="1605" w:type="dxa"/>
                  <w:noWrap w:val="0"/>
                  <w:vAlign w:val="top"/>
                </w:tcPr>
                <w:p w14:paraId="53E556E1">
                  <w:pPr>
                    <w:pStyle w:val="38"/>
                    <w:spacing w:line="280" w:lineRule="exact"/>
                    <w:rPr>
                      <w:rFonts w:hint="eastAsia" w:ascii="Times New Roman" w:hAnsi="Times New Roman"/>
                      <w:color w:val="auto"/>
                      <w:szCs w:val="21"/>
                    </w:rPr>
                  </w:pPr>
                </w:p>
              </w:tc>
              <w:tc>
                <w:tcPr>
                  <w:tcW w:w="1627" w:type="dxa"/>
                  <w:noWrap w:val="0"/>
                  <w:vAlign w:val="top"/>
                </w:tcPr>
                <w:p w14:paraId="6FEA5553">
                  <w:pPr>
                    <w:pStyle w:val="38"/>
                    <w:spacing w:line="280" w:lineRule="exact"/>
                    <w:rPr>
                      <w:rFonts w:hint="eastAsia" w:ascii="Times New Roman" w:hAnsi="Times New Roman"/>
                      <w:color w:val="auto"/>
                      <w:szCs w:val="21"/>
                    </w:rPr>
                  </w:pPr>
                </w:p>
              </w:tc>
            </w:tr>
            <w:tr w14:paraId="190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noWrap w:val="0"/>
                  <w:vAlign w:val="top"/>
                </w:tcPr>
                <w:p w14:paraId="3280F389">
                  <w:pPr>
                    <w:pStyle w:val="38"/>
                    <w:spacing w:line="280" w:lineRule="exact"/>
                    <w:jc w:val="center"/>
                    <w:rPr>
                      <w:rFonts w:hint="eastAsia" w:ascii="Times New Roman" w:hAnsi="Times New Roman"/>
                      <w:color w:val="auto"/>
                      <w:szCs w:val="21"/>
                    </w:rPr>
                  </w:pPr>
                </w:p>
              </w:tc>
              <w:tc>
                <w:tcPr>
                  <w:tcW w:w="3364" w:type="dxa"/>
                  <w:noWrap w:val="0"/>
                  <w:vAlign w:val="top"/>
                </w:tcPr>
                <w:p w14:paraId="69FAB146">
                  <w:pPr>
                    <w:pStyle w:val="38"/>
                    <w:spacing w:line="280" w:lineRule="exact"/>
                    <w:rPr>
                      <w:rFonts w:hint="eastAsia" w:ascii="Times New Roman" w:hAnsi="Times New Roman"/>
                      <w:color w:val="auto"/>
                      <w:szCs w:val="21"/>
                    </w:rPr>
                  </w:pPr>
                </w:p>
              </w:tc>
              <w:tc>
                <w:tcPr>
                  <w:tcW w:w="1605" w:type="dxa"/>
                  <w:noWrap w:val="0"/>
                  <w:vAlign w:val="top"/>
                </w:tcPr>
                <w:p w14:paraId="0D62EEB7">
                  <w:pPr>
                    <w:pStyle w:val="38"/>
                    <w:spacing w:line="280" w:lineRule="exact"/>
                    <w:rPr>
                      <w:rFonts w:hint="eastAsia" w:ascii="Times New Roman" w:hAnsi="Times New Roman"/>
                      <w:color w:val="auto"/>
                      <w:szCs w:val="21"/>
                    </w:rPr>
                  </w:pPr>
                </w:p>
              </w:tc>
              <w:tc>
                <w:tcPr>
                  <w:tcW w:w="1605" w:type="dxa"/>
                  <w:noWrap w:val="0"/>
                  <w:vAlign w:val="top"/>
                </w:tcPr>
                <w:p w14:paraId="3FE0A396">
                  <w:pPr>
                    <w:pStyle w:val="38"/>
                    <w:spacing w:line="280" w:lineRule="exact"/>
                    <w:rPr>
                      <w:rFonts w:hint="eastAsia" w:ascii="Times New Roman" w:hAnsi="Times New Roman"/>
                      <w:color w:val="auto"/>
                      <w:szCs w:val="21"/>
                    </w:rPr>
                  </w:pPr>
                </w:p>
              </w:tc>
              <w:tc>
                <w:tcPr>
                  <w:tcW w:w="1627" w:type="dxa"/>
                  <w:noWrap w:val="0"/>
                  <w:vAlign w:val="top"/>
                </w:tcPr>
                <w:p w14:paraId="14C4D828">
                  <w:pPr>
                    <w:pStyle w:val="38"/>
                    <w:spacing w:line="280" w:lineRule="exact"/>
                    <w:rPr>
                      <w:rFonts w:hint="eastAsia" w:ascii="Times New Roman" w:hAnsi="Times New Roman"/>
                      <w:color w:val="auto"/>
                      <w:szCs w:val="21"/>
                    </w:rPr>
                  </w:pPr>
                </w:p>
              </w:tc>
            </w:tr>
            <w:tr w14:paraId="04E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0C9802A3">
                  <w:pPr>
                    <w:pStyle w:val="38"/>
                    <w:spacing w:line="280" w:lineRule="exact"/>
                    <w:jc w:val="center"/>
                    <w:rPr>
                      <w:rFonts w:hint="eastAsia" w:ascii="Times New Roman" w:hAnsi="Times New Roman"/>
                      <w:color w:val="auto"/>
                      <w:szCs w:val="21"/>
                    </w:rPr>
                  </w:pPr>
                </w:p>
              </w:tc>
              <w:tc>
                <w:tcPr>
                  <w:tcW w:w="3364" w:type="dxa"/>
                  <w:noWrap w:val="0"/>
                  <w:vAlign w:val="top"/>
                </w:tcPr>
                <w:p w14:paraId="5F5FCA1A">
                  <w:pPr>
                    <w:pStyle w:val="38"/>
                    <w:spacing w:line="280" w:lineRule="exact"/>
                    <w:rPr>
                      <w:rFonts w:hint="eastAsia" w:ascii="Times New Roman" w:hAnsi="Times New Roman"/>
                      <w:color w:val="auto"/>
                      <w:szCs w:val="21"/>
                    </w:rPr>
                  </w:pPr>
                </w:p>
              </w:tc>
              <w:tc>
                <w:tcPr>
                  <w:tcW w:w="1605" w:type="dxa"/>
                  <w:noWrap w:val="0"/>
                  <w:vAlign w:val="top"/>
                </w:tcPr>
                <w:p w14:paraId="3EB0E422">
                  <w:pPr>
                    <w:pStyle w:val="38"/>
                    <w:spacing w:line="280" w:lineRule="exact"/>
                    <w:rPr>
                      <w:rFonts w:hint="eastAsia" w:ascii="Times New Roman" w:hAnsi="Times New Roman"/>
                      <w:color w:val="auto"/>
                      <w:szCs w:val="21"/>
                    </w:rPr>
                  </w:pPr>
                </w:p>
              </w:tc>
              <w:tc>
                <w:tcPr>
                  <w:tcW w:w="1605" w:type="dxa"/>
                  <w:noWrap w:val="0"/>
                  <w:vAlign w:val="top"/>
                </w:tcPr>
                <w:p w14:paraId="575E6345">
                  <w:pPr>
                    <w:pStyle w:val="38"/>
                    <w:spacing w:line="280" w:lineRule="exact"/>
                    <w:rPr>
                      <w:rFonts w:hint="eastAsia" w:ascii="Times New Roman" w:hAnsi="Times New Roman"/>
                      <w:color w:val="auto"/>
                      <w:szCs w:val="21"/>
                    </w:rPr>
                  </w:pPr>
                </w:p>
              </w:tc>
              <w:tc>
                <w:tcPr>
                  <w:tcW w:w="1627" w:type="dxa"/>
                  <w:noWrap w:val="0"/>
                  <w:vAlign w:val="top"/>
                </w:tcPr>
                <w:p w14:paraId="45E4CC0F">
                  <w:pPr>
                    <w:pStyle w:val="38"/>
                    <w:spacing w:line="280" w:lineRule="exact"/>
                    <w:rPr>
                      <w:rFonts w:hint="eastAsia" w:ascii="Times New Roman" w:hAnsi="Times New Roman"/>
                      <w:color w:val="auto"/>
                      <w:szCs w:val="21"/>
                    </w:rPr>
                  </w:pPr>
                </w:p>
              </w:tc>
            </w:tr>
            <w:tr w14:paraId="7623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noWrap w:val="0"/>
                  <w:vAlign w:val="top"/>
                </w:tcPr>
                <w:p w14:paraId="5BEA6E0E">
                  <w:pPr>
                    <w:pStyle w:val="38"/>
                    <w:spacing w:line="280" w:lineRule="exact"/>
                    <w:jc w:val="center"/>
                    <w:rPr>
                      <w:rFonts w:hint="eastAsia" w:ascii="Times New Roman" w:hAnsi="Times New Roman"/>
                      <w:color w:val="auto"/>
                      <w:szCs w:val="21"/>
                    </w:rPr>
                  </w:pPr>
                </w:p>
              </w:tc>
              <w:tc>
                <w:tcPr>
                  <w:tcW w:w="3364" w:type="dxa"/>
                  <w:noWrap w:val="0"/>
                  <w:vAlign w:val="top"/>
                </w:tcPr>
                <w:p w14:paraId="5FA4E72D">
                  <w:pPr>
                    <w:pStyle w:val="38"/>
                    <w:spacing w:line="280" w:lineRule="exact"/>
                    <w:rPr>
                      <w:rFonts w:hint="eastAsia" w:ascii="Times New Roman" w:hAnsi="Times New Roman"/>
                      <w:color w:val="auto"/>
                      <w:szCs w:val="21"/>
                    </w:rPr>
                  </w:pPr>
                </w:p>
              </w:tc>
              <w:tc>
                <w:tcPr>
                  <w:tcW w:w="1605" w:type="dxa"/>
                  <w:noWrap w:val="0"/>
                  <w:vAlign w:val="top"/>
                </w:tcPr>
                <w:p w14:paraId="26F5BD84">
                  <w:pPr>
                    <w:pStyle w:val="38"/>
                    <w:spacing w:line="280" w:lineRule="exact"/>
                    <w:rPr>
                      <w:rFonts w:hint="eastAsia" w:ascii="Times New Roman" w:hAnsi="Times New Roman"/>
                      <w:color w:val="auto"/>
                      <w:szCs w:val="21"/>
                    </w:rPr>
                  </w:pPr>
                </w:p>
              </w:tc>
              <w:tc>
                <w:tcPr>
                  <w:tcW w:w="1605" w:type="dxa"/>
                  <w:noWrap w:val="0"/>
                  <w:vAlign w:val="top"/>
                </w:tcPr>
                <w:p w14:paraId="322B1AF5">
                  <w:pPr>
                    <w:pStyle w:val="38"/>
                    <w:spacing w:line="280" w:lineRule="exact"/>
                    <w:rPr>
                      <w:rFonts w:hint="eastAsia" w:ascii="Times New Roman" w:hAnsi="Times New Roman"/>
                      <w:color w:val="auto"/>
                      <w:szCs w:val="21"/>
                    </w:rPr>
                  </w:pPr>
                </w:p>
              </w:tc>
              <w:tc>
                <w:tcPr>
                  <w:tcW w:w="1627" w:type="dxa"/>
                  <w:noWrap w:val="0"/>
                  <w:vAlign w:val="top"/>
                </w:tcPr>
                <w:p w14:paraId="24016D09">
                  <w:pPr>
                    <w:pStyle w:val="38"/>
                    <w:spacing w:line="280" w:lineRule="exact"/>
                    <w:rPr>
                      <w:rFonts w:hint="eastAsia" w:ascii="Times New Roman" w:hAnsi="Times New Roman"/>
                      <w:color w:val="auto"/>
                      <w:szCs w:val="21"/>
                    </w:rPr>
                  </w:pPr>
                </w:p>
              </w:tc>
            </w:tr>
            <w:tr w14:paraId="6127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noWrap w:val="0"/>
                  <w:vAlign w:val="top"/>
                </w:tcPr>
                <w:p w14:paraId="49FFD399">
                  <w:pPr>
                    <w:pStyle w:val="38"/>
                    <w:spacing w:line="280" w:lineRule="exact"/>
                    <w:jc w:val="center"/>
                    <w:rPr>
                      <w:rFonts w:hint="eastAsia" w:ascii="Times New Roman" w:hAnsi="Times New Roman"/>
                      <w:color w:val="auto"/>
                      <w:szCs w:val="21"/>
                    </w:rPr>
                  </w:pPr>
                </w:p>
              </w:tc>
              <w:tc>
                <w:tcPr>
                  <w:tcW w:w="3364" w:type="dxa"/>
                  <w:noWrap w:val="0"/>
                  <w:vAlign w:val="top"/>
                </w:tcPr>
                <w:p w14:paraId="2D8D1873">
                  <w:pPr>
                    <w:pStyle w:val="38"/>
                    <w:spacing w:line="280" w:lineRule="exact"/>
                    <w:rPr>
                      <w:rFonts w:hint="eastAsia" w:ascii="Times New Roman" w:hAnsi="Times New Roman"/>
                      <w:color w:val="auto"/>
                      <w:szCs w:val="21"/>
                    </w:rPr>
                  </w:pPr>
                </w:p>
              </w:tc>
              <w:tc>
                <w:tcPr>
                  <w:tcW w:w="1605" w:type="dxa"/>
                  <w:noWrap w:val="0"/>
                  <w:vAlign w:val="top"/>
                </w:tcPr>
                <w:p w14:paraId="6886B4F4">
                  <w:pPr>
                    <w:pStyle w:val="38"/>
                    <w:spacing w:line="280" w:lineRule="exact"/>
                    <w:rPr>
                      <w:rFonts w:hint="eastAsia" w:ascii="Times New Roman" w:hAnsi="Times New Roman"/>
                      <w:color w:val="auto"/>
                      <w:szCs w:val="21"/>
                    </w:rPr>
                  </w:pPr>
                </w:p>
              </w:tc>
              <w:tc>
                <w:tcPr>
                  <w:tcW w:w="1605" w:type="dxa"/>
                  <w:noWrap w:val="0"/>
                  <w:vAlign w:val="top"/>
                </w:tcPr>
                <w:p w14:paraId="4B331365">
                  <w:pPr>
                    <w:pStyle w:val="38"/>
                    <w:spacing w:line="280" w:lineRule="exact"/>
                    <w:rPr>
                      <w:rFonts w:hint="eastAsia" w:ascii="Times New Roman" w:hAnsi="Times New Roman"/>
                      <w:color w:val="auto"/>
                      <w:szCs w:val="21"/>
                    </w:rPr>
                  </w:pPr>
                </w:p>
              </w:tc>
              <w:tc>
                <w:tcPr>
                  <w:tcW w:w="1627" w:type="dxa"/>
                  <w:noWrap w:val="0"/>
                  <w:vAlign w:val="top"/>
                </w:tcPr>
                <w:p w14:paraId="61E9782C">
                  <w:pPr>
                    <w:pStyle w:val="38"/>
                    <w:spacing w:line="280" w:lineRule="exact"/>
                    <w:rPr>
                      <w:rFonts w:hint="eastAsia" w:ascii="Times New Roman" w:hAnsi="Times New Roman"/>
                      <w:color w:val="auto"/>
                      <w:szCs w:val="21"/>
                    </w:rPr>
                  </w:pPr>
                </w:p>
              </w:tc>
            </w:tr>
          </w:tbl>
          <w:p w14:paraId="4501C122">
            <w:pPr>
              <w:pStyle w:val="38"/>
              <w:spacing w:line="400" w:lineRule="exact"/>
              <w:ind w:right="420" w:firstLine="420" w:firstLineChars="200"/>
              <w:jc w:val="center"/>
              <w:rPr>
                <w:rFonts w:hint="eastAsia" w:ascii="Times New Roman" w:hAnsi="Times New Roman"/>
                <w:color w:val="auto"/>
                <w:szCs w:val="21"/>
              </w:rPr>
            </w:pPr>
            <w:r>
              <w:rPr>
                <w:rFonts w:hint="eastAsia" w:ascii="Times New Roman" w:hAnsi="Times New Roman"/>
                <w:color w:val="auto"/>
                <w:szCs w:val="21"/>
              </w:rPr>
              <w:t xml:space="preserve">                                            承包人（章）             </w:t>
            </w:r>
          </w:p>
          <w:p w14:paraId="0988E254">
            <w:pPr>
              <w:pStyle w:val="38"/>
              <w:spacing w:line="400" w:lineRule="exact"/>
              <w:ind w:right="420" w:firstLine="420" w:firstLineChars="200"/>
              <w:rPr>
                <w:rFonts w:hint="eastAsia" w:ascii="Times New Roman" w:hAnsi="Times New Roman"/>
                <w:color w:val="auto"/>
                <w:szCs w:val="21"/>
              </w:rPr>
            </w:pPr>
            <w:r>
              <w:rPr>
                <w:rFonts w:hint="eastAsia" w:ascii="Times New Roman" w:hAnsi="Times New Roman"/>
                <w:color w:val="auto"/>
                <w:szCs w:val="21"/>
              </w:rPr>
              <w:t>承包人代表</w:t>
            </w:r>
            <w:r>
              <w:rPr>
                <w:rFonts w:hint="eastAsia" w:ascii="Times New Roman" w:hAnsi="Times New Roman"/>
                <w:color w:val="auto"/>
                <w:szCs w:val="21"/>
                <w:u w:val="single"/>
              </w:rPr>
              <w:t xml:space="preserve">               </w:t>
            </w: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r w14:paraId="2DA0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9072" w:type="dxa"/>
            <w:noWrap w:val="0"/>
            <w:vAlign w:val="top"/>
          </w:tcPr>
          <w:p w14:paraId="12FBF636">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复核意见：</w:t>
            </w:r>
          </w:p>
          <w:p w14:paraId="66A1CD20">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□与实际施工情况不相符，修改意见见附件。</w:t>
            </w:r>
          </w:p>
          <w:p w14:paraId="39756EFF">
            <w:pPr>
              <w:pStyle w:val="38"/>
              <w:spacing w:line="360" w:lineRule="exact"/>
              <w:ind w:firstLine="420" w:firstLineChars="200"/>
              <w:rPr>
                <w:rFonts w:hint="eastAsia" w:ascii="Times New Roman" w:hAnsi="Times New Roman"/>
                <w:color w:val="auto"/>
                <w:szCs w:val="21"/>
              </w:rPr>
            </w:pPr>
            <w:r>
              <w:rPr>
                <w:rFonts w:hint="eastAsia" w:ascii="Times New Roman" w:hAnsi="Times New Roman"/>
                <w:color w:val="auto"/>
                <w:szCs w:val="21"/>
              </w:rPr>
              <w:t>□与实际施工情况相符，具体金额由造价工程师复核。</w:t>
            </w:r>
          </w:p>
          <w:p w14:paraId="187FD7A4">
            <w:pPr>
              <w:pStyle w:val="38"/>
              <w:spacing w:line="360" w:lineRule="exact"/>
              <w:ind w:firstLine="435"/>
              <w:jc w:val="right"/>
              <w:rPr>
                <w:rFonts w:hint="eastAsia" w:ascii="Times New Roman" w:hAnsi="Times New Roman"/>
                <w:color w:val="auto"/>
                <w:szCs w:val="21"/>
              </w:rPr>
            </w:pPr>
          </w:p>
          <w:p w14:paraId="2DBB8174">
            <w:pPr>
              <w:pStyle w:val="38"/>
              <w:spacing w:line="360" w:lineRule="exact"/>
              <w:ind w:firstLine="435"/>
              <w:jc w:val="right"/>
              <w:rPr>
                <w:rFonts w:hint="eastAsia" w:ascii="Times New Roman" w:hAnsi="Times New Roman"/>
                <w:color w:val="auto"/>
                <w:szCs w:val="21"/>
              </w:rPr>
            </w:pPr>
          </w:p>
          <w:p w14:paraId="12BBCC4E">
            <w:pPr>
              <w:pStyle w:val="38"/>
              <w:spacing w:line="360" w:lineRule="exact"/>
              <w:ind w:firstLine="420" w:firstLineChars="200"/>
              <w:jc w:val="center"/>
              <w:rPr>
                <w:rFonts w:hint="eastAsia"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p>
          <w:p w14:paraId="53C1D8A4">
            <w:pPr>
              <w:pStyle w:val="38"/>
              <w:spacing w:line="360" w:lineRule="exact"/>
              <w:ind w:firstLine="420" w:firstLineChars="200"/>
              <w:jc w:val="center"/>
              <w:rPr>
                <w:rFonts w:hint="eastAsia" w:ascii="Times New Roman" w:hAnsi="Times New Roman"/>
                <w:color w:val="auto"/>
                <w:szCs w:val="21"/>
                <w:u w:val="single"/>
              </w:rPr>
            </w:pPr>
            <w:r>
              <w:rPr>
                <w:rFonts w:hint="eastAsia" w:ascii="Times New Roman" w:hAnsi="Times New Roman"/>
                <w:color w:val="auto"/>
                <w:szCs w:val="21"/>
              </w:rPr>
              <w:t xml:space="preserve">        监理工程师</w:t>
            </w:r>
            <w:r>
              <w:rPr>
                <w:rFonts w:hint="eastAsia" w:ascii="Times New Roman" w:hAnsi="Times New Roman"/>
                <w:color w:val="auto"/>
                <w:szCs w:val="21"/>
                <w:u w:val="single"/>
              </w:rPr>
              <w:t xml:space="preserve">           </w:t>
            </w:r>
          </w:p>
          <w:p w14:paraId="78C7ED3D">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r w14:paraId="26EF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noWrap w:val="0"/>
            <w:vAlign w:val="top"/>
          </w:tcPr>
          <w:p w14:paraId="4FC6D5E7">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审核意见：</w:t>
            </w:r>
          </w:p>
          <w:p w14:paraId="753E1CA9">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□不同意。</w:t>
            </w:r>
          </w:p>
          <w:p w14:paraId="6A50C276">
            <w:pPr>
              <w:pStyle w:val="38"/>
              <w:spacing w:line="400" w:lineRule="exact"/>
              <w:ind w:firstLine="420" w:firstLineChars="200"/>
              <w:rPr>
                <w:rFonts w:hint="eastAsia" w:ascii="Times New Roman" w:hAnsi="Times New Roman"/>
                <w:color w:val="auto"/>
                <w:szCs w:val="21"/>
              </w:rPr>
            </w:pPr>
            <w:r>
              <w:rPr>
                <w:rFonts w:hint="eastAsia" w:ascii="Times New Roman" w:hAnsi="Times New Roman"/>
                <w:color w:val="auto"/>
                <w:szCs w:val="21"/>
              </w:rPr>
              <w:t>□同意。</w:t>
            </w:r>
          </w:p>
          <w:p w14:paraId="7266693E">
            <w:pPr>
              <w:pStyle w:val="38"/>
              <w:wordWrap w:val="0"/>
              <w:spacing w:line="400" w:lineRule="exact"/>
              <w:ind w:firstLine="420" w:firstLineChars="200"/>
              <w:jc w:val="right"/>
              <w:rPr>
                <w:rFonts w:hint="eastAsia" w:ascii="Times New Roman" w:hAnsi="Times New Roman"/>
                <w:color w:val="auto"/>
                <w:szCs w:val="21"/>
              </w:rPr>
            </w:pPr>
            <w:r>
              <w:rPr>
                <w:rFonts w:hint="eastAsia" w:ascii="Times New Roman" w:hAnsi="Times New Roman"/>
                <w:color w:val="auto"/>
                <w:szCs w:val="21"/>
              </w:rPr>
              <w:t xml:space="preserve">发包人（章）           </w:t>
            </w:r>
          </w:p>
          <w:p w14:paraId="23940C53">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发包人代表</w:t>
            </w:r>
            <w:r>
              <w:rPr>
                <w:rFonts w:hint="eastAsia" w:ascii="Times New Roman" w:hAnsi="Times New Roman"/>
                <w:color w:val="auto"/>
                <w:szCs w:val="21"/>
                <w:u w:val="single"/>
              </w:rPr>
              <w:t xml:space="preserve">             </w:t>
            </w:r>
          </w:p>
          <w:p w14:paraId="08522D39">
            <w:pPr>
              <w:pStyle w:val="38"/>
              <w:wordWrap w:val="0"/>
              <w:spacing w:line="400" w:lineRule="exact"/>
              <w:ind w:firstLine="420" w:firstLineChars="200"/>
              <w:jc w:val="right"/>
              <w:rPr>
                <w:rFonts w:hint="eastAsia" w:ascii="Times New Roman" w:hAnsi="Times New Roman"/>
                <w:color w:val="auto"/>
                <w:szCs w:val="21"/>
                <w:u w:val="single"/>
              </w:rPr>
            </w:pPr>
            <w:r>
              <w:rPr>
                <w:rFonts w:hint="eastAsia" w:ascii="Times New Roman" w:hAnsi="Times New Roman"/>
                <w:color w:val="auto"/>
                <w:szCs w:val="21"/>
              </w:rPr>
              <w:t>日      期</w:t>
            </w:r>
            <w:r>
              <w:rPr>
                <w:rFonts w:hint="eastAsia" w:ascii="Times New Roman" w:hAnsi="Times New Roman"/>
                <w:color w:val="auto"/>
                <w:szCs w:val="21"/>
                <w:u w:val="single"/>
              </w:rPr>
              <w:t xml:space="preserve">             </w:t>
            </w:r>
          </w:p>
        </w:tc>
      </w:tr>
    </w:tbl>
    <w:p w14:paraId="0188FD6F">
      <w:pPr>
        <w:pStyle w:val="38"/>
        <w:spacing w:before="156" w:beforeLines="50"/>
        <w:ind w:firstLine="360" w:firstLineChars="200"/>
        <w:rPr>
          <w:rFonts w:hint="eastAsia" w:ascii="Times New Roman" w:hAnsi="Times New Roman"/>
          <w:color w:val="auto"/>
          <w:sz w:val="18"/>
          <w:szCs w:val="18"/>
        </w:rPr>
      </w:pPr>
      <w:r>
        <w:rPr>
          <w:rFonts w:hint="eastAsia" w:ascii="Times New Roman" w:hAnsi="Times New Roman"/>
          <w:color w:val="auto"/>
          <w:sz w:val="18"/>
          <w:szCs w:val="18"/>
        </w:rPr>
        <w:t>注：1.在选择栏中的“□”内作标识“√”。 如监理人已退场，监理工程师栏可空缺。</w:t>
      </w:r>
    </w:p>
    <w:p w14:paraId="59D07D2C">
      <w:pPr>
        <w:pStyle w:val="38"/>
        <w:spacing w:before="156" w:beforeLines="50"/>
        <w:ind w:firstLine="720" w:firstLineChars="400"/>
        <w:rPr>
          <w:rFonts w:hint="eastAsia" w:ascii="Times New Roman" w:hAnsi="Times New Roman"/>
          <w:color w:val="auto"/>
          <w:sz w:val="30"/>
          <w:szCs w:val="30"/>
        </w:rPr>
      </w:pPr>
      <w:r>
        <w:rPr>
          <w:rFonts w:hint="eastAsia" w:ascii="Times New Roman" w:hAnsi="Times New Roman"/>
          <w:color w:val="auto"/>
          <w:sz w:val="18"/>
          <w:szCs w:val="18"/>
        </w:rPr>
        <w:t>2.本表一式</w:t>
      </w:r>
      <w:r>
        <w:rPr>
          <w:rFonts w:hint="eastAsia" w:ascii="Times New Roman" w:hAnsi="Times New Roman"/>
          <w:color w:val="auto"/>
          <w:sz w:val="18"/>
          <w:szCs w:val="18"/>
          <w:lang w:val="en-US" w:eastAsia="zh-CN"/>
        </w:rPr>
        <w:t>叁</w:t>
      </w:r>
      <w:r>
        <w:rPr>
          <w:rFonts w:hint="eastAsia" w:ascii="Times New Roman" w:hAnsi="Times New Roman"/>
          <w:color w:val="auto"/>
          <w:sz w:val="18"/>
          <w:szCs w:val="18"/>
        </w:rPr>
        <w:t>份，由承包人填报，发包人、监理人、承包人各存一份。</w:t>
      </w:r>
    </w:p>
    <w:p w14:paraId="70AC64C0">
      <w:pPr>
        <w:pStyle w:val="38"/>
        <w:spacing w:line="360" w:lineRule="auto"/>
        <w:jc w:val="left"/>
        <w:rPr>
          <w:rFonts w:hint="eastAsia" w:ascii="Times New Roman" w:hAnsi="Times New Roman"/>
          <w:color w:val="auto"/>
          <w:sz w:val="30"/>
          <w:szCs w:val="30"/>
        </w:rPr>
      </w:pPr>
    </w:p>
    <w:p w14:paraId="3B6EB157">
      <w:pPr>
        <w:pStyle w:val="38"/>
        <w:spacing w:line="360" w:lineRule="auto"/>
        <w:ind w:firstLine="600" w:firstLineChars="200"/>
        <w:jc w:val="left"/>
        <w:rPr>
          <w:rFonts w:hint="eastAsia" w:ascii="Times New Roman" w:hAnsi="宋体" w:cs="宋体"/>
          <w:color w:val="auto"/>
          <w:sz w:val="30"/>
          <w:szCs w:val="30"/>
        </w:rPr>
      </w:pPr>
      <w:r>
        <w:rPr>
          <w:rFonts w:hint="eastAsia" w:ascii="Times New Roman" w:hAnsi="Times New Roman"/>
          <w:color w:val="auto"/>
          <w:sz w:val="30"/>
          <w:szCs w:val="30"/>
        </w:rPr>
        <w:t>附件14：</w:t>
      </w:r>
    </w:p>
    <w:p w14:paraId="30F9E5EB">
      <w:pPr>
        <w:pStyle w:val="38"/>
        <w:spacing w:line="360" w:lineRule="auto"/>
        <w:ind w:firstLine="720" w:firstLineChars="200"/>
        <w:jc w:val="center"/>
        <w:rPr>
          <w:rFonts w:hint="eastAsia"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13527BAB">
      <w:pPr>
        <w:pStyle w:val="38"/>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工程名称：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14:paraId="18F6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736B87B">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进度款期次</w:t>
            </w:r>
          </w:p>
        </w:tc>
        <w:tc>
          <w:tcPr>
            <w:tcW w:w="3794" w:type="dxa"/>
            <w:gridSpan w:val="2"/>
            <w:noWrap w:val="0"/>
            <w:vAlign w:val="top"/>
          </w:tcPr>
          <w:p w14:paraId="241439C9">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形象进度</w:t>
            </w:r>
          </w:p>
        </w:tc>
        <w:tc>
          <w:tcPr>
            <w:tcW w:w="2268" w:type="dxa"/>
            <w:noWrap w:val="0"/>
            <w:vAlign w:val="top"/>
          </w:tcPr>
          <w:p w14:paraId="09B0C16F">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进度款付款金额（元）</w:t>
            </w:r>
          </w:p>
        </w:tc>
        <w:tc>
          <w:tcPr>
            <w:tcW w:w="1276" w:type="dxa"/>
            <w:noWrap w:val="0"/>
            <w:vAlign w:val="top"/>
          </w:tcPr>
          <w:p w14:paraId="649EB41C">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备注</w:t>
            </w:r>
          </w:p>
        </w:tc>
      </w:tr>
      <w:tr w14:paraId="6F05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1E79BEA7">
            <w:pPr>
              <w:pStyle w:val="38"/>
              <w:spacing w:line="360" w:lineRule="auto"/>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预付款</w:t>
            </w:r>
          </w:p>
        </w:tc>
        <w:tc>
          <w:tcPr>
            <w:tcW w:w="3794" w:type="dxa"/>
            <w:gridSpan w:val="2"/>
            <w:noWrap w:val="0"/>
            <w:vAlign w:val="top"/>
          </w:tcPr>
          <w:p w14:paraId="2D7610A2">
            <w:pPr>
              <w:pStyle w:val="38"/>
              <w:spacing w:line="360" w:lineRule="auto"/>
              <w:jc w:val="center"/>
              <w:rPr>
                <w:rFonts w:hint="eastAsia" w:ascii="宋体" w:hAnsi="宋体" w:cs="宋体"/>
                <w:color w:val="auto"/>
                <w:kern w:val="0"/>
                <w:szCs w:val="21"/>
              </w:rPr>
            </w:pPr>
          </w:p>
        </w:tc>
        <w:tc>
          <w:tcPr>
            <w:tcW w:w="2268" w:type="dxa"/>
            <w:noWrap w:val="0"/>
            <w:vAlign w:val="top"/>
          </w:tcPr>
          <w:p w14:paraId="694BC421">
            <w:pPr>
              <w:pStyle w:val="38"/>
              <w:spacing w:line="360" w:lineRule="auto"/>
              <w:jc w:val="center"/>
              <w:rPr>
                <w:rFonts w:hint="eastAsia" w:ascii="宋体" w:hAnsi="宋体" w:cs="宋体"/>
                <w:color w:val="auto"/>
                <w:kern w:val="0"/>
                <w:szCs w:val="21"/>
              </w:rPr>
            </w:pPr>
          </w:p>
        </w:tc>
        <w:tc>
          <w:tcPr>
            <w:tcW w:w="1276" w:type="dxa"/>
            <w:noWrap w:val="0"/>
            <w:vAlign w:val="top"/>
          </w:tcPr>
          <w:p w14:paraId="7EEBA275">
            <w:pPr>
              <w:pStyle w:val="38"/>
              <w:spacing w:line="360" w:lineRule="auto"/>
              <w:jc w:val="center"/>
              <w:rPr>
                <w:rFonts w:hint="eastAsia" w:ascii="宋体" w:hAnsi="宋体" w:cs="宋体"/>
                <w:color w:val="auto"/>
                <w:kern w:val="0"/>
                <w:szCs w:val="21"/>
              </w:rPr>
            </w:pPr>
          </w:p>
        </w:tc>
      </w:tr>
      <w:tr w14:paraId="559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DF5D1F0">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第一期</w:t>
            </w:r>
          </w:p>
        </w:tc>
        <w:tc>
          <w:tcPr>
            <w:tcW w:w="3794" w:type="dxa"/>
            <w:gridSpan w:val="2"/>
            <w:noWrap w:val="0"/>
            <w:vAlign w:val="top"/>
          </w:tcPr>
          <w:p w14:paraId="3411F4E8">
            <w:pPr>
              <w:pStyle w:val="38"/>
              <w:spacing w:line="360" w:lineRule="auto"/>
              <w:jc w:val="center"/>
              <w:rPr>
                <w:rFonts w:hint="eastAsia" w:ascii="宋体" w:hAnsi="宋体" w:cs="宋体"/>
                <w:color w:val="auto"/>
                <w:kern w:val="0"/>
                <w:szCs w:val="21"/>
              </w:rPr>
            </w:pPr>
          </w:p>
        </w:tc>
        <w:tc>
          <w:tcPr>
            <w:tcW w:w="2268" w:type="dxa"/>
            <w:noWrap w:val="0"/>
            <w:vAlign w:val="top"/>
          </w:tcPr>
          <w:p w14:paraId="52196B12">
            <w:pPr>
              <w:pStyle w:val="38"/>
              <w:spacing w:line="360" w:lineRule="auto"/>
              <w:jc w:val="center"/>
              <w:rPr>
                <w:rFonts w:hint="eastAsia" w:ascii="宋体" w:hAnsi="宋体" w:cs="宋体"/>
                <w:color w:val="auto"/>
                <w:kern w:val="0"/>
                <w:szCs w:val="21"/>
              </w:rPr>
            </w:pPr>
          </w:p>
        </w:tc>
        <w:tc>
          <w:tcPr>
            <w:tcW w:w="1276" w:type="dxa"/>
            <w:noWrap w:val="0"/>
            <w:vAlign w:val="top"/>
          </w:tcPr>
          <w:p w14:paraId="6B9C0DE1">
            <w:pPr>
              <w:pStyle w:val="38"/>
              <w:spacing w:line="360" w:lineRule="auto"/>
              <w:jc w:val="center"/>
              <w:rPr>
                <w:rFonts w:hint="eastAsia" w:ascii="宋体" w:hAnsi="宋体" w:cs="宋体"/>
                <w:color w:val="auto"/>
                <w:kern w:val="0"/>
                <w:szCs w:val="21"/>
              </w:rPr>
            </w:pPr>
          </w:p>
        </w:tc>
      </w:tr>
      <w:tr w14:paraId="5FB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0F57D086">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第二期</w:t>
            </w:r>
          </w:p>
        </w:tc>
        <w:tc>
          <w:tcPr>
            <w:tcW w:w="3794" w:type="dxa"/>
            <w:gridSpan w:val="2"/>
            <w:noWrap w:val="0"/>
            <w:vAlign w:val="top"/>
          </w:tcPr>
          <w:p w14:paraId="75499947">
            <w:pPr>
              <w:pStyle w:val="38"/>
              <w:spacing w:line="360" w:lineRule="auto"/>
              <w:jc w:val="center"/>
              <w:rPr>
                <w:rFonts w:hint="eastAsia" w:ascii="宋体" w:hAnsi="宋体" w:cs="宋体"/>
                <w:color w:val="auto"/>
                <w:kern w:val="0"/>
                <w:szCs w:val="21"/>
              </w:rPr>
            </w:pPr>
          </w:p>
        </w:tc>
        <w:tc>
          <w:tcPr>
            <w:tcW w:w="2268" w:type="dxa"/>
            <w:noWrap w:val="0"/>
            <w:vAlign w:val="top"/>
          </w:tcPr>
          <w:p w14:paraId="24A9E2D8">
            <w:pPr>
              <w:pStyle w:val="38"/>
              <w:spacing w:line="360" w:lineRule="auto"/>
              <w:jc w:val="center"/>
              <w:rPr>
                <w:rFonts w:hint="eastAsia" w:ascii="宋体" w:hAnsi="宋体" w:cs="宋体"/>
                <w:color w:val="auto"/>
                <w:kern w:val="0"/>
                <w:szCs w:val="21"/>
              </w:rPr>
            </w:pPr>
          </w:p>
        </w:tc>
        <w:tc>
          <w:tcPr>
            <w:tcW w:w="1276" w:type="dxa"/>
            <w:noWrap w:val="0"/>
            <w:vAlign w:val="top"/>
          </w:tcPr>
          <w:p w14:paraId="0AF87D2A">
            <w:pPr>
              <w:pStyle w:val="38"/>
              <w:spacing w:line="360" w:lineRule="auto"/>
              <w:jc w:val="center"/>
              <w:rPr>
                <w:rFonts w:hint="eastAsia" w:ascii="宋体" w:hAnsi="宋体" w:cs="宋体"/>
                <w:color w:val="auto"/>
                <w:kern w:val="0"/>
                <w:szCs w:val="21"/>
              </w:rPr>
            </w:pPr>
          </w:p>
        </w:tc>
      </w:tr>
      <w:tr w14:paraId="32A8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9C03119">
            <w:pPr>
              <w:pStyle w:val="38"/>
              <w:spacing w:line="360" w:lineRule="auto"/>
              <w:jc w:val="center"/>
              <w:rPr>
                <w:rFonts w:hint="eastAsia" w:ascii="宋体" w:hAnsi="宋体" w:cs="宋体"/>
                <w:color w:val="auto"/>
                <w:kern w:val="0"/>
                <w:szCs w:val="21"/>
              </w:rPr>
            </w:pPr>
            <w:r>
              <w:rPr>
                <w:rFonts w:hint="eastAsia" w:ascii="宋体" w:hAnsi="宋体" w:cs="宋体"/>
                <w:color w:val="auto"/>
                <w:kern w:val="0"/>
                <w:szCs w:val="21"/>
              </w:rPr>
              <w:t>第三期</w:t>
            </w:r>
          </w:p>
        </w:tc>
        <w:tc>
          <w:tcPr>
            <w:tcW w:w="3794" w:type="dxa"/>
            <w:gridSpan w:val="2"/>
            <w:noWrap w:val="0"/>
            <w:vAlign w:val="top"/>
          </w:tcPr>
          <w:p w14:paraId="6A0D8EC8">
            <w:pPr>
              <w:pStyle w:val="38"/>
              <w:spacing w:line="360" w:lineRule="auto"/>
              <w:jc w:val="center"/>
              <w:rPr>
                <w:rFonts w:hint="eastAsia" w:ascii="宋体" w:hAnsi="宋体" w:cs="宋体"/>
                <w:color w:val="auto"/>
                <w:kern w:val="0"/>
                <w:szCs w:val="21"/>
              </w:rPr>
            </w:pPr>
          </w:p>
        </w:tc>
        <w:tc>
          <w:tcPr>
            <w:tcW w:w="2268" w:type="dxa"/>
            <w:noWrap w:val="0"/>
            <w:vAlign w:val="top"/>
          </w:tcPr>
          <w:p w14:paraId="2CA4FB72">
            <w:pPr>
              <w:pStyle w:val="38"/>
              <w:spacing w:line="360" w:lineRule="auto"/>
              <w:jc w:val="center"/>
              <w:rPr>
                <w:rFonts w:hint="eastAsia" w:ascii="宋体" w:hAnsi="宋体" w:cs="宋体"/>
                <w:color w:val="auto"/>
                <w:kern w:val="0"/>
                <w:szCs w:val="21"/>
              </w:rPr>
            </w:pPr>
          </w:p>
        </w:tc>
        <w:tc>
          <w:tcPr>
            <w:tcW w:w="1276" w:type="dxa"/>
            <w:noWrap w:val="0"/>
            <w:vAlign w:val="top"/>
          </w:tcPr>
          <w:p w14:paraId="3D2D1F51">
            <w:pPr>
              <w:pStyle w:val="38"/>
              <w:spacing w:line="360" w:lineRule="auto"/>
              <w:jc w:val="center"/>
              <w:rPr>
                <w:rFonts w:hint="eastAsia" w:ascii="宋体" w:hAnsi="宋体" w:cs="宋体"/>
                <w:color w:val="auto"/>
                <w:kern w:val="0"/>
                <w:szCs w:val="21"/>
              </w:rPr>
            </w:pPr>
          </w:p>
        </w:tc>
      </w:tr>
      <w:tr w14:paraId="5BDC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4A4947">
            <w:pPr>
              <w:pStyle w:val="38"/>
              <w:spacing w:line="360" w:lineRule="auto"/>
              <w:jc w:val="center"/>
              <w:rPr>
                <w:rFonts w:hint="eastAsia" w:ascii="宋体" w:hAnsi="宋体" w:cs="宋体"/>
                <w:color w:val="auto"/>
                <w:kern w:val="0"/>
                <w:szCs w:val="21"/>
              </w:rPr>
            </w:pPr>
            <w:r>
              <w:rPr>
                <w:rFonts w:ascii="宋体" w:hAnsi="宋体" w:cs="宋体"/>
                <w:color w:val="auto"/>
                <w:kern w:val="0"/>
                <w:szCs w:val="21"/>
              </w:rPr>
              <w:t>……</w:t>
            </w:r>
          </w:p>
        </w:tc>
        <w:tc>
          <w:tcPr>
            <w:tcW w:w="3794" w:type="dxa"/>
            <w:gridSpan w:val="2"/>
            <w:noWrap w:val="0"/>
            <w:vAlign w:val="top"/>
          </w:tcPr>
          <w:p w14:paraId="2F2CF9B2">
            <w:pPr>
              <w:pStyle w:val="38"/>
              <w:spacing w:line="360" w:lineRule="auto"/>
              <w:jc w:val="center"/>
              <w:rPr>
                <w:rFonts w:hint="eastAsia" w:ascii="宋体" w:hAnsi="宋体" w:cs="宋体"/>
                <w:color w:val="auto"/>
                <w:kern w:val="0"/>
                <w:szCs w:val="21"/>
              </w:rPr>
            </w:pPr>
          </w:p>
        </w:tc>
        <w:tc>
          <w:tcPr>
            <w:tcW w:w="2268" w:type="dxa"/>
            <w:noWrap w:val="0"/>
            <w:vAlign w:val="top"/>
          </w:tcPr>
          <w:p w14:paraId="595E9F13">
            <w:pPr>
              <w:pStyle w:val="38"/>
              <w:spacing w:line="360" w:lineRule="auto"/>
              <w:jc w:val="center"/>
              <w:rPr>
                <w:rFonts w:hint="eastAsia" w:ascii="宋体" w:hAnsi="宋体" w:cs="宋体"/>
                <w:color w:val="auto"/>
                <w:kern w:val="0"/>
                <w:szCs w:val="21"/>
              </w:rPr>
            </w:pPr>
          </w:p>
        </w:tc>
        <w:tc>
          <w:tcPr>
            <w:tcW w:w="1276" w:type="dxa"/>
            <w:noWrap w:val="0"/>
            <w:vAlign w:val="top"/>
          </w:tcPr>
          <w:p w14:paraId="38F20931">
            <w:pPr>
              <w:pStyle w:val="38"/>
              <w:spacing w:line="360" w:lineRule="auto"/>
              <w:jc w:val="center"/>
              <w:rPr>
                <w:rFonts w:hint="eastAsia" w:ascii="宋体" w:hAnsi="宋体" w:cs="宋体"/>
                <w:color w:val="auto"/>
                <w:kern w:val="0"/>
                <w:szCs w:val="21"/>
              </w:rPr>
            </w:pPr>
          </w:p>
        </w:tc>
      </w:tr>
      <w:tr w14:paraId="6E6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14:paraId="7092F26A">
            <w:pPr>
              <w:pStyle w:val="38"/>
              <w:spacing w:line="360" w:lineRule="exact"/>
              <w:ind w:firstLine="435"/>
              <w:jc w:val="right"/>
              <w:rPr>
                <w:rFonts w:hint="eastAsia" w:ascii="Times New Roman" w:hAnsi="Times New Roman"/>
                <w:color w:val="auto"/>
                <w:szCs w:val="21"/>
              </w:rPr>
            </w:pPr>
          </w:p>
          <w:p w14:paraId="492E159D">
            <w:pPr>
              <w:pStyle w:val="38"/>
              <w:spacing w:line="360" w:lineRule="exact"/>
              <w:ind w:firstLine="435"/>
              <w:jc w:val="center"/>
              <w:rPr>
                <w:rFonts w:hint="eastAsia" w:ascii="Times New Roman" w:hAnsi="Times New Roman"/>
                <w:color w:val="auto"/>
                <w:szCs w:val="21"/>
              </w:rPr>
            </w:pPr>
          </w:p>
          <w:p w14:paraId="6ED6A18C">
            <w:pPr>
              <w:pStyle w:val="38"/>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发包人代表签字：</w:t>
            </w:r>
          </w:p>
          <w:p w14:paraId="48FC56D0">
            <w:pPr>
              <w:pStyle w:val="38"/>
              <w:spacing w:line="360" w:lineRule="exact"/>
              <w:ind w:firstLine="435"/>
              <w:jc w:val="center"/>
              <w:rPr>
                <w:rFonts w:hint="eastAsia" w:ascii="Times New Roman" w:hAnsi="Times New Roman"/>
                <w:color w:val="auto"/>
                <w:szCs w:val="21"/>
              </w:rPr>
            </w:pPr>
          </w:p>
          <w:p w14:paraId="0D57083E">
            <w:pPr>
              <w:pStyle w:val="38"/>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发包人（盖公章）</w:t>
            </w:r>
          </w:p>
          <w:p w14:paraId="154A6BF0">
            <w:pPr>
              <w:pStyle w:val="38"/>
              <w:spacing w:line="360" w:lineRule="exact"/>
              <w:ind w:firstLine="435"/>
              <w:jc w:val="center"/>
              <w:rPr>
                <w:rFonts w:hint="eastAsia" w:ascii="Times New Roman" w:hAnsi="Times New Roman"/>
                <w:color w:val="auto"/>
                <w:szCs w:val="21"/>
              </w:rPr>
            </w:pPr>
          </w:p>
          <w:p w14:paraId="7179D6B3">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 </w:t>
            </w:r>
            <w:r>
              <w:rPr>
                <w:rFonts w:hint="eastAsia" w:ascii="Times New Roman" w:hAnsi="Times New Roman"/>
                <w:color w:val="auto"/>
                <w:szCs w:val="21"/>
                <w:u w:val="single"/>
              </w:rPr>
              <w:t xml:space="preserve">          </w:t>
            </w:r>
          </w:p>
        </w:tc>
        <w:tc>
          <w:tcPr>
            <w:tcW w:w="4219" w:type="dxa"/>
            <w:gridSpan w:val="3"/>
            <w:noWrap w:val="0"/>
            <w:vAlign w:val="top"/>
          </w:tcPr>
          <w:p w14:paraId="6031D63E">
            <w:pPr>
              <w:pStyle w:val="38"/>
              <w:spacing w:line="360" w:lineRule="exact"/>
              <w:ind w:firstLine="435"/>
              <w:jc w:val="center"/>
              <w:rPr>
                <w:rFonts w:hint="eastAsia" w:ascii="Times New Roman" w:hAnsi="Times New Roman"/>
                <w:color w:val="auto"/>
                <w:szCs w:val="21"/>
              </w:rPr>
            </w:pPr>
          </w:p>
          <w:p w14:paraId="7AA26CDF">
            <w:pPr>
              <w:pStyle w:val="38"/>
              <w:spacing w:line="360" w:lineRule="exact"/>
              <w:ind w:firstLine="435"/>
              <w:jc w:val="center"/>
              <w:rPr>
                <w:rFonts w:hint="eastAsia" w:ascii="Times New Roman" w:hAnsi="Times New Roman"/>
                <w:color w:val="auto"/>
                <w:szCs w:val="21"/>
                <w:u w:val="single"/>
              </w:rPr>
            </w:pPr>
          </w:p>
          <w:p w14:paraId="04F99356">
            <w:pPr>
              <w:pStyle w:val="38"/>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承包人代表签字：</w:t>
            </w:r>
          </w:p>
          <w:p w14:paraId="6E8A5E49">
            <w:pPr>
              <w:pStyle w:val="38"/>
              <w:spacing w:line="360" w:lineRule="exact"/>
              <w:ind w:firstLine="435"/>
              <w:jc w:val="center"/>
              <w:rPr>
                <w:rFonts w:hint="eastAsia" w:ascii="Times New Roman" w:hAnsi="Times New Roman"/>
                <w:color w:val="auto"/>
                <w:szCs w:val="21"/>
              </w:rPr>
            </w:pPr>
          </w:p>
          <w:p w14:paraId="03E3CD59">
            <w:pPr>
              <w:pStyle w:val="38"/>
              <w:spacing w:line="360" w:lineRule="exact"/>
              <w:ind w:firstLine="420" w:firstLineChars="200"/>
              <w:jc w:val="center"/>
              <w:rPr>
                <w:rFonts w:hint="eastAsia" w:ascii="Times New Roman" w:hAnsi="Times New Roman"/>
                <w:color w:val="auto"/>
                <w:szCs w:val="21"/>
              </w:rPr>
            </w:pPr>
            <w:r>
              <w:rPr>
                <w:rFonts w:hint="eastAsia" w:ascii="Times New Roman" w:hAnsi="Times New Roman"/>
                <w:color w:val="auto"/>
                <w:szCs w:val="21"/>
              </w:rPr>
              <w:t>承包人（盖公章）</w:t>
            </w:r>
          </w:p>
          <w:p w14:paraId="1F0B2A5E">
            <w:pPr>
              <w:pStyle w:val="38"/>
              <w:spacing w:line="360" w:lineRule="exact"/>
              <w:ind w:firstLine="435"/>
              <w:jc w:val="center"/>
              <w:rPr>
                <w:rFonts w:hint="eastAsia" w:ascii="Times New Roman" w:hAnsi="Times New Roman"/>
                <w:color w:val="auto"/>
                <w:szCs w:val="21"/>
              </w:rPr>
            </w:pPr>
          </w:p>
          <w:p w14:paraId="7F6D27D4">
            <w:pPr>
              <w:pStyle w:val="38"/>
              <w:spacing w:line="360" w:lineRule="exact"/>
              <w:ind w:firstLine="420" w:firstLineChars="200"/>
              <w:jc w:val="center"/>
              <w:rPr>
                <w:rFonts w:hint="eastAsia" w:ascii="Times New Roman" w:hAnsi="Times New Roman"/>
                <w:color w:val="auto"/>
                <w:szCs w:val="21"/>
                <w:u w:val="single"/>
              </w:rPr>
            </w:pPr>
            <w:r>
              <w:rPr>
                <w:rFonts w:ascii="Times New Roman" w:hAnsi="Times New Roman"/>
                <w:color w:val="auto"/>
                <w:szCs w:val="21"/>
              </w:rPr>
              <w:t xml:space="preserve">    </w:t>
            </w:r>
            <w:r>
              <w:rPr>
                <w:rFonts w:hint="eastAsia" w:ascii="Times New Roman" w:hAnsi="Times New Roman"/>
                <w:color w:val="auto"/>
                <w:szCs w:val="21"/>
              </w:rPr>
              <w:t xml:space="preserve">    日      期</w:t>
            </w:r>
            <w:r>
              <w:rPr>
                <w:rFonts w:hint="eastAsia" w:ascii="Times New Roman" w:hAnsi="Times New Roman"/>
                <w:color w:val="auto"/>
                <w:szCs w:val="21"/>
                <w:u w:val="single"/>
              </w:rPr>
              <w:t xml:space="preserve">        </w:t>
            </w:r>
          </w:p>
        </w:tc>
      </w:tr>
    </w:tbl>
    <w:p w14:paraId="7FDB5E0C">
      <w:pPr>
        <w:pStyle w:val="15"/>
        <w:rPr>
          <w:color w:val="auto"/>
        </w:rPr>
      </w:pPr>
    </w:p>
    <w:p w14:paraId="59875670">
      <w:pPr>
        <w:pStyle w:val="15"/>
        <w:rPr>
          <w:color w:val="auto"/>
        </w:rPr>
      </w:pPr>
    </w:p>
    <w:p w14:paraId="663A8997">
      <w:pPr>
        <w:pStyle w:val="15"/>
        <w:rPr>
          <w:color w:val="auto"/>
        </w:rPr>
      </w:pPr>
    </w:p>
    <w:p w14:paraId="56A0C701">
      <w:pPr>
        <w:pStyle w:val="15"/>
        <w:rPr>
          <w:color w:val="auto"/>
        </w:rPr>
      </w:pPr>
    </w:p>
    <w:p w14:paraId="00C289F7">
      <w:pPr>
        <w:pStyle w:val="15"/>
        <w:rPr>
          <w:color w:val="auto"/>
        </w:rPr>
      </w:pPr>
    </w:p>
    <w:p w14:paraId="670A91A4">
      <w:pPr>
        <w:pStyle w:val="15"/>
        <w:rPr>
          <w:color w:val="auto"/>
        </w:rPr>
      </w:pPr>
    </w:p>
    <w:p w14:paraId="5A226B80">
      <w:pPr>
        <w:pStyle w:val="15"/>
        <w:rPr>
          <w:color w:val="auto"/>
        </w:rPr>
      </w:pPr>
    </w:p>
    <w:p w14:paraId="17746B0E">
      <w:pPr>
        <w:pStyle w:val="15"/>
        <w:rPr>
          <w:color w:val="auto"/>
        </w:rPr>
      </w:pPr>
    </w:p>
    <w:p w14:paraId="6DAB8792">
      <w:pPr>
        <w:pStyle w:val="15"/>
        <w:rPr>
          <w:color w:val="auto"/>
        </w:rPr>
      </w:pPr>
    </w:p>
    <w:p w14:paraId="28BED418">
      <w:pPr>
        <w:pStyle w:val="15"/>
        <w:rPr>
          <w:color w:val="auto"/>
        </w:rPr>
      </w:pPr>
    </w:p>
    <w:p w14:paraId="0A5FB661">
      <w:pPr>
        <w:pStyle w:val="15"/>
        <w:rPr>
          <w:color w:val="auto"/>
        </w:rPr>
      </w:pPr>
    </w:p>
    <w:p w14:paraId="13BA1616">
      <w:pPr>
        <w:pStyle w:val="15"/>
        <w:rPr>
          <w:color w:val="auto"/>
        </w:rPr>
      </w:pPr>
    </w:p>
    <w:p w14:paraId="7E5A5D38">
      <w:pPr>
        <w:pStyle w:val="15"/>
        <w:rPr>
          <w:color w:val="auto"/>
        </w:rPr>
      </w:pPr>
    </w:p>
    <w:p w14:paraId="59C9FB8D">
      <w:pPr>
        <w:pStyle w:val="15"/>
        <w:rPr>
          <w:color w:val="auto"/>
        </w:rPr>
      </w:pPr>
    </w:p>
    <w:p w14:paraId="350C6A76">
      <w:pPr>
        <w:pStyle w:val="15"/>
        <w:rPr>
          <w:color w:val="auto"/>
        </w:rPr>
      </w:pPr>
    </w:p>
    <w:p w14:paraId="3C60D140">
      <w:pPr>
        <w:pStyle w:val="15"/>
        <w:rPr>
          <w:color w:val="auto"/>
        </w:rPr>
      </w:pPr>
    </w:p>
    <w:p w14:paraId="242AC04E">
      <w:pPr>
        <w:pStyle w:val="15"/>
        <w:rPr>
          <w:color w:val="auto"/>
        </w:rPr>
      </w:pPr>
    </w:p>
    <w:p w14:paraId="63977795">
      <w:pPr>
        <w:pStyle w:val="15"/>
        <w:rPr>
          <w:color w:val="auto"/>
        </w:rPr>
      </w:pPr>
    </w:p>
    <w:p w14:paraId="43726E9F">
      <w:pPr>
        <w:pStyle w:val="15"/>
        <w:rPr>
          <w:color w:val="auto"/>
        </w:rPr>
      </w:pPr>
    </w:p>
    <w:p w14:paraId="15F9A20F">
      <w:pPr>
        <w:pStyle w:val="15"/>
        <w:rPr>
          <w:color w:val="auto"/>
        </w:rPr>
      </w:pPr>
    </w:p>
    <w:p w14:paraId="729573CC">
      <w:pPr>
        <w:pStyle w:val="15"/>
        <w:rPr>
          <w:color w:val="auto"/>
        </w:rPr>
      </w:pPr>
    </w:p>
    <w:p w14:paraId="356C2922">
      <w:pPr>
        <w:pStyle w:val="15"/>
        <w:rPr>
          <w:color w:val="auto"/>
        </w:rPr>
      </w:pPr>
    </w:p>
    <w:p w14:paraId="470D04B8">
      <w:pPr>
        <w:pStyle w:val="15"/>
        <w:rPr>
          <w:color w:val="auto"/>
        </w:rPr>
      </w:pPr>
    </w:p>
    <w:p w14:paraId="59F295AE">
      <w:pPr>
        <w:pStyle w:val="15"/>
        <w:rPr>
          <w:color w:val="auto"/>
        </w:rPr>
      </w:pPr>
    </w:p>
    <w:p w14:paraId="42EA8D4F">
      <w:pPr>
        <w:pStyle w:val="15"/>
        <w:rPr>
          <w:color w:val="auto"/>
        </w:rPr>
      </w:pPr>
    </w:p>
    <w:p w14:paraId="59B78118">
      <w:pPr>
        <w:pStyle w:val="15"/>
        <w:rPr>
          <w:color w:val="auto"/>
        </w:rPr>
      </w:pPr>
    </w:p>
    <w:p w14:paraId="162C51F6">
      <w:pPr>
        <w:pStyle w:val="15"/>
        <w:rPr>
          <w:color w:val="auto"/>
        </w:rPr>
      </w:pPr>
    </w:p>
    <w:p w14:paraId="23D9D5C2">
      <w:pPr>
        <w:pStyle w:val="15"/>
        <w:rPr>
          <w:color w:val="auto"/>
        </w:rPr>
      </w:pPr>
    </w:p>
    <w:p w14:paraId="2A161B0F">
      <w:pPr>
        <w:pStyle w:val="15"/>
        <w:rPr>
          <w:color w:val="auto"/>
        </w:rPr>
      </w:pPr>
    </w:p>
    <w:p w14:paraId="7F1F22D8">
      <w:pPr>
        <w:pStyle w:val="15"/>
        <w:rPr>
          <w:color w:val="auto"/>
        </w:rPr>
      </w:pPr>
    </w:p>
    <w:p w14:paraId="2B4CB7EA">
      <w:pPr>
        <w:pStyle w:val="15"/>
        <w:rPr>
          <w:color w:val="auto"/>
        </w:rPr>
      </w:pPr>
    </w:p>
    <w:p w14:paraId="7C41375E">
      <w:pPr>
        <w:pStyle w:val="15"/>
        <w:rPr>
          <w:color w:val="auto"/>
        </w:rPr>
      </w:pPr>
    </w:p>
    <w:p w14:paraId="50F9B31A">
      <w:pPr>
        <w:pStyle w:val="38"/>
        <w:spacing w:line="360" w:lineRule="auto"/>
        <w:ind w:firstLine="600" w:firstLineChars="200"/>
        <w:jc w:val="left"/>
        <w:rPr>
          <w:rFonts w:hint="eastAsia" w:ascii="Times New Roman" w:hAnsi="Times New Roman"/>
          <w:color w:val="auto"/>
          <w:sz w:val="30"/>
          <w:szCs w:val="30"/>
        </w:rPr>
      </w:pPr>
      <w:r>
        <w:rPr>
          <w:rFonts w:hint="eastAsia" w:ascii="Times New Roman" w:hAnsi="Times New Roman"/>
          <w:color w:val="auto"/>
          <w:sz w:val="30"/>
          <w:szCs w:val="30"/>
        </w:rPr>
        <w:t>附件1</w:t>
      </w:r>
      <w:r>
        <w:rPr>
          <w:rFonts w:hint="eastAsia" w:ascii="Times New Roman" w:hAnsi="Times New Roman"/>
          <w:color w:val="auto"/>
          <w:sz w:val="30"/>
          <w:szCs w:val="30"/>
          <w:lang w:val="en-US" w:eastAsia="zh-CN"/>
        </w:rPr>
        <w:t>5</w:t>
      </w:r>
      <w:r>
        <w:rPr>
          <w:rFonts w:hint="eastAsia" w:ascii="Times New Roman" w:hAnsi="Times New Roman"/>
          <w:color w:val="auto"/>
          <w:sz w:val="30"/>
          <w:szCs w:val="30"/>
        </w:rPr>
        <w:t>：</w:t>
      </w:r>
    </w:p>
    <w:p w14:paraId="420153AA">
      <w:pPr>
        <w:ind w:firstLine="880" w:firstLineChars="200"/>
        <w:jc w:val="center"/>
        <w:rPr>
          <w:rFonts w:hint="eastAsia" w:ascii="宋体" w:hAnsi="宋体" w:eastAsia="宋体" w:cs="宋体"/>
          <w:color w:val="auto"/>
          <w:sz w:val="44"/>
          <w:szCs w:val="44"/>
          <w:u w:val="none"/>
          <w:lang w:val="en-US" w:eastAsia="zh-CN"/>
        </w:rPr>
      </w:pPr>
      <w:r>
        <w:rPr>
          <w:rFonts w:hint="eastAsia" w:ascii="宋体" w:hAnsi="宋体" w:cs="宋体"/>
          <w:color w:val="auto"/>
          <w:sz w:val="44"/>
          <w:szCs w:val="44"/>
          <w:u w:val="none"/>
          <w:lang w:val="en-US" w:eastAsia="zh-CN"/>
        </w:rPr>
        <w:t>欠薪</w:t>
      </w:r>
      <w:r>
        <w:rPr>
          <w:rFonts w:hint="eastAsia" w:ascii="宋体" w:hAnsi="宋体" w:eastAsia="宋体" w:cs="宋体"/>
          <w:color w:val="auto"/>
          <w:sz w:val="44"/>
          <w:szCs w:val="44"/>
          <w:u w:val="none"/>
          <w:lang w:val="en-US" w:eastAsia="zh-CN"/>
        </w:rPr>
        <w:t>催函</w:t>
      </w:r>
    </w:p>
    <w:p w14:paraId="11285422">
      <w:pPr>
        <w:rPr>
          <w:rFonts w:hint="eastAsia" w:ascii="宋体" w:hAnsi="宋体" w:eastAsia="宋体" w:cs="宋体"/>
          <w:color w:val="auto"/>
          <w:sz w:val="44"/>
          <w:szCs w:val="44"/>
          <w:u w:val="none"/>
          <w:lang w:val="en-US" w:eastAsia="zh-CN"/>
        </w:rPr>
      </w:pPr>
    </w:p>
    <w:p w14:paraId="0AE289DE">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公司：</w:t>
      </w:r>
    </w:p>
    <w:p w14:paraId="307530EB">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由贵公司承包的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项目，经发现：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人名），工种：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，做工时间：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，工资：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元，未按时支付。现要求贵公司收到此函之日起限于15日内足额支付该人工工资。否则，我方将根据与贵方签订的合同“第16.2.2承包人违约的责任第（1）条第⑨款：承包方要按时足额支付人工工资。因承包方原因拖欠人工工资的，一经发现，发包人有权将承包人纳入黑名单，十年内不得参与包括但不限于港口区教育系统的基建项目工程承包活动，并由发包人将其违约行为告知防城港市港口区住房和城乡建设局，作为承包方不良记录纳入建筑市场信用信息管理系统”之约定执行。</w:t>
      </w:r>
    </w:p>
    <w:p w14:paraId="7D1EB073">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特此函告。</w:t>
      </w:r>
    </w:p>
    <w:p w14:paraId="568EFD65">
      <w:pPr>
        <w:ind w:firstLine="640" w:firstLineChars="200"/>
        <w:rPr>
          <w:rFonts w:hint="eastAsia" w:ascii="仿宋_GB2312" w:hAnsi="仿宋_GB2312" w:eastAsia="仿宋_GB2312" w:cs="仿宋_GB2312"/>
          <w:color w:val="auto"/>
          <w:sz w:val="32"/>
          <w:szCs w:val="32"/>
          <w:u w:val="none"/>
          <w:lang w:val="en-US" w:eastAsia="zh-CN"/>
        </w:rPr>
      </w:pPr>
    </w:p>
    <w:p w14:paraId="25E03EAC">
      <w:pPr>
        <w:ind w:firstLine="640" w:firstLineChars="200"/>
        <w:rPr>
          <w:rFonts w:hint="eastAsia" w:ascii="仿宋_GB2312" w:hAnsi="仿宋_GB2312" w:eastAsia="仿宋_GB2312" w:cs="仿宋_GB2312"/>
          <w:color w:val="auto"/>
          <w:sz w:val="32"/>
          <w:szCs w:val="32"/>
          <w:u w:val="none"/>
          <w:lang w:val="en-US" w:eastAsia="zh-CN"/>
        </w:rPr>
      </w:pPr>
    </w:p>
    <w:p w14:paraId="7D5728FF">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防城港市港口区教育局</w:t>
      </w:r>
    </w:p>
    <w:p w14:paraId="08354DF4">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年   月   日</w:t>
      </w:r>
    </w:p>
    <w:p w14:paraId="119FF304">
      <w:pPr>
        <w:ind w:firstLine="640" w:firstLineChars="200"/>
        <w:rPr>
          <w:rFonts w:hint="eastAsia" w:ascii="仿宋_GB2312" w:hAnsi="仿宋_GB2312" w:eastAsia="仿宋_GB2312" w:cs="仿宋_GB2312"/>
          <w:color w:val="auto"/>
          <w:sz w:val="32"/>
          <w:szCs w:val="32"/>
          <w:u w:val="none"/>
          <w:lang w:val="en-US" w:eastAsia="zh-CN"/>
        </w:rPr>
      </w:pPr>
    </w:p>
    <w:p w14:paraId="6AEC295E">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（联系人及电话：***，0770-2810070）</w:t>
      </w:r>
    </w:p>
    <w:p w14:paraId="7175E315">
      <w:pPr>
        <w:pStyle w:val="38"/>
        <w:spacing w:line="360" w:lineRule="auto"/>
        <w:jc w:val="left"/>
        <w:rPr>
          <w:rFonts w:hint="eastAsia" w:ascii="Times New Roman" w:hAnsi="Times New Roman"/>
          <w:color w:val="auto"/>
          <w:sz w:val="30"/>
          <w:szCs w:val="30"/>
        </w:rPr>
      </w:pPr>
    </w:p>
    <w:p w14:paraId="6CA04416">
      <w:pPr>
        <w:pStyle w:val="15"/>
        <w:rPr>
          <w:color w:val="auto"/>
        </w:rPr>
      </w:pPr>
    </w:p>
    <w:p w14:paraId="775A0529">
      <w:pPr>
        <w:ind w:firstLine="420" w:firstLineChars="200"/>
        <w:rPr>
          <w:rFonts w:hint="eastAsia"/>
          <w:color w:val="auto"/>
          <w:lang w:val="en-US" w:eastAsia="zh-CN"/>
        </w:rPr>
      </w:pPr>
      <w:r>
        <w:rPr>
          <w:rFonts w:hint="eastAsia"/>
          <w:color w:val="auto"/>
          <w:lang w:val="en-US" w:eastAsia="zh-CN"/>
        </w:rPr>
        <w:t>附件16：</w:t>
      </w:r>
    </w:p>
    <w:p w14:paraId="6836A3BC">
      <w:pPr>
        <w:ind w:firstLine="420" w:firstLineChars="200"/>
        <w:rPr>
          <w:rFonts w:hint="eastAsia"/>
          <w:color w:val="auto"/>
          <w:sz w:val="44"/>
          <w:szCs w:val="44"/>
          <w:lang w:val="en-US" w:eastAsia="zh-CN"/>
        </w:rPr>
      </w:pPr>
      <w:r>
        <w:rPr>
          <w:rFonts w:hint="eastAsia"/>
          <w:color w:val="auto"/>
          <w:lang w:val="en-US" w:eastAsia="zh-CN"/>
        </w:rPr>
        <w:t xml:space="preserve">      </w:t>
      </w:r>
      <w:r>
        <w:rPr>
          <w:rFonts w:hint="eastAsia"/>
          <w:color w:val="auto"/>
          <w:sz w:val="44"/>
          <w:szCs w:val="44"/>
          <w:u w:val="single"/>
          <w:lang w:val="en-US" w:eastAsia="zh-CN"/>
        </w:rPr>
        <w:t xml:space="preserve">       </w:t>
      </w:r>
      <w:r>
        <w:rPr>
          <w:rFonts w:hint="eastAsia"/>
          <w:color w:val="auto"/>
          <w:sz w:val="44"/>
          <w:szCs w:val="44"/>
          <w:u w:val="none"/>
          <w:lang w:val="en-US" w:eastAsia="zh-CN"/>
        </w:rPr>
        <w:t>项目</w:t>
      </w:r>
      <w:r>
        <w:rPr>
          <w:rFonts w:hint="eastAsia"/>
          <w:color w:val="auto"/>
          <w:sz w:val="44"/>
          <w:szCs w:val="44"/>
          <w:lang w:val="en-US" w:eastAsia="zh-CN"/>
        </w:rPr>
        <w:t>安全文明施工费使用明细表</w:t>
      </w:r>
    </w:p>
    <w:p w14:paraId="5635D91B">
      <w:pPr>
        <w:ind w:firstLine="640" w:firstLineChars="200"/>
        <w:rPr>
          <w:rFonts w:hint="default"/>
          <w:color w:val="auto"/>
          <w:sz w:val="32"/>
          <w:szCs w:val="32"/>
          <w:lang w:val="en-US" w:eastAsia="zh-CN"/>
        </w:rPr>
      </w:pPr>
      <w:r>
        <w:rPr>
          <w:rFonts w:hint="eastAsia"/>
          <w:color w:val="auto"/>
          <w:sz w:val="32"/>
          <w:szCs w:val="32"/>
          <w:lang w:val="en-US" w:eastAsia="zh-CN"/>
        </w:rPr>
        <w:t>施工单位（盖章）：     填表人：             日期：</w:t>
      </w:r>
    </w:p>
    <w:tbl>
      <w:tblPr>
        <w:tblStyle w:val="24"/>
        <w:tblpPr w:leftFromText="180" w:rightFromText="180" w:vertAnchor="page" w:horzAnchor="page" w:tblpX="1018" w:tblpY="2793"/>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46"/>
        <w:gridCol w:w="1470"/>
        <w:gridCol w:w="1305"/>
        <w:gridCol w:w="1425"/>
        <w:gridCol w:w="1155"/>
        <w:gridCol w:w="1338"/>
      </w:tblGrid>
      <w:tr w14:paraId="3F5F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738" w:type="dxa"/>
            <w:vAlign w:val="center"/>
          </w:tcPr>
          <w:p w14:paraId="3DFAA83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序号</w:t>
            </w:r>
          </w:p>
        </w:tc>
        <w:tc>
          <w:tcPr>
            <w:tcW w:w="2746" w:type="dxa"/>
            <w:vAlign w:val="center"/>
          </w:tcPr>
          <w:p w14:paraId="44E5C862">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内容</w:t>
            </w:r>
          </w:p>
        </w:tc>
        <w:tc>
          <w:tcPr>
            <w:tcW w:w="1470" w:type="dxa"/>
            <w:vAlign w:val="center"/>
          </w:tcPr>
          <w:p w14:paraId="77019DD4">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规格</w:t>
            </w:r>
          </w:p>
        </w:tc>
        <w:tc>
          <w:tcPr>
            <w:tcW w:w="1305" w:type="dxa"/>
            <w:vAlign w:val="center"/>
          </w:tcPr>
          <w:p w14:paraId="35FF38AF">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材质</w:t>
            </w:r>
          </w:p>
        </w:tc>
        <w:tc>
          <w:tcPr>
            <w:tcW w:w="1425" w:type="dxa"/>
            <w:vAlign w:val="center"/>
          </w:tcPr>
          <w:p w14:paraId="55A0518E">
            <w:pPr>
              <w:jc w:val="center"/>
              <w:rPr>
                <w:rFonts w:hint="default"/>
                <w:color w:val="auto"/>
                <w:sz w:val="32"/>
                <w:szCs w:val="32"/>
                <w:vertAlign w:val="baseline"/>
                <w:lang w:val="en-US" w:eastAsia="zh-CN"/>
              </w:rPr>
            </w:pPr>
            <w:r>
              <w:rPr>
                <w:rFonts w:hint="eastAsia"/>
                <w:color w:val="auto"/>
                <w:sz w:val="32"/>
                <w:szCs w:val="32"/>
                <w:vertAlign w:val="baseline"/>
                <w:lang w:val="en-US" w:eastAsia="zh-CN"/>
              </w:rPr>
              <w:t>数量</w:t>
            </w:r>
          </w:p>
        </w:tc>
        <w:tc>
          <w:tcPr>
            <w:tcW w:w="1155" w:type="dxa"/>
            <w:vAlign w:val="center"/>
          </w:tcPr>
          <w:p w14:paraId="75FF5197">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费用（元）</w:t>
            </w:r>
          </w:p>
        </w:tc>
        <w:tc>
          <w:tcPr>
            <w:tcW w:w="1338" w:type="dxa"/>
            <w:vAlign w:val="center"/>
          </w:tcPr>
          <w:p w14:paraId="07C964AB">
            <w:pPr>
              <w:jc w:val="center"/>
              <w:rPr>
                <w:rFonts w:hint="eastAsia" w:eastAsiaTheme="minorEastAsia"/>
                <w:color w:val="auto"/>
                <w:sz w:val="32"/>
                <w:szCs w:val="32"/>
                <w:vertAlign w:val="baseline"/>
                <w:lang w:val="en-US" w:eastAsia="zh-CN"/>
              </w:rPr>
            </w:pPr>
            <w:r>
              <w:rPr>
                <w:rFonts w:hint="eastAsia"/>
                <w:color w:val="auto"/>
                <w:sz w:val="32"/>
                <w:szCs w:val="32"/>
                <w:vertAlign w:val="baseline"/>
                <w:lang w:val="en-US" w:eastAsia="zh-CN"/>
              </w:rPr>
              <w:t>备注</w:t>
            </w:r>
          </w:p>
        </w:tc>
      </w:tr>
      <w:tr w14:paraId="4C75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38" w:type="dxa"/>
            <w:vAlign w:val="center"/>
          </w:tcPr>
          <w:p w14:paraId="5FA1499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746" w:type="dxa"/>
            <w:vAlign w:val="center"/>
          </w:tcPr>
          <w:p w14:paraId="37799167">
            <w:pPr>
              <w:jc w:val="center"/>
              <w:rPr>
                <w:color w:val="auto"/>
                <w:vertAlign w:val="baseline"/>
              </w:rPr>
            </w:pPr>
          </w:p>
        </w:tc>
        <w:tc>
          <w:tcPr>
            <w:tcW w:w="1470" w:type="dxa"/>
            <w:vAlign w:val="center"/>
          </w:tcPr>
          <w:p w14:paraId="0BBEC77C">
            <w:pPr>
              <w:jc w:val="center"/>
              <w:rPr>
                <w:color w:val="auto"/>
                <w:vertAlign w:val="baseline"/>
              </w:rPr>
            </w:pPr>
          </w:p>
        </w:tc>
        <w:tc>
          <w:tcPr>
            <w:tcW w:w="1305" w:type="dxa"/>
            <w:vAlign w:val="center"/>
          </w:tcPr>
          <w:p w14:paraId="01A277EF">
            <w:pPr>
              <w:jc w:val="center"/>
              <w:rPr>
                <w:color w:val="auto"/>
                <w:vertAlign w:val="baseline"/>
              </w:rPr>
            </w:pPr>
          </w:p>
        </w:tc>
        <w:tc>
          <w:tcPr>
            <w:tcW w:w="1425" w:type="dxa"/>
            <w:vAlign w:val="center"/>
          </w:tcPr>
          <w:p w14:paraId="4D827F18">
            <w:pPr>
              <w:jc w:val="center"/>
              <w:rPr>
                <w:color w:val="auto"/>
                <w:vertAlign w:val="baseline"/>
              </w:rPr>
            </w:pPr>
          </w:p>
        </w:tc>
        <w:tc>
          <w:tcPr>
            <w:tcW w:w="1155" w:type="dxa"/>
            <w:vAlign w:val="center"/>
          </w:tcPr>
          <w:p w14:paraId="318B41B6">
            <w:pPr>
              <w:jc w:val="center"/>
              <w:rPr>
                <w:color w:val="auto"/>
                <w:vertAlign w:val="baseline"/>
              </w:rPr>
            </w:pPr>
          </w:p>
        </w:tc>
        <w:tc>
          <w:tcPr>
            <w:tcW w:w="1338" w:type="dxa"/>
            <w:vAlign w:val="center"/>
          </w:tcPr>
          <w:p w14:paraId="102092D1">
            <w:pPr>
              <w:jc w:val="center"/>
              <w:rPr>
                <w:color w:val="auto"/>
                <w:vertAlign w:val="baseline"/>
              </w:rPr>
            </w:pPr>
          </w:p>
        </w:tc>
      </w:tr>
      <w:tr w14:paraId="797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738" w:type="dxa"/>
            <w:vAlign w:val="center"/>
          </w:tcPr>
          <w:p w14:paraId="2964A3F1">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746" w:type="dxa"/>
            <w:vAlign w:val="center"/>
          </w:tcPr>
          <w:p w14:paraId="07C46CD6">
            <w:pPr>
              <w:jc w:val="center"/>
              <w:rPr>
                <w:color w:val="auto"/>
                <w:vertAlign w:val="baseline"/>
              </w:rPr>
            </w:pPr>
          </w:p>
        </w:tc>
        <w:tc>
          <w:tcPr>
            <w:tcW w:w="1470" w:type="dxa"/>
            <w:vAlign w:val="center"/>
          </w:tcPr>
          <w:p w14:paraId="7FEB2F0E">
            <w:pPr>
              <w:jc w:val="center"/>
              <w:rPr>
                <w:color w:val="auto"/>
                <w:vertAlign w:val="baseline"/>
              </w:rPr>
            </w:pPr>
          </w:p>
        </w:tc>
        <w:tc>
          <w:tcPr>
            <w:tcW w:w="1305" w:type="dxa"/>
            <w:vAlign w:val="center"/>
          </w:tcPr>
          <w:p w14:paraId="5E382481">
            <w:pPr>
              <w:jc w:val="center"/>
              <w:rPr>
                <w:color w:val="auto"/>
                <w:vertAlign w:val="baseline"/>
              </w:rPr>
            </w:pPr>
          </w:p>
        </w:tc>
        <w:tc>
          <w:tcPr>
            <w:tcW w:w="1425" w:type="dxa"/>
            <w:vAlign w:val="center"/>
          </w:tcPr>
          <w:p w14:paraId="59F69ACB">
            <w:pPr>
              <w:jc w:val="center"/>
              <w:rPr>
                <w:color w:val="auto"/>
                <w:vertAlign w:val="baseline"/>
              </w:rPr>
            </w:pPr>
          </w:p>
        </w:tc>
        <w:tc>
          <w:tcPr>
            <w:tcW w:w="1155" w:type="dxa"/>
            <w:vAlign w:val="center"/>
          </w:tcPr>
          <w:p w14:paraId="77809523">
            <w:pPr>
              <w:jc w:val="center"/>
              <w:rPr>
                <w:color w:val="auto"/>
                <w:vertAlign w:val="baseline"/>
              </w:rPr>
            </w:pPr>
          </w:p>
        </w:tc>
        <w:tc>
          <w:tcPr>
            <w:tcW w:w="1338" w:type="dxa"/>
            <w:vAlign w:val="center"/>
          </w:tcPr>
          <w:p w14:paraId="4BB2F758">
            <w:pPr>
              <w:jc w:val="center"/>
              <w:rPr>
                <w:color w:val="auto"/>
                <w:vertAlign w:val="baseline"/>
              </w:rPr>
            </w:pPr>
          </w:p>
        </w:tc>
      </w:tr>
      <w:tr w14:paraId="643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738" w:type="dxa"/>
            <w:vAlign w:val="center"/>
          </w:tcPr>
          <w:p w14:paraId="70DC5DCD">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746" w:type="dxa"/>
            <w:vAlign w:val="center"/>
          </w:tcPr>
          <w:p w14:paraId="57FCD937">
            <w:pPr>
              <w:jc w:val="center"/>
              <w:rPr>
                <w:color w:val="auto"/>
                <w:vertAlign w:val="baseline"/>
              </w:rPr>
            </w:pPr>
          </w:p>
        </w:tc>
        <w:tc>
          <w:tcPr>
            <w:tcW w:w="1470" w:type="dxa"/>
            <w:vAlign w:val="center"/>
          </w:tcPr>
          <w:p w14:paraId="5A88598B">
            <w:pPr>
              <w:jc w:val="center"/>
              <w:rPr>
                <w:color w:val="auto"/>
                <w:vertAlign w:val="baseline"/>
              </w:rPr>
            </w:pPr>
          </w:p>
        </w:tc>
        <w:tc>
          <w:tcPr>
            <w:tcW w:w="1305" w:type="dxa"/>
            <w:vAlign w:val="center"/>
          </w:tcPr>
          <w:p w14:paraId="27EB3856">
            <w:pPr>
              <w:jc w:val="center"/>
              <w:rPr>
                <w:color w:val="auto"/>
                <w:vertAlign w:val="baseline"/>
              </w:rPr>
            </w:pPr>
          </w:p>
        </w:tc>
        <w:tc>
          <w:tcPr>
            <w:tcW w:w="1425" w:type="dxa"/>
            <w:vAlign w:val="center"/>
          </w:tcPr>
          <w:p w14:paraId="7124ACB6">
            <w:pPr>
              <w:jc w:val="center"/>
              <w:rPr>
                <w:color w:val="auto"/>
                <w:vertAlign w:val="baseline"/>
              </w:rPr>
            </w:pPr>
          </w:p>
        </w:tc>
        <w:tc>
          <w:tcPr>
            <w:tcW w:w="1155" w:type="dxa"/>
            <w:vAlign w:val="center"/>
          </w:tcPr>
          <w:p w14:paraId="26CAA004">
            <w:pPr>
              <w:jc w:val="center"/>
              <w:rPr>
                <w:color w:val="auto"/>
                <w:vertAlign w:val="baseline"/>
              </w:rPr>
            </w:pPr>
          </w:p>
        </w:tc>
        <w:tc>
          <w:tcPr>
            <w:tcW w:w="1338" w:type="dxa"/>
            <w:vAlign w:val="center"/>
          </w:tcPr>
          <w:p w14:paraId="7AB7E9E5">
            <w:pPr>
              <w:jc w:val="center"/>
              <w:rPr>
                <w:color w:val="auto"/>
                <w:vertAlign w:val="baseline"/>
              </w:rPr>
            </w:pPr>
          </w:p>
        </w:tc>
      </w:tr>
      <w:tr w14:paraId="017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738" w:type="dxa"/>
            <w:vAlign w:val="center"/>
          </w:tcPr>
          <w:p w14:paraId="2B83ACEE">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746" w:type="dxa"/>
            <w:vAlign w:val="center"/>
          </w:tcPr>
          <w:p w14:paraId="376EAF5C">
            <w:pPr>
              <w:jc w:val="center"/>
              <w:rPr>
                <w:color w:val="auto"/>
                <w:vertAlign w:val="baseline"/>
              </w:rPr>
            </w:pPr>
          </w:p>
        </w:tc>
        <w:tc>
          <w:tcPr>
            <w:tcW w:w="1470" w:type="dxa"/>
            <w:vAlign w:val="center"/>
          </w:tcPr>
          <w:p w14:paraId="3B16685B">
            <w:pPr>
              <w:jc w:val="center"/>
              <w:rPr>
                <w:color w:val="auto"/>
                <w:vertAlign w:val="baseline"/>
              </w:rPr>
            </w:pPr>
          </w:p>
        </w:tc>
        <w:tc>
          <w:tcPr>
            <w:tcW w:w="1305" w:type="dxa"/>
            <w:vAlign w:val="center"/>
          </w:tcPr>
          <w:p w14:paraId="5684DEC3">
            <w:pPr>
              <w:jc w:val="center"/>
              <w:rPr>
                <w:color w:val="auto"/>
                <w:vertAlign w:val="baseline"/>
              </w:rPr>
            </w:pPr>
          </w:p>
        </w:tc>
        <w:tc>
          <w:tcPr>
            <w:tcW w:w="1425" w:type="dxa"/>
            <w:vAlign w:val="center"/>
          </w:tcPr>
          <w:p w14:paraId="54D03430">
            <w:pPr>
              <w:jc w:val="center"/>
              <w:rPr>
                <w:color w:val="auto"/>
                <w:vertAlign w:val="baseline"/>
              </w:rPr>
            </w:pPr>
          </w:p>
        </w:tc>
        <w:tc>
          <w:tcPr>
            <w:tcW w:w="1155" w:type="dxa"/>
            <w:vAlign w:val="center"/>
          </w:tcPr>
          <w:p w14:paraId="109B09BA">
            <w:pPr>
              <w:jc w:val="center"/>
              <w:rPr>
                <w:color w:val="auto"/>
                <w:vertAlign w:val="baseline"/>
              </w:rPr>
            </w:pPr>
          </w:p>
        </w:tc>
        <w:tc>
          <w:tcPr>
            <w:tcW w:w="1338" w:type="dxa"/>
            <w:vAlign w:val="center"/>
          </w:tcPr>
          <w:p w14:paraId="4CB06664">
            <w:pPr>
              <w:jc w:val="center"/>
              <w:rPr>
                <w:color w:val="auto"/>
                <w:vertAlign w:val="baseline"/>
              </w:rPr>
            </w:pPr>
          </w:p>
        </w:tc>
      </w:tr>
      <w:tr w14:paraId="51C3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8" w:type="dxa"/>
            <w:vAlign w:val="center"/>
          </w:tcPr>
          <w:p w14:paraId="0FD8503E">
            <w:pPr>
              <w:jc w:val="center"/>
              <w:rPr>
                <w:rFonts w:hint="eastAsia" w:eastAsiaTheme="minorEastAsia"/>
                <w:color w:val="auto"/>
                <w:vertAlign w:val="baseline"/>
                <w:lang w:val="en-US" w:eastAsia="zh-CN"/>
              </w:rPr>
            </w:pPr>
            <w:r>
              <w:rPr>
                <w:rFonts w:hint="eastAsia"/>
                <w:color w:val="auto"/>
                <w:vertAlign w:val="baseline"/>
                <w:lang w:val="en-US" w:eastAsia="zh-CN"/>
              </w:rPr>
              <w:t>5</w:t>
            </w:r>
          </w:p>
        </w:tc>
        <w:tc>
          <w:tcPr>
            <w:tcW w:w="2746" w:type="dxa"/>
            <w:vAlign w:val="center"/>
          </w:tcPr>
          <w:p w14:paraId="1D45F658">
            <w:pPr>
              <w:jc w:val="center"/>
              <w:rPr>
                <w:color w:val="auto"/>
                <w:vertAlign w:val="baseline"/>
              </w:rPr>
            </w:pPr>
          </w:p>
        </w:tc>
        <w:tc>
          <w:tcPr>
            <w:tcW w:w="1470" w:type="dxa"/>
            <w:vAlign w:val="center"/>
          </w:tcPr>
          <w:p w14:paraId="168FFBAB">
            <w:pPr>
              <w:jc w:val="center"/>
              <w:rPr>
                <w:color w:val="auto"/>
                <w:vertAlign w:val="baseline"/>
              </w:rPr>
            </w:pPr>
          </w:p>
        </w:tc>
        <w:tc>
          <w:tcPr>
            <w:tcW w:w="1305" w:type="dxa"/>
            <w:vAlign w:val="center"/>
          </w:tcPr>
          <w:p w14:paraId="74C2C433">
            <w:pPr>
              <w:jc w:val="center"/>
              <w:rPr>
                <w:color w:val="auto"/>
                <w:vertAlign w:val="baseline"/>
              </w:rPr>
            </w:pPr>
          </w:p>
        </w:tc>
        <w:tc>
          <w:tcPr>
            <w:tcW w:w="1425" w:type="dxa"/>
            <w:vAlign w:val="center"/>
          </w:tcPr>
          <w:p w14:paraId="58F6CAA1">
            <w:pPr>
              <w:jc w:val="center"/>
              <w:rPr>
                <w:color w:val="auto"/>
                <w:vertAlign w:val="baseline"/>
              </w:rPr>
            </w:pPr>
          </w:p>
        </w:tc>
        <w:tc>
          <w:tcPr>
            <w:tcW w:w="1155" w:type="dxa"/>
            <w:vAlign w:val="center"/>
          </w:tcPr>
          <w:p w14:paraId="18697706">
            <w:pPr>
              <w:jc w:val="center"/>
              <w:rPr>
                <w:color w:val="auto"/>
                <w:vertAlign w:val="baseline"/>
              </w:rPr>
            </w:pPr>
          </w:p>
        </w:tc>
        <w:tc>
          <w:tcPr>
            <w:tcW w:w="1338" w:type="dxa"/>
            <w:vAlign w:val="center"/>
          </w:tcPr>
          <w:p w14:paraId="58961130">
            <w:pPr>
              <w:jc w:val="center"/>
              <w:rPr>
                <w:color w:val="auto"/>
                <w:vertAlign w:val="baseline"/>
              </w:rPr>
            </w:pPr>
          </w:p>
        </w:tc>
      </w:tr>
    </w:tbl>
    <w:p w14:paraId="7BBCB3F1">
      <w:pPr>
        <w:rPr>
          <w:rFonts w:hint="eastAsia"/>
          <w:color w:val="auto"/>
          <w:lang w:val="en-US" w:eastAsia="zh-CN"/>
        </w:rPr>
      </w:pPr>
    </w:p>
    <w:p w14:paraId="0994AE3D">
      <w:pPr>
        <w:ind w:firstLine="420" w:firstLineChars="200"/>
        <w:rPr>
          <w:rFonts w:hint="default"/>
          <w:color w:val="auto"/>
          <w:lang w:val="en-US" w:eastAsia="zh-CN"/>
        </w:rPr>
      </w:pPr>
      <w:r>
        <w:rPr>
          <w:rFonts w:hint="eastAsia"/>
          <w:color w:val="auto"/>
          <w:lang w:val="en-US" w:eastAsia="zh-CN"/>
        </w:rPr>
        <w:t>注：1.此表作为施工方结算安全文明施工费的依据，不提供的该费用不予结算。2.在申请工程款时一并提交，并附上现场图片。3.监理单位负有审核责任，因监理不到位按合同相关条款约定追究责任。4.</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p w14:paraId="72E5373D">
      <w:pPr>
        <w:rPr>
          <w:color w:val="auto"/>
        </w:rPr>
      </w:pPr>
    </w:p>
    <w:p w14:paraId="49C0B7FC">
      <w:pPr>
        <w:rPr>
          <w:color w:val="auto"/>
        </w:rPr>
      </w:pPr>
    </w:p>
    <w:p w14:paraId="6E837D16">
      <w:pPr>
        <w:rPr>
          <w:color w:val="auto"/>
        </w:rPr>
      </w:pPr>
    </w:p>
    <w:p w14:paraId="2EECA971">
      <w:pPr>
        <w:rPr>
          <w:color w:val="auto"/>
        </w:rPr>
      </w:pPr>
    </w:p>
    <w:p w14:paraId="6345CF5D">
      <w:pPr>
        <w:rPr>
          <w:color w:val="auto"/>
        </w:rPr>
      </w:pPr>
    </w:p>
    <w:p w14:paraId="5BEC50B1">
      <w:pPr>
        <w:rPr>
          <w:color w:val="auto"/>
        </w:rPr>
      </w:pPr>
    </w:p>
    <w:p w14:paraId="593F34E0">
      <w:pPr>
        <w:rPr>
          <w:color w:val="auto"/>
        </w:rPr>
      </w:pPr>
    </w:p>
    <w:p w14:paraId="0489DFDE">
      <w:pPr>
        <w:rPr>
          <w:color w:val="auto"/>
        </w:rPr>
      </w:pPr>
    </w:p>
    <w:p w14:paraId="1D897796">
      <w:pPr>
        <w:rPr>
          <w:color w:val="auto"/>
        </w:rPr>
      </w:pPr>
    </w:p>
    <w:p w14:paraId="2DB6AF54">
      <w:pPr>
        <w:rPr>
          <w:color w:val="auto"/>
        </w:rPr>
      </w:pPr>
    </w:p>
    <w:p w14:paraId="5AEF6EF1">
      <w:pPr>
        <w:rPr>
          <w:color w:val="auto"/>
        </w:rPr>
      </w:pPr>
    </w:p>
    <w:p w14:paraId="63862F84">
      <w:pPr>
        <w:ind w:firstLine="420" w:firstLineChars="200"/>
        <w:rPr>
          <w:rFonts w:hint="eastAsia"/>
          <w:color w:val="auto"/>
          <w:lang w:val="en-US" w:eastAsia="zh-CN"/>
        </w:rPr>
      </w:pPr>
      <w:r>
        <w:rPr>
          <w:rFonts w:hint="eastAsia"/>
          <w:color w:val="auto"/>
          <w:lang w:val="en-US" w:eastAsia="zh-CN"/>
        </w:rPr>
        <w:br w:type="page"/>
      </w:r>
    </w:p>
    <w:p w14:paraId="02EB6723">
      <w:pPr>
        <w:ind w:firstLine="420" w:firstLineChars="200"/>
        <w:rPr>
          <w:rFonts w:hint="default" w:eastAsia="宋体"/>
          <w:color w:val="auto"/>
          <w:lang w:val="en-US" w:eastAsia="zh-CN"/>
        </w:rPr>
      </w:pPr>
      <w:r>
        <w:rPr>
          <w:rFonts w:hint="eastAsia"/>
          <w:color w:val="auto"/>
          <w:lang w:val="en-US" w:eastAsia="zh-CN"/>
        </w:rPr>
        <w:t>附件17：</w:t>
      </w:r>
    </w:p>
    <w:tbl>
      <w:tblPr>
        <w:tblStyle w:val="23"/>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705"/>
        <w:gridCol w:w="705"/>
        <w:gridCol w:w="705"/>
        <w:gridCol w:w="705"/>
        <w:gridCol w:w="705"/>
        <w:gridCol w:w="705"/>
        <w:gridCol w:w="705"/>
        <w:gridCol w:w="705"/>
        <w:gridCol w:w="705"/>
        <w:gridCol w:w="705"/>
      </w:tblGrid>
      <w:tr w14:paraId="4A1A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60" w:type="dxa"/>
            <w:gridSpan w:val="12"/>
            <w:tcBorders>
              <w:top w:val="nil"/>
              <w:left w:val="nil"/>
              <w:bottom w:val="nil"/>
              <w:right w:val="nil"/>
            </w:tcBorders>
            <w:shd w:val="clear" w:color="auto" w:fill="auto"/>
            <w:vAlign w:val="center"/>
          </w:tcPr>
          <w:p w14:paraId="23A42429">
            <w:pPr>
              <w:keepNext w:val="0"/>
              <w:keepLines w:val="0"/>
              <w:widowControl/>
              <w:suppressLineNumbers w:val="0"/>
              <w:jc w:val="center"/>
              <w:textAlignment w:val="center"/>
              <w:rPr>
                <w:rFonts w:hint="eastAsia" w:ascii="宋体" w:hAnsi="宋体" w:eastAsia="宋体" w:cs="宋体"/>
                <w:i w:val="0"/>
                <w:iCs w:val="0"/>
                <w:color w:val="auto"/>
                <w:sz w:val="36"/>
                <w:szCs w:val="36"/>
                <w:u w:val="single"/>
              </w:rPr>
            </w:pPr>
            <w:r>
              <w:rPr>
                <w:rFonts w:hint="eastAsia" w:ascii="宋体" w:hAnsi="宋体" w:eastAsia="宋体" w:cs="宋体"/>
                <w:i w:val="0"/>
                <w:iCs w:val="0"/>
                <w:color w:val="auto"/>
                <w:kern w:val="0"/>
                <w:sz w:val="36"/>
                <w:szCs w:val="36"/>
                <w:u w:val="single"/>
                <w:lang w:val="en-US" w:eastAsia="zh-CN" w:bidi="ar"/>
              </w:rPr>
              <w:t xml:space="preserve">                   </w:t>
            </w:r>
            <w:r>
              <w:rPr>
                <w:rFonts w:hint="eastAsia" w:ascii="宋体" w:hAnsi="宋体" w:eastAsia="宋体" w:cs="宋体"/>
                <w:i w:val="0"/>
                <w:iCs w:val="0"/>
                <w:color w:val="auto"/>
                <w:kern w:val="0"/>
                <w:sz w:val="36"/>
                <w:szCs w:val="36"/>
                <w:u w:val="none"/>
                <w:lang w:val="en-US" w:eastAsia="zh-CN" w:bidi="ar"/>
              </w:rPr>
              <w:t>项目原材料进场登记表</w:t>
            </w:r>
          </w:p>
        </w:tc>
      </w:tr>
      <w:tr w14:paraId="44AD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15" w:type="dxa"/>
            <w:gridSpan w:val="3"/>
            <w:tcBorders>
              <w:top w:val="nil"/>
              <w:left w:val="nil"/>
              <w:bottom w:val="nil"/>
              <w:right w:val="nil"/>
            </w:tcBorders>
            <w:shd w:val="clear" w:color="auto" w:fill="auto"/>
            <w:vAlign w:val="center"/>
          </w:tcPr>
          <w:p w14:paraId="3ACC4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p>
        </w:tc>
        <w:tc>
          <w:tcPr>
            <w:tcW w:w="705" w:type="dxa"/>
            <w:tcBorders>
              <w:top w:val="nil"/>
              <w:left w:val="nil"/>
              <w:bottom w:val="nil"/>
              <w:right w:val="nil"/>
            </w:tcBorders>
            <w:shd w:val="clear" w:color="auto" w:fill="auto"/>
            <w:vAlign w:val="center"/>
          </w:tcPr>
          <w:p w14:paraId="04D5DFEE">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144C8AC">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5D6CE65B">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682843B0">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16E31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登记人：</w:t>
            </w:r>
          </w:p>
        </w:tc>
        <w:tc>
          <w:tcPr>
            <w:tcW w:w="705" w:type="dxa"/>
            <w:tcBorders>
              <w:top w:val="nil"/>
              <w:left w:val="nil"/>
              <w:bottom w:val="nil"/>
              <w:right w:val="nil"/>
            </w:tcBorders>
            <w:shd w:val="clear" w:color="auto" w:fill="auto"/>
            <w:vAlign w:val="center"/>
          </w:tcPr>
          <w:p w14:paraId="45408AFD">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25C5C9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日期：</w:t>
            </w:r>
          </w:p>
        </w:tc>
        <w:tc>
          <w:tcPr>
            <w:tcW w:w="705" w:type="dxa"/>
            <w:tcBorders>
              <w:top w:val="nil"/>
              <w:left w:val="nil"/>
              <w:bottom w:val="nil"/>
              <w:right w:val="nil"/>
            </w:tcBorders>
            <w:shd w:val="clear" w:color="auto" w:fill="auto"/>
            <w:vAlign w:val="center"/>
          </w:tcPr>
          <w:p w14:paraId="51B78034">
            <w:pPr>
              <w:jc w:val="center"/>
              <w:rPr>
                <w:rFonts w:hint="eastAsia" w:ascii="宋体" w:hAnsi="宋体" w:eastAsia="宋体" w:cs="宋体"/>
                <w:i w:val="0"/>
                <w:iCs w:val="0"/>
                <w:color w:val="auto"/>
                <w:sz w:val="22"/>
                <w:szCs w:val="22"/>
                <w:u w:val="none"/>
              </w:rPr>
            </w:pPr>
          </w:p>
        </w:tc>
        <w:tc>
          <w:tcPr>
            <w:tcW w:w="705" w:type="dxa"/>
            <w:tcBorders>
              <w:top w:val="nil"/>
              <w:left w:val="nil"/>
              <w:bottom w:val="nil"/>
              <w:right w:val="nil"/>
            </w:tcBorders>
            <w:shd w:val="clear" w:color="auto" w:fill="auto"/>
            <w:vAlign w:val="center"/>
          </w:tcPr>
          <w:p w14:paraId="71B641F5">
            <w:pPr>
              <w:jc w:val="center"/>
              <w:rPr>
                <w:rFonts w:hint="eastAsia" w:ascii="宋体" w:hAnsi="宋体" w:eastAsia="宋体" w:cs="宋体"/>
                <w:i w:val="0"/>
                <w:iCs w:val="0"/>
                <w:color w:val="auto"/>
                <w:sz w:val="22"/>
                <w:szCs w:val="22"/>
                <w:u w:val="none"/>
              </w:rPr>
            </w:pPr>
          </w:p>
        </w:tc>
      </w:tr>
      <w:tr w14:paraId="4C5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6D7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3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D7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4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96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7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BB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A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96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E23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施工人员签字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BC9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监理人员签字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8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71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A97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9DD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36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49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24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65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7A5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A1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35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9F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0E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18D">
            <w:pPr>
              <w:jc w:val="center"/>
              <w:rPr>
                <w:rFonts w:hint="eastAsia" w:ascii="宋体" w:hAnsi="宋体" w:eastAsia="宋体" w:cs="宋体"/>
                <w:i w:val="0"/>
                <w:iCs w:val="0"/>
                <w:color w:val="auto"/>
                <w:sz w:val="22"/>
                <w:szCs w:val="22"/>
                <w:u w:val="none"/>
              </w:rPr>
            </w:pPr>
          </w:p>
        </w:tc>
      </w:tr>
      <w:tr w14:paraId="0E9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7F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1CD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92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A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D0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F4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F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0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4A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0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92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9FC">
            <w:pPr>
              <w:jc w:val="center"/>
              <w:rPr>
                <w:rFonts w:hint="eastAsia" w:ascii="宋体" w:hAnsi="宋体" w:eastAsia="宋体" w:cs="宋体"/>
                <w:i w:val="0"/>
                <w:iCs w:val="0"/>
                <w:color w:val="auto"/>
                <w:sz w:val="22"/>
                <w:szCs w:val="22"/>
                <w:u w:val="none"/>
              </w:rPr>
            </w:pPr>
          </w:p>
        </w:tc>
      </w:tr>
      <w:tr w14:paraId="11C2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D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893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9F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4A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F9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534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3FC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F5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84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458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25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0A5">
            <w:pPr>
              <w:jc w:val="center"/>
              <w:rPr>
                <w:rFonts w:hint="eastAsia" w:ascii="宋体" w:hAnsi="宋体" w:eastAsia="宋体" w:cs="宋体"/>
                <w:i w:val="0"/>
                <w:iCs w:val="0"/>
                <w:color w:val="auto"/>
                <w:sz w:val="22"/>
                <w:szCs w:val="22"/>
                <w:u w:val="none"/>
              </w:rPr>
            </w:pPr>
          </w:p>
        </w:tc>
      </w:tr>
      <w:tr w14:paraId="1691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E65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B3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2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BF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5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888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D1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BA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2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0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00E3">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75E0">
            <w:pPr>
              <w:jc w:val="center"/>
              <w:rPr>
                <w:rFonts w:hint="eastAsia" w:ascii="宋体" w:hAnsi="宋体" w:eastAsia="宋体" w:cs="宋体"/>
                <w:i w:val="0"/>
                <w:iCs w:val="0"/>
                <w:color w:val="auto"/>
                <w:sz w:val="22"/>
                <w:szCs w:val="22"/>
                <w:u w:val="none"/>
              </w:rPr>
            </w:pPr>
          </w:p>
        </w:tc>
      </w:tr>
      <w:tr w14:paraId="0E81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24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E8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792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CB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8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F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44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AF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18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87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350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C60">
            <w:pPr>
              <w:jc w:val="center"/>
              <w:rPr>
                <w:rFonts w:hint="eastAsia" w:ascii="宋体" w:hAnsi="宋体" w:eastAsia="宋体" w:cs="宋体"/>
                <w:i w:val="0"/>
                <w:iCs w:val="0"/>
                <w:color w:val="auto"/>
                <w:sz w:val="22"/>
                <w:szCs w:val="22"/>
                <w:u w:val="none"/>
              </w:rPr>
            </w:pPr>
          </w:p>
        </w:tc>
      </w:tr>
      <w:tr w14:paraId="0245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B7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6A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9C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B0E">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37C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FD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7E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D0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4B2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89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1D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255">
            <w:pPr>
              <w:jc w:val="center"/>
              <w:rPr>
                <w:rFonts w:hint="eastAsia" w:ascii="宋体" w:hAnsi="宋体" w:eastAsia="宋体" w:cs="宋体"/>
                <w:i w:val="0"/>
                <w:iCs w:val="0"/>
                <w:color w:val="auto"/>
                <w:sz w:val="22"/>
                <w:szCs w:val="22"/>
                <w:u w:val="none"/>
              </w:rPr>
            </w:pPr>
          </w:p>
        </w:tc>
      </w:tr>
      <w:tr w14:paraId="23F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24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FA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06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652">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421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CB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5F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801">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6D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C9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425">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4F39">
            <w:pPr>
              <w:jc w:val="center"/>
              <w:rPr>
                <w:rFonts w:hint="eastAsia" w:ascii="宋体" w:hAnsi="宋体" w:eastAsia="宋体" w:cs="宋体"/>
                <w:i w:val="0"/>
                <w:iCs w:val="0"/>
                <w:color w:val="auto"/>
                <w:sz w:val="22"/>
                <w:szCs w:val="22"/>
                <w:u w:val="none"/>
              </w:rPr>
            </w:pPr>
          </w:p>
        </w:tc>
      </w:tr>
      <w:tr w14:paraId="2812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E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09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55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21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F9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6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8B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296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0CE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6F2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23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AD4B">
            <w:pPr>
              <w:jc w:val="center"/>
              <w:rPr>
                <w:rFonts w:hint="eastAsia" w:ascii="宋体" w:hAnsi="宋体" w:eastAsia="宋体" w:cs="宋体"/>
                <w:i w:val="0"/>
                <w:iCs w:val="0"/>
                <w:color w:val="auto"/>
                <w:sz w:val="22"/>
                <w:szCs w:val="22"/>
                <w:u w:val="none"/>
              </w:rPr>
            </w:pPr>
          </w:p>
        </w:tc>
      </w:tr>
      <w:tr w14:paraId="7EDD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A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C7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DA4">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3B7">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E38">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4B50">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93C">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25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EF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36A">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44D">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F0B">
            <w:pPr>
              <w:jc w:val="center"/>
              <w:rPr>
                <w:rFonts w:hint="eastAsia" w:ascii="宋体" w:hAnsi="宋体" w:eastAsia="宋体" w:cs="宋体"/>
                <w:i w:val="0"/>
                <w:iCs w:val="0"/>
                <w:color w:val="auto"/>
                <w:sz w:val="22"/>
                <w:szCs w:val="22"/>
                <w:u w:val="none"/>
              </w:rPr>
            </w:pPr>
          </w:p>
        </w:tc>
      </w:tr>
      <w:tr w14:paraId="7829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460" w:type="dxa"/>
            <w:gridSpan w:val="12"/>
            <w:tcBorders>
              <w:top w:val="nil"/>
              <w:left w:val="nil"/>
              <w:bottom w:val="nil"/>
              <w:right w:val="nil"/>
            </w:tcBorders>
            <w:shd w:val="clear" w:color="auto" w:fill="auto"/>
            <w:vAlign w:val="center"/>
          </w:tcPr>
          <w:p w14:paraId="2F47F164">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注：该表作为工程款申请附件，与请款函一并提交1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施工方原材料进场要提前通知监理方、现场监督管理员。2.施工方要提供原材料相关合格证、采购单、出货单等，将以上资料发给业主审核存档。3.</w:t>
            </w:r>
            <w:r>
              <w:rPr>
                <w:rFonts w:hint="eastAsia"/>
                <w:color w:val="auto"/>
                <w:lang w:val="en-US" w:eastAsia="zh-CN"/>
              </w:rPr>
              <w:t>监理单位负有审核责任，因监理不到位按合同相关条款约定追究责任。</w:t>
            </w:r>
            <w:r>
              <w:rPr>
                <w:rFonts w:hint="eastAsia" w:ascii="宋体" w:hAnsi="宋体" w:eastAsia="宋体" w:cs="宋体"/>
                <w:i w:val="0"/>
                <w:iCs w:val="0"/>
                <w:color w:val="auto"/>
                <w:kern w:val="0"/>
                <w:sz w:val="22"/>
                <w:szCs w:val="22"/>
                <w:u w:val="none"/>
                <w:lang w:val="en-US" w:eastAsia="zh-CN" w:bidi="ar"/>
              </w:rPr>
              <w:t>4.施工单位对该表的真实性负责，因弄虚作假后果自负。</w:t>
            </w:r>
          </w:p>
        </w:tc>
      </w:tr>
    </w:tbl>
    <w:p w14:paraId="09979747">
      <w:pPr>
        <w:rPr>
          <w:color w:val="auto"/>
        </w:rPr>
      </w:pPr>
    </w:p>
    <w:p w14:paraId="4C3C8FDB">
      <w:pPr>
        <w:rPr>
          <w:color w:val="auto"/>
        </w:rPr>
      </w:pPr>
    </w:p>
    <w:p w14:paraId="3FF51C55">
      <w:pPr>
        <w:rPr>
          <w:color w:val="auto"/>
        </w:rPr>
      </w:pPr>
    </w:p>
    <w:p w14:paraId="56237627">
      <w:pPr>
        <w:rPr>
          <w:color w:val="auto"/>
        </w:rPr>
      </w:pPr>
    </w:p>
    <w:p w14:paraId="371D5365">
      <w:pPr>
        <w:rPr>
          <w:color w:val="auto"/>
        </w:rPr>
      </w:pPr>
    </w:p>
    <w:p w14:paraId="70112FBC">
      <w:pPr>
        <w:rPr>
          <w:color w:val="auto"/>
        </w:rPr>
      </w:pPr>
    </w:p>
    <w:p w14:paraId="4DD769A0">
      <w:pPr>
        <w:rPr>
          <w:color w:val="auto"/>
        </w:rPr>
      </w:pPr>
    </w:p>
    <w:p w14:paraId="26098247">
      <w:pPr>
        <w:rPr>
          <w:color w:val="auto"/>
        </w:rPr>
      </w:pPr>
    </w:p>
    <w:p w14:paraId="6F6C71CD">
      <w:pPr>
        <w:ind w:firstLine="420" w:firstLineChars="200"/>
        <w:rPr>
          <w:rFonts w:hint="default" w:eastAsia="宋体"/>
          <w:color w:val="auto"/>
          <w:sz w:val="30"/>
          <w:szCs w:val="30"/>
          <w:lang w:val="en-US" w:eastAsia="zh-CN"/>
        </w:rPr>
      </w:pPr>
      <w:r>
        <w:rPr>
          <w:rFonts w:hint="eastAsia"/>
          <w:color w:val="auto"/>
          <w:lang w:val="en-US" w:eastAsia="zh-CN"/>
        </w:rPr>
        <w:t>附件18：</w:t>
      </w:r>
    </w:p>
    <w:tbl>
      <w:tblPr>
        <w:tblStyle w:val="23"/>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380"/>
        <w:gridCol w:w="1080"/>
        <w:gridCol w:w="1080"/>
        <w:gridCol w:w="1080"/>
        <w:gridCol w:w="1080"/>
        <w:gridCol w:w="1080"/>
        <w:gridCol w:w="1245"/>
        <w:gridCol w:w="630"/>
      </w:tblGrid>
      <w:tr w14:paraId="5FF4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5" w:type="dxa"/>
            <w:gridSpan w:val="9"/>
            <w:tcBorders>
              <w:top w:val="nil"/>
              <w:left w:val="nil"/>
              <w:bottom w:val="nil"/>
              <w:right w:val="nil"/>
            </w:tcBorders>
            <w:shd w:val="clear" w:color="auto" w:fill="auto"/>
            <w:noWrap/>
            <w:vAlign w:val="center"/>
          </w:tcPr>
          <w:p w14:paraId="2C9E2397">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single"/>
                <w:lang w:val="en-US" w:eastAsia="zh-CN" w:bidi="ar"/>
              </w:rPr>
              <w:t xml:space="preserve">                    </w:t>
            </w:r>
            <w:r>
              <w:rPr>
                <w:rFonts w:hint="eastAsia" w:ascii="宋体" w:hAnsi="宋体" w:eastAsia="宋体" w:cs="宋体"/>
                <w:i w:val="0"/>
                <w:iCs w:val="0"/>
                <w:color w:val="auto"/>
                <w:kern w:val="0"/>
                <w:sz w:val="30"/>
                <w:szCs w:val="30"/>
                <w:u w:val="none"/>
                <w:lang w:val="en-US" w:eastAsia="zh-CN" w:bidi="ar"/>
              </w:rPr>
              <w:t xml:space="preserve"> 项目农民工工资发放登记表</w:t>
            </w:r>
          </w:p>
        </w:tc>
      </w:tr>
      <w:tr w14:paraId="0B2B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9"/>
            <w:tcBorders>
              <w:top w:val="nil"/>
              <w:left w:val="nil"/>
              <w:bottom w:val="nil"/>
              <w:right w:val="nil"/>
            </w:tcBorders>
            <w:shd w:val="clear" w:color="auto" w:fill="auto"/>
            <w:noWrap/>
            <w:vAlign w:val="center"/>
          </w:tcPr>
          <w:p w14:paraId="0A594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施工单位（盖章）</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 xml:space="preserve">                 填表人：               日期：</w:t>
            </w:r>
          </w:p>
        </w:tc>
      </w:tr>
      <w:tr w14:paraId="577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0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3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电话号码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做工时间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应付工钱（元）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已付工钱（元）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农民工签字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C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ABB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3FA">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7E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78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AA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B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6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E966">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9786">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D738">
            <w:pPr>
              <w:jc w:val="center"/>
              <w:rPr>
                <w:rFonts w:hint="eastAsia" w:ascii="宋体" w:hAnsi="宋体" w:eastAsia="宋体" w:cs="宋体"/>
                <w:i w:val="0"/>
                <w:iCs w:val="0"/>
                <w:color w:val="auto"/>
                <w:sz w:val="22"/>
                <w:szCs w:val="22"/>
                <w:u w:val="none"/>
              </w:rPr>
            </w:pPr>
          </w:p>
        </w:tc>
      </w:tr>
      <w:tr w14:paraId="0A8A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E6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69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A3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A4B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18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BD6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5CC">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1D2">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4C2">
            <w:pPr>
              <w:jc w:val="center"/>
              <w:rPr>
                <w:rFonts w:hint="eastAsia" w:ascii="宋体" w:hAnsi="宋体" w:eastAsia="宋体" w:cs="宋体"/>
                <w:i w:val="0"/>
                <w:iCs w:val="0"/>
                <w:color w:val="auto"/>
                <w:sz w:val="22"/>
                <w:szCs w:val="22"/>
                <w:u w:val="none"/>
              </w:rPr>
            </w:pPr>
          </w:p>
        </w:tc>
      </w:tr>
      <w:tr w14:paraId="04F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8DE">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35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4F98">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6C4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D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E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E96D">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1E3">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E05">
            <w:pPr>
              <w:jc w:val="center"/>
              <w:rPr>
                <w:rFonts w:hint="eastAsia" w:ascii="宋体" w:hAnsi="宋体" w:eastAsia="宋体" w:cs="宋体"/>
                <w:i w:val="0"/>
                <w:iCs w:val="0"/>
                <w:color w:val="auto"/>
                <w:sz w:val="22"/>
                <w:szCs w:val="22"/>
                <w:u w:val="none"/>
              </w:rPr>
            </w:pPr>
          </w:p>
        </w:tc>
      </w:tr>
      <w:tr w14:paraId="3D1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DB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4D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4B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677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0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690">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84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FD4">
            <w:pPr>
              <w:jc w:val="center"/>
              <w:rPr>
                <w:rFonts w:hint="eastAsia" w:ascii="宋体" w:hAnsi="宋体" w:eastAsia="宋体" w:cs="宋体"/>
                <w:i w:val="0"/>
                <w:iCs w:val="0"/>
                <w:color w:val="auto"/>
                <w:sz w:val="22"/>
                <w:szCs w:val="22"/>
                <w:u w:val="none"/>
              </w:rPr>
            </w:pPr>
          </w:p>
        </w:tc>
      </w:tr>
      <w:tr w14:paraId="3EA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8860">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12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48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65E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69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5A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D07">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A5B">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AB65">
            <w:pPr>
              <w:jc w:val="center"/>
              <w:rPr>
                <w:rFonts w:hint="eastAsia" w:ascii="宋体" w:hAnsi="宋体" w:eastAsia="宋体" w:cs="宋体"/>
                <w:i w:val="0"/>
                <w:iCs w:val="0"/>
                <w:color w:val="auto"/>
                <w:sz w:val="22"/>
                <w:szCs w:val="22"/>
                <w:u w:val="none"/>
              </w:rPr>
            </w:pPr>
          </w:p>
        </w:tc>
      </w:tr>
      <w:tr w14:paraId="3DE1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538F">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62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A5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0D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14A">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EC12">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15C1">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117">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3B2">
            <w:pPr>
              <w:jc w:val="center"/>
              <w:rPr>
                <w:rFonts w:hint="eastAsia" w:ascii="宋体" w:hAnsi="宋体" w:eastAsia="宋体" w:cs="宋体"/>
                <w:i w:val="0"/>
                <w:iCs w:val="0"/>
                <w:color w:val="auto"/>
                <w:sz w:val="22"/>
                <w:szCs w:val="22"/>
                <w:u w:val="none"/>
              </w:rPr>
            </w:pPr>
          </w:p>
        </w:tc>
      </w:tr>
      <w:tr w14:paraId="262D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458">
            <w:pPr>
              <w:jc w:val="center"/>
              <w:rPr>
                <w:rFonts w:hint="eastAsia" w:ascii="宋体" w:hAnsi="宋体" w:eastAsia="宋体" w:cs="宋体"/>
                <w:i w:val="0"/>
                <w:iCs w:val="0"/>
                <w:color w:val="auto"/>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D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66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21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4CC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8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42A">
            <w:pPr>
              <w:jc w:val="center"/>
              <w:rPr>
                <w:rFonts w:hint="eastAsia" w:ascii="宋体" w:hAnsi="宋体" w:eastAsia="宋体" w:cs="宋体"/>
                <w:i w:val="0"/>
                <w:iCs w:val="0"/>
                <w:color w:val="auto"/>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4F95">
            <w:pPr>
              <w:jc w:val="center"/>
              <w:rPr>
                <w:rFonts w:hint="eastAsia" w:ascii="宋体" w:hAnsi="宋体" w:eastAsia="宋体" w:cs="宋体"/>
                <w:i w:val="0"/>
                <w:iCs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5659">
            <w:pPr>
              <w:jc w:val="center"/>
              <w:rPr>
                <w:rFonts w:hint="eastAsia" w:ascii="宋体" w:hAnsi="宋体" w:eastAsia="宋体" w:cs="宋体"/>
                <w:i w:val="0"/>
                <w:iCs w:val="0"/>
                <w:color w:val="auto"/>
                <w:sz w:val="22"/>
                <w:szCs w:val="22"/>
                <w:u w:val="none"/>
              </w:rPr>
            </w:pPr>
          </w:p>
        </w:tc>
      </w:tr>
      <w:tr w14:paraId="357D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285" w:type="dxa"/>
            <w:gridSpan w:val="9"/>
            <w:tcBorders>
              <w:top w:val="nil"/>
              <w:left w:val="nil"/>
              <w:bottom w:val="nil"/>
              <w:right w:val="nil"/>
            </w:tcBorders>
            <w:shd w:val="clear" w:color="auto" w:fill="auto"/>
            <w:vAlign w:val="center"/>
          </w:tcPr>
          <w:p w14:paraId="0B12BA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注：1.该表与请款函一并提交。2.请款函要分列材料费和人工费，所列人工费要足额按时发放。3.工资发放凭证一并提交。4.</w:t>
            </w:r>
            <w:r>
              <w:rPr>
                <w:rFonts w:hint="eastAsia"/>
                <w:color w:val="auto"/>
                <w:lang w:val="en-US" w:eastAsia="zh-CN"/>
              </w:rPr>
              <w:t>监理单位负有审核责任，因监理不到位按合同相关条款约定追究责任。5.</w:t>
            </w:r>
            <w:r>
              <w:rPr>
                <w:rFonts w:hint="eastAsia" w:ascii="宋体" w:hAnsi="宋体" w:eastAsia="宋体" w:cs="宋体"/>
                <w:i w:val="0"/>
                <w:iCs w:val="0"/>
                <w:color w:val="auto"/>
                <w:kern w:val="0"/>
                <w:sz w:val="22"/>
                <w:szCs w:val="22"/>
                <w:u w:val="none"/>
                <w:lang w:val="en-US" w:eastAsia="zh-CN" w:bidi="ar"/>
              </w:rPr>
              <w:t>施工单位对该表的真实性负责，因弄虚作假后果自负。</w:t>
            </w:r>
          </w:p>
        </w:tc>
      </w:tr>
    </w:tbl>
    <w:p w14:paraId="6C6BC2B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263B2B5B">
      <w:pPr>
        <w:shd w:val="clear" w:color="auto" w:fill="FFFFFF"/>
        <w:spacing w:line="600" w:lineRule="exact"/>
        <w:ind w:firstLine="723" w:firstLineChars="200"/>
        <w:jc w:val="center"/>
        <w:outlineLvl w:val="0"/>
        <w:rPr>
          <w:rFonts w:hint="eastAsia" w:ascii="宋体" w:hAnsi="宋体" w:eastAsia="宋体" w:cs="宋体"/>
          <w:b/>
          <w:bCs/>
          <w:color w:val="auto"/>
          <w:sz w:val="36"/>
          <w:szCs w:val="36"/>
          <w:highlight w:val="none"/>
        </w:rPr>
      </w:pPr>
      <w:bookmarkStart w:id="1203" w:name="_Toc13291"/>
      <w:r>
        <w:rPr>
          <w:rFonts w:hint="eastAsia" w:ascii="宋体" w:hAnsi="宋体" w:eastAsia="宋体" w:cs="宋体"/>
          <w:b/>
          <w:bCs/>
          <w:color w:val="auto"/>
          <w:sz w:val="36"/>
          <w:szCs w:val="36"/>
          <w:highlight w:val="none"/>
        </w:rPr>
        <w:t>第五章 响应文件格式</w:t>
      </w:r>
      <w:bookmarkEnd w:id="1203"/>
    </w:p>
    <w:p w14:paraId="642C4350">
      <w:pPr>
        <w:spacing w:line="480" w:lineRule="auto"/>
        <w:ind w:left="361" w:leftChars="172" w:firstLine="960" w:firstLineChars="200"/>
        <w:jc w:val="center"/>
        <w:rPr>
          <w:rFonts w:hint="eastAsia" w:ascii="宋体" w:hAnsi="宋体" w:eastAsia="宋体" w:cs="宋体"/>
          <w:color w:val="auto"/>
          <w:sz w:val="48"/>
          <w:szCs w:val="48"/>
          <w:highlight w:val="none"/>
        </w:rPr>
      </w:pPr>
    </w:p>
    <w:p w14:paraId="70F33330">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494D5F3C">
      <w:pPr>
        <w:snapToGrid w:val="0"/>
        <w:spacing w:before="156" w:beforeLines="50" w:after="50"/>
        <w:ind w:firstLine="420" w:firstLineChars="200"/>
        <w:jc w:val="center"/>
        <w:rPr>
          <w:rFonts w:hint="eastAsia" w:ascii="宋体" w:hAnsi="宋体"/>
          <w:bCs/>
          <w:color w:val="auto"/>
          <w:highlight w:val="none"/>
        </w:rPr>
      </w:pPr>
    </w:p>
    <w:p w14:paraId="0D8038E1">
      <w:pPr>
        <w:snapToGrid w:val="0"/>
        <w:spacing w:before="156" w:beforeLines="50" w:after="50"/>
        <w:ind w:firstLine="420" w:firstLineChars="200"/>
        <w:jc w:val="center"/>
        <w:rPr>
          <w:rFonts w:hint="eastAsia" w:ascii="宋体" w:hAnsi="宋体"/>
          <w:color w:val="auto"/>
          <w:sz w:val="24"/>
          <w:szCs w:val="20"/>
          <w:highlight w:val="none"/>
        </w:rPr>
      </w:pPr>
      <w:r>
        <w:rPr>
          <w:rFonts w:hint="eastAsia" w:ascii="宋体" w:hAnsi="宋体"/>
          <w:bCs/>
          <w:color w:val="auto"/>
          <w:highlight w:val="none"/>
        </w:rPr>
        <w:t>全流程电子文件</w:t>
      </w:r>
    </w:p>
    <w:p w14:paraId="772560DC">
      <w:pPr>
        <w:pStyle w:val="13"/>
        <w:spacing w:line="480" w:lineRule="auto"/>
        <w:ind w:firstLine="600" w:firstLineChars="200"/>
        <w:rPr>
          <w:rFonts w:hint="eastAsia" w:ascii="宋体" w:hAnsi="宋体" w:eastAsia="宋体" w:cs="宋体"/>
          <w:color w:val="auto"/>
          <w:sz w:val="30"/>
          <w:szCs w:val="30"/>
          <w:highlight w:val="none"/>
        </w:rPr>
      </w:pPr>
    </w:p>
    <w:p w14:paraId="3F9C062F">
      <w:pPr>
        <w:pStyle w:val="13"/>
        <w:spacing w:line="480" w:lineRule="auto"/>
        <w:ind w:firstLine="600" w:firstLineChars="200"/>
        <w:rPr>
          <w:rFonts w:hint="eastAsia" w:ascii="宋体" w:hAnsi="宋体" w:eastAsia="宋体" w:cs="宋体"/>
          <w:color w:val="auto"/>
          <w:sz w:val="30"/>
          <w:szCs w:val="30"/>
          <w:highlight w:val="none"/>
        </w:rPr>
      </w:pPr>
    </w:p>
    <w:p w14:paraId="60D28A3D">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52EC012">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434668A7">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6763F73">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18800AC">
      <w:pPr>
        <w:pStyle w:val="32"/>
        <w:ind w:firstLine="680" w:firstLineChars="200"/>
        <w:jc w:val="center"/>
        <w:rPr>
          <w:rFonts w:hint="eastAsia" w:ascii="宋体" w:hAnsi="宋体" w:cs="仿宋_GB2312"/>
          <w:bCs/>
          <w:color w:val="auto"/>
          <w:sz w:val="32"/>
          <w:szCs w:val="32"/>
          <w:highlight w:val="none"/>
        </w:rPr>
      </w:pPr>
    </w:p>
    <w:p w14:paraId="28D95665">
      <w:pPr>
        <w:pStyle w:val="32"/>
        <w:ind w:firstLine="680" w:firstLineChars="200"/>
        <w:jc w:val="center"/>
        <w:rPr>
          <w:rFonts w:hint="eastAsia" w:ascii="宋体" w:hAnsi="宋体" w:cs="仿宋_GB2312"/>
          <w:bCs/>
          <w:color w:val="auto"/>
          <w:sz w:val="32"/>
          <w:szCs w:val="32"/>
          <w:highlight w:val="none"/>
        </w:rPr>
      </w:pPr>
    </w:p>
    <w:p w14:paraId="47E4FE9C">
      <w:pPr>
        <w:pStyle w:val="32"/>
        <w:ind w:firstLine="680" w:firstLineChars="200"/>
        <w:jc w:val="center"/>
        <w:rPr>
          <w:rFonts w:hint="eastAsia" w:ascii="宋体" w:hAnsi="宋体" w:eastAsia="宋体" w:cs="宋体"/>
          <w:color w:val="auto"/>
          <w:szCs w:val="21"/>
          <w:highlight w:val="none"/>
          <w:lang w:val="en-US" w:eastAsia="zh-CN"/>
        </w:rPr>
      </w:pPr>
      <w:r>
        <w:rPr>
          <w:rFonts w:hint="eastAsia" w:ascii="宋体" w:hAnsi="宋体" w:cs="仿宋_GB2312"/>
          <w:bCs/>
          <w:color w:val="auto"/>
          <w:sz w:val="32"/>
          <w:szCs w:val="32"/>
          <w:highlight w:val="none"/>
        </w:rPr>
        <w:t>首次响应文件提交截止时间前不得解密</w:t>
      </w:r>
    </w:p>
    <w:p w14:paraId="026B0C90">
      <w:pPr>
        <w:spacing w:line="480" w:lineRule="auto"/>
        <w:ind w:left="361" w:leftChars="172" w:firstLine="960" w:firstLineChars="200"/>
        <w:jc w:val="center"/>
        <w:rPr>
          <w:rFonts w:hint="eastAsia" w:ascii="宋体" w:hAnsi="宋体" w:eastAsia="宋体" w:cs="宋体"/>
          <w:color w:val="auto"/>
          <w:sz w:val="48"/>
          <w:szCs w:val="48"/>
          <w:highlight w:val="none"/>
        </w:rPr>
      </w:pPr>
    </w:p>
    <w:p w14:paraId="57DE6529">
      <w:pPr>
        <w:spacing w:line="480" w:lineRule="auto"/>
        <w:ind w:left="361" w:leftChars="172" w:firstLine="960" w:firstLineChars="200"/>
        <w:jc w:val="center"/>
        <w:rPr>
          <w:rFonts w:hint="eastAsia" w:ascii="宋体" w:hAnsi="宋体" w:eastAsia="宋体" w:cs="宋体"/>
          <w:color w:val="auto"/>
          <w:sz w:val="48"/>
          <w:szCs w:val="48"/>
          <w:highlight w:val="none"/>
        </w:rPr>
      </w:pPr>
    </w:p>
    <w:p w14:paraId="420176EA">
      <w:pPr>
        <w:spacing w:line="480" w:lineRule="auto"/>
        <w:ind w:left="361" w:leftChars="172" w:firstLine="960" w:firstLineChars="200"/>
        <w:jc w:val="center"/>
        <w:rPr>
          <w:rFonts w:hint="eastAsia" w:ascii="宋体" w:hAnsi="宋体" w:eastAsia="宋体" w:cs="宋体"/>
          <w:color w:val="auto"/>
          <w:sz w:val="48"/>
          <w:szCs w:val="48"/>
          <w:highlight w:val="none"/>
        </w:rPr>
      </w:pPr>
    </w:p>
    <w:p w14:paraId="21F0AC22">
      <w:pPr>
        <w:spacing w:line="480" w:lineRule="auto"/>
        <w:ind w:left="361" w:leftChars="172" w:firstLine="960" w:firstLineChars="200"/>
        <w:jc w:val="center"/>
        <w:rPr>
          <w:rFonts w:hint="eastAsia" w:ascii="宋体" w:hAnsi="宋体" w:eastAsia="宋体" w:cs="宋体"/>
          <w:color w:val="auto"/>
          <w:sz w:val="48"/>
          <w:szCs w:val="48"/>
          <w:highlight w:val="none"/>
        </w:rPr>
      </w:pPr>
    </w:p>
    <w:p w14:paraId="4B973C01">
      <w:pPr>
        <w:spacing w:line="480" w:lineRule="auto"/>
        <w:ind w:left="361" w:leftChars="172" w:firstLine="960" w:firstLineChars="200"/>
        <w:jc w:val="center"/>
        <w:rPr>
          <w:rFonts w:hint="eastAsia" w:ascii="宋体" w:hAnsi="宋体" w:eastAsia="宋体" w:cs="宋体"/>
          <w:color w:val="auto"/>
          <w:sz w:val="48"/>
          <w:szCs w:val="48"/>
          <w:highlight w:val="none"/>
        </w:rPr>
      </w:pPr>
    </w:p>
    <w:p w14:paraId="5E9D9BB6">
      <w:pPr>
        <w:spacing w:line="480" w:lineRule="auto"/>
        <w:ind w:left="361" w:leftChars="172" w:firstLine="960" w:firstLineChars="200"/>
        <w:jc w:val="center"/>
        <w:rPr>
          <w:rFonts w:hint="eastAsia" w:ascii="宋体" w:hAnsi="宋体" w:eastAsia="宋体" w:cs="宋体"/>
          <w:color w:val="auto"/>
          <w:sz w:val="48"/>
          <w:szCs w:val="48"/>
          <w:highlight w:val="none"/>
        </w:rPr>
      </w:pPr>
    </w:p>
    <w:p w14:paraId="1D3B19D9">
      <w:pPr>
        <w:spacing w:line="480" w:lineRule="auto"/>
        <w:jc w:val="both"/>
        <w:rPr>
          <w:rFonts w:hint="eastAsia" w:ascii="宋体" w:hAnsi="宋体" w:eastAsia="宋体" w:cs="宋体"/>
          <w:color w:val="auto"/>
          <w:sz w:val="48"/>
          <w:szCs w:val="48"/>
          <w:highlight w:val="none"/>
        </w:rPr>
      </w:pPr>
    </w:p>
    <w:p w14:paraId="16D6B2C3">
      <w:pPr>
        <w:spacing w:line="480" w:lineRule="auto"/>
        <w:ind w:left="361" w:leftChars="172" w:firstLine="960" w:firstLineChars="200"/>
        <w:jc w:val="center"/>
        <w:rPr>
          <w:rFonts w:hint="eastAsia" w:ascii="宋体" w:hAnsi="宋体" w:eastAsia="宋体" w:cs="宋体"/>
          <w:color w:val="auto"/>
          <w:sz w:val="48"/>
          <w:szCs w:val="48"/>
          <w:highlight w:val="none"/>
        </w:rPr>
      </w:pPr>
    </w:p>
    <w:p w14:paraId="26634355">
      <w:pPr>
        <w:spacing w:line="480" w:lineRule="auto"/>
        <w:ind w:left="361" w:leftChars="172" w:firstLine="960" w:firstLineChars="20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14:paraId="68E8AA17">
      <w:pPr>
        <w:spacing w:line="480" w:lineRule="auto"/>
        <w:ind w:left="361" w:leftChars="172" w:firstLine="720" w:firstLineChars="200"/>
        <w:jc w:val="center"/>
        <w:rPr>
          <w:rFonts w:hint="eastAsia" w:ascii="宋体" w:hAnsi="宋体" w:eastAsia="宋体" w:cs="宋体"/>
          <w:color w:val="auto"/>
          <w:sz w:val="36"/>
          <w:szCs w:val="36"/>
          <w:highlight w:val="none"/>
          <w:lang w:val="en-US" w:eastAsia="zh-CN"/>
        </w:rPr>
      </w:pPr>
    </w:p>
    <w:p w14:paraId="0647E751">
      <w:pPr>
        <w:spacing w:line="480" w:lineRule="auto"/>
        <w:ind w:left="361" w:leftChars="172" w:firstLine="720" w:firstLineChars="20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资格审查</w:t>
      </w:r>
      <w:r>
        <w:rPr>
          <w:rFonts w:hint="eastAsia" w:ascii="宋体" w:hAnsi="宋体" w:cs="宋体"/>
          <w:color w:val="auto"/>
          <w:sz w:val="36"/>
          <w:szCs w:val="36"/>
          <w:highlight w:val="none"/>
          <w:lang w:val="en-US" w:eastAsia="zh-CN"/>
        </w:rPr>
        <w:t>文件</w:t>
      </w:r>
    </w:p>
    <w:p w14:paraId="67BE2E6C">
      <w:pPr>
        <w:pStyle w:val="13"/>
        <w:spacing w:line="480" w:lineRule="auto"/>
        <w:ind w:firstLine="600" w:firstLineChars="200"/>
        <w:rPr>
          <w:rFonts w:hint="eastAsia" w:ascii="宋体" w:hAnsi="宋体" w:eastAsia="宋体" w:cs="宋体"/>
          <w:color w:val="auto"/>
          <w:sz w:val="30"/>
          <w:szCs w:val="30"/>
          <w:highlight w:val="none"/>
        </w:rPr>
      </w:pPr>
    </w:p>
    <w:p w14:paraId="70169D45">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EEAB806">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46CF674">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21001632">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4DD9E94A">
      <w:pPr>
        <w:pStyle w:val="32"/>
        <w:ind w:firstLine="680" w:firstLineChars="200"/>
        <w:jc w:val="center"/>
        <w:rPr>
          <w:rFonts w:hint="eastAsia" w:ascii="宋体" w:hAnsi="宋体" w:cs="仿宋_GB2312"/>
          <w:bCs/>
          <w:color w:val="auto"/>
          <w:sz w:val="32"/>
          <w:szCs w:val="32"/>
          <w:highlight w:val="none"/>
        </w:rPr>
      </w:pPr>
    </w:p>
    <w:p w14:paraId="40B2D7CE">
      <w:pPr>
        <w:pStyle w:val="32"/>
        <w:ind w:firstLine="680" w:firstLineChars="200"/>
        <w:jc w:val="center"/>
        <w:rPr>
          <w:rFonts w:hint="eastAsia" w:ascii="宋体" w:hAnsi="宋体" w:eastAsia="宋体" w:cs="宋体"/>
          <w:b/>
          <w:color w:val="auto"/>
          <w:sz w:val="24"/>
          <w:szCs w:val="24"/>
          <w:highlight w:val="none"/>
        </w:rPr>
      </w:pPr>
      <w:r>
        <w:rPr>
          <w:rFonts w:hint="eastAsia" w:ascii="宋体" w:hAnsi="宋体" w:cs="仿宋_GB2312"/>
          <w:bCs/>
          <w:color w:val="auto"/>
          <w:sz w:val="32"/>
          <w:szCs w:val="32"/>
          <w:highlight w:val="none"/>
        </w:rPr>
        <w:t>首次响应文件提交截止时间前不得解密</w:t>
      </w:r>
    </w:p>
    <w:p w14:paraId="1AC1649C">
      <w:pPr>
        <w:spacing w:line="360" w:lineRule="auto"/>
        <w:ind w:firstLine="643" w:firstLineChars="200"/>
        <w:jc w:val="center"/>
        <w:rPr>
          <w:rFonts w:hint="eastAsia" w:ascii="宋体" w:hAnsi="宋体"/>
          <w:b/>
          <w:bCs w:val="0"/>
          <w:color w:val="auto"/>
          <w:sz w:val="32"/>
          <w:szCs w:val="32"/>
          <w:highlight w:val="none"/>
          <w:lang w:val="en-US" w:eastAsia="zh-CN"/>
        </w:rPr>
      </w:pPr>
    </w:p>
    <w:p w14:paraId="221E678D">
      <w:pPr>
        <w:spacing w:line="360" w:lineRule="auto"/>
        <w:ind w:firstLine="643" w:firstLineChars="200"/>
        <w:jc w:val="center"/>
        <w:rPr>
          <w:rFonts w:hint="eastAsia" w:ascii="宋体" w:hAnsi="宋体"/>
          <w:b/>
          <w:bCs w:val="0"/>
          <w:color w:val="auto"/>
          <w:sz w:val="32"/>
          <w:szCs w:val="32"/>
          <w:highlight w:val="none"/>
          <w:lang w:val="en-US" w:eastAsia="zh-CN"/>
        </w:rPr>
      </w:pPr>
    </w:p>
    <w:p w14:paraId="7E059D6F">
      <w:pPr>
        <w:spacing w:line="360" w:lineRule="auto"/>
        <w:ind w:firstLine="643" w:firstLineChars="200"/>
        <w:jc w:val="center"/>
        <w:rPr>
          <w:rFonts w:hint="eastAsia" w:ascii="宋体" w:hAnsi="宋体"/>
          <w:b/>
          <w:bCs w:val="0"/>
          <w:color w:val="auto"/>
          <w:sz w:val="32"/>
          <w:szCs w:val="32"/>
          <w:highlight w:val="none"/>
          <w:lang w:val="en-US" w:eastAsia="zh-CN"/>
        </w:rPr>
      </w:pPr>
    </w:p>
    <w:p w14:paraId="28A5524B">
      <w:pPr>
        <w:spacing w:line="360" w:lineRule="auto"/>
        <w:ind w:firstLine="643" w:firstLineChars="200"/>
        <w:jc w:val="center"/>
        <w:rPr>
          <w:rFonts w:hint="eastAsia" w:ascii="宋体" w:hAnsi="宋体"/>
          <w:b/>
          <w:bCs w:val="0"/>
          <w:color w:val="auto"/>
          <w:sz w:val="32"/>
          <w:szCs w:val="32"/>
          <w:highlight w:val="none"/>
          <w:lang w:val="en-US" w:eastAsia="zh-CN"/>
        </w:rPr>
      </w:pPr>
    </w:p>
    <w:p w14:paraId="38CA0482">
      <w:pPr>
        <w:spacing w:line="360" w:lineRule="auto"/>
        <w:jc w:val="both"/>
        <w:rPr>
          <w:rFonts w:hint="eastAsia" w:ascii="宋体" w:hAnsi="宋体"/>
          <w:b/>
          <w:bCs w:val="0"/>
          <w:color w:val="auto"/>
          <w:sz w:val="32"/>
          <w:szCs w:val="32"/>
          <w:highlight w:val="none"/>
          <w:lang w:val="en-US" w:eastAsia="zh-CN"/>
        </w:rPr>
      </w:pPr>
    </w:p>
    <w:p w14:paraId="5CF9D874">
      <w:pPr>
        <w:spacing w:line="360" w:lineRule="auto"/>
        <w:ind w:firstLine="643" w:firstLineChars="200"/>
        <w:jc w:val="both"/>
        <w:rPr>
          <w:rFonts w:hint="eastAsia" w:ascii="宋体" w:hAnsi="宋体"/>
          <w:b/>
          <w:bCs w:val="0"/>
          <w:color w:val="auto"/>
          <w:sz w:val="32"/>
          <w:szCs w:val="32"/>
          <w:highlight w:val="none"/>
        </w:rPr>
      </w:pPr>
      <w:r>
        <w:rPr>
          <w:rFonts w:hint="eastAsia" w:ascii="宋体" w:hAnsi="宋体"/>
          <w:b/>
          <w:bCs w:val="0"/>
          <w:color w:val="auto"/>
          <w:sz w:val="32"/>
          <w:szCs w:val="32"/>
          <w:highlight w:val="none"/>
          <w:lang w:val="en-US" w:eastAsia="zh-CN"/>
        </w:rPr>
        <w:t>资格审查文件</w:t>
      </w:r>
      <w:r>
        <w:rPr>
          <w:rFonts w:hint="eastAsia" w:ascii="宋体" w:hAnsi="宋体"/>
          <w:b/>
          <w:bCs w:val="0"/>
          <w:color w:val="auto"/>
          <w:sz w:val="32"/>
          <w:szCs w:val="32"/>
          <w:highlight w:val="none"/>
        </w:rPr>
        <w:t>目录自拟</w:t>
      </w:r>
    </w:p>
    <w:p w14:paraId="43D13A55">
      <w:pPr>
        <w:pStyle w:val="13"/>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p>
    <w:p w14:paraId="137580D2">
      <w:pPr>
        <w:shd w:val="clear" w:color="auto" w:fill="FFFFFF"/>
        <w:spacing w:before="160" w:before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20FFFB1">
      <w:pPr>
        <w:pStyle w:val="13"/>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.有效营业执照、资质证书、企业安全生产许可证复印件</w:t>
      </w:r>
    </w:p>
    <w:p w14:paraId="03672D08">
      <w:pPr>
        <w:pStyle w:val="13"/>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2C06F3AD">
      <w:pPr>
        <w:pStyle w:val="13"/>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4F3AAFEA">
      <w:pPr>
        <w:pStyle w:val="13"/>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项目经理资格：拟投入</w:t>
      </w:r>
      <w:bookmarkStart w:id="1204" w:name="OLE_LINK37"/>
      <w:r>
        <w:rPr>
          <w:rFonts w:hint="eastAsia" w:ascii="宋体" w:hAnsi="宋体" w:eastAsia="宋体" w:cs="宋体"/>
          <w:b/>
          <w:color w:val="auto"/>
          <w:sz w:val="24"/>
          <w:szCs w:val="24"/>
          <w:highlight w:val="none"/>
          <w:lang w:val="en-US" w:eastAsia="zh-CN"/>
        </w:rPr>
        <w:t>本项目的项目经理的有效第二代</w:t>
      </w:r>
      <w:bookmarkEnd w:id="1204"/>
      <w:r>
        <w:rPr>
          <w:rFonts w:hint="eastAsia" w:ascii="宋体" w:hAnsi="宋体" w:eastAsia="宋体" w:cs="宋体"/>
          <w:b/>
          <w:color w:val="auto"/>
          <w:sz w:val="24"/>
          <w:szCs w:val="24"/>
          <w:highlight w:val="none"/>
          <w:lang w:val="en-US" w:eastAsia="zh-CN"/>
        </w:rPr>
        <w:t>身份证正反面复印件、注册建造师证书复印件及安全生产考核合格证（B证）证件复印件</w:t>
      </w:r>
    </w:p>
    <w:p w14:paraId="731D67D3">
      <w:pPr>
        <w:pStyle w:val="13"/>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DEDD2A5">
      <w:pPr>
        <w:pStyle w:val="13"/>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1565F234">
      <w:pPr>
        <w:pStyle w:val="13"/>
        <w:shd w:val="clear" w:color="auto" w:fill="FFFFFF"/>
        <w:spacing w:before="160" w:beforeLines="50" w:line="360" w:lineRule="exact"/>
        <w:rPr>
          <w:rFonts w:hint="eastAsia" w:hAnsi="宋体" w:cs="宋体"/>
          <w:b/>
          <w:color w:val="auto"/>
          <w:sz w:val="24"/>
          <w:szCs w:val="24"/>
          <w:highlight w:val="none"/>
          <w:lang w:val="en-US" w:eastAsia="zh-CN"/>
        </w:rPr>
      </w:pPr>
    </w:p>
    <w:p w14:paraId="5FE034FF">
      <w:pPr>
        <w:pStyle w:val="13"/>
        <w:shd w:val="clear" w:color="auto" w:fill="FFFFFF"/>
        <w:spacing w:before="160" w:beforeLines="50" w:line="360" w:lineRule="exact"/>
        <w:ind w:firstLine="482"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.项目经理无在建承诺书</w:t>
      </w:r>
    </w:p>
    <w:p w14:paraId="63F529F9">
      <w:pPr>
        <w:shd w:val="clear" w:color="auto" w:fill="FFFFFF"/>
        <w:spacing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名称）：</w:t>
      </w:r>
    </w:p>
    <w:p w14:paraId="0B4DC314">
      <w:pPr>
        <w:shd w:val="clear" w:color="auto" w:fill="FFFFFF"/>
        <w:spacing w:line="360" w:lineRule="auto"/>
        <w:ind w:left="-10"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rPr>
        <w:t>现承诺我单位投入本工程的项目经理是本单位的在岗人员，且不在任何在建工程（时间从中标公示之日起至完工验收鉴定书或竣工验收鉴定书标明的验收日期）中担任任何管理职务。如我单位有不符合上述要求的，采购人有权取消我单位成交资格，我单位自愿接受，对</w:t>
      </w:r>
      <w:r>
        <w:rPr>
          <w:rFonts w:hint="eastAsia" w:ascii="宋体" w:hAnsi="宋体" w:cs="宋体"/>
          <w:color w:val="auto"/>
          <w:szCs w:val="21"/>
          <w:highlight w:val="none"/>
          <w:lang w:val="en-US" w:eastAsia="zh-CN"/>
        </w:rPr>
        <w:t>建筑</w:t>
      </w:r>
      <w:r>
        <w:rPr>
          <w:rFonts w:hint="eastAsia" w:ascii="宋体" w:hAnsi="宋体" w:cs="宋体"/>
          <w:color w:val="auto"/>
          <w:szCs w:val="21"/>
          <w:highlight w:val="none"/>
        </w:rPr>
        <w:t>工程建设主管部门对我单位本次</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人员重挂的不良行为的处理不持异议</w:t>
      </w:r>
    </w:p>
    <w:p w14:paraId="6AF681EF">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（电子</w:t>
      </w:r>
      <w:r>
        <w:rPr>
          <w:rFonts w:hint="eastAsia" w:ascii="宋体" w:hAnsi="宋体" w:eastAsia="宋体" w:cs="宋体"/>
          <w:color w:val="auto"/>
          <w:highlight w:val="none"/>
          <w:u w:val="single"/>
          <w:lang w:val="en-US" w:eastAsia="zh-CN"/>
        </w:rPr>
        <w:t>印</w:t>
      </w:r>
      <w:r>
        <w:rPr>
          <w:rFonts w:hint="eastAsia" w:ascii="宋体" w:hAnsi="宋体" w:eastAsia="宋体" w:cs="宋体"/>
          <w:color w:val="auto"/>
          <w:highlight w:val="none"/>
          <w:u w:val="single"/>
        </w:rPr>
        <w:t>章）</w:t>
      </w:r>
    </w:p>
    <w:p w14:paraId="18D07F76">
      <w:pPr>
        <w:shd w:val="clear" w:color="auto" w:fill="FFFFFF"/>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w:t>
      </w:r>
      <w:r>
        <w:rPr>
          <w:rFonts w:hint="eastAsia" w:ascii="宋体" w:hAnsi="宋体" w:eastAsia="宋体" w:cs="宋体"/>
          <w:color w:val="auto"/>
          <w:highlight w:val="none"/>
          <w:u w:val="single"/>
        </w:rPr>
        <w:t xml:space="preserve">              （签字）</w:t>
      </w:r>
    </w:p>
    <w:p w14:paraId="43086421">
      <w:pPr>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536C0B9">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F99E57B">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0BBF6C97">
      <w:pPr>
        <w:pStyle w:val="7"/>
        <w:shd w:val="clear" w:color="auto" w:fill="FFFFFF"/>
        <w:overflowPunct w:val="0"/>
        <w:spacing w:line="360" w:lineRule="exact"/>
        <w:ind w:left="0" w:leftChars="0" w:firstLine="482" w:firstLineChars="200"/>
        <w:rPr>
          <w:rFonts w:hint="eastAsia" w:ascii="宋体" w:hAnsi="宋体" w:cs="宋体"/>
          <w:b/>
          <w:color w:val="auto"/>
          <w:sz w:val="24"/>
          <w:szCs w:val="24"/>
          <w:highlight w:val="none"/>
          <w:lang w:val="en-US" w:eastAsia="zh-CN"/>
        </w:rPr>
      </w:pPr>
    </w:p>
    <w:p w14:paraId="370CEF49">
      <w:pPr>
        <w:spacing w:line="240" w:lineRule="auto"/>
        <w:ind w:firstLine="482" w:firstLineChars="200"/>
        <w:rPr>
          <w:rFonts w:ascii="宋体" w:eastAsia="宋体" w:cs="宋体"/>
          <w:b/>
          <w:color w:val="auto"/>
          <w:kern w:val="0"/>
          <w:sz w:val="28"/>
          <w:szCs w:val="28"/>
          <w:highlight w:val="none"/>
        </w:rPr>
      </w:pPr>
      <w:r>
        <w:rPr>
          <w:rFonts w:hint="eastAsia" w:ascii="宋体" w:hAnsi="宋体" w:cs="宋体"/>
          <w:b/>
          <w:color w:val="auto"/>
          <w:sz w:val="24"/>
          <w:szCs w:val="24"/>
          <w:highlight w:val="none"/>
          <w:lang w:val="en-US" w:eastAsia="zh-CN"/>
        </w:rPr>
        <w:br w:type="page"/>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eastAsia="宋体" w:cs="宋体"/>
          <w:b/>
          <w:color w:val="auto"/>
          <w:kern w:val="0"/>
          <w:sz w:val="28"/>
          <w:szCs w:val="28"/>
          <w:highlight w:val="none"/>
        </w:rPr>
        <w:t>防城港市政府采购供应商信用承诺函（格式）</w:t>
      </w:r>
    </w:p>
    <w:p w14:paraId="553C5B0A">
      <w:pPr>
        <w:spacing w:line="520" w:lineRule="exact"/>
        <w:jc w:val="center"/>
        <w:rPr>
          <w:rFonts w:ascii="宋体" w:eastAsia="宋体" w:cs="宋体"/>
          <w:b/>
          <w:color w:val="auto"/>
          <w:kern w:val="0"/>
          <w:sz w:val="28"/>
          <w:szCs w:val="28"/>
          <w:highlight w:val="none"/>
        </w:rPr>
      </w:pPr>
    </w:p>
    <w:p w14:paraId="1BB034F6">
      <w:pPr>
        <w:spacing w:line="520" w:lineRule="exact"/>
        <w:jc w:val="center"/>
        <w:rPr>
          <w:rFonts w:ascii="方正小标宋简体" w:eastAsia="方正小标宋简体"/>
          <w:color w:val="auto"/>
          <w:sz w:val="36"/>
          <w:szCs w:val="36"/>
          <w:highlight w:val="none"/>
        </w:rPr>
      </w:pPr>
    </w:p>
    <w:p w14:paraId="1192439E">
      <w:pPr>
        <w:spacing w:line="520" w:lineRule="exact"/>
        <w:ind w:firstLine="720" w:firstLineChars="200"/>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7B3AB620">
      <w:pPr>
        <w:spacing w:line="520" w:lineRule="exact"/>
        <w:ind w:firstLine="640" w:firstLineChars="200"/>
        <w:rPr>
          <w:rFonts w:ascii="仿宋_GB2312" w:eastAsia="仿宋_GB2312"/>
          <w:color w:val="auto"/>
          <w:sz w:val="32"/>
          <w:szCs w:val="32"/>
          <w:highlight w:val="none"/>
        </w:rPr>
      </w:pPr>
    </w:p>
    <w:p w14:paraId="0E6602B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1020B11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751F9DE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549228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82D4F3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6350B82">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6361F05C">
      <w:pPr>
        <w:spacing w:line="520" w:lineRule="exact"/>
        <w:ind w:firstLine="3220" w:firstLineChars="1150"/>
        <w:rPr>
          <w:rFonts w:ascii="仿宋_GB2312" w:eastAsia="仿宋_GB2312"/>
          <w:color w:val="auto"/>
          <w:sz w:val="28"/>
          <w:szCs w:val="28"/>
          <w:highlight w:val="none"/>
        </w:rPr>
      </w:pPr>
    </w:p>
    <w:p w14:paraId="3822025D">
      <w:pPr>
        <w:spacing w:line="520" w:lineRule="exact"/>
        <w:ind w:firstLine="3220" w:firstLineChars="1150"/>
        <w:rPr>
          <w:rFonts w:ascii="仿宋_GB2312" w:eastAsia="仿宋_GB2312"/>
          <w:color w:val="auto"/>
          <w:sz w:val="28"/>
          <w:szCs w:val="28"/>
          <w:highlight w:val="none"/>
        </w:rPr>
      </w:pPr>
    </w:p>
    <w:p w14:paraId="681C0BA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3F42B9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28FE1C6">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hint="eastAsia" w:ascii="仿宋_GB2312" w:eastAsia="仿宋_GB2312"/>
          <w:color w:val="auto"/>
          <w:sz w:val="28"/>
          <w:szCs w:val="28"/>
          <w:highlight w:val="none"/>
          <w:lang w:eastAsia="zh-CN"/>
        </w:rPr>
        <w:t>）</w:t>
      </w:r>
      <w:r>
        <w:rPr>
          <w:rFonts w:ascii="仿宋_GB2312" w:eastAsia="仿宋_GB2312"/>
          <w:color w:val="auto"/>
          <w:sz w:val="28"/>
          <w:szCs w:val="28"/>
          <w:highlight w:val="none"/>
        </w:rPr>
        <w:t>：</w:t>
      </w:r>
    </w:p>
    <w:p w14:paraId="74518638">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60CA2EFC">
      <w:pPr>
        <w:spacing w:line="600" w:lineRule="exact"/>
        <w:ind w:firstLine="560" w:firstLineChars="200"/>
        <w:rPr>
          <w:rFonts w:ascii="仿宋_GB2312" w:eastAsia="仿宋_GB2312"/>
          <w:color w:val="auto"/>
          <w:sz w:val="28"/>
          <w:szCs w:val="28"/>
          <w:highlight w:val="none"/>
        </w:rPr>
      </w:pPr>
    </w:p>
    <w:p w14:paraId="309D0BE7">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3BE6D268">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414E1912">
      <w:pPr>
        <w:numPr>
          <w:ilvl w:val="0"/>
          <w:numId w:val="0"/>
        </w:numPr>
        <w:shd w:val="clear" w:color="auto" w:fill="FFFFFF"/>
        <w:spacing w:before="160" w:beforeLines="50" w:line="360" w:lineRule="auto"/>
        <w:rPr>
          <w:rFonts w:hint="eastAsia" w:ascii="宋体" w:hAnsi="宋体" w:eastAsia="宋体" w:cs="宋体"/>
          <w:b/>
          <w:bCs w:val="0"/>
          <w:color w:val="auto"/>
          <w:spacing w:val="0"/>
          <w:kern w:val="2"/>
          <w:sz w:val="24"/>
          <w:szCs w:val="24"/>
          <w:highlight w:val="none"/>
          <w:lang w:val="en-US" w:eastAsia="zh-CN" w:bidi="ar-SA"/>
        </w:rPr>
      </w:pPr>
    </w:p>
    <w:p w14:paraId="007AD279">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5</w:t>
      </w:r>
      <w:r>
        <w:rPr>
          <w:rFonts w:hint="eastAsia" w:ascii="宋体" w:hAnsi="宋体" w:eastAsia="宋体" w:cs="宋体"/>
          <w:b/>
          <w:bCs w:val="0"/>
          <w:color w:val="auto"/>
          <w:spacing w:val="0"/>
          <w:kern w:val="2"/>
          <w:sz w:val="24"/>
          <w:szCs w:val="24"/>
          <w:highlight w:val="none"/>
          <w:lang w:val="en-US" w:eastAsia="zh-CN" w:bidi="ar-SA"/>
        </w:rPr>
        <w:t>.中小企业声明函或者残疾人福利性单位声明函或者</w:t>
      </w:r>
      <w:r>
        <w:rPr>
          <w:rFonts w:hint="eastAsia" w:ascii="宋体" w:hAnsi="宋体" w:cs="宋体"/>
          <w:b/>
          <w:bCs w:val="0"/>
          <w:color w:val="auto"/>
          <w:spacing w:val="0"/>
          <w:kern w:val="2"/>
          <w:sz w:val="24"/>
          <w:szCs w:val="24"/>
          <w:highlight w:val="none"/>
          <w:lang w:val="en-US" w:eastAsia="zh-CN" w:bidi="ar-SA"/>
        </w:rPr>
        <w:t>供应商</w:t>
      </w:r>
      <w:r>
        <w:rPr>
          <w:rFonts w:hint="eastAsia" w:ascii="宋体" w:hAnsi="宋体" w:eastAsia="宋体" w:cs="宋体"/>
          <w:b/>
          <w:bCs w:val="0"/>
          <w:color w:val="auto"/>
          <w:spacing w:val="0"/>
          <w:kern w:val="2"/>
          <w:sz w:val="24"/>
          <w:szCs w:val="24"/>
          <w:highlight w:val="none"/>
          <w:lang w:val="en-US" w:eastAsia="zh-CN" w:bidi="ar-SA"/>
        </w:rPr>
        <w:t>属于监狱企业的证明材料原件复印件（格式）</w:t>
      </w:r>
    </w:p>
    <w:p w14:paraId="3FE24497">
      <w:pPr>
        <w:pStyle w:val="20"/>
        <w:widowControl w:val="0"/>
        <w:shd w:val="clear" w:color="auto" w:fill="FFFFFF"/>
        <w:adjustRightInd w:val="0"/>
        <w:snapToGrid w:val="0"/>
        <w:spacing w:before="160" w:beforeLines="50" w:beforeAutospacing="0" w:after="0" w:afterAutospacing="0" w:line="360" w:lineRule="exact"/>
        <w:ind w:firstLine="675" w:firstLineChars="20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pacing w:val="8"/>
          <w:kern w:val="2"/>
          <w:sz w:val="32"/>
          <w:highlight w:val="none"/>
        </w:rPr>
        <w:t>中小企业声明函</w:t>
      </w:r>
    </w:p>
    <w:p w14:paraId="1791D18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pacing w:val="8"/>
          <w:sz w:val="24"/>
          <w:szCs w:val="24"/>
          <w:highlight w:val="none"/>
          <w:u w:val="single"/>
        </w:rPr>
        <w:t>（单位名称）</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u w:val="single"/>
        </w:rPr>
        <w:t>（项目名称）</w:t>
      </w:r>
      <w:r>
        <w:rPr>
          <w:rFonts w:hint="eastAsia" w:ascii="宋体" w:hAnsi="宋体" w:cs="宋体"/>
          <w:color w:val="auto"/>
          <w:spacing w:val="8"/>
          <w:sz w:val="24"/>
          <w:szCs w:val="24"/>
          <w:highlight w:val="none"/>
          <w:lang w:val="en-US" w:eastAsia="zh-CN"/>
        </w:rPr>
        <w:t>采购</w:t>
      </w:r>
      <w:r>
        <w:rPr>
          <w:rFonts w:hint="eastAsia" w:ascii="宋体" w:hAnsi="宋体" w:eastAsia="宋体" w:cs="宋体"/>
          <w:color w:val="auto"/>
          <w:spacing w:val="8"/>
          <w:sz w:val="24"/>
          <w:szCs w:val="24"/>
          <w:highlight w:val="none"/>
        </w:rPr>
        <w:t>活动，工程的施工单位全部为符合政策要求的中小企业（或者：服务全部由符合政策要求的中小企业承接）。相关企业（含联合体中的中小企业、签订分包意向协议的中小企业）的具体情况如下：</w:t>
      </w:r>
    </w:p>
    <w:p w14:paraId="7F448CAF">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项目</w:t>
      </w:r>
      <w:r>
        <w:rPr>
          <w:rFonts w:hint="eastAsia" w:ascii="宋体" w:hAnsi="宋体" w:eastAsia="宋体" w:cs="宋体"/>
          <w:color w:val="auto"/>
          <w:spacing w:val="8"/>
          <w:sz w:val="24"/>
          <w:szCs w:val="24"/>
          <w:highlight w:val="none"/>
          <w:u w:val="single"/>
        </w:rPr>
        <w:t>名称）</w:t>
      </w:r>
      <w:r>
        <w:rPr>
          <w:rFonts w:hint="eastAsia" w:ascii="宋体" w:hAnsi="宋体" w:eastAsia="宋体" w:cs="宋体"/>
          <w:color w:val="auto"/>
          <w:spacing w:val="8"/>
          <w:sz w:val="24"/>
          <w:szCs w:val="24"/>
          <w:highlight w:val="none"/>
        </w:rPr>
        <w:t>，属于</w:t>
      </w:r>
      <w:r>
        <w:rPr>
          <w:rFonts w:hint="eastAsia" w:ascii="宋体" w:hAnsi="宋体" w:eastAsia="宋体" w:cs="宋体"/>
          <w:color w:val="auto"/>
          <w:spacing w:val="8"/>
          <w:sz w:val="24"/>
          <w:szCs w:val="24"/>
          <w:highlight w:val="none"/>
          <w:u w:val="single"/>
        </w:rPr>
        <w:t>（</w:t>
      </w:r>
      <w:r>
        <w:rPr>
          <w:rFonts w:hint="eastAsia" w:ascii="宋体" w:hAnsi="宋体" w:eastAsia="宋体" w:cs="宋体"/>
          <w:color w:val="auto"/>
          <w:spacing w:val="8"/>
          <w:sz w:val="24"/>
          <w:szCs w:val="24"/>
          <w:highlight w:val="none"/>
          <w:u w:val="single"/>
          <w:lang w:val="en-US" w:eastAsia="zh-CN"/>
        </w:rPr>
        <w:t>采购</w:t>
      </w:r>
      <w:r>
        <w:rPr>
          <w:rFonts w:hint="eastAsia" w:ascii="宋体" w:hAnsi="宋体" w:eastAsia="宋体" w:cs="宋体"/>
          <w:color w:val="auto"/>
          <w:spacing w:val="8"/>
          <w:sz w:val="24"/>
          <w:szCs w:val="24"/>
          <w:highlight w:val="none"/>
          <w:u w:val="single"/>
        </w:rPr>
        <w:t>文件中明确的所属行业）</w:t>
      </w:r>
      <w:r>
        <w:rPr>
          <w:rFonts w:hint="eastAsia" w:ascii="宋体" w:hAnsi="宋体" w:eastAsia="宋体" w:cs="宋体"/>
          <w:color w:val="auto"/>
          <w:spacing w:val="8"/>
          <w:sz w:val="24"/>
          <w:szCs w:val="24"/>
          <w:highlight w:val="none"/>
        </w:rPr>
        <w:t>；承建（承接）企业为</w:t>
      </w:r>
      <w:r>
        <w:rPr>
          <w:rFonts w:hint="eastAsia" w:ascii="宋体" w:hAnsi="宋体" w:eastAsia="宋体" w:cs="宋体"/>
          <w:color w:val="auto"/>
          <w:spacing w:val="8"/>
          <w:sz w:val="24"/>
          <w:szCs w:val="24"/>
          <w:highlight w:val="none"/>
          <w:u w:val="single"/>
        </w:rPr>
        <w:t>（企业名称），</w:t>
      </w:r>
      <w:r>
        <w:rPr>
          <w:rFonts w:hint="eastAsia" w:ascii="宋体" w:hAnsi="宋体" w:eastAsia="宋体" w:cs="宋体"/>
          <w:color w:val="auto"/>
          <w:spacing w:val="8"/>
          <w:sz w:val="24"/>
          <w:szCs w:val="24"/>
          <w:highlight w:val="none"/>
        </w:rPr>
        <w:t>从业人员</w:t>
      </w:r>
      <w:r>
        <w:rPr>
          <w:rFonts w:hint="eastAsia" w:ascii="宋体" w:hAnsi="宋体" w:eastAsia="宋体" w:cs="宋体"/>
          <w:color w:val="auto"/>
          <w:spacing w:val="8"/>
          <w:sz w:val="24"/>
          <w:szCs w:val="24"/>
          <w:highlight w:val="none"/>
          <w:u w:val="single"/>
        </w:rPr>
        <w:tab/>
      </w:r>
      <w:r>
        <w:rPr>
          <w:rFonts w:hint="eastAsia" w:ascii="宋体" w:hAnsi="宋体" w:eastAsia="宋体" w:cs="宋体"/>
          <w:color w:val="auto"/>
          <w:spacing w:val="8"/>
          <w:sz w:val="24"/>
          <w:szCs w:val="24"/>
          <w:highlight w:val="none"/>
        </w:rPr>
        <w:t>人，营业收入为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万元，资产总额为</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万元，属于</w:t>
      </w:r>
      <w:r>
        <w:rPr>
          <w:rFonts w:hint="eastAsia" w:ascii="宋体" w:hAnsi="宋体" w:eastAsia="宋体" w:cs="宋体"/>
          <w:color w:val="auto"/>
          <w:spacing w:val="8"/>
          <w:sz w:val="24"/>
          <w:szCs w:val="24"/>
          <w:highlight w:val="none"/>
          <w:u w:val="single"/>
        </w:rPr>
        <w:t>（中型企业、小型企业、微型企业）</w:t>
      </w:r>
      <w:r>
        <w:rPr>
          <w:rFonts w:hint="eastAsia" w:ascii="宋体" w:hAnsi="宋体" w:eastAsia="宋体" w:cs="宋体"/>
          <w:color w:val="auto"/>
          <w:spacing w:val="8"/>
          <w:sz w:val="24"/>
          <w:szCs w:val="24"/>
          <w:highlight w:val="none"/>
        </w:rPr>
        <w:t>；</w:t>
      </w:r>
    </w:p>
    <w:p w14:paraId="66B48AAD">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w:t>
      </w:r>
    </w:p>
    <w:p w14:paraId="67862C66">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以上企业，不属于大企业的分支机构，不存在控股股东为大企业的情形，也不存在与大企业的负责人为同一人的情形。</w:t>
      </w:r>
    </w:p>
    <w:p w14:paraId="0FD28D9B">
      <w:pPr>
        <w:keepNext w:val="0"/>
        <w:keepLines w:val="0"/>
        <w:pageBreakBefore w:val="0"/>
        <w:widowControl w:val="0"/>
        <w:kinsoku/>
        <w:wordWrap/>
        <w:overflowPunct/>
        <w:topLinePunct w:val="0"/>
        <w:autoSpaceDE/>
        <w:autoSpaceDN/>
        <w:bidi w:val="0"/>
        <w:adjustRightInd/>
        <w:snapToGrid/>
        <w:spacing w:line="420" w:lineRule="exact"/>
        <w:ind w:firstLine="512" w:firstLineChars="200"/>
        <w:jc w:val="left"/>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本企业对上述声明内容的真实性负责。如有虚假，将依法承担相应责任。</w:t>
      </w:r>
    </w:p>
    <w:p w14:paraId="1F40CF46">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企业名称（电子</w:t>
      </w:r>
      <w:r>
        <w:rPr>
          <w:rFonts w:hint="eastAsia" w:ascii="宋体" w:hAnsi="宋体" w:eastAsia="宋体" w:cs="宋体"/>
          <w:color w:val="auto"/>
          <w:spacing w:val="8"/>
          <w:sz w:val="24"/>
          <w:szCs w:val="24"/>
          <w:highlight w:val="none"/>
          <w:lang w:val="en-US" w:eastAsia="zh-CN"/>
        </w:rPr>
        <w:t>印</w:t>
      </w:r>
      <w:r>
        <w:rPr>
          <w:rFonts w:hint="eastAsia" w:ascii="宋体" w:hAnsi="宋体" w:eastAsia="宋体" w:cs="宋体"/>
          <w:color w:val="auto"/>
          <w:spacing w:val="8"/>
          <w:sz w:val="24"/>
          <w:szCs w:val="24"/>
          <w:highlight w:val="none"/>
        </w:rPr>
        <w:t>章）：</w:t>
      </w:r>
    </w:p>
    <w:p w14:paraId="5C300768">
      <w:pPr>
        <w:spacing w:before="46" w:line="276" w:lineRule="auto"/>
        <w:ind w:right="2499" w:firstLine="512" w:firstLineChars="200"/>
        <w:jc w:val="righ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日期:</w:t>
      </w:r>
    </w:p>
    <w:p w14:paraId="0E1BD4B3">
      <w:pPr>
        <w:numPr>
          <w:ilvl w:val="0"/>
          <w:numId w:val="0"/>
        </w:numPr>
        <w:shd w:val="clear" w:color="auto" w:fill="FFFFFF"/>
        <w:spacing w:before="160" w:beforeLines="50" w:line="360" w:lineRule="auto"/>
        <w:ind w:firstLine="512" w:firstLineChars="200"/>
        <w:rPr>
          <w:rFonts w:hint="default"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93366F2">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本项目</w:t>
      </w:r>
      <w:r>
        <w:rPr>
          <w:rFonts w:hint="eastAsia" w:ascii="宋体" w:hAnsi="宋体" w:eastAsia="宋体" w:cs="宋体"/>
          <w:b/>
          <w:bCs/>
          <w:color w:val="auto"/>
          <w:kern w:val="0"/>
          <w:sz w:val="24"/>
          <w:szCs w:val="24"/>
          <w:highlight w:val="none"/>
          <w:lang w:eastAsia="zh-CN"/>
        </w:rPr>
        <w:t>对应的中小企业划分标准所属行业</w:t>
      </w:r>
      <w:r>
        <w:rPr>
          <w:rFonts w:hint="eastAsia" w:ascii="宋体" w:hAnsi="宋体" w:eastAsia="宋体" w:cs="宋体"/>
          <w:b/>
          <w:bCs/>
          <w:color w:val="auto"/>
          <w:kern w:val="0"/>
          <w:sz w:val="24"/>
          <w:szCs w:val="24"/>
          <w:highlight w:val="none"/>
        </w:rPr>
        <w:t>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u w:val="single"/>
          <w:lang w:val="en-US" w:eastAsia="zh-CN"/>
        </w:rPr>
        <w:t>建筑业</w:t>
      </w:r>
      <w:r>
        <w:rPr>
          <w:rFonts w:hint="eastAsia" w:ascii="宋体" w:hAnsi="宋体" w:eastAsia="宋体" w:cs="宋体"/>
          <w:b/>
          <w:bCs/>
          <w:color w:val="auto"/>
          <w:kern w:val="0"/>
          <w:sz w:val="24"/>
          <w:szCs w:val="24"/>
          <w:highlight w:val="none"/>
        </w:rPr>
        <w:t>。</w:t>
      </w:r>
    </w:p>
    <w:p w14:paraId="55578E32">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3D059E89">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6A4FD9D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0F243B8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0651278">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59C4C347">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1E0282B3">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725C6F6">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35668CB">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235F00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49E09840">
      <w:pPr>
        <w:snapToGrid w:val="0"/>
        <w:spacing w:before="120" w:beforeLines="50" w:after="50"/>
        <w:ind w:left="142" w:firstLine="482" w:firstLineChars="200"/>
        <w:jc w:val="left"/>
        <w:rPr>
          <w:rFonts w:hint="eastAsia" w:ascii="宋体" w:hAnsi="宋体" w:eastAsia="宋体" w:cs="宋体"/>
          <w:b/>
          <w:color w:val="auto"/>
          <w:sz w:val="24"/>
          <w:highlight w:val="none"/>
        </w:rPr>
      </w:pPr>
    </w:p>
    <w:p w14:paraId="7F8E126B">
      <w:pPr>
        <w:snapToGrid w:val="0"/>
        <w:spacing w:before="120" w:beforeLines="50" w:after="50"/>
        <w:ind w:left="142"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14:paraId="74F38921">
      <w:pPr>
        <w:spacing w:line="588" w:lineRule="exact"/>
        <w:ind w:firstLine="667" w:firstLineChars="200"/>
        <w:jc w:val="center"/>
        <w:rPr>
          <w:rFonts w:hint="eastAsia" w:ascii="宋体" w:hAnsi="宋体" w:eastAsia="宋体" w:cs="宋体"/>
          <w:b/>
          <w:color w:val="auto"/>
          <w:spacing w:val="6"/>
          <w:sz w:val="32"/>
          <w:szCs w:val="32"/>
          <w:highlight w:val="none"/>
        </w:rPr>
      </w:pPr>
      <w:bookmarkStart w:id="1205" w:name="OLE_LINK13"/>
      <w:bookmarkStart w:id="1206" w:name="OLE_LINK14"/>
      <w:r>
        <w:rPr>
          <w:rFonts w:hint="eastAsia" w:ascii="宋体" w:hAnsi="宋体" w:eastAsia="宋体" w:cs="宋体"/>
          <w:b/>
          <w:color w:val="auto"/>
          <w:spacing w:val="6"/>
          <w:sz w:val="32"/>
          <w:szCs w:val="32"/>
          <w:highlight w:val="none"/>
        </w:rPr>
        <w:t>残疾人福利性单位声明函</w:t>
      </w:r>
    </w:p>
    <w:bookmarkEnd w:id="1205"/>
    <w:bookmarkEnd w:id="1206"/>
    <w:p w14:paraId="6B56FC8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pacing w:val="6"/>
          <w:sz w:val="24"/>
          <w:highlight w:val="none"/>
          <w:lang w:eastAsia="zh-CN"/>
        </w:rPr>
        <w:t>〔2017〕141号</w:t>
      </w:r>
      <w:r>
        <w:rPr>
          <w:rFonts w:hint="eastAsia" w:ascii="宋体" w:hAnsi="宋体" w:eastAsia="宋体" w:cs="宋体"/>
          <w:color w:val="auto"/>
          <w:spacing w:val="6"/>
          <w:sz w:val="24"/>
          <w:highlight w:val="none"/>
        </w:rPr>
        <w:t>）的规定，本单位为符合条件的残疾人福利性单位，且本单位参加______单位的______项目</w:t>
      </w:r>
      <w:r>
        <w:rPr>
          <w:rFonts w:hint="eastAsia" w:ascii="宋体" w:hAnsi="宋体" w:cs="宋体"/>
          <w:color w:val="auto"/>
          <w:spacing w:val="6"/>
          <w:sz w:val="24"/>
          <w:highlight w:val="none"/>
          <w:lang w:val="en-US" w:eastAsia="zh-CN"/>
        </w:rPr>
        <w:t>采购</w:t>
      </w:r>
      <w:r>
        <w:rPr>
          <w:rFonts w:hint="eastAsia" w:ascii="宋体" w:hAnsi="宋体" w:eastAsia="宋体" w:cs="宋体"/>
          <w:color w:val="auto"/>
          <w:spacing w:val="6"/>
          <w:sz w:val="24"/>
          <w:highlight w:val="none"/>
        </w:rPr>
        <w:t>活动由本单位承担工程</w:t>
      </w:r>
      <w:r>
        <w:rPr>
          <w:rFonts w:hint="eastAsia" w:ascii="宋体" w:hAnsi="宋体" w:eastAsia="宋体" w:cs="宋体"/>
          <w:color w:val="auto"/>
          <w:spacing w:val="-6"/>
          <w:sz w:val="24"/>
          <w:highlight w:val="none"/>
        </w:rPr>
        <w:t>。</w:t>
      </w:r>
    </w:p>
    <w:p w14:paraId="2F7D6FB0">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522C193D">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w:t>
      </w:r>
      <w:r>
        <w:rPr>
          <w:rFonts w:hint="eastAsia" w:ascii="宋体" w:hAnsi="宋体" w:eastAsia="宋体" w:cs="宋体"/>
          <w:color w:val="auto"/>
          <w:spacing w:val="6"/>
          <w:sz w:val="24"/>
          <w:highlight w:val="none"/>
          <w:lang w:val="en-US" w:eastAsia="zh-CN"/>
        </w:rPr>
        <w:t>印</w:t>
      </w:r>
      <w:r>
        <w:rPr>
          <w:rFonts w:hint="eastAsia" w:ascii="宋体" w:hAnsi="宋体" w:eastAsia="宋体" w:cs="宋体"/>
          <w:color w:val="auto"/>
          <w:spacing w:val="6"/>
          <w:sz w:val="24"/>
          <w:highlight w:val="none"/>
        </w:rPr>
        <w:t>章）：</w:t>
      </w:r>
    </w:p>
    <w:p w14:paraId="75587CDC">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1295F2C5">
      <w:pPr>
        <w:ind w:firstLine="480" w:firstLineChars="200"/>
        <w:rPr>
          <w:rFonts w:hint="eastAsia" w:ascii="宋体" w:hAnsi="宋体" w:eastAsia="宋体" w:cs="宋体"/>
          <w:color w:val="auto"/>
          <w:sz w:val="24"/>
          <w:highlight w:val="none"/>
        </w:rPr>
      </w:pPr>
    </w:p>
    <w:p w14:paraId="5694CA8C">
      <w:pPr>
        <w:ind w:firstLine="480" w:firstLineChars="200"/>
        <w:rPr>
          <w:rFonts w:hint="eastAsia" w:ascii="宋体" w:hAnsi="宋体" w:cs="宋体"/>
          <w:b/>
          <w:bCs w:val="0"/>
          <w:color w:val="auto"/>
          <w:spacing w:val="0"/>
          <w:kern w:val="2"/>
          <w:sz w:val="24"/>
          <w:szCs w:val="24"/>
          <w:highlight w:val="none"/>
          <w:lang w:val="en-US" w:eastAsia="zh-CN" w:bidi="ar-SA"/>
        </w:rPr>
      </w:pPr>
      <w:r>
        <w:rPr>
          <w:rFonts w:hint="eastAsia" w:ascii="宋体" w:hAnsi="宋体" w:eastAsia="宋体" w:cs="宋体"/>
          <w:color w:val="auto"/>
          <w:sz w:val="24"/>
          <w:highlight w:val="none"/>
        </w:rPr>
        <w:t>注：请根据自己的真实情况出具《残疾人福利性单位声明函》。依法享受中小企业</w:t>
      </w:r>
      <w:r>
        <w:rPr>
          <w:rFonts w:hint="eastAsia" w:ascii="宋体" w:hAnsi="宋体" w:cs="宋体"/>
          <w:color w:val="auto"/>
          <w:sz w:val="24"/>
          <w:highlight w:val="none"/>
          <w:lang w:val="en-US" w:eastAsia="zh-CN"/>
        </w:rPr>
        <w:t>扶持</w:t>
      </w:r>
      <w:r>
        <w:rPr>
          <w:rFonts w:hint="eastAsia" w:ascii="宋体" w:hAnsi="宋体" w:eastAsia="宋体" w:cs="宋体"/>
          <w:color w:val="auto"/>
          <w:sz w:val="24"/>
          <w:highlight w:val="none"/>
        </w:rPr>
        <w:t>政策的，</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代理机构在公告</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结果时，同时公告其《残疾人福利性单位声明函》，接受社会监督。</w:t>
      </w:r>
    </w:p>
    <w:p w14:paraId="737487FD">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66A83E1A">
      <w:pPr>
        <w:numPr>
          <w:ilvl w:val="0"/>
          <w:numId w:val="0"/>
        </w:numPr>
        <w:shd w:val="clear" w:color="auto" w:fill="FFFFFF"/>
        <w:spacing w:before="160" w:beforeLines="50" w:line="360" w:lineRule="auto"/>
        <w:ind w:firstLine="482" w:firstLineChars="200"/>
        <w:rPr>
          <w:rFonts w:hint="eastAsia" w:ascii="宋体" w:hAnsi="宋体" w:cs="宋体"/>
          <w:b/>
          <w:bCs w:val="0"/>
          <w:color w:val="auto"/>
          <w:spacing w:val="0"/>
          <w:kern w:val="2"/>
          <w:sz w:val="24"/>
          <w:szCs w:val="24"/>
          <w:highlight w:val="none"/>
          <w:lang w:val="en-US" w:eastAsia="zh-CN" w:bidi="ar-SA"/>
        </w:rPr>
      </w:pPr>
    </w:p>
    <w:p w14:paraId="558426AD">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val="0"/>
          <w:color w:val="auto"/>
          <w:spacing w:val="0"/>
          <w:kern w:val="2"/>
          <w:sz w:val="24"/>
          <w:szCs w:val="24"/>
          <w:highlight w:val="none"/>
          <w:lang w:val="en-US" w:eastAsia="zh-CN" w:bidi="ar-SA"/>
        </w:rPr>
        <w:t>6.</w:t>
      </w:r>
      <w:r>
        <w:rPr>
          <w:rFonts w:hint="eastAsia" w:ascii="宋体" w:hAnsi="宋体" w:eastAsia="宋体" w:cs="宋体"/>
          <w:b/>
          <w:bCs w:val="0"/>
          <w:color w:val="auto"/>
          <w:spacing w:val="0"/>
          <w:kern w:val="2"/>
          <w:sz w:val="24"/>
          <w:szCs w:val="24"/>
          <w:highlight w:val="none"/>
          <w:lang w:val="en-US" w:eastAsia="zh-CN" w:bidi="ar-SA"/>
        </w:rPr>
        <w:t>除磋商文件规定必须提供以外，供应商认为需要提供的其他证明材料</w:t>
      </w:r>
    </w:p>
    <w:p w14:paraId="65207F4A">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2237A6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BB3774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6E8181">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53E2A06">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C131B3C">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9337D3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33ED6B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40564D2">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106D1E2F">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1043A6D">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560D9E53">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7A13DBC1">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495A9E30">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1000B6D6">
      <w:pPr>
        <w:spacing w:line="480" w:lineRule="auto"/>
        <w:ind w:left="361" w:leftChars="172" w:firstLine="723" w:firstLineChars="200"/>
        <w:jc w:val="center"/>
        <w:rPr>
          <w:rFonts w:hint="eastAsia" w:ascii="宋体" w:hAnsi="宋体" w:eastAsia="宋体" w:cs="宋体"/>
          <w:b/>
          <w:bCs/>
          <w:color w:val="auto"/>
          <w:sz w:val="36"/>
          <w:szCs w:val="36"/>
          <w:highlight w:val="none"/>
          <w:lang w:val="en-US" w:eastAsia="zh-CN"/>
        </w:rPr>
      </w:pPr>
    </w:p>
    <w:p w14:paraId="42537015">
      <w:pPr>
        <w:spacing w:line="480" w:lineRule="auto"/>
        <w:ind w:left="361" w:leftChars="172" w:firstLine="723" w:firstLineChars="200"/>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报价文件</w:t>
      </w:r>
    </w:p>
    <w:p w14:paraId="26C7A48D">
      <w:pPr>
        <w:pStyle w:val="13"/>
        <w:spacing w:line="480" w:lineRule="auto"/>
        <w:ind w:firstLine="600" w:firstLineChars="200"/>
        <w:rPr>
          <w:rFonts w:hint="eastAsia" w:ascii="宋体" w:hAnsi="宋体" w:eastAsia="宋体" w:cs="宋体"/>
          <w:b w:val="0"/>
          <w:bCs w:val="0"/>
          <w:color w:val="auto"/>
          <w:sz w:val="30"/>
          <w:szCs w:val="30"/>
          <w:highlight w:val="none"/>
        </w:rPr>
      </w:pPr>
    </w:p>
    <w:p w14:paraId="1B85ECEA">
      <w:pPr>
        <w:pStyle w:val="13"/>
        <w:spacing w:line="480" w:lineRule="auto"/>
        <w:ind w:firstLine="600" w:firstLineChars="200"/>
        <w:rPr>
          <w:rFonts w:hint="eastAsia" w:ascii="宋体" w:hAnsi="宋体" w:eastAsia="宋体" w:cs="宋体"/>
          <w:b w:val="0"/>
          <w:bCs w:val="0"/>
          <w:color w:val="auto"/>
          <w:sz w:val="30"/>
          <w:szCs w:val="30"/>
          <w:highlight w:val="none"/>
        </w:rPr>
      </w:pPr>
    </w:p>
    <w:p w14:paraId="73F72362">
      <w:pPr>
        <w:pStyle w:val="13"/>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项目名称：</w:t>
      </w:r>
    </w:p>
    <w:p w14:paraId="3F531DE1">
      <w:pPr>
        <w:pStyle w:val="13"/>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项目编号：</w:t>
      </w:r>
    </w:p>
    <w:p w14:paraId="3C5D892B">
      <w:pPr>
        <w:pStyle w:val="13"/>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供应商名称：</w:t>
      </w:r>
    </w:p>
    <w:p w14:paraId="0D44B7C1">
      <w:pPr>
        <w:pStyle w:val="13"/>
        <w:spacing w:line="480" w:lineRule="auto"/>
        <w:ind w:firstLine="600" w:firstLineChars="200"/>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日     期：      年   月   日</w:t>
      </w:r>
    </w:p>
    <w:p w14:paraId="2FF8F2FB">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bookmarkStart w:id="1207" w:name="_Toc424307759"/>
      <w:bookmarkStart w:id="1208" w:name="_Toc424307488"/>
    </w:p>
    <w:p w14:paraId="5AA7443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31A6257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E1C61C9">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74BE61B6">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4C08D05">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E5F83B7">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6B24A263">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181E7EB2">
      <w:pPr>
        <w:shd w:val="clear" w:color="auto" w:fill="FFFFFF"/>
        <w:ind w:firstLine="643" w:firstLineChars="200"/>
        <w:jc w:val="center"/>
        <w:rPr>
          <w:rFonts w:hint="eastAsia" w:ascii="宋体" w:hAnsi="宋体" w:eastAsia="宋体"/>
          <w:b/>
          <w:bCs w:val="0"/>
          <w:color w:val="auto"/>
          <w:sz w:val="32"/>
          <w:szCs w:val="32"/>
          <w:highlight w:val="none"/>
          <w:lang w:val="en-US" w:eastAsia="zh-CN"/>
        </w:rPr>
      </w:pPr>
    </w:p>
    <w:p w14:paraId="49590043">
      <w:pPr>
        <w:shd w:val="clear" w:color="auto" w:fill="FFFFFF"/>
        <w:jc w:val="both"/>
        <w:rPr>
          <w:rFonts w:hint="eastAsia" w:ascii="宋体" w:hAnsi="宋体" w:eastAsia="宋体"/>
          <w:b/>
          <w:bCs w:val="0"/>
          <w:color w:val="auto"/>
          <w:sz w:val="32"/>
          <w:szCs w:val="32"/>
          <w:highlight w:val="none"/>
          <w:lang w:val="en-US" w:eastAsia="zh-CN"/>
        </w:rPr>
      </w:pPr>
    </w:p>
    <w:p w14:paraId="7CB879AE">
      <w:pPr>
        <w:shd w:val="clear" w:color="auto" w:fill="FFFFFF"/>
        <w:ind w:firstLine="643" w:firstLineChars="200"/>
        <w:jc w:val="both"/>
        <w:rPr>
          <w:rFonts w:hint="eastAsia" w:ascii="宋体" w:hAnsi="宋体" w:eastAsia="宋体" w:cs="宋体"/>
          <w:color w:val="auto"/>
          <w:spacing w:val="8"/>
          <w:sz w:val="32"/>
          <w:highlight w:val="none"/>
        </w:rPr>
      </w:pPr>
      <w:r>
        <w:rPr>
          <w:rFonts w:hint="eastAsia" w:ascii="宋体" w:hAnsi="宋体" w:eastAsia="宋体"/>
          <w:b/>
          <w:bCs w:val="0"/>
          <w:color w:val="auto"/>
          <w:sz w:val="32"/>
          <w:szCs w:val="32"/>
          <w:highlight w:val="none"/>
          <w:lang w:val="en-US" w:eastAsia="zh-CN"/>
        </w:rPr>
        <w:t>报价文件</w:t>
      </w:r>
      <w:r>
        <w:rPr>
          <w:rFonts w:hint="eastAsia" w:ascii="宋体" w:hAnsi="宋体" w:eastAsia="宋体"/>
          <w:b/>
          <w:bCs w:val="0"/>
          <w:color w:val="auto"/>
          <w:sz w:val="32"/>
          <w:szCs w:val="32"/>
          <w:highlight w:val="none"/>
        </w:rPr>
        <w:t>目录自</w:t>
      </w:r>
      <w:r>
        <w:rPr>
          <w:rFonts w:hint="eastAsia" w:ascii="宋体" w:hAnsi="宋体"/>
          <w:b/>
          <w:bCs w:val="0"/>
          <w:color w:val="auto"/>
          <w:sz w:val="32"/>
          <w:szCs w:val="32"/>
          <w:highlight w:val="none"/>
        </w:rPr>
        <w:t>拟</w:t>
      </w:r>
    </w:p>
    <w:p w14:paraId="2F2E425F">
      <w:pPr>
        <w:numPr>
          <w:ilvl w:val="0"/>
          <w:numId w:val="0"/>
        </w:numPr>
        <w:shd w:val="clear" w:color="auto" w:fill="FFFFFF"/>
        <w:spacing w:before="160" w:beforeLines="50" w:line="360" w:lineRule="auto"/>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color w:val="auto"/>
          <w:spacing w:val="0"/>
          <w:sz w:val="24"/>
          <w:highlight w:val="none"/>
          <w:lang w:val="en-US" w:eastAsia="zh-CN"/>
        </w:rPr>
        <w:t>1.</w:t>
      </w:r>
      <w:r>
        <w:rPr>
          <w:rFonts w:hint="eastAsia" w:ascii="宋体" w:hAnsi="宋体" w:eastAsia="宋体" w:cs="宋体"/>
          <w:b/>
          <w:bCs w:val="0"/>
          <w:color w:val="auto"/>
          <w:spacing w:val="0"/>
          <w:kern w:val="2"/>
          <w:sz w:val="24"/>
          <w:szCs w:val="24"/>
          <w:highlight w:val="none"/>
          <w:lang w:val="en-US" w:eastAsia="zh-CN" w:bidi="ar-SA"/>
        </w:rPr>
        <w:t>磋商</w:t>
      </w:r>
      <w:bookmarkEnd w:id="1207"/>
      <w:bookmarkEnd w:id="1208"/>
      <w:r>
        <w:rPr>
          <w:rFonts w:hint="eastAsia" w:ascii="宋体" w:hAnsi="宋体" w:eastAsia="宋体" w:cs="宋体"/>
          <w:b/>
          <w:bCs w:val="0"/>
          <w:color w:val="auto"/>
          <w:spacing w:val="0"/>
          <w:kern w:val="2"/>
          <w:sz w:val="24"/>
          <w:szCs w:val="24"/>
          <w:highlight w:val="none"/>
          <w:lang w:val="en-US" w:eastAsia="zh-CN" w:bidi="ar-SA"/>
        </w:rPr>
        <w:t>函</w:t>
      </w:r>
    </w:p>
    <w:p w14:paraId="19779930">
      <w:pPr>
        <w:spacing w:line="400" w:lineRule="exact"/>
        <w:ind w:firstLine="420" w:firstLineChars="200"/>
        <w:rPr>
          <w:rFonts w:hint="eastAsia" w:ascii="宋体" w:hAnsi="宋体" w:eastAsia="宋体" w:cs="宋体"/>
          <w:color w:val="auto"/>
          <w:highlight w:val="none"/>
          <w:u w:val="single"/>
          <w:lang w:eastAsia="zh-CN"/>
        </w:rPr>
      </w:pPr>
      <w:bookmarkStart w:id="1209" w:name="_Toc424307760"/>
      <w:bookmarkStart w:id="1210" w:name="_Toc424307489"/>
      <w:r>
        <w:rPr>
          <w:rFonts w:hint="eastAsia" w:ascii="宋体" w:hAnsi="宋体" w:cs="宋体"/>
          <w:color w:val="auto"/>
          <w:highlight w:val="none"/>
        </w:rPr>
        <w:t>致：</w:t>
      </w:r>
      <w:r>
        <w:rPr>
          <w:rFonts w:hint="eastAsia" w:ascii="宋体" w:hAnsi="宋体" w:cs="宋体"/>
          <w:color w:val="auto"/>
          <w:highlight w:val="none"/>
          <w:lang w:eastAsia="zh-CN"/>
        </w:rPr>
        <w:t>广西德胜工程项目管理有限公司</w:t>
      </w:r>
    </w:p>
    <w:p w14:paraId="4EB413E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根据已收到的</w:t>
      </w:r>
      <w:r>
        <w:rPr>
          <w:rFonts w:hint="eastAsia" w:ascii="宋体" w:hAnsi="宋体" w:eastAsia="宋体" w:cs="宋体"/>
          <w:color w:val="auto"/>
          <w:szCs w:val="21"/>
          <w:highlight w:val="none"/>
          <w:u w:val="single"/>
        </w:rPr>
        <w:t xml:space="preserve">        （工程名称）                      </w:t>
      </w:r>
      <w:r>
        <w:rPr>
          <w:rFonts w:hint="eastAsia" w:ascii="宋体" w:hAnsi="宋体" w:eastAsia="宋体" w:cs="宋体"/>
          <w:color w:val="auto"/>
          <w:szCs w:val="21"/>
          <w:highlight w:val="none"/>
        </w:rPr>
        <w:t>工程的竞争性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文件，我方经考察现场和研究贵方的竞争性</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文件后</w:t>
      </w:r>
      <w:r>
        <w:rPr>
          <w:rFonts w:hint="eastAsia" w:ascii="宋体" w:hAnsi="宋体" w:eastAsia="宋体" w:cs="宋体"/>
          <w:color w:val="auto"/>
          <w:highlight w:val="none"/>
        </w:rPr>
        <w:t>，</w:t>
      </w:r>
      <w:r>
        <w:rPr>
          <w:rFonts w:hint="eastAsia" w:ascii="宋体" w:hAnsi="宋体" w:eastAsia="宋体" w:cs="宋体"/>
          <w:color w:val="auto"/>
          <w:szCs w:val="21"/>
          <w:highlight w:val="none"/>
        </w:rPr>
        <w:t>我方愿以</w:t>
      </w:r>
      <w:r>
        <w:rPr>
          <w:rFonts w:hint="eastAsia" w:ascii="宋体" w:hAnsi="宋体" w:eastAsia="宋体" w:cs="宋体"/>
          <w:color w:val="auto"/>
          <w:highlight w:val="none"/>
        </w:rPr>
        <w:t>：</w:t>
      </w:r>
      <w:r>
        <w:rPr>
          <w:rFonts w:hint="eastAsia" w:ascii="宋体" w:hAnsi="宋体" w:cs="宋体"/>
          <w:b/>
          <w:color w:val="auto"/>
          <w:highlight w:val="none"/>
          <w:lang w:eastAsia="zh-CN"/>
        </w:rPr>
        <w:t>磋商</w:t>
      </w:r>
      <w:r>
        <w:rPr>
          <w:rFonts w:hint="eastAsia" w:ascii="宋体" w:hAnsi="宋体" w:eastAsia="宋体" w:cs="宋体"/>
          <w:b/>
          <w:color w:val="auto"/>
          <w:highlight w:val="none"/>
        </w:rPr>
        <w:t>总报价为：</w:t>
      </w:r>
      <w:r>
        <w:rPr>
          <w:rFonts w:hint="eastAsia" w:ascii="宋体" w:hAnsi="宋体" w:eastAsia="宋体" w:cs="宋体"/>
          <w:color w:val="auto"/>
          <w:highlight w:val="none"/>
          <w:u w:val="single"/>
        </w:rPr>
        <w:t>人民币(大写)</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RMB</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报价并按上述合同条款、工程建设标准的条件要求承包上述工程的施工、竣工，并承担任何质量缺陷保修责任。我方保证工程质量达到国家质量标准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62E8B9C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我方已详细审核全部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文件，包括修改文件（如有时）及有关附件。</w:t>
      </w:r>
    </w:p>
    <w:p w14:paraId="12558E2E">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一旦我方成交，我方保证按合同协议书中规定的工期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w:t>
      </w:r>
    </w:p>
    <w:p w14:paraId="24AAF3FD">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我方同意所提交的响应文件在</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须知规定的</w:t>
      </w:r>
      <w:r>
        <w:rPr>
          <w:rFonts w:hint="eastAsia" w:ascii="宋体" w:hAnsi="宋体" w:cs="宋体"/>
          <w:color w:val="auto"/>
          <w:szCs w:val="21"/>
          <w:highlight w:val="none"/>
          <w:lang w:eastAsia="zh-CN"/>
        </w:rPr>
        <w:t>竞标有效期</w:t>
      </w:r>
      <w:r>
        <w:rPr>
          <w:rFonts w:hint="eastAsia" w:ascii="宋体" w:hAnsi="宋体" w:eastAsia="宋体" w:cs="宋体"/>
          <w:color w:val="auto"/>
          <w:szCs w:val="21"/>
          <w:highlight w:val="none"/>
        </w:rPr>
        <w:t>内有效，在此期间内如果成交，我方将受此约束。</w:t>
      </w:r>
    </w:p>
    <w:p w14:paraId="248112D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right="97" w:rightChars="46" w:firstLine="42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除非另外达成协议并生效，你方的成交通知书和本响应文件将成为约束双方的合同文件的组成部分。</w:t>
      </w:r>
    </w:p>
    <w:p w14:paraId="7AAF1D55">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我方将与本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函一起，提交人民币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元作为</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 xml:space="preserve">担保。     </w:t>
      </w:r>
    </w:p>
    <w:p w14:paraId="4DB7DA06">
      <w:pPr>
        <w:numPr>
          <w:ilvl w:val="0"/>
          <w:numId w:val="0"/>
        </w:num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据此函，</w:t>
      </w:r>
      <w:r>
        <w:rPr>
          <w:rFonts w:hint="eastAsia" w:ascii="宋体" w:hAnsi="宋体" w:cs="宋体"/>
          <w:color w:val="auto"/>
          <w:szCs w:val="21"/>
          <w:highlight w:val="none"/>
          <w:lang w:val="en-US" w:eastAsia="zh-CN"/>
        </w:rPr>
        <w:t>我方</w:t>
      </w:r>
      <w:r>
        <w:rPr>
          <w:rFonts w:hint="eastAsia" w:ascii="宋体" w:hAnsi="宋体" w:eastAsia="宋体" w:cs="宋体"/>
          <w:color w:val="auto"/>
          <w:szCs w:val="21"/>
          <w:highlight w:val="none"/>
        </w:rPr>
        <w:t>宣布同意如下</w:t>
      </w:r>
      <w:r>
        <w:rPr>
          <w:rFonts w:hint="eastAsia" w:ascii="宋体" w:hAnsi="宋体" w:eastAsia="宋体" w:cs="宋体"/>
          <w:color w:val="auto"/>
          <w:szCs w:val="21"/>
          <w:highlight w:val="none"/>
          <w:lang w:eastAsia="zh-CN"/>
        </w:rPr>
        <w:t>：</w:t>
      </w:r>
    </w:p>
    <w:p w14:paraId="3A1FCC29">
      <w:pPr>
        <w:numPr>
          <w:ilvl w:val="0"/>
          <w:numId w:val="0"/>
        </w:num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我方在此声明，所递交的</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文件及有关资料内容完整、真实和准确。</w:t>
      </w:r>
    </w:p>
    <w:p w14:paraId="01E5C01F">
      <w:pPr>
        <w:pStyle w:val="13"/>
        <w:numPr>
          <w:ilvl w:val="0"/>
          <w:numId w:val="0"/>
        </w:num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我方承诺已经具备《中华人民共和国政府采购法》中规定的参加政府采购活动的供应商应当具备的条件：</w:t>
      </w:r>
    </w:p>
    <w:p w14:paraId="43987626">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具有独立承担民事责任的能力；</w:t>
      </w:r>
    </w:p>
    <w:p w14:paraId="63071CD3">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具有良好的商业信誉和健全的财务会计制度；</w:t>
      </w:r>
    </w:p>
    <w:p w14:paraId="71C7691A">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具有履行合同所必需的设备和专业技术能力；</w:t>
      </w:r>
    </w:p>
    <w:p w14:paraId="3016F109">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有依法缴纳税收和社会保障资金的良好记录；</w:t>
      </w:r>
    </w:p>
    <w:p w14:paraId="41313E94">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参加政府采购活动前三年内，在经营活动中没有重大违法记录；</w:t>
      </w:r>
    </w:p>
    <w:p w14:paraId="0BEADCE8">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法律、行政法规规定的其他条件。</w:t>
      </w:r>
    </w:p>
    <w:p w14:paraId="5FFA1242">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（包括资格条件和所</w:t>
      </w:r>
      <w:r>
        <w:rPr>
          <w:rFonts w:hint="eastAsia" w:hAnsi="宋体" w:cs="宋体"/>
          <w:color w:val="auto"/>
          <w:szCs w:val="21"/>
          <w:highlight w:val="none"/>
          <w:lang w:eastAsia="zh-CN"/>
        </w:rPr>
        <w:t>磋商</w:t>
      </w:r>
      <w:r>
        <w:rPr>
          <w:rFonts w:hint="eastAsia" w:ascii="宋体" w:hAnsi="宋体" w:eastAsia="宋体" w:cs="宋体"/>
          <w:color w:val="auto"/>
          <w:szCs w:val="21"/>
          <w:highlight w:val="none"/>
        </w:rPr>
        <w:t>产品）均符合国家有关强制规定。</w:t>
      </w:r>
    </w:p>
    <w:p w14:paraId="2D531169">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如我方</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，我方承诺在收到</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通知书后，在</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通知书规定的期限内，根据</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章“合同条款及格式”与采购人订立书面合同，并按照合同约定承担完成合同的责任和义务。</w:t>
      </w:r>
    </w:p>
    <w:p w14:paraId="4B6706DC">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我方已详细审核</w:t>
      </w:r>
      <w:r>
        <w:rPr>
          <w:rFonts w:hint="eastAsia" w:ascii="宋体" w:hAnsi="宋体" w:eastAsia="宋体" w:cs="宋体"/>
          <w:color w:val="auto"/>
          <w:highlight w:val="none"/>
          <w:lang w:eastAsia="zh-CN"/>
        </w:rPr>
        <w:t>竞争性</w:t>
      </w:r>
      <w:r>
        <w:rPr>
          <w:rFonts w:hint="eastAsia" w:hAnsi="宋体" w:cs="宋体"/>
          <w:color w:val="auto"/>
          <w:highlight w:val="none"/>
          <w:lang w:eastAsia="zh-CN"/>
        </w:rPr>
        <w:t>磋商</w:t>
      </w:r>
      <w:r>
        <w:rPr>
          <w:rFonts w:hint="eastAsia" w:ascii="宋体" w:hAnsi="宋体" w:eastAsia="宋体" w:cs="宋体"/>
          <w:color w:val="auto"/>
          <w:highlight w:val="none"/>
        </w:rPr>
        <w:t>文件，我方知道必须放弃提出含糊不清或误解问题的权利。</w:t>
      </w:r>
    </w:p>
    <w:p w14:paraId="6C27C094">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我方同意应贵方要求提供与本</w:t>
      </w:r>
      <w:r>
        <w:rPr>
          <w:rFonts w:hint="eastAsia" w:hAnsi="宋体" w:cs="宋体"/>
          <w:color w:val="auto"/>
          <w:highlight w:val="none"/>
          <w:lang w:eastAsia="zh-CN"/>
        </w:rPr>
        <w:t>磋商</w:t>
      </w:r>
      <w:r>
        <w:rPr>
          <w:rFonts w:hint="eastAsia" w:ascii="宋体" w:hAnsi="宋体" w:eastAsia="宋体" w:cs="宋体"/>
          <w:color w:val="auto"/>
          <w:highlight w:val="none"/>
        </w:rPr>
        <w:t>有关的任何数据或资料。若贵方需要，我方愿意提供我方作出的一切承诺的证明材料。</w:t>
      </w:r>
    </w:p>
    <w:p w14:paraId="2861A43B">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E22495">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提供虚假材料谋取中标、成交的；</w:t>
      </w:r>
    </w:p>
    <w:p w14:paraId="03400046">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采取不正当手段诋毁、排挤其他供应商的；</w:t>
      </w:r>
    </w:p>
    <w:p w14:paraId="0C97798B">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与采购人、其他供应商或者采购代理机构恶意串通的；</w:t>
      </w:r>
    </w:p>
    <w:p w14:paraId="61032108">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向采购人、采购代理机构行贿或者提供其他不正当利益的；</w:t>
      </w:r>
    </w:p>
    <w:p w14:paraId="24283121">
      <w:pPr>
        <w:pStyle w:val="13"/>
        <w:numPr>
          <w:ilvl w:val="0"/>
          <w:numId w:val="0"/>
        </w:numPr>
        <w:spacing w:line="400" w:lineRule="exact"/>
        <w:ind w:left="42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在招标采购过程中与采购人进行协商</w:t>
      </w:r>
      <w:r>
        <w:rPr>
          <w:rFonts w:hint="eastAsia" w:hAnsi="宋体" w:cs="宋体"/>
          <w:color w:val="auto"/>
          <w:highlight w:val="none"/>
          <w:lang w:eastAsia="zh-CN"/>
        </w:rPr>
        <w:t>磋商</w:t>
      </w:r>
      <w:r>
        <w:rPr>
          <w:rFonts w:hint="eastAsia" w:ascii="宋体" w:hAnsi="宋体" w:eastAsia="宋体" w:cs="宋体"/>
          <w:color w:val="auto"/>
          <w:highlight w:val="none"/>
        </w:rPr>
        <w:t>的；</w:t>
      </w:r>
    </w:p>
    <w:p w14:paraId="1D0AD6AE">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6）拒绝有关部门监督检查或提供虚假情况的。</w:t>
      </w:r>
    </w:p>
    <w:p w14:paraId="5B094907">
      <w:pPr>
        <w:pStyle w:val="13"/>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以上事项如有虚假或隐瞒，我方愿意承担一切后果，并不再寻求任何旨在减轻或免除法律责任的辩解。</w:t>
      </w:r>
    </w:p>
    <w:p w14:paraId="731F304A">
      <w:pPr>
        <w:snapToGrid w:val="0"/>
        <w:spacing w:line="370" w:lineRule="exact"/>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w:t>
      </w:r>
      <w:r>
        <w:rPr>
          <w:rFonts w:hint="eastAsia" w:ascii="宋体" w:hAnsi="宋体" w:eastAsia="宋体" w:cs="宋体"/>
          <w:color w:val="auto"/>
          <w:highlight w:val="none"/>
        </w:rPr>
        <w:t>我方</w:t>
      </w:r>
      <w:r>
        <w:rPr>
          <w:rFonts w:hint="eastAsia" w:ascii="宋体" w:hAnsi="宋体" w:eastAsia="宋体" w:cs="宋体"/>
          <w:b w:val="0"/>
          <w:bCs/>
          <w:color w:val="auto"/>
          <w:szCs w:val="21"/>
          <w:highlight w:val="none"/>
        </w:rPr>
        <w:t>同意本</w:t>
      </w:r>
      <w:r>
        <w:rPr>
          <w:rFonts w:hint="eastAsia" w:ascii="宋体" w:hAnsi="宋体" w:eastAsia="宋体" w:cs="宋体"/>
          <w:b w:val="0"/>
          <w:bCs/>
          <w:color w:val="auto"/>
          <w:szCs w:val="21"/>
          <w:highlight w:val="none"/>
          <w:lang w:eastAsia="zh-CN"/>
        </w:rPr>
        <w:t>响应</w:t>
      </w:r>
      <w:r>
        <w:rPr>
          <w:rFonts w:hint="eastAsia" w:ascii="宋体" w:hAnsi="宋体" w:eastAsia="宋体" w:cs="宋体"/>
          <w:b w:val="0"/>
          <w:bCs/>
          <w:color w:val="auto"/>
          <w:szCs w:val="21"/>
          <w:highlight w:val="none"/>
        </w:rPr>
        <w:t>文件中</w:t>
      </w:r>
      <w:r>
        <w:rPr>
          <w:rFonts w:hint="eastAsia" w:ascii="宋体" w:hAnsi="宋体" w:eastAsia="宋体" w:cs="宋体"/>
          <w:b w:val="0"/>
          <w:bCs/>
          <w:color w:val="auto"/>
          <w:szCs w:val="21"/>
          <w:highlight w:val="none"/>
          <w:lang w:eastAsia="zh-CN"/>
        </w:rPr>
        <w:t>报价文件</w:t>
      </w:r>
      <w:r>
        <w:rPr>
          <w:rFonts w:hint="eastAsia" w:ascii="宋体" w:hAnsi="宋体" w:eastAsia="宋体" w:cs="宋体"/>
          <w:b w:val="0"/>
          <w:bCs/>
          <w:color w:val="auto"/>
          <w:szCs w:val="21"/>
          <w:highlight w:val="none"/>
        </w:rPr>
        <w:t>和</w:t>
      </w:r>
      <w:r>
        <w:rPr>
          <w:rFonts w:hint="eastAsia" w:ascii="宋体" w:hAnsi="宋体" w:eastAsia="宋体" w:cs="宋体"/>
          <w:b w:val="0"/>
          <w:bCs/>
          <w:color w:val="auto"/>
          <w:szCs w:val="21"/>
          <w:highlight w:val="none"/>
          <w:lang w:eastAsia="zh-CN"/>
        </w:rPr>
        <w:t>成交</w:t>
      </w:r>
      <w:r>
        <w:rPr>
          <w:rFonts w:hint="eastAsia" w:ascii="宋体" w:hAnsi="宋体" w:eastAsia="宋体" w:cs="宋体"/>
          <w:b w:val="0"/>
          <w:bCs/>
          <w:color w:val="auto"/>
          <w:szCs w:val="21"/>
          <w:highlight w:val="none"/>
        </w:rPr>
        <w:t>后签订的采购合同可用于公示，其中所有内容不涉及</w:t>
      </w: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商业秘密，并承诺可向</w:t>
      </w:r>
      <w:r>
        <w:rPr>
          <w:rFonts w:hint="eastAsia" w:ascii="宋体" w:hAnsi="宋体" w:eastAsia="宋体" w:cs="宋体"/>
          <w:b w:val="0"/>
          <w:bCs/>
          <w:color w:val="auto"/>
          <w:szCs w:val="21"/>
          <w:highlight w:val="none"/>
          <w:lang w:eastAsia="zh-CN"/>
        </w:rPr>
        <w:t>采购代理机构</w:t>
      </w:r>
      <w:r>
        <w:rPr>
          <w:rFonts w:hint="eastAsia" w:ascii="宋体" w:hAnsi="宋体" w:eastAsia="宋体" w:cs="宋体"/>
          <w:b w:val="0"/>
          <w:bCs/>
          <w:color w:val="auto"/>
          <w:szCs w:val="21"/>
          <w:highlight w:val="none"/>
        </w:rPr>
        <w:t>提供相关电子文档。</w:t>
      </w:r>
    </w:p>
    <w:p w14:paraId="5C00E70C">
      <w:pPr>
        <w:numPr>
          <w:ilvl w:val="0"/>
          <w:numId w:val="0"/>
        </w:numPr>
        <w:spacing w:line="460" w:lineRule="exact"/>
        <w:ind w:left="42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与本</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有关的一切正式往来信函请寄：</w:t>
      </w:r>
      <w:r>
        <w:rPr>
          <w:rFonts w:hint="eastAsia" w:ascii="宋体" w:hAnsi="宋体" w:eastAsia="宋体" w:cs="宋体"/>
          <w:color w:val="auto"/>
          <w:szCs w:val="21"/>
          <w:highlight w:val="none"/>
          <w:u w:val="single"/>
        </w:rPr>
        <w:t xml:space="preserve">                                 </w:t>
      </w:r>
    </w:p>
    <w:p w14:paraId="1BF3C209">
      <w:pPr>
        <w:snapToGrid w:val="0"/>
        <w:spacing w:line="37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2276BEF2">
      <w:pPr>
        <w:spacing w:line="400" w:lineRule="exact"/>
        <w:ind w:lef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电子邮箱：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EE2D8A9">
      <w:pPr>
        <w:spacing w:line="400" w:lineRule="exact"/>
        <w:ind w:left="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rPr>
        <w:t>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3BDFE89">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（全称）                             （电子</w:t>
      </w:r>
      <w:r>
        <w:rPr>
          <w:rFonts w:hint="eastAsia" w:ascii="宋体" w:hAnsi="宋体" w:cs="宋体"/>
          <w:color w:val="auto"/>
          <w:highlight w:val="none"/>
          <w:u w:val="single"/>
          <w:lang w:val="en-US" w:eastAsia="zh-CN"/>
        </w:rPr>
        <w:t>印</w:t>
      </w:r>
      <w:r>
        <w:rPr>
          <w:rFonts w:hint="eastAsia" w:ascii="宋体" w:hAnsi="宋体" w:eastAsia="宋体" w:cs="宋体"/>
          <w:color w:val="auto"/>
          <w:highlight w:val="none"/>
          <w:u w:val="single"/>
        </w:rPr>
        <w:t>章）</w:t>
      </w:r>
    </w:p>
    <w:p w14:paraId="2E346B62">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p>
    <w:p w14:paraId="028B047A">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单位地址：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6E795DE">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开票信息：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（填“专票”或“普票”）</w:t>
      </w:r>
      <w:r>
        <w:rPr>
          <w:rFonts w:hint="eastAsia" w:ascii="宋体" w:hAnsi="宋体" w:eastAsia="宋体" w:cs="宋体"/>
          <w:color w:val="auto"/>
          <w:szCs w:val="21"/>
          <w:highlight w:val="none"/>
          <w:u w:val="single"/>
        </w:rPr>
        <w:t xml:space="preserve">                                </w:t>
      </w:r>
    </w:p>
    <w:p w14:paraId="07E98780">
      <w:pPr>
        <w:snapToGrid w:val="0"/>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                               </w:t>
      </w:r>
    </w:p>
    <w:p w14:paraId="08C2BCAF">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开户银行名称：</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85CF6CF">
      <w:pPr>
        <w:spacing w:line="400" w:lineRule="exact"/>
        <w:ind w:lef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开户银行账号：</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589A130E">
      <w:pPr>
        <w:spacing w:line="400" w:lineRule="exact"/>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开户银行地址：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8CC87D2">
      <w:pPr>
        <w:spacing w:line="40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开户银行电话：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005EEDBF">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r>
        <w:rPr>
          <w:rFonts w:hint="eastAsia" w:ascii="宋体" w:hAnsi="宋体" w:eastAsia="宋体" w:cs="宋体"/>
          <w:color w:val="auto"/>
          <w:szCs w:val="21"/>
          <w:highlight w:val="none"/>
          <w:u w:val="single"/>
        </w:rPr>
        <w:t xml:space="preserve">         　　　　　　　　　  　      </w:t>
      </w:r>
    </w:p>
    <w:p w14:paraId="0BE68F5A">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法定代表人身份证号码：</w:t>
      </w:r>
      <w:r>
        <w:rPr>
          <w:rFonts w:hint="eastAsia" w:ascii="宋体" w:hAnsi="宋体" w:eastAsia="宋体" w:cs="宋体"/>
          <w:color w:val="auto"/>
          <w:szCs w:val="21"/>
          <w:highlight w:val="none"/>
          <w:u w:val="single"/>
        </w:rPr>
        <w:t xml:space="preserve">               　　　　        </w:t>
      </w:r>
    </w:p>
    <w:p w14:paraId="5405B729">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r>
        <w:rPr>
          <w:rFonts w:hint="eastAsia" w:ascii="宋体" w:hAnsi="宋体" w:eastAsia="宋体" w:cs="宋体"/>
          <w:color w:val="auto"/>
          <w:szCs w:val="21"/>
          <w:highlight w:val="none"/>
          <w:u w:val="single"/>
        </w:rPr>
        <w:t xml:space="preserve">        　　　　　　　　　　     </w:t>
      </w:r>
    </w:p>
    <w:p w14:paraId="41314147">
      <w:pPr>
        <w:snapToGrid w:val="0"/>
        <w:spacing w:line="420" w:lineRule="exact"/>
        <w:ind w:left="0"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授权委托代理人身份证号码：</w:t>
      </w:r>
      <w:r>
        <w:rPr>
          <w:rFonts w:hint="eastAsia" w:ascii="宋体" w:hAnsi="宋体" w:eastAsia="宋体" w:cs="宋体"/>
          <w:color w:val="auto"/>
          <w:szCs w:val="21"/>
          <w:highlight w:val="none"/>
          <w:u w:val="single"/>
        </w:rPr>
        <w:t xml:space="preserve">             　            </w:t>
      </w:r>
    </w:p>
    <w:p w14:paraId="1A9BB61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（签字）</w:t>
      </w:r>
    </w:p>
    <w:p w14:paraId="2C33FF7D">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74FCE247">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4580799C">
      <w:pPr>
        <w:spacing w:line="400" w:lineRule="exact"/>
        <w:rPr>
          <w:rFonts w:hint="eastAsia" w:ascii="宋体" w:hAnsi="宋体" w:eastAsia="宋体" w:cs="宋体"/>
          <w:b/>
          <w:bCs w:val="0"/>
          <w:color w:val="auto"/>
          <w:spacing w:val="0"/>
          <w:kern w:val="2"/>
          <w:sz w:val="24"/>
          <w:szCs w:val="24"/>
          <w:highlight w:val="none"/>
          <w:lang w:val="en-US" w:eastAsia="zh-CN" w:bidi="ar-SA"/>
        </w:rPr>
      </w:pPr>
    </w:p>
    <w:p w14:paraId="278AAC88">
      <w:pPr>
        <w:spacing w:line="400" w:lineRule="exact"/>
        <w:rPr>
          <w:rFonts w:hint="eastAsia" w:ascii="宋体" w:hAnsi="宋体" w:eastAsia="宋体" w:cs="宋体"/>
          <w:b/>
          <w:bCs w:val="0"/>
          <w:color w:val="auto"/>
          <w:spacing w:val="0"/>
          <w:kern w:val="2"/>
          <w:sz w:val="24"/>
          <w:szCs w:val="24"/>
          <w:highlight w:val="none"/>
          <w:lang w:val="en-US" w:eastAsia="zh-CN" w:bidi="ar-SA"/>
        </w:rPr>
      </w:pPr>
    </w:p>
    <w:bookmarkEnd w:id="1209"/>
    <w:bookmarkEnd w:id="1210"/>
    <w:p w14:paraId="3D91FBD3">
      <w:pPr>
        <w:shd w:val="clear" w:color="auto" w:fill="FFFFFF"/>
        <w:spacing w:after="96" w:afterLines="30"/>
        <w:ind w:firstLine="482" w:firstLineChars="200"/>
        <w:rPr>
          <w:rFonts w:hint="eastAsia" w:ascii="宋体" w:hAnsi="宋体" w:eastAsia="宋体" w:cs="宋体"/>
          <w:b/>
          <w:bCs/>
          <w:color w:val="auto"/>
          <w:sz w:val="24"/>
          <w:szCs w:val="24"/>
          <w:highlight w:val="none"/>
        </w:rPr>
      </w:pPr>
      <w:bookmarkStart w:id="1211" w:name="_Toc349558044"/>
      <w:bookmarkStart w:id="1212" w:name="_Toc349640339"/>
      <w:bookmarkStart w:id="1213" w:name="_Toc349215560"/>
      <w:bookmarkStart w:id="1214" w:name="_Toc349555832"/>
      <w:bookmarkStart w:id="1215" w:name="_Toc349557654"/>
      <w:bookmarkStart w:id="1216" w:name="_Toc349639687"/>
      <w:bookmarkStart w:id="1217" w:name="_Toc389065358"/>
      <w:bookmarkStart w:id="1218" w:name="_Toc424307490"/>
      <w:bookmarkStart w:id="1219" w:name="_Toc424307761"/>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.已标价工程量清单报价</w:t>
      </w:r>
    </w:p>
    <w:p w14:paraId="6BD04BD2">
      <w:pPr>
        <w:pStyle w:val="2"/>
        <w:pageBreakBefore w:val="0"/>
        <w:widowControl w:val="0"/>
        <w:kinsoku/>
        <w:wordWrap/>
        <w:overflowPunct/>
        <w:topLinePunct w:val="0"/>
        <w:autoSpaceDE/>
        <w:autoSpaceDN/>
        <w:bidi w:val="0"/>
        <w:adjustRightInd/>
        <w:snapToGrid/>
        <w:spacing w:before="0" w:after="0" w:line="240" w:lineRule="auto"/>
        <w:ind w:firstLine="596"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w w:val="99"/>
          <w:kern w:val="0"/>
          <w:sz w:val="30"/>
          <w:szCs w:val="32"/>
        </w:rPr>
        <w:t>已标价的工程量清单（含报价编制说明、分项报价表等）（必须提供）</w:t>
      </w:r>
    </w:p>
    <w:p w14:paraId="0575C078">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3A92CA82">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5A9454AB">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b/>
          <w:bCs/>
          <w:color w:val="auto"/>
          <w:kern w:val="2"/>
          <w:sz w:val="24"/>
          <w:szCs w:val="24"/>
          <w:highlight w:val="none"/>
          <w:lang w:val="en-US" w:eastAsia="zh-CN" w:bidi="ar-SA"/>
        </w:rPr>
      </w:pPr>
    </w:p>
    <w:p w14:paraId="42EF7406">
      <w:pPr>
        <w:shd w:val="clear" w:color="auto" w:fill="FFFFFF"/>
        <w:spacing w:after="96" w:afterLines="30"/>
        <w:rPr>
          <w:rFonts w:hint="eastAsia" w:ascii="宋体" w:hAnsi="宋体" w:eastAsia="宋体" w:cs="宋体"/>
          <w:b/>
          <w:bCs/>
          <w:color w:val="auto"/>
          <w:szCs w:val="21"/>
          <w:highlight w:val="none"/>
          <w:lang w:val="en-US" w:eastAsia="zh-CN"/>
        </w:rPr>
      </w:pPr>
    </w:p>
    <w:bookmarkEnd w:id="1211"/>
    <w:bookmarkEnd w:id="1212"/>
    <w:bookmarkEnd w:id="1213"/>
    <w:bookmarkEnd w:id="1214"/>
    <w:bookmarkEnd w:id="1215"/>
    <w:bookmarkEnd w:id="1216"/>
    <w:bookmarkEnd w:id="1217"/>
    <w:p w14:paraId="7B245286">
      <w:pPr>
        <w:pStyle w:val="15"/>
        <w:rPr>
          <w:rFonts w:hint="eastAsia"/>
          <w:color w:val="auto"/>
          <w:lang w:val="en-US" w:eastAsia="zh-CN"/>
        </w:rPr>
      </w:pPr>
    </w:p>
    <w:p w14:paraId="2E3DDF3D">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6AE6E63">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030234A6">
      <w:pPr>
        <w:shd w:val="clear" w:color="auto" w:fill="FFFFFF"/>
        <w:spacing w:after="96" w:afterLines="30"/>
        <w:ind w:firstLine="422" w:firstLineChars="200"/>
        <w:rPr>
          <w:rFonts w:hint="eastAsia" w:ascii="宋体" w:hAnsi="宋体" w:cs="宋体"/>
          <w:b/>
          <w:bCs/>
          <w:color w:val="auto"/>
          <w:szCs w:val="21"/>
          <w:highlight w:val="none"/>
          <w:lang w:val="en-US" w:eastAsia="zh-CN"/>
        </w:rPr>
      </w:pPr>
    </w:p>
    <w:p w14:paraId="732C1F96">
      <w:pPr>
        <w:shd w:val="clear" w:color="auto" w:fill="FFFFFF"/>
        <w:spacing w:after="96" w:afterLines="30"/>
        <w:ind w:firstLine="0" w:firstLineChars="0"/>
        <w:rPr>
          <w:rFonts w:hint="eastAsia" w:ascii="宋体" w:hAnsi="宋体" w:cs="宋体"/>
          <w:b/>
          <w:bCs/>
          <w:color w:val="auto"/>
          <w:szCs w:val="21"/>
          <w:highlight w:val="none"/>
          <w:lang w:val="en-US" w:eastAsia="zh-CN"/>
        </w:rPr>
      </w:pPr>
    </w:p>
    <w:bookmarkEnd w:id="1218"/>
    <w:bookmarkEnd w:id="1219"/>
    <w:p w14:paraId="2F03E390">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w:t>
      </w:r>
      <w:r>
        <w:rPr>
          <w:rFonts w:hint="eastAsia" w:ascii="宋体" w:hAnsi="宋体" w:eastAsia="宋体" w:cs="宋体"/>
          <w:b/>
          <w:bCs/>
          <w:color w:val="auto"/>
          <w:sz w:val="24"/>
          <w:szCs w:val="24"/>
          <w:highlight w:val="none"/>
        </w:rPr>
        <w:t>磋商文件规定必须提供以外，供应商认为需要提供的</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eastAsia="zh-CN"/>
        </w:rPr>
        <w:t>。</w:t>
      </w:r>
    </w:p>
    <w:p w14:paraId="38058F35">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2347C671">
      <w:pPr>
        <w:spacing w:line="480" w:lineRule="auto"/>
        <w:jc w:val="both"/>
        <w:rPr>
          <w:rFonts w:hint="eastAsia" w:ascii="宋体" w:hAnsi="宋体" w:eastAsia="宋体" w:cs="宋体"/>
          <w:b/>
          <w:bCs/>
          <w:color w:val="auto"/>
          <w:sz w:val="48"/>
          <w:szCs w:val="48"/>
          <w:highlight w:val="none"/>
        </w:rPr>
      </w:pPr>
    </w:p>
    <w:p w14:paraId="3324AB27">
      <w:pPr>
        <w:spacing w:line="480" w:lineRule="auto"/>
        <w:jc w:val="both"/>
        <w:rPr>
          <w:rFonts w:hint="eastAsia" w:ascii="宋体" w:hAnsi="宋体" w:eastAsia="宋体" w:cs="宋体"/>
          <w:b/>
          <w:bCs/>
          <w:color w:val="auto"/>
          <w:sz w:val="48"/>
          <w:szCs w:val="48"/>
          <w:highlight w:val="none"/>
        </w:rPr>
      </w:pPr>
    </w:p>
    <w:p w14:paraId="744897CB">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0F963F8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65A7CB68">
      <w:pPr>
        <w:spacing w:line="480" w:lineRule="auto"/>
        <w:ind w:left="361" w:leftChars="172" w:firstLine="964" w:firstLineChars="200"/>
        <w:jc w:val="center"/>
        <w:rPr>
          <w:rFonts w:hint="eastAsia" w:ascii="宋体" w:hAnsi="宋体" w:eastAsia="宋体" w:cs="宋体"/>
          <w:b/>
          <w:bCs/>
          <w:color w:val="auto"/>
          <w:sz w:val="48"/>
          <w:szCs w:val="48"/>
          <w:highlight w:val="none"/>
        </w:rPr>
      </w:pPr>
    </w:p>
    <w:p w14:paraId="46EE4742">
      <w:pPr>
        <w:spacing w:line="240" w:lineRule="auto"/>
        <w:ind w:left="0" w:leftChars="0" w:firstLine="964" w:firstLineChars="200"/>
        <w:jc w:val="left"/>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br w:type="page"/>
      </w:r>
    </w:p>
    <w:p w14:paraId="4AEB1004">
      <w:pPr>
        <w:spacing w:line="480" w:lineRule="auto"/>
        <w:ind w:left="361" w:leftChars="172" w:firstLine="964" w:firstLineChars="20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响应文件</w:t>
      </w:r>
    </w:p>
    <w:p w14:paraId="5F60C11D">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17A3DFF">
      <w:pPr>
        <w:spacing w:line="480" w:lineRule="auto"/>
        <w:ind w:left="361" w:leftChars="172" w:firstLine="723" w:firstLineChars="200"/>
        <w:jc w:val="center"/>
        <w:rPr>
          <w:rFonts w:hint="eastAsia" w:ascii="宋体" w:hAnsi="宋体" w:eastAsia="宋体" w:cs="宋体"/>
          <w:b/>
          <w:bCs/>
          <w:color w:val="auto"/>
          <w:sz w:val="36"/>
          <w:szCs w:val="36"/>
          <w:highlight w:val="none"/>
        </w:rPr>
      </w:pPr>
    </w:p>
    <w:p w14:paraId="13C33D6B">
      <w:pPr>
        <w:spacing w:line="480" w:lineRule="auto"/>
        <w:ind w:left="361" w:leftChars="172" w:firstLine="723" w:firstLineChars="20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商务</w:t>
      </w:r>
      <w:r>
        <w:rPr>
          <w:rFonts w:hint="eastAsia" w:ascii="宋体" w:hAnsi="宋体" w:eastAsia="宋体" w:cs="宋体"/>
          <w:b/>
          <w:bCs/>
          <w:color w:val="auto"/>
          <w:sz w:val="36"/>
          <w:szCs w:val="36"/>
          <w:highlight w:val="none"/>
        </w:rPr>
        <w:t>技术</w:t>
      </w:r>
      <w:r>
        <w:rPr>
          <w:rFonts w:hint="eastAsia" w:ascii="宋体" w:hAnsi="宋体" w:cs="宋体"/>
          <w:b/>
          <w:bCs/>
          <w:color w:val="auto"/>
          <w:sz w:val="36"/>
          <w:szCs w:val="36"/>
          <w:highlight w:val="none"/>
          <w:lang w:val="en-US" w:eastAsia="zh-CN"/>
        </w:rPr>
        <w:t>标文件</w:t>
      </w:r>
    </w:p>
    <w:p w14:paraId="6748749D">
      <w:pPr>
        <w:pStyle w:val="13"/>
        <w:spacing w:line="480" w:lineRule="auto"/>
        <w:ind w:firstLine="600" w:firstLineChars="200"/>
        <w:rPr>
          <w:rFonts w:hint="eastAsia" w:ascii="宋体" w:hAnsi="宋体" w:eastAsia="宋体" w:cs="宋体"/>
          <w:color w:val="auto"/>
          <w:sz w:val="30"/>
          <w:szCs w:val="30"/>
          <w:highlight w:val="none"/>
        </w:rPr>
      </w:pPr>
    </w:p>
    <w:p w14:paraId="51A513E4">
      <w:pPr>
        <w:pStyle w:val="13"/>
        <w:spacing w:line="480" w:lineRule="auto"/>
        <w:ind w:firstLine="600" w:firstLineChars="200"/>
        <w:rPr>
          <w:rFonts w:hint="eastAsia" w:ascii="宋体" w:hAnsi="宋体" w:eastAsia="宋体" w:cs="宋体"/>
          <w:color w:val="auto"/>
          <w:sz w:val="30"/>
          <w:szCs w:val="30"/>
          <w:highlight w:val="none"/>
        </w:rPr>
      </w:pPr>
    </w:p>
    <w:p w14:paraId="2CDDB2F4">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21101919">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2828F6F3">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38446951">
      <w:pPr>
        <w:pStyle w:val="13"/>
        <w:spacing w:line="48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      年   月   日</w:t>
      </w:r>
    </w:p>
    <w:p w14:paraId="1765D6DF">
      <w:pPr>
        <w:shd w:val="clear" w:color="auto" w:fill="FFFFFF"/>
        <w:spacing w:line="440" w:lineRule="exact"/>
        <w:jc w:val="both"/>
        <w:rPr>
          <w:rFonts w:hint="eastAsia" w:ascii="宋体" w:hAnsi="宋体" w:eastAsia="宋体" w:cs="宋体"/>
          <w:b/>
          <w:bCs/>
          <w:color w:val="auto"/>
          <w:sz w:val="24"/>
          <w:szCs w:val="24"/>
          <w:highlight w:val="none"/>
        </w:rPr>
        <w:sectPr>
          <w:headerReference r:id="rId5" w:type="default"/>
          <w:footerReference r:id="rId6" w:type="default"/>
          <w:pgSz w:w="11906" w:h="16838"/>
          <w:pgMar w:top="1020" w:right="1191" w:bottom="1021" w:left="1304" w:header="1247" w:footer="850" w:gutter="0"/>
          <w:pgNumType w:fmt="decimal"/>
          <w:cols w:space="720" w:num="1"/>
          <w:docGrid w:type="lines" w:linePitch="320" w:charSpace="0"/>
        </w:sectPr>
      </w:pPr>
      <w:bookmarkStart w:id="1220" w:name="_Toc424307764"/>
      <w:bookmarkStart w:id="1221" w:name="_Toc424307492"/>
    </w:p>
    <w:bookmarkEnd w:id="1220"/>
    <w:bookmarkEnd w:id="1221"/>
    <w:p w14:paraId="0D634822">
      <w:pPr>
        <w:pStyle w:val="13"/>
        <w:shd w:val="clear" w:color="auto" w:fill="FFFFFF"/>
        <w:spacing w:before="160" w:beforeLines="50" w:line="360" w:lineRule="exact"/>
        <w:ind w:firstLine="482" w:firstLineChars="200"/>
        <w:rPr>
          <w:rFonts w:hint="eastAsia" w:ascii="宋体" w:hAnsi="宋体" w:eastAsia="宋体" w:cs="宋体"/>
          <w:b/>
          <w:color w:val="auto"/>
          <w:sz w:val="24"/>
          <w:szCs w:val="24"/>
          <w:highlight w:val="none"/>
        </w:rPr>
      </w:pPr>
      <w:bookmarkStart w:id="1222" w:name="_Toc424307769"/>
      <w:r>
        <w:rPr>
          <w:rFonts w:hint="eastAsia" w:ascii="宋体" w:hAnsi="宋体" w:eastAsia="宋体" w:cs="宋体"/>
          <w:b/>
          <w:color w:val="auto"/>
          <w:sz w:val="24"/>
          <w:szCs w:val="24"/>
          <w:highlight w:val="none"/>
        </w:rPr>
        <w:t>1.法定代表人身份证明书（格式）</w:t>
      </w:r>
    </w:p>
    <w:p w14:paraId="277CC831">
      <w:pPr>
        <w:shd w:val="clear" w:color="auto" w:fill="FFFFFF"/>
        <w:spacing w:line="360" w:lineRule="exact"/>
        <w:ind w:firstLine="420" w:firstLineChars="200"/>
        <w:rPr>
          <w:rFonts w:hint="eastAsia" w:ascii="宋体" w:hAnsi="宋体" w:eastAsia="宋体" w:cs="宋体"/>
          <w:color w:val="auto"/>
          <w:szCs w:val="21"/>
          <w:highlight w:val="none"/>
        </w:rPr>
      </w:pPr>
    </w:p>
    <w:p w14:paraId="05C916E6">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p>
    <w:p w14:paraId="32F9A5CE">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048F5A20">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B73A324">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A012088">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7254C48E">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26B4093B">
      <w:pPr>
        <w:shd w:val="clear" w:color="auto" w:fill="FFFFFF"/>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4473210">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33100C4">
      <w:pPr>
        <w:shd w:val="clear" w:color="auto" w:fill="FFFFFF"/>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15DC62A3">
      <w:pPr>
        <w:pStyle w:val="13"/>
        <w:shd w:val="clear" w:color="auto" w:fill="FFFFFF"/>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5AF400D9">
      <w:pPr>
        <w:pStyle w:val="13"/>
        <w:shd w:val="clear" w:color="auto" w:fill="FFFFFF"/>
        <w:spacing w:line="360" w:lineRule="exact"/>
        <w:ind w:firstLine="420" w:firstLineChars="200"/>
        <w:jc w:val="right"/>
        <w:rPr>
          <w:rFonts w:hint="eastAsia" w:ascii="宋体" w:hAnsi="宋体" w:eastAsia="宋体" w:cs="宋体"/>
          <w:color w:val="auto"/>
          <w:highlight w:val="none"/>
        </w:rPr>
      </w:pPr>
    </w:p>
    <w:p w14:paraId="3A18D817">
      <w:pPr>
        <w:pStyle w:val="13"/>
        <w:shd w:val="clear" w:color="auto" w:fill="FFFFFF"/>
        <w:spacing w:line="360" w:lineRule="exact"/>
        <w:ind w:firstLine="420" w:firstLineChars="200"/>
        <w:jc w:val="right"/>
        <w:rPr>
          <w:rFonts w:hint="eastAsia" w:ascii="宋体" w:hAnsi="宋体" w:eastAsia="宋体" w:cs="宋体"/>
          <w:color w:val="auto"/>
          <w:highlight w:val="none"/>
        </w:rPr>
      </w:pPr>
    </w:p>
    <w:p w14:paraId="3D4B92D8">
      <w:pPr>
        <w:pStyle w:val="13"/>
        <w:shd w:val="clear" w:color="auto" w:fill="FFFFFF"/>
        <w:spacing w:line="360" w:lineRule="exact"/>
        <w:ind w:firstLine="420" w:firstLineChars="200"/>
        <w:jc w:val="right"/>
        <w:rPr>
          <w:rFonts w:hint="eastAsia" w:ascii="宋体" w:hAnsi="宋体" w:eastAsia="宋体" w:cs="宋体"/>
          <w:color w:val="auto"/>
          <w:highlight w:val="none"/>
        </w:rPr>
      </w:pPr>
    </w:p>
    <w:p w14:paraId="756D5AF8">
      <w:pPr>
        <w:pStyle w:val="13"/>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p>
    <w:p w14:paraId="3CB073F9">
      <w:pPr>
        <w:pStyle w:val="13"/>
        <w:shd w:val="clear" w:color="auto" w:fill="FFFFFF"/>
        <w:spacing w:line="36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E16E39F">
      <w:pPr>
        <w:pStyle w:val="13"/>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7A812E5F">
      <w:pPr>
        <w:pStyle w:val="13"/>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77A4C4BF">
      <w:pPr>
        <w:pStyle w:val="13"/>
        <w:shd w:val="clear" w:color="auto" w:fill="FFFFFF"/>
        <w:spacing w:line="360" w:lineRule="exact"/>
        <w:ind w:firstLine="602" w:firstLineChars="200"/>
        <w:jc w:val="center"/>
        <w:rPr>
          <w:rFonts w:hint="eastAsia" w:ascii="宋体" w:hAnsi="宋体" w:eastAsia="宋体" w:cs="宋体"/>
          <w:b/>
          <w:color w:val="auto"/>
          <w:sz w:val="30"/>
          <w:szCs w:val="30"/>
          <w:highlight w:val="none"/>
        </w:rPr>
      </w:pPr>
    </w:p>
    <w:p w14:paraId="7EC9863A">
      <w:pPr>
        <w:pStyle w:val="13"/>
        <w:shd w:val="clear" w:color="auto" w:fill="FFFFFF"/>
        <w:spacing w:line="360" w:lineRule="exact"/>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法定代表人有效身份证正反面复印件</w:t>
      </w:r>
    </w:p>
    <w:p w14:paraId="7310FA9E">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4268023E">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4B7D6FED">
      <w:pPr>
        <w:pStyle w:val="13"/>
        <w:shd w:val="clear" w:color="auto" w:fill="FFFFFF"/>
        <w:spacing w:line="360" w:lineRule="exact"/>
        <w:rPr>
          <w:rFonts w:hint="eastAsia" w:ascii="宋体" w:hAnsi="宋体" w:eastAsia="宋体" w:cs="宋体"/>
          <w:b/>
          <w:color w:val="auto"/>
          <w:sz w:val="24"/>
          <w:szCs w:val="24"/>
          <w:highlight w:val="none"/>
        </w:rPr>
      </w:pPr>
    </w:p>
    <w:p w14:paraId="55482516">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5415FC96">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5C9A4164">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02B40D95">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3174CD74">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6B8237D1">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5AD0913D">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5EBB50FB">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0D336CDD">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502AA20E">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229F50FF">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p>
    <w:p w14:paraId="463EE1ED">
      <w:pPr>
        <w:pStyle w:val="13"/>
        <w:shd w:val="clear" w:color="auto" w:fill="FFFFFF"/>
        <w:spacing w:line="360" w:lineRule="exact"/>
        <w:rPr>
          <w:rFonts w:hint="eastAsia" w:ascii="宋体" w:hAnsi="宋体" w:eastAsia="宋体" w:cs="宋体"/>
          <w:b/>
          <w:color w:val="auto"/>
          <w:sz w:val="24"/>
          <w:szCs w:val="24"/>
          <w:highlight w:val="none"/>
        </w:rPr>
      </w:pPr>
    </w:p>
    <w:p w14:paraId="0D2A9B50">
      <w:pPr>
        <w:shd w:val="clear" w:color="auto" w:fill="FFFFFF"/>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C8F19EE">
      <w:pPr>
        <w:pStyle w:val="13"/>
        <w:shd w:val="clear" w:color="auto" w:fill="FFFFFF"/>
        <w:spacing w:line="3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2.授权委托书（格式）</w:t>
      </w:r>
    </w:p>
    <w:p w14:paraId="6B5051EB">
      <w:pPr>
        <w:pStyle w:val="13"/>
        <w:shd w:val="clear" w:color="auto" w:fill="FFFFFF"/>
        <w:spacing w:line="360" w:lineRule="exact"/>
        <w:ind w:firstLine="420" w:firstLineChars="200"/>
        <w:rPr>
          <w:rFonts w:hint="eastAsia" w:ascii="宋体" w:hAnsi="宋体" w:eastAsia="宋体" w:cs="宋体"/>
          <w:color w:val="auto"/>
          <w:highlight w:val="none"/>
        </w:rPr>
      </w:pPr>
    </w:p>
    <w:p w14:paraId="0BE40C6B">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本授权委托书声明：我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(供应商名称)的法定代表人，现授权委托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(姓名)为我单位代理人，以本单位的名义参加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hAnsi="宋体" w:cs="宋体"/>
          <w:color w:val="auto"/>
          <w:highlight w:val="none"/>
          <w:lang w:eastAsia="zh-CN"/>
        </w:rPr>
        <w:t>磋商</w:t>
      </w:r>
      <w:r>
        <w:rPr>
          <w:rFonts w:hint="eastAsia" w:ascii="宋体" w:hAnsi="宋体" w:eastAsia="宋体" w:cs="宋体"/>
          <w:color w:val="auto"/>
          <w:highlight w:val="none"/>
        </w:rPr>
        <w:t>活动，代理人在</w:t>
      </w:r>
      <w:r>
        <w:rPr>
          <w:rFonts w:hint="eastAsia" w:hAnsi="宋体" w:cs="宋体"/>
          <w:color w:val="auto"/>
          <w:highlight w:val="none"/>
          <w:lang w:eastAsia="zh-CN"/>
        </w:rPr>
        <w:t>磋商</w:t>
      </w:r>
      <w:r>
        <w:rPr>
          <w:rFonts w:hint="eastAsia" w:ascii="宋体" w:hAnsi="宋体" w:eastAsia="宋体" w:cs="宋体"/>
          <w:color w:val="auto"/>
          <w:highlight w:val="none"/>
        </w:rPr>
        <w:t>过程中所签署的一切文件和处理与之有关的一切事务，我均予以承认。</w:t>
      </w:r>
    </w:p>
    <w:p w14:paraId="5A21D35C">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特此委托。</w:t>
      </w:r>
    </w:p>
    <w:p w14:paraId="7D308E0D">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附：代理人有效身份证正反面复印件</w:t>
      </w:r>
    </w:p>
    <w:p w14:paraId="21F1A0AC">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rPr>
        <w:t>代理人：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性别：</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年龄：</w:t>
      </w:r>
      <w:r>
        <w:rPr>
          <w:rFonts w:hint="eastAsia" w:hAnsi="宋体" w:cs="宋体"/>
          <w:color w:val="auto"/>
          <w:highlight w:val="none"/>
          <w:u w:val="none"/>
          <w:lang w:val="en-US" w:eastAsia="zh-CN"/>
        </w:rPr>
        <w:t xml:space="preserve">       </w:t>
      </w:r>
    </w:p>
    <w:p w14:paraId="06D60EA0">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部门：</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rPr>
        <w:t xml:space="preserve">      职务：</w:t>
      </w:r>
      <w:r>
        <w:rPr>
          <w:rFonts w:hint="eastAsia" w:hAnsi="宋体" w:cs="宋体"/>
          <w:color w:val="auto"/>
          <w:highlight w:val="none"/>
          <w:u w:val="single"/>
          <w:lang w:val="en-US" w:eastAsia="zh-CN"/>
        </w:rPr>
        <w:t xml:space="preserve">       </w:t>
      </w:r>
    </w:p>
    <w:p w14:paraId="3B10A73D">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rPr>
        <w:t>身份证号码：</w:t>
      </w:r>
      <w:r>
        <w:rPr>
          <w:rFonts w:hint="eastAsia" w:hAnsi="宋体" w:cs="宋体"/>
          <w:color w:val="auto"/>
          <w:highlight w:val="none"/>
          <w:u w:val="none"/>
          <w:lang w:val="en-US" w:eastAsia="zh-CN"/>
        </w:rPr>
        <w:t xml:space="preserve">       </w:t>
      </w:r>
    </w:p>
    <w:p w14:paraId="6E3354EB">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供应商：(电子</w:t>
      </w:r>
      <w:r>
        <w:rPr>
          <w:rFonts w:hint="eastAsia" w:hAnsi="宋体" w:cs="宋体"/>
          <w:color w:val="auto"/>
          <w:highlight w:val="none"/>
          <w:lang w:val="en-US" w:eastAsia="zh-CN"/>
        </w:rPr>
        <w:t>印</w:t>
      </w:r>
      <w:r>
        <w:rPr>
          <w:rFonts w:hint="eastAsia" w:ascii="宋体" w:hAnsi="宋体" w:eastAsia="宋体" w:cs="宋体"/>
          <w:color w:val="auto"/>
          <w:highlight w:val="none"/>
        </w:rPr>
        <w:t>章)</w:t>
      </w:r>
      <w:r>
        <w:rPr>
          <w:rFonts w:hint="eastAsia" w:hAnsi="宋体" w:cs="宋体"/>
          <w:color w:val="auto"/>
          <w:highlight w:val="none"/>
          <w:u w:val="single"/>
          <w:lang w:val="en-US" w:eastAsia="zh-CN"/>
        </w:rPr>
        <w:t xml:space="preserve">       </w:t>
      </w:r>
    </w:p>
    <w:p w14:paraId="798033A0">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(签字)</w:t>
      </w:r>
      <w:r>
        <w:rPr>
          <w:rFonts w:hint="eastAsia" w:hAnsi="宋体" w:cs="宋体"/>
          <w:color w:val="auto"/>
          <w:highlight w:val="none"/>
          <w:u w:val="single"/>
          <w:lang w:val="en-US" w:eastAsia="zh-CN"/>
        </w:rPr>
        <w:t xml:space="preserve">       </w:t>
      </w:r>
    </w:p>
    <w:p w14:paraId="59133646">
      <w:pPr>
        <w:pStyle w:val="13"/>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年  月  日</w:t>
      </w:r>
      <w:r>
        <w:rPr>
          <w:rFonts w:hint="eastAsia" w:ascii="宋体" w:hAnsi="宋体" w:eastAsia="宋体" w:cs="宋体"/>
          <w:color w:val="auto"/>
          <w:highlight w:val="none"/>
        </w:rPr>
        <w:t xml:space="preserve"> 至</w:t>
      </w:r>
      <w:r>
        <w:rPr>
          <w:rFonts w:hint="eastAsia" w:ascii="宋体" w:hAnsi="宋体" w:eastAsia="宋体" w:cs="宋体"/>
          <w:color w:val="auto"/>
          <w:highlight w:val="none"/>
          <w:u w:val="single"/>
        </w:rPr>
        <w:t xml:space="preserve">     年  月  日</w:t>
      </w:r>
    </w:p>
    <w:p w14:paraId="03046798">
      <w:pPr>
        <w:pStyle w:val="13"/>
        <w:shd w:val="clear" w:color="auto" w:fill="FFFFFF"/>
        <w:spacing w:line="360" w:lineRule="exact"/>
        <w:ind w:firstLine="5250" w:firstLineChars="2500"/>
        <w:jc w:val="left"/>
        <w:rPr>
          <w:rFonts w:hint="eastAsia" w:ascii="宋体" w:hAnsi="宋体" w:eastAsia="宋体" w:cs="宋体"/>
          <w:color w:val="auto"/>
          <w:highlight w:val="none"/>
        </w:rPr>
      </w:pPr>
    </w:p>
    <w:p w14:paraId="117E0B04">
      <w:pPr>
        <w:pStyle w:val="13"/>
        <w:shd w:val="clear" w:color="auto" w:fill="FFFFFF"/>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03C41D4">
      <w:pPr>
        <w:pStyle w:val="13"/>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39EDF082">
      <w:pPr>
        <w:pStyle w:val="13"/>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p>
    <w:p w14:paraId="037E6818">
      <w:pPr>
        <w:pStyle w:val="13"/>
        <w:shd w:val="clear" w:color="auto" w:fill="FFFFFF"/>
        <w:spacing w:line="36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授权委托代理人有效身份证正反面复印件</w:t>
      </w:r>
    </w:p>
    <w:p w14:paraId="325CF8A1">
      <w:pPr>
        <w:pStyle w:val="13"/>
        <w:shd w:val="clear" w:color="auto" w:fill="FFFFFF"/>
        <w:spacing w:before="160" w:beforeLines="50" w:line="360" w:lineRule="exact"/>
        <w:ind w:firstLine="482" w:firstLineChars="200"/>
        <w:rPr>
          <w:rFonts w:hint="eastAsia" w:hAnsi="宋体" w:cs="宋体"/>
          <w:b/>
          <w:color w:val="auto"/>
          <w:sz w:val="24"/>
          <w:szCs w:val="24"/>
          <w:highlight w:val="none"/>
          <w:lang w:val="en-US" w:eastAsia="zh-CN"/>
        </w:rPr>
      </w:pPr>
    </w:p>
    <w:p w14:paraId="0E13F25C">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364EE797">
      <w:pPr>
        <w:numPr>
          <w:ilvl w:val="-1"/>
          <w:numId w:val="0"/>
        </w:numPr>
        <w:shd w:val="clear" w:color="auto" w:fill="FFFFFF"/>
        <w:spacing w:after="96" w:afterLines="30"/>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农民工工资保障承诺书（格式自拟）</w:t>
      </w:r>
    </w:p>
    <w:p w14:paraId="47BEC843">
      <w:pPr>
        <w:spacing w:line="400" w:lineRule="exact"/>
        <w:rPr>
          <w:rFonts w:hint="eastAsia" w:ascii="宋体" w:hAnsi="宋体" w:cs="宋体"/>
          <w:b/>
          <w:bCs/>
          <w:color w:val="auto"/>
          <w:sz w:val="24"/>
          <w:szCs w:val="24"/>
          <w:highlight w:val="none"/>
          <w:lang w:val="en-US" w:eastAsia="zh-CN"/>
        </w:rPr>
      </w:pPr>
    </w:p>
    <w:p w14:paraId="1FD54015">
      <w:pPr>
        <w:spacing w:line="400" w:lineRule="exact"/>
        <w:ind w:firstLine="482" w:firstLineChars="20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cs="宋体"/>
          <w:b/>
          <w:bCs/>
          <w:color w:val="auto"/>
          <w:sz w:val="24"/>
          <w:szCs w:val="24"/>
          <w:highlight w:val="none"/>
          <w:lang w:val="en-US" w:eastAsia="zh-CN"/>
        </w:rPr>
        <w:t>4.</w:t>
      </w:r>
      <w:r>
        <w:rPr>
          <w:rFonts w:hint="eastAsia" w:ascii="宋体" w:hAnsi="宋体" w:eastAsia="宋体" w:cs="宋体"/>
          <w:b/>
          <w:bCs w:val="0"/>
          <w:color w:val="auto"/>
          <w:spacing w:val="0"/>
          <w:kern w:val="2"/>
          <w:sz w:val="24"/>
          <w:szCs w:val="24"/>
          <w:highlight w:val="none"/>
          <w:lang w:val="en-US" w:eastAsia="zh-CN" w:bidi="ar-SA"/>
        </w:rPr>
        <w:t>磋商函附录</w:t>
      </w:r>
    </w:p>
    <w:p w14:paraId="6F61821A">
      <w:pPr>
        <w:shd w:val="clear" w:color="auto" w:fill="FFFFFF"/>
        <w:spacing w:after="96" w:afterLines="30"/>
        <w:ind w:firstLine="420" w:firstLineChars="200"/>
        <w:rPr>
          <w:rFonts w:hint="eastAsia" w:ascii="宋体" w:hAnsi="宋体" w:eastAsia="宋体" w:cs="宋体"/>
          <w:color w:val="auto"/>
          <w:szCs w:val="21"/>
          <w:highlight w:val="none"/>
        </w:rPr>
      </w:pPr>
    </w:p>
    <w:p w14:paraId="4B9D3B88">
      <w:pPr>
        <w:shd w:val="clear" w:color="auto" w:fill="FFFFFF"/>
        <w:spacing w:after="96" w:afterLines="30"/>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14:paraId="1CF0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61104B">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43" w:type="dxa"/>
            <w:noWrap w:val="0"/>
            <w:vAlign w:val="center"/>
          </w:tcPr>
          <w:p w14:paraId="179127A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295" w:type="dxa"/>
            <w:noWrap w:val="0"/>
            <w:vAlign w:val="center"/>
          </w:tcPr>
          <w:p w14:paraId="4AAF7CE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142" w:type="dxa"/>
            <w:noWrap w:val="0"/>
            <w:vAlign w:val="center"/>
          </w:tcPr>
          <w:p w14:paraId="0758291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989" w:type="dxa"/>
            <w:noWrap w:val="0"/>
            <w:vAlign w:val="center"/>
          </w:tcPr>
          <w:p w14:paraId="556ACCED">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EBF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5B25C03F">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3" w:type="dxa"/>
            <w:noWrap w:val="0"/>
            <w:vAlign w:val="center"/>
          </w:tcPr>
          <w:p w14:paraId="2785233E">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295" w:type="dxa"/>
            <w:noWrap w:val="0"/>
            <w:tcMar>
              <w:left w:w="170" w:type="dxa"/>
            </w:tcMar>
            <w:vAlign w:val="center"/>
          </w:tcPr>
          <w:p w14:paraId="03D68D1E">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142" w:type="dxa"/>
            <w:noWrap w:val="0"/>
            <w:vAlign w:val="center"/>
          </w:tcPr>
          <w:p w14:paraId="627D8939">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989" w:type="dxa"/>
            <w:noWrap w:val="0"/>
            <w:vAlign w:val="center"/>
          </w:tcPr>
          <w:p w14:paraId="0CAD5F8C">
            <w:pPr>
              <w:shd w:val="clear" w:color="auto" w:fill="FFFFFF"/>
              <w:jc w:val="center"/>
              <w:rPr>
                <w:rFonts w:hint="eastAsia" w:ascii="宋体" w:hAnsi="宋体" w:eastAsia="宋体" w:cs="宋体"/>
                <w:color w:val="auto"/>
                <w:szCs w:val="21"/>
                <w:highlight w:val="none"/>
              </w:rPr>
            </w:pPr>
          </w:p>
        </w:tc>
      </w:tr>
      <w:tr w14:paraId="342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0293C56">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43" w:type="dxa"/>
            <w:noWrap w:val="0"/>
            <w:vAlign w:val="center"/>
          </w:tcPr>
          <w:p w14:paraId="3345B260">
            <w:pPr>
              <w:shd w:val="clear" w:color="auto" w:fill="FFFFFF"/>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竞标有效期</w:t>
            </w:r>
          </w:p>
        </w:tc>
        <w:tc>
          <w:tcPr>
            <w:tcW w:w="2295" w:type="dxa"/>
            <w:noWrap w:val="0"/>
            <w:tcMar>
              <w:left w:w="170" w:type="dxa"/>
            </w:tcMar>
            <w:vAlign w:val="center"/>
          </w:tcPr>
          <w:p w14:paraId="105B9298">
            <w:pPr>
              <w:shd w:val="clear" w:color="auto" w:fill="FFFFFF"/>
              <w:rPr>
                <w:rFonts w:hint="eastAsia" w:ascii="宋体" w:hAnsi="宋体" w:eastAsia="宋体" w:cs="宋体"/>
                <w:color w:val="auto"/>
                <w:szCs w:val="21"/>
                <w:highlight w:val="none"/>
              </w:rPr>
            </w:pPr>
          </w:p>
        </w:tc>
        <w:tc>
          <w:tcPr>
            <w:tcW w:w="2142" w:type="dxa"/>
            <w:noWrap w:val="0"/>
            <w:vAlign w:val="center"/>
          </w:tcPr>
          <w:p w14:paraId="5BD22C95">
            <w:pPr>
              <w:shd w:val="clear" w:color="auto" w:fill="FFFFFF"/>
              <w:jc w:val="center"/>
              <w:rPr>
                <w:rFonts w:hint="eastAsia" w:ascii="宋体" w:hAnsi="宋体" w:eastAsia="宋体" w:cs="宋体"/>
                <w:color w:val="auto"/>
                <w:szCs w:val="21"/>
                <w:highlight w:val="none"/>
                <w:u w:val="single"/>
                <w:lang w:eastAsia="zh-CN"/>
              </w:rPr>
            </w:pPr>
          </w:p>
        </w:tc>
        <w:tc>
          <w:tcPr>
            <w:tcW w:w="1989" w:type="dxa"/>
            <w:noWrap w:val="0"/>
            <w:vAlign w:val="center"/>
          </w:tcPr>
          <w:p w14:paraId="2042EED4">
            <w:pPr>
              <w:shd w:val="clear" w:color="auto" w:fill="FFFFFF"/>
              <w:jc w:val="center"/>
              <w:rPr>
                <w:rFonts w:hint="eastAsia" w:ascii="宋体" w:hAnsi="宋体" w:eastAsia="宋体" w:cs="宋体"/>
                <w:color w:val="auto"/>
                <w:szCs w:val="21"/>
                <w:highlight w:val="none"/>
              </w:rPr>
            </w:pPr>
          </w:p>
        </w:tc>
      </w:tr>
      <w:tr w14:paraId="6686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5AF255C">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43" w:type="dxa"/>
            <w:noWrap w:val="0"/>
            <w:vAlign w:val="center"/>
          </w:tcPr>
          <w:p w14:paraId="256B6631">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295" w:type="dxa"/>
            <w:noWrap w:val="0"/>
            <w:tcMar>
              <w:left w:w="170" w:type="dxa"/>
            </w:tcMar>
            <w:vAlign w:val="center"/>
          </w:tcPr>
          <w:p w14:paraId="1E79F8D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C3915F2">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日历天</w:t>
            </w:r>
          </w:p>
        </w:tc>
        <w:tc>
          <w:tcPr>
            <w:tcW w:w="1989" w:type="dxa"/>
            <w:noWrap w:val="0"/>
            <w:vAlign w:val="center"/>
          </w:tcPr>
          <w:p w14:paraId="4328F7CB">
            <w:pPr>
              <w:shd w:val="clear" w:color="auto" w:fill="FFFFFF"/>
              <w:jc w:val="center"/>
              <w:rPr>
                <w:rFonts w:hint="eastAsia" w:ascii="宋体" w:hAnsi="宋体" w:eastAsia="宋体" w:cs="宋体"/>
                <w:color w:val="auto"/>
                <w:szCs w:val="21"/>
                <w:highlight w:val="none"/>
              </w:rPr>
            </w:pPr>
          </w:p>
        </w:tc>
      </w:tr>
      <w:tr w14:paraId="15C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F92AF3A">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43" w:type="dxa"/>
            <w:noWrap w:val="0"/>
            <w:vAlign w:val="center"/>
          </w:tcPr>
          <w:p w14:paraId="2944DAE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295" w:type="dxa"/>
            <w:noWrap w:val="0"/>
            <w:tcMar>
              <w:left w:w="170" w:type="dxa"/>
            </w:tcMar>
            <w:vAlign w:val="center"/>
          </w:tcPr>
          <w:p w14:paraId="0CAA2365">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25643467">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FDDA8CF">
            <w:pPr>
              <w:shd w:val="clear" w:color="auto" w:fill="FFFFFF"/>
              <w:jc w:val="center"/>
              <w:rPr>
                <w:rFonts w:hint="eastAsia" w:ascii="宋体" w:hAnsi="宋体" w:eastAsia="宋体" w:cs="宋体"/>
                <w:color w:val="auto"/>
                <w:szCs w:val="21"/>
                <w:highlight w:val="none"/>
              </w:rPr>
            </w:pPr>
          </w:p>
        </w:tc>
      </w:tr>
      <w:tr w14:paraId="7338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EFD75DB">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143" w:type="dxa"/>
            <w:noWrap w:val="0"/>
            <w:vAlign w:val="center"/>
          </w:tcPr>
          <w:p w14:paraId="3A3CEC57">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2295" w:type="dxa"/>
            <w:noWrap w:val="0"/>
            <w:tcMar>
              <w:left w:w="170" w:type="dxa"/>
            </w:tcMar>
            <w:vAlign w:val="center"/>
          </w:tcPr>
          <w:p w14:paraId="3CE2AA48">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3EB037EF">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3BB3E517">
            <w:pPr>
              <w:shd w:val="clear" w:color="auto" w:fill="FFFFFF"/>
              <w:jc w:val="center"/>
              <w:rPr>
                <w:rFonts w:hint="eastAsia" w:ascii="宋体" w:hAnsi="宋体" w:eastAsia="宋体" w:cs="宋体"/>
                <w:color w:val="auto"/>
                <w:szCs w:val="21"/>
                <w:highlight w:val="none"/>
              </w:rPr>
            </w:pPr>
          </w:p>
        </w:tc>
      </w:tr>
      <w:tr w14:paraId="519B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D833158">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143" w:type="dxa"/>
            <w:noWrap w:val="0"/>
            <w:vAlign w:val="center"/>
          </w:tcPr>
          <w:p w14:paraId="7E78A48F">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295" w:type="dxa"/>
            <w:noWrap w:val="0"/>
            <w:tcMar>
              <w:left w:w="170" w:type="dxa"/>
            </w:tcMar>
            <w:vAlign w:val="center"/>
          </w:tcPr>
          <w:p w14:paraId="5F2D8169">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F560037">
            <w:pPr>
              <w:shd w:val="clear" w:color="auto" w:fill="FFFFFF"/>
              <w:rPr>
                <w:rFonts w:hint="eastAsia" w:ascii="宋体" w:hAnsi="宋体" w:eastAsia="宋体" w:cs="宋体"/>
                <w:color w:val="auto"/>
                <w:szCs w:val="21"/>
                <w:highlight w:val="none"/>
                <w:lang w:val="en-US" w:eastAsia="zh-CN"/>
              </w:rPr>
            </w:pPr>
          </w:p>
        </w:tc>
        <w:tc>
          <w:tcPr>
            <w:tcW w:w="1989" w:type="dxa"/>
            <w:noWrap w:val="0"/>
            <w:vAlign w:val="center"/>
          </w:tcPr>
          <w:p w14:paraId="23E00380">
            <w:pPr>
              <w:shd w:val="clear" w:color="auto" w:fill="FFFFFF"/>
              <w:jc w:val="center"/>
              <w:rPr>
                <w:rFonts w:hint="eastAsia" w:ascii="宋体" w:hAnsi="宋体" w:eastAsia="宋体" w:cs="宋体"/>
                <w:color w:val="auto"/>
                <w:szCs w:val="21"/>
                <w:highlight w:val="none"/>
              </w:rPr>
            </w:pPr>
          </w:p>
        </w:tc>
      </w:tr>
      <w:tr w14:paraId="302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3964A66">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143" w:type="dxa"/>
            <w:noWrap w:val="0"/>
            <w:vAlign w:val="center"/>
          </w:tcPr>
          <w:p w14:paraId="32559F8B">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295" w:type="dxa"/>
            <w:noWrap w:val="0"/>
            <w:tcMar>
              <w:left w:w="170" w:type="dxa"/>
            </w:tcMar>
            <w:vAlign w:val="center"/>
          </w:tcPr>
          <w:p w14:paraId="313A5D6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120EED26">
            <w:pPr>
              <w:shd w:val="clear" w:color="auto" w:fill="FFFFFF"/>
              <w:rPr>
                <w:rFonts w:hint="eastAsia" w:ascii="宋体" w:hAnsi="宋体" w:eastAsia="宋体" w:cs="宋体"/>
                <w:color w:val="auto"/>
                <w:szCs w:val="21"/>
                <w:highlight w:val="none"/>
              </w:rPr>
            </w:pPr>
          </w:p>
        </w:tc>
        <w:tc>
          <w:tcPr>
            <w:tcW w:w="1989" w:type="dxa"/>
            <w:noWrap w:val="0"/>
            <w:vAlign w:val="center"/>
          </w:tcPr>
          <w:p w14:paraId="51CAFE30">
            <w:pPr>
              <w:shd w:val="clear" w:color="auto" w:fill="FFFFFF"/>
              <w:jc w:val="center"/>
              <w:rPr>
                <w:rFonts w:hint="eastAsia" w:ascii="宋体" w:hAnsi="宋体" w:eastAsia="宋体" w:cs="宋体"/>
                <w:color w:val="auto"/>
                <w:szCs w:val="21"/>
                <w:highlight w:val="none"/>
              </w:rPr>
            </w:pPr>
          </w:p>
        </w:tc>
      </w:tr>
      <w:tr w14:paraId="775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C5C813E">
            <w:pPr>
              <w:shd w:val="clear" w:color="auto" w:fill="FFFFFF"/>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143" w:type="dxa"/>
            <w:noWrap w:val="0"/>
            <w:vAlign w:val="center"/>
          </w:tcPr>
          <w:p w14:paraId="1EAA9E12">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295" w:type="dxa"/>
            <w:noWrap w:val="0"/>
            <w:tcMar>
              <w:left w:w="170" w:type="dxa"/>
            </w:tcMar>
            <w:vAlign w:val="center"/>
          </w:tcPr>
          <w:p w14:paraId="697757FD">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084FC6D6">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642E416">
            <w:pPr>
              <w:shd w:val="clear" w:color="auto" w:fill="FFFFFF"/>
              <w:jc w:val="center"/>
              <w:rPr>
                <w:rFonts w:hint="eastAsia" w:ascii="宋体" w:hAnsi="宋体" w:eastAsia="宋体" w:cs="宋体"/>
                <w:color w:val="auto"/>
                <w:szCs w:val="21"/>
                <w:highlight w:val="none"/>
              </w:rPr>
            </w:pPr>
          </w:p>
        </w:tc>
      </w:tr>
      <w:tr w14:paraId="1B1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28DC0683">
            <w:pPr>
              <w:shd w:val="clear" w:color="auto" w:fill="FFFFFF"/>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43" w:type="dxa"/>
            <w:noWrap w:val="0"/>
            <w:vAlign w:val="center"/>
          </w:tcPr>
          <w:p w14:paraId="5512CFD5">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295" w:type="dxa"/>
            <w:noWrap w:val="0"/>
            <w:tcMar>
              <w:left w:w="170" w:type="dxa"/>
            </w:tcMar>
            <w:vAlign w:val="center"/>
          </w:tcPr>
          <w:p w14:paraId="180C9530">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2C9ABAB">
            <w:pPr>
              <w:shd w:val="clear" w:color="auto" w:fill="FFFFFF"/>
              <w:jc w:val="center"/>
              <w:rPr>
                <w:rFonts w:hint="default" w:ascii="宋体" w:hAnsi="宋体" w:eastAsia="宋体" w:cs="宋体"/>
                <w:color w:val="auto"/>
                <w:szCs w:val="21"/>
                <w:highlight w:val="none"/>
                <w:lang w:val="en-US" w:eastAsia="zh-CN"/>
              </w:rPr>
            </w:pPr>
          </w:p>
        </w:tc>
        <w:tc>
          <w:tcPr>
            <w:tcW w:w="1989" w:type="dxa"/>
            <w:noWrap w:val="0"/>
            <w:vAlign w:val="center"/>
          </w:tcPr>
          <w:p w14:paraId="6BB3FAA4">
            <w:pPr>
              <w:shd w:val="clear" w:color="auto" w:fill="FFFFFF"/>
              <w:jc w:val="center"/>
              <w:rPr>
                <w:rFonts w:hint="eastAsia" w:ascii="宋体" w:hAnsi="宋体" w:eastAsia="宋体" w:cs="宋体"/>
                <w:color w:val="auto"/>
                <w:szCs w:val="21"/>
                <w:highlight w:val="none"/>
              </w:rPr>
            </w:pPr>
          </w:p>
        </w:tc>
      </w:tr>
      <w:tr w14:paraId="4A8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408FA76E">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143" w:type="dxa"/>
            <w:noWrap w:val="0"/>
            <w:vAlign w:val="center"/>
          </w:tcPr>
          <w:p w14:paraId="45EFE043">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295" w:type="dxa"/>
            <w:noWrap w:val="0"/>
            <w:tcMar>
              <w:left w:w="170" w:type="dxa"/>
            </w:tcMar>
            <w:vAlign w:val="center"/>
          </w:tcPr>
          <w:p w14:paraId="2D23563F">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456268B1">
            <w:pPr>
              <w:shd w:val="clear" w:color="auto" w:fill="FFFFFF"/>
              <w:jc w:val="center"/>
              <w:rPr>
                <w:rFonts w:hint="eastAsia" w:ascii="宋体" w:hAnsi="宋体" w:eastAsia="宋体" w:cs="宋体"/>
                <w:color w:val="auto"/>
                <w:szCs w:val="21"/>
                <w:highlight w:val="none"/>
                <w:lang w:val="en-US" w:eastAsia="zh-CN"/>
              </w:rPr>
            </w:pPr>
          </w:p>
        </w:tc>
        <w:tc>
          <w:tcPr>
            <w:tcW w:w="1989" w:type="dxa"/>
            <w:noWrap w:val="0"/>
            <w:vAlign w:val="center"/>
          </w:tcPr>
          <w:p w14:paraId="0F7E398B">
            <w:pPr>
              <w:shd w:val="clear" w:color="auto" w:fill="FFFFFF"/>
              <w:jc w:val="center"/>
              <w:rPr>
                <w:rFonts w:hint="eastAsia" w:ascii="宋体" w:hAnsi="宋体" w:eastAsia="宋体" w:cs="宋体"/>
                <w:color w:val="auto"/>
                <w:szCs w:val="21"/>
                <w:highlight w:val="none"/>
              </w:rPr>
            </w:pPr>
          </w:p>
        </w:tc>
      </w:tr>
      <w:tr w14:paraId="322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156B12CC">
            <w:pPr>
              <w:shd w:val="clear" w:color="auto" w:fill="FFFFFF"/>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143" w:type="dxa"/>
            <w:noWrap w:val="0"/>
            <w:vAlign w:val="center"/>
          </w:tcPr>
          <w:p w14:paraId="01737320">
            <w:pPr>
              <w:shd w:val="clear" w:color="auto" w:fill="FFFFFF"/>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295" w:type="dxa"/>
            <w:noWrap w:val="0"/>
            <w:tcMar>
              <w:left w:w="170" w:type="dxa"/>
            </w:tcMar>
            <w:vAlign w:val="center"/>
          </w:tcPr>
          <w:p w14:paraId="732BF6C2">
            <w:pPr>
              <w:shd w:val="clear" w:color="auto" w:fill="FFFFFF"/>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142" w:type="dxa"/>
            <w:noWrap w:val="0"/>
            <w:vAlign w:val="center"/>
          </w:tcPr>
          <w:p w14:paraId="53AC9E5A">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052680C8">
            <w:pPr>
              <w:shd w:val="clear" w:color="auto" w:fill="FFFFFF"/>
              <w:jc w:val="center"/>
              <w:rPr>
                <w:rFonts w:hint="eastAsia" w:ascii="宋体" w:hAnsi="宋体" w:eastAsia="宋体" w:cs="宋体"/>
                <w:color w:val="auto"/>
                <w:szCs w:val="21"/>
                <w:highlight w:val="none"/>
              </w:rPr>
            </w:pPr>
          </w:p>
        </w:tc>
      </w:tr>
      <w:tr w14:paraId="161B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noWrap w:val="0"/>
            <w:vAlign w:val="center"/>
          </w:tcPr>
          <w:p w14:paraId="0CCFB95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43" w:type="dxa"/>
            <w:noWrap w:val="0"/>
            <w:vAlign w:val="center"/>
          </w:tcPr>
          <w:p w14:paraId="3BC1A615">
            <w:pPr>
              <w:shd w:val="clear" w:color="auto" w:fill="FFFFFF"/>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5" w:type="dxa"/>
            <w:noWrap w:val="0"/>
            <w:tcMar>
              <w:left w:w="170" w:type="dxa"/>
            </w:tcMar>
            <w:vAlign w:val="center"/>
          </w:tcPr>
          <w:p w14:paraId="3BD22408">
            <w:pPr>
              <w:shd w:val="clear" w:color="auto" w:fill="FFFFFF"/>
              <w:rPr>
                <w:rFonts w:hint="eastAsia" w:ascii="宋体" w:hAnsi="宋体" w:eastAsia="宋体" w:cs="宋体"/>
                <w:color w:val="auto"/>
                <w:szCs w:val="21"/>
                <w:highlight w:val="none"/>
              </w:rPr>
            </w:pPr>
          </w:p>
        </w:tc>
        <w:tc>
          <w:tcPr>
            <w:tcW w:w="2142" w:type="dxa"/>
            <w:noWrap w:val="0"/>
            <w:vAlign w:val="center"/>
          </w:tcPr>
          <w:p w14:paraId="3C465B5E">
            <w:pPr>
              <w:shd w:val="clear" w:color="auto" w:fill="FFFFFF"/>
              <w:jc w:val="center"/>
              <w:rPr>
                <w:rFonts w:hint="eastAsia" w:ascii="宋体" w:hAnsi="宋体" w:eastAsia="宋体" w:cs="宋体"/>
                <w:color w:val="auto"/>
                <w:szCs w:val="21"/>
                <w:highlight w:val="none"/>
              </w:rPr>
            </w:pPr>
          </w:p>
        </w:tc>
        <w:tc>
          <w:tcPr>
            <w:tcW w:w="1989" w:type="dxa"/>
            <w:noWrap w:val="0"/>
            <w:vAlign w:val="center"/>
          </w:tcPr>
          <w:p w14:paraId="19318503">
            <w:pPr>
              <w:shd w:val="clear" w:color="auto" w:fill="FFFFFF"/>
              <w:jc w:val="center"/>
              <w:rPr>
                <w:rFonts w:hint="eastAsia" w:ascii="宋体" w:hAnsi="宋体" w:eastAsia="宋体" w:cs="宋体"/>
                <w:color w:val="auto"/>
                <w:szCs w:val="21"/>
                <w:highlight w:val="none"/>
              </w:rPr>
            </w:pPr>
          </w:p>
        </w:tc>
      </w:tr>
      <w:tr w14:paraId="56E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noWrap w:val="0"/>
            <w:vAlign w:val="center"/>
          </w:tcPr>
          <w:p w14:paraId="08D3A0CB">
            <w:pPr>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文件中规定的实质性要求和条件的基础上，可做出其他有利于采购人的承诺。此类承诺可在本表中予以补充填写。</w:t>
            </w:r>
          </w:p>
        </w:tc>
      </w:tr>
    </w:tbl>
    <w:p w14:paraId="132786FA">
      <w:pPr>
        <w:pStyle w:val="32"/>
        <w:ind w:firstLine="460" w:firstLineChars="200"/>
        <w:jc w:val="left"/>
        <w:rPr>
          <w:rFonts w:hint="eastAsia" w:ascii="宋体" w:hAnsi="宋体" w:cs="宋体"/>
          <w:color w:val="auto"/>
          <w:sz w:val="21"/>
          <w:szCs w:val="21"/>
          <w:highlight w:val="none"/>
        </w:rPr>
      </w:pPr>
    </w:p>
    <w:p w14:paraId="6BF48BCA">
      <w:pPr>
        <w:pStyle w:val="32"/>
        <w:ind w:firstLine="460" w:firstLineChars="200"/>
        <w:jc w:val="left"/>
        <w:rPr>
          <w:rFonts w:hint="eastAsia" w:ascii="宋体" w:hAnsi="宋体" w:eastAsia="宋体" w:cs="宋体"/>
          <w:color w:val="auto"/>
          <w:szCs w:val="21"/>
          <w:highlight w:val="none"/>
          <w:u w:val="single"/>
        </w:rPr>
      </w:pPr>
      <w:r>
        <w:rPr>
          <w:rFonts w:hint="eastAsia" w:ascii="宋体" w:hAnsi="宋体" w:cs="宋体"/>
          <w:color w:val="auto"/>
          <w:sz w:val="21"/>
          <w:szCs w:val="21"/>
          <w:highlight w:val="none"/>
        </w:rPr>
        <w:t>注：供应商可提出优于竞争性</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文件要求的承诺</w:t>
      </w:r>
    </w:p>
    <w:p w14:paraId="04E723AA">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410B7045">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1803406">
      <w:pPr>
        <w:numPr>
          <w:ilvl w:val="-1"/>
          <w:numId w:val="0"/>
        </w:numPr>
        <w:shd w:val="clear" w:color="auto" w:fill="FFFFFF"/>
        <w:spacing w:after="96" w:afterLines="30"/>
        <w:ind w:firstLine="0" w:firstLineChars="0"/>
        <w:rPr>
          <w:rFonts w:hint="default" w:ascii="宋体" w:hAnsi="宋体" w:eastAsia="宋体" w:cs="宋体"/>
          <w:b/>
          <w:bCs/>
          <w:color w:val="auto"/>
          <w:szCs w:val="21"/>
          <w:highlight w:val="none"/>
          <w:lang w:val="en-US" w:eastAsia="zh-CN"/>
        </w:rPr>
      </w:pPr>
    </w:p>
    <w:p w14:paraId="3AC4914E">
      <w:pPr>
        <w:shd w:val="clear" w:color="auto" w:fill="FFFFFF"/>
        <w:spacing w:after="96" w:afterLines="30"/>
        <w:ind w:firstLine="422" w:firstLineChars="200"/>
        <w:rPr>
          <w:rFonts w:hint="eastAsia" w:ascii="宋体" w:hAnsi="宋体" w:eastAsia="宋体" w:cs="宋体"/>
          <w:b/>
          <w:bCs/>
          <w:color w:val="auto"/>
          <w:szCs w:val="21"/>
          <w:highlight w:val="none"/>
        </w:rPr>
      </w:pPr>
    </w:p>
    <w:p w14:paraId="616F90FB">
      <w:pPr>
        <w:shd w:val="clear" w:color="auto" w:fill="FFFFFF"/>
        <w:spacing w:after="96" w:afterLines="30"/>
        <w:ind w:firstLine="0" w:firstLineChars="0"/>
        <w:rPr>
          <w:rFonts w:hint="eastAsia" w:ascii="宋体" w:hAnsi="宋体" w:eastAsia="宋体" w:cs="宋体"/>
          <w:b/>
          <w:bCs/>
          <w:color w:val="auto"/>
          <w:szCs w:val="21"/>
          <w:highlight w:val="none"/>
        </w:rPr>
      </w:pPr>
    </w:p>
    <w:p w14:paraId="735E7B59">
      <w:pPr>
        <w:shd w:val="clear" w:color="auto" w:fill="FFFFFF"/>
        <w:spacing w:after="96" w:afterLines="30"/>
        <w:ind w:firstLine="0" w:firstLineChars="0"/>
        <w:rPr>
          <w:rFonts w:hint="eastAsia" w:ascii="宋体" w:hAnsi="宋体" w:eastAsia="宋体" w:cs="宋体"/>
          <w:b/>
          <w:bCs/>
          <w:color w:val="auto"/>
          <w:szCs w:val="21"/>
          <w:highlight w:val="none"/>
        </w:rPr>
      </w:pPr>
    </w:p>
    <w:p w14:paraId="2EC66C42">
      <w:pPr>
        <w:shd w:val="clear" w:color="auto" w:fill="FFFFFF"/>
        <w:spacing w:after="96" w:afterLines="30"/>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施工组织设计</w:t>
      </w:r>
    </w:p>
    <w:p w14:paraId="03F0045F">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B00D08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施工组织设计除采用文字表述外可附下列图表，图表及格式要求附后，表格可扩展。</w:t>
      </w:r>
    </w:p>
    <w:p w14:paraId="695F4E48">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附表一  拟投入的主要施工设备表</w:t>
      </w:r>
    </w:p>
    <w:p w14:paraId="0377C95D">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附表二  劳动力计划表</w:t>
      </w:r>
    </w:p>
    <w:p w14:paraId="3D5A8A09">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附表三  计划开、竣工日期和施工进度横道图</w:t>
      </w:r>
    </w:p>
    <w:p w14:paraId="42C6C2BA">
      <w:pPr>
        <w:spacing w:after="50" w:afterLines="0"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附表四  施工总平面图</w:t>
      </w:r>
    </w:p>
    <w:p w14:paraId="7EED8446">
      <w:pPr>
        <w:spacing w:after="50" w:afterLines="0"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附表五  临时用地表</w:t>
      </w:r>
    </w:p>
    <w:p w14:paraId="24946505">
      <w:pPr>
        <w:spacing w:after="50" w:afterLines="0" w:line="400" w:lineRule="exact"/>
        <w:ind w:firstLine="482" w:firstLineChars="200"/>
        <w:rPr>
          <w:rFonts w:hint="eastAsia" w:ascii="宋体" w:hAnsi="宋体" w:cs="宋体"/>
          <w:b/>
          <w:bCs/>
          <w:color w:val="auto"/>
          <w:sz w:val="24"/>
          <w:highlight w:val="none"/>
        </w:rPr>
      </w:pPr>
    </w:p>
    <w:p w14:paraId="7F05B431">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附表一  ⑴拟投入的主要施工机械设备表</w:t>
      </w:r>
    </w:p>
    <w:p w14:paraId="4F1FEE80">
      <w:pPr>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拟投入的主要施工机械设备表（格式）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4"/>
        <w:gridCol w:w="1154"/>
        <w:gridCol w:w="735"/>
        <w:gridCol w:w="1154"/>
        <w:gridCol w:w="735"/>
        <w:gridCol w:w="1102"/>
        <w:gridCol w:w="1104"/>
        <w:gridCol w:w="840"/>
      </w:tblGrid>
      <w:tr w14:paraId="662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center"/>
          </w:tcPr>
          <w:p w14:paraId="3E36FA2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784" w:type="dxa"/>
            <w:noWrap w:val="0"/>
            <w:vAlign w:val="center"/>
          </w:tcPr>
          <w:p w14:paraId="107076B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机械或设备名称</w:t>
            </w:r>
          </w:p>
        </w:tc>
        <w:tc>
          <w:tcPr>
            <w:tcW w:w="1154" w:type="dxa"/>
            <w:noWrap w:val="0"/>
            <w:vAlign w:val="center"/>
          </w:tcPr>
          <w:p w14:paraId="36296B4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型号规格</w:t>
            </w:r>
          </w:p>
        </w:tc>
        <w:tc>
          <w:tcPr>
            <w:tcW w:w="735" w:type="dxa"/>
            <w:noWrap w:val="0"/>
            <w:vAlign w:val="center"/>
          </w:tcPr>
          <w:p w14:paraId="3A41FAB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1154" w:type="dxa"/>
            <w:noWrap w:val="0"/>
            <w:vAlign w:val="center"/>
          </w:tcPr>
          <w:p w14:paraId="39AE88F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国别产地</w:t>
            </w:r>
          </w:p>
        </w:tc>
        <w:tc>
          <w:tcPr>
            <w:tcW w:w="735" w:type="dxa"/>
            <w:noWrap w:val="0"/>
            <w:vAlign w:val="center"/>
          </w:tcPr>
          <w:p w14:paraId="0AB6D6D4">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制造年份</w:t>
            </w:r>
          </w:p>
        </w:tc>
        <w:tc>
          <w:tcPr>
            <w:tcW w:w="1102" w:type="dxa"/>
            <w:noWrap w:val="0"/>
            <w:vAlign w:val="center"/>
          </w:tcPr>
          <w:p w14:paraId="2E27749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额定功率（</w:t>
            </w:r>
            <w:r>
              <w:rPr>
                <w:rFonts w:hint="eastAsia" w:ascii="宋体" w:hAnsi="宋体" w:cs="宋体"/>
                <w:color w:val="auto"/>
                <w:highlight w:val="none"/>
                <w:lang w:eastAsia="zh-CN"/>
              </w:rPr>
              <w:t>kW</w:t>
            </w:r>
            <w:r>
              <w:rPr>
                <w:rFonts w:hint="eastAsia" w:ascii="宋体" w:hAnsi="宋体" w:cs="宋体"/>
                <w:color w:val="auto"/>
                <w:highlight w:val="none"/>
              </w:rPr>
              <w:t>）</w:t>
            </w:r>
          </w:p>
        </w:tc>
        <w:tc>
          <w:tcPr>
            <w:tcW w:w="1104" w:type="dxa"/>
            <w:noWrap w:val="0"/>
            <w:vAlign w:val="center"/>
          </w:tcPr>
          <w:p w14:paraId="583AB63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生产能力</w:t>
            </w:r>
          </w:p>
        </w:tc>
        <w:tc>
          <w:tcPr>
            <w:tcW w:w="840" w:type="dxa"/>
            <w:tcBorders>
              <w:left w:val="single" w:color="auto" w:sz="4" w:space="0"/>
            </w:tcBorders>
            <w:noWrap w:val="0"/>
            <w:vAlign w:val="center"/>
          </w:tcPr>
          <w:p w14:paraId="30F836A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备注</w:t>
            </w:r>
          </w:p>
        </w:tc>
      </w:tr>
      <w:tr w14:paraId="689E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32E8440">
            <w:pPr>
              <w:spacing w:after="50" w:afterLines="0" w:line="400" w:lineRule="exact"/>
              <w:rPr>
                <w:rFonts w:hint="eastAsia" w:ascii="宋体" w:hAnsi="宋体" w:cs="宋体"/>
                <w:color w:val="auto"/>
                <w:highlight w:val="none"/>
              </w:rPr>
            </w:pPr>
          </w:p>
        </w:tc>
        <w:tc>
          <w:tcPr>
            <w:tcW w:w="1784" w:type="dxa"/>
            <w:noWrap w:val="0"/>
            <w:vAlign w:val="top"/>
          </w:tcPr>
          <w:p w14:paraId="0BF86E70">
            <w:pPr>
              <w:spacing w:after="50" w:afterLines="0" w:line="400" w:lineRule="exact"/>
              <w:rPr>
                <w:rFonts w:hint="eastAsia" w:ascii="宋体" w:hAnsi="宋体" w:cs="宋体"/>
                <w:color w:val="auto"/>
                <w:highlight w:val="none"/>
              </w:rPr>
            </w:pPr>
          </w:p>
        </w:tc>
        <w:tc>
          <w:tcPr>
            <w:tcW w:w="1154" w:type="dxa"/>
            <w:noWrap w:val="0"/>
            <w:vAlign w:val="top"/>
          </w:tcPr>
          <w:p w14:paraId="3A291FF5">
            <w:pPr>
              <w:spacing w:after="50" w:afterLines="0" w:line="400" w:lineRule="exact"/>
              <w:rPr>
                <w:rFonts w:hint="eastAsia" w:ascii="宋体" w:hAnsi="宋体" w:cs="宋体"/>
                <w:color w:val="auto"/>
                <w:highlight w:val="none"/>
              </w:rPr>
            </w:pPr>
          </w:p>
        </w:tc>
        <w:tc>
          <w:tcPr>
            <w:tcW w:w="735" w:type="dxa"/>
            <w:noWrap w:val="0"/>
            <w:vAlign w:val="top"/>
          </w:tcPr>
          <w:p w14:paraId="213B781A">
            <w:pPr>
              <w:spacing w:after="50" w:afterLines="0" w:line="400" w:lineRule="exact"/>
              <w:rPr>
                <w:rFonts w:hint="eastAsia" w:ascii="宋体" w:hAnsi="宋体" w:cs="宋体"/>
                <w:color w:val="auto"/>
                <w:highlight w:val="none"/>
              </w:rPr>
            </w:pPr>
          </w:p>
        </w:tc>
        <w:tc>
          <w:tcPr>
            <w:tcW w:w="1154" w:type="dxa"/>
            <w:noWrap w:val="0"/>
            <w:vAlign w:val="top"/>
          </w:tcPr>
          <w:p w14:paraId="0DE90C12">
            <w:pPr>
              <w:spacing w:after="50" w:afterLines="0" w:line="400" w:lineRule="exact"/>
              <w:rPr>
                <w:rFonts w:hint="eastAsia" w:ascii="宋体" w:hAnsi="宋体" w:cs="宋体"/>
                <w:color w:val="auto"/>
                <w:highlight w:val="none"/>
              </w:rPr>
            </w:pPr>
          </w:p>
        </w:tc>
        <w:tc>
          <w:tcPr>
            <w:tcW w:w="735" w:type="dxa"/>
            <w:noWrap w:val="0"/>
            <w:vAlign w:val="top"/>
          </w:tcPr>
          <w:p w14:paraId="04DF7588">
            <w:pPr>
              <w:spacing w:after="50" w:afterLines="0" w:line="400" w:lineRule="exact"/>
              <w:rPr>
                <w:rFonts w:hint="eastAsia" w:ascii="宋体" w:hAnsi="宋体" w:cs="宋体"/>
                <w:color w:val="auto"/>
                <w:highlight w:val="none"/>
              </w:rPr>
            </w:pPr>
          </w:p>
        </w:tc>
        <w:tc>
          <w:tcPr>
            <w:tcW w:w="1102" w:type="dxa"/>
            <w:noWrap w:val="0"/>
            <w:vAlign w:val="top"/>
          </w:tcPr>
          <w:p w14:paraId="1E3F82CB">
            <w:pPr>
              <w:spacing w:after="50" w:afterLines="0" w:line="400" w:lineRule="exact"/>
              <w:rPr>
                <w:rFonts w:hint="eastAsia" w:ascii="宋体" w:hAnsi="宋体" w:cs="宋体"/>
                <w:color w:val="auto"/>
                <w:highlight w:val="none"/>
              </w:rPr>
            </w:pPr>
          </w:p>
        </w:tc>
        <w:tc>
          <w:tcPr>
            <w:tcW w:w="1104" w:type="dxa"/>
            <w:noWrap w:val="0"/>
            <w:vAlign w:val="top"/>
          </w:tcPr>
          <w:p w14:paraId="37BD4BBF">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BB05E1C">
            <w:pPr>
              <w:spacing w:after="50" w:afterLines="0" w:line="400" w:lineRule="exact"/>
              <w:rPr>
                <w:rFonts w:hint="eastAsia" w:ascii="宋体" w:hAnsi="宋体" w:cs="宋体"/>
                <w:color w:val="auto"/>
                <w:highlight w:val="none"/>
              </w:rPr>
            </w:pPr>
          </w:p>
        </w:tc>
      </w:tr>
      <w:tr w14:paraId="440A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59E586D4">
            <w:pPr>
              <w:spacing w:after="50" w:afterLines="0" w:line="400" w:lineRule="exact"/>
              <w:rPr>
                <w:rFonts w:hint="eastAsia" w:ascii="宋体" w:hAnsi="宋体" w:cs="宋体"/>
                <w:color w:val="auto"/>
                <w:highlight w:val="none"/>
              </w:rPr>
            </w:pPr>
          </w:p>
        </w:tc>
        <w:tc>
          <w:tcPr>
            <w:tcW w:w="1784" w:type="dxa"/>
            <w:noWrap w:val="0"/>
            <w:vAlign w:val="top"/>
          </w:tcPr>
          <w:p w14:paraId="5E52DF77">
            <w:pPr>
              <w:spacing w:after="50" w:afterLines="0" w:line="400" w:lineRule="exact"/>
              <w:rPr>
                <w:rFonts w:hint="eastAsia" w:ascii="宋体" w:hAnsi="宋体" w:cs="宋体"/>
                <w:color w:val="auto"/>
                <w:highlight w:val="none"/>
              </w:rPr>
            </w:pPr>
          </w:p>
        </w:tc>
        <w:tc>
          <w:tcPr>
            <w:tcW w:w="1154" w:type="dxa"/>
            <w:noWrap w:val="0"/>
            <w:vAlign w:val="top"/>
          </w:tcPr>
          <w:p w14:paraId="242CECF5">
            <w:pPr>
              <w:spacing w:after="50" w:afterLines="0" w:line="400" w:lineRule="exact"/>
              <w:rPr>
                <w:rFonts w:hint="eastAsia" w:ascii="宋体" w:hAnsi="宋体" w:cs="宋体"/>
                <w:color w:val="auto"/>
                <w:highlight w:val="none"/>
              </w:rPr>
            </w:pPr>
          </w:p>
        </w:tc>
        <w:tc>
          <w:tcPr>
            <w:tcW w:w="735" w:type="dxa"/>
            <w:noWrap w:val="0"/>
            <w:vAlign w:val="top"/>
          </w:tcPr>
          <w:p w14:paraId="4798CE6E">
            <w:pPr>
              <w:spacing w:after="50" w:afterLines="0" w:line="400" w:lineRule="exact"/>
              <w:rPr>
                <w:rFonts w:hint="eastAsia" w:ascii="宋体" w:hAnsi="宋体" w:cs="宋体"/>
                <w:color w:val="auto"/>
                <w:highlight w:val="none"/>
              </w:rPr>
            </w:pPr>
          </w:p>
        </w:tc>
        <w:tc>
          <w:tcPr>
            <w:tcW w:w="1154" w:type="dxa"/>
            <w:noWrap w:val="0"/>
            <w:vAlign w:val="top"/>
          </w:tcPr>
          <w:p w14:paraId="0FCAC40B">
            <w:pPr>
              <w:spacing w:after="50" w:afterLines="0" w:line="400" w:lineRule="exact"/>
              <w:rPr>
                <w:rFonts w:hint="eastAsia" w:ascii="宋体" w:hAnsi="宋体" w:cs="宋体"/>
                <w:color w:val="auto"/>
                <w:highlight w:val="none"/>
              </w:rPr>
            </w:pPr>
          </w:p>
        </w:tc>
        <w:tc>
          <w:tcPr>
            <w:tcW w:w="735" w:type="dxa"/>
            <w:noWrap w:val="0"/>
            <w:vAlign w:val="top"/>
          </w:tcPr>
          <w:p w14:paraId="14DD3862">
            <w:pPr>
              <w:spacing w:after="50" w:afterLines="0" w:line="400" w:lineRule="exact"/>
              <w:rPr>
                <w:rFonts w:hint="eastAsia" w:ascii="宋体" w:hAnsi="宋体" w:cs="宋体"/>
                <w:color w:val="auto"/>
                <w:highlight w:val="none"/>
              </w:rPr>
            </w:pPr>
          </w:p>
        </w:tc>
        <w:tc>
          <w:tcPr>
            <w:tcW w:w="1102" w:type="dxa"/>
            <w:noWrap w:val="0"/>
            <w:vAlign w:val="top"/>
          </w:tcPr>
          <w:p w14:paraId="16A30006">
            <w:pPr>
              <w:spacing w:after="50" w:afterLines="0" w:line="400" w:lineRule="exact"/>
              <w:rPr>
                <w:rFonts w:hint="eastAsia" w:ascii="宋体" w:hAnsi="宋体" w:cs="宋体"/>
                <w:color w:val="auto"/>
                <w:highlight w:val="none"/>
              </w:rPr>
            </w:pPr>
          </w:p>
        </w:tc>
        <w:tc>
          <w:tcPr>
            <w:tcW w:w="1104" w:type="dxa"/>
            <w:noWrap w:val="0"/>
            <w:vAlign w:val="top"/>
          </w:tcPr>
          <w:p w14:paraId="645F165E">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A79D6D8">
            <w:pPr>
              <w:spacing w:after="50" w:afterLines="0" w:line="400" w:lineRule="exact"/>
              <w:rPr>
                <w:rFonts w:hint="eastAsia" w:ascii="宋体" w:hAnsi="宋体" w:cs="宋体"/>
                <w:color w:val="auto"/>
                <w:highlight w:val="none"/>
              </w:rPr>
            </w:pPr>
          </w:p>
        </w:tc>
      </w:tr>
      <w:tr w14:paraId="2CA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6B12AEB8">
            <w:pPr>
              <w:spacing w:after="50" w:afterLines="0" w:line="400" w:lineRule="exact"/>
              <w:rPr>
                <w:rFonts w:hint="eastAsia" w:ascii="宋体" w:hAnsi="宋体" w:cs="宋体"/>
                <w:color w:val="auto"/>
                <w:highlight w:val="none"/>
              </w:rPr>
            </w:pPr>
          </w:p>
        </w:tc>
        <w:tc>
          <w:tcPr>
            <w:tcW w:w="1784" w:type="dxa"/>
            <w:noWrap w:val="0"/>
            <w:vAlign w:val="top"/>
          </w:tcPr>
          <w:p w14:paraId="4FB4441A">
            <w:pPr>
              <w:spacing w:after="50" w:afterLines="0" w:line="400" w:lineRule="exact"/>
              <w:rPr>
                <w:rFonts w:hint="eastAsia" w:ascii="宋体" w:hAnsi="宋体" w:cs="宋体"/>
                <w:color w:val="auto"/>
                <w:highlight w:val="none"/>
              </w:rPr>
            </w:pPr>
          </w:p>
        </w:tc>
        <w:tc>
          <w:tcPr>
            <w:tcW w:w="1154" w:type="dxa"/>
            <w:noWrap w:val="0"/>
            <w:vAlign w:val="top"/>
          </w:tcPr>
          <w:p w14:paraId="10ABAB11">
            <w:pPr>
              <w:spacing w:after="50" w:afterLines="0" w:line="400" w:lineRule="exact"/>
              <w:rPr>
                <w:rFonts w:hint="eastAsia" w:ascii="宋体" w:hAnsi="宋体" w:cs="宋体"/>
                <w:color w:val="auto"/>
                <w:highlight w:val="none"/>
              </w:rPr>
            </w:pPr>
          </w:p>
        </w:tc>
        <w:tc>
          <w:tcPr>
            <w:tcW w:w="735" w:type="dxa"/>
            <w:noWrap w:val="0"/>
            <w:vAlign w:val="top"/>
          </w:tcPr>
          <w:p w14:paraId="0040A954">
            <w:pPr>
              <w:spacing w:after="50" w:afterLines="0" w:line="400" w:lineRule="exact"/>
              <w:rPr>
                <w:rFonts w:hint="eastAsia" w:ascii="宋体" w:hAnsi="宋体" w:cs="宋体"/>
                <w:color w:val="auto"/>
                <w:highlight w:val="none"/>
              </w:rPr>
            </w:pPr>
          </w:p>
        </w:tc>
        <w:tc>
          <w:tcPr>
            <w:tcW w:w="1154" w:type="dxa"/>
            <w:noWrap w:val="0"/>
            <w:vAlign w:val="top"/>
          </w:tcPr>
          <w:p w14:paraId="754B5EF7">
            <w:pPr>
              <w:spacing w:after="50" w:afterLines="0" w:line="400" w:lineRule="exact"/>
              <w:rPr>
                <w:rFonts w:hint="eastAsia" w:ascii="宋体" w:hAnsi="宋体" w:cs="宋体"/>
                <w:color w:val="auto"/>
                <w:highlight w:val="none"/>
              </w:rPr>
            </w:pPr>
          </w:p>
        </w:tc>
        <w:tc>
          <w:tcPr>
            <w:tcW w:w="735" w:type="dxa"/>
            <w:noWrap w:val="0"/>
            <w:vAlign w:val="top"/>
          </w:tcPr>
          <w:p w14:paraId="037CDC47">
            <w:pPr>
              <w:spacing w:after="50" w:afterLines="0" w:line="400" w:lineRule="exact"/>
              <w:rPr>
                <w:rFonts w:hint="eastAsia" w:ascii="宋体" w:hAnsi="宋体" w:cs="宋体"/>
                <w:color w:val="auto"/>
                <w:highlight w:val="none"/>
              </w:rPr>
            </w:pPr>
          </w:p>
        </w:tc>
        <w:tc>
          <w:tcPr>
            <w:tcW w:w="1102" w:type="dxa"/>
            <w:noWrap w:val="0"/>
            <w:vAlign w:val="top"/>
          </w:tcPr>
          <w:p w14:paraId="5E5D6CD8">
            <w:pPr>
              <w:pStyle w:val="49"/>
              <w:spacing w:after="50" w:afterLines="0" w:line="400" w:lineRule="exact"/>
              <w:rPr>
                <w:rFonts w:hint="eastAsia" w:hAnsi="宋体" w:cs="宋体"/>
                <w:color w:val="auto"/>
                <w:szCs w:val="24"/>
                <w:highlight w:val="none"/>
              </w:rPr>
            </w:pPr>
          </w:p>
        </w:tc>
        <w:tc>
          <w:tcPr>
            <w:tcW w:w="1104" w:type="dxa"/>
            <w:noWrap w:val="0"/>
            <w:vAlign w:val="top"/>
          </w:tcPr>
          <w:p w14:paraId="0B7F4394">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402C671D">
            <w:pPr>
              <w:spacing w:after="50" w:afterLines="0" w:line="400" w:lineRule="exact"/>
              <w:rPr>
                <w:rFonts w:hint="eastAsia" w:ascii="宋体" w:hAnsi="宋体" w:cs="宋体"/>
                <w:color w:val="auto"/>
                <w:highlight w:val="none"/>
              </w:rPr>
            </w:pPr>
          </w:p>
        </w:tc>
      </w:tr>
      <w:tr w14:paraId="30F8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7DE68B27">
            <w:pPr>
              <w:spacing w:after="50" w:afterLines="0" w:line="400" w:lineRule="exact"/>
              <w:rPr>
                <w:rFonts w:hint="eastAsia" w:ascii="宋体" w:hAnsi="宋体" w:cs="宋体"/>
                <w:color w:val="auto"/>
                <w:highlight w:val="none"/>
              </w:rPr>
            </w:pPr>
          </w:p>
        </w:tc>
        <w:tc>
          <w:tcPr>
            <w:tcW w:w="1784" w:type="dxa"/>
            <w:noWrap w:val="0"/>
            <w:vAlign w:val="top"/>
          </w:tcPr>
          <w:p w14:paraId="71904894">
            <w:pPr>
              <w:spacing w:after="50" w:afterLines="0" w:line="400" w:lineRule="exact"/>
              <w:rPr>
                <w:rFonts w:hint="eastAsia" w:ascii="宋体" w:hAnsi="宋体" w:cs="宋体"/>
                <w:color w:val="auto"/>
                <w:highlight w:val="none"/>
              </w:rPr>
            </w:pPr>
          </w:p>
        </w:tc>
        <w:tc>
          <w:tcPr>
            <w:tcW w:w="1154" w:type="dxa"/>
            <w:noWrap w:val="0"/>
            <w:vAlign w:val="top"/>
          </w:tcPr>
          <w:p w14:paraId="6B9B6CA7">
            <w:pPr>
              <w:spacing w:after="50" w:afterLines="0" w:line="400" w:lineRule="exact"/>
              <w:rPr>
                <w:rFonts w:hint="eastAsia" w:ascii="宋体" w:hAnsi="宋体" w:cs="宋体"/>
                <w:color w:val="auto"/>
                <w:highlight w:val="none"/>
              </w:rPr>
            </w:pPr>
          </w:p>
        </w:tc>
        <w:tc>
          <w:tcPr>
            <w:tcW w:w="735" w:type="dxa"/>
            <w:noWrap w:val="0"/>
            <w:vAlign w:val="top"/>
          </w:tcPr>
          <w:p w14:paraId="07399BA1">
            <w:pPr>
              <w:spacing w:after="50" w:afterLines="0" w:line="400" w:lineRule="exact"/>
              <w:rPr>
                <w:rFonts w:hint="eastAsia" w:ascii="宋体" w:hAnsi="宋体" w:cs="宋体"/>
                <w:color w:val="auto"/>
                <w:highlight w:val="none"/>
              </w:rPr>
            </w:pPr>
          </w:p>
        </w:tc>
        <w:tc>
          <w:tcPr>
            <w:tcW w:w="1154" w:type="dxa"/>
            <w:noWrap w:val="0"/>
            <w:vAlign w:val="top"/>
          </w:tcPr>
          <w:p w14:paraId="0844FE7C">
            <w:pPr>
              <w:spacing w:after="50" w:afterLines="0" w:line="400" w:lineRule="exact"/>
              <w:rPr>
                <w:rFonts w:hint="eastAsia" w:ascii="宋体" w:hAnsi="宋体" w:cs="宋体"/>
                <w:color w:val="auto"/>
                <w:highlight w:val="none"/>
              </w:rPr>
            </w:pPr>
          </w:p>
        </w:tc>
        <w:tc>
          <w:tcPr>
            <w:tcW w:w="735" w:type="dxa"/>
            <w:noWrap w:val="0"/>
            <w:vAlign w:val="top"/>
          </w:tcPr>
          <w:p w14:paraId="5B641E88">
            <w:pPr>
              <w:spacing w:after="50" w:afterLines="0" w:line="400" w:lineRule="exact"/>
              <w:rPr>
                <w:rFonts w:hint="eastAsia" w:ascii="宋体" w:hAnsi="宋体" w:cs="宋体"/>
                <w:color w:val="auto"/>
                <w:highlight w:val="none"/>
              </w:rPr>
            </w:pPr>
          </w:p>
        </w:tc>
        <w:tc>
          <w:tcPr>
            <w:tcW w:w="1102" w:type="dxa"/>
            <w:noWrap w:val="0"/>
            <w:vAlign w:val="top"/>
          </w:tcPr>
          <w:p w14:paraId="3B5CFF26">
            <w:pPr>
              <w:pStyle w:val="49"/>
              <w:spacing w:after="50" w:afterLines="0" w:line="400" w:lineRule="exact"/>
              <w:rPr>
                <w:rFonts w:hint="eastAsia" w:hAnsi="宋体" w:cs="宋体"/>
                <w:color w:val="auto"/>
                <w:szCs w:val="24"/>
                <w:highlight w:val="none"/>
              </w:rPr>
            </w:pPr>
          </w:p>
        </w:tc>
        <w:tc>
          <w:tcPr>
            <w:tcW w:w="1104" w:type="dxa"/>
            <w:noWrap w:val="0"/>
            <w:vAlign w:val="top"/>
          </w:tcPr>
          <w:p w14:paraId="5531B2B1">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62423E74">
            <w:pPr>
              <w:spacing w:after="50" w:afterLines="0" w:line="400" w:lineRule="exact"/>
              <w:rPr>
                <w:rFonts w:hint="eastAsia" w:ascii="宋体" w:hAnsi="宋体" w:cs="宋体"/>
                <w:color w:val="auto"/>
                <w:highlight w:val="none"/>
              </w:rPr>
            </w:pPr>
          </w:p>
        </w:tc>
      </w:tr>
      <w:tr w14:paraId="1F4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6" w:type="dxa"/>
            <w:noWrap w:val="0"/>
            <w:vAlign w:val="top"/>
          </w:tcPr>
          <w:p w14:paraId="16BFEA6B">
            <w:pPr>
              <w:spacing w:after="50" w:afterLines="0" w:line="400" w:lineRule="exact"/>
              <w:rPr>
                <w:rFonts w:hint="eastAsia" w:ascii="宋体" w:hAnsi="宋体" w:cs="宋体"/>
                <w:color w:val="auto"/>
                <w:highlight w:val="none"/>
              </w:rPr>
            </w:pPr>
          </w:p>
        </w:tc>
        <w:tc>
          <w:tcPr>
            <w:tcW w:w="1784" w:type="dxa"/>
            <w:noWrap w:val="0"/>
            <w:vAlign w:val="top"/>
          </w:tcPr>
          <w:p w14:paraId="46FD55F7">
            <w:pPr>
              <w:spacing w:after="50" w:afterLines="0" w:line="400" w:lineRule="exact"/>
              <w:rPr>
                <w:rFonts w:hint="eastAsia" w:ascii="宋体" w:hAnsi="宋体" w:cs="宋体"/>
                <w:color w:val="auto"/>
                <w:highlight w:val="none"/>
              </w:rPr>
            </w:pPr>
          </w:p>
        </w:tc>
        <w:tc>
          <w:tcPr>
            <w:tcW w:w="1154" w:type="dxa"/>
            <w:noWrap w:val="0"/>
            <w:vAlign w:val="top"/>
          </w:tcPr>
          <w:p w14:paraId="5CF99E90">
            <w:pPr>
              <w:spacing w:after="50" w:afterLines="0" w:line="400" w:lineRule="exact"/>
              <w:rPr>
                <w:rFonts w:hint="eastAsia" w:ascii="宋体" w:hAnsi="宋体" w:cs="宋体"/>
                <w:color w:val="auto"/>
                <w:highlight w:val="none"/>
              </w:rPr>
            </w:pPr>
          </w:p>
        </w:tc>
        <w:tc>
          <w:tcPr>
            <w:tcW w:w="735" w:type="dxa"/>
            <w:noWrap w:val="0"/>
            <w:vAlign w:val="top"/>
          </w:tcPr>
          <w:p w14:paraId="512D8238">
            <w:pPr>
              <w:spacing w:after="50" w:afterLines="0" w:line="400" w:lineRule="exact"/>
              <w:rPr>
                <w:rFonts w:hint="eastAsia" w:ascii="宋体" w:hAnsi="宋体" w:cs="宋体"/>
                <w:color w:val="auto"/>
                <w:highlight w:val="none"/>
              </w:rPr>
            </w:pPr>
          </w:p>
        </w:tc>
        <w:tc>
          <w:tcPr>
            <w:tcW w:w="1154" w:type="dxa"/>
            <w:noWrap w:val="0"/>
            <w:vAlign w:val="top"/>
          </w:tcPr>
          <w:p w14:paraId="76B66EAD">
            <w:pPr>
              <w:spacing w:after="50" w:afterLines="0" w:line="400" w:lineRule="exact"/>
              <w:rPr>
                <w:rFonts w:hint="eastAsia" w:ascii="宋体" w:hAnsi="宋体" w:cs="宋体"/>
                <w:color w:val="auto"/>
                <w:highlight w:val="none"/>
              </w:rPr>
            </w:pPr>
          </w:p>
        </w:tc>
        <w:tc>
          <w:tcPr>
            <w:tcW w:w="735" w:type="dxa"/>
            <w:noWrap w:val="0"/>
            <w:vAlign w:val="top"/>
          </w:tcPr>
          <w:p w14:paraId="51AC6403">
            <w:pPr>
              <w:spacing w:after="50" w:afterLines="0" w:line="400" w:lineRule="exact"/>
              <w:rPr>
                <w:rFonts w:hint="eastAsia" w:ascii="宋体" w:hAnsi="宋体" w:cs="宋体"/>
                <w:color w:val="auto"/>
                <w:highlight w:val="none"/>
              </w:rPr>
            </w:pPr>
          </w:p>
        </w:tc>
        <w:tc>
          <w:tcPr>
            <w:tcW w:w="1102" w:type="dxa"/>
            <w:noWrap w:val="0"/>
            <w:vAlign w:val="top"/>
          </w:tcPr>
          <w:p w14:paraId="21117EC6">
            <w:pPr>
              <w:pStyle w:val="49"/>
              <w:spacing w:after="50" w:afterLines="0" w:line="400" w:lineRule="exact"/>
              <w:rPr>
                <w:rFonts w:hint="eastAsia" w:hAnsi="宋体" w:cs="宋体"/>
                <w:color w:val="auto"/>
                <w:szCs w:val="24"/>
                <w:highlight w:val="none"/>
              </w:rPr>
            </w:pPr>
          </w:p>
        </w:tc>
        <w:tc>
          <w:tcPr>
            <w:tcW w:w="1104" w:type="dxa"/>
            <w:noWrap w:val="0"/>
            <w:vAlign w:val="top"/>
          </w:tcPr>
          <w:p w14:paraId="00F78B1B">
            <w:pPr>
              <w:spacing w:after="50" w:afterLines="0" w:line="400" w:lineRule="exact"/>
              <w:rPr>
                <w:rFonts w:hint="eastAsia" w:ascii="宋体" w:hAnsi="宋体" w:cs="宋体"/>
                <w:color w:val="auto"/>
                <w:highlight w:val="none"/>
              </w:rPr>
            </w:pPr>
          </w:p>
        </w:tc>
        <w:tc>
          <w:tcPr>
            <w:tcW w:w="840" w:type="dxa"/>
            <w:tcBorders>
              <w:left w:val="single" w:color="auto" w:sz="4" w:space="0"/>
            </w:tcBorders>
            <w:noWrap w:val="0"/>
            <w:vAlign w:val="top"/>
          </w:tcPr>
          <w:p w14:paraId="2B921C22">
            <w:pPr>
              <w:spacing w:after="50" w:afterLines="0" w:line="400" w:lineRule="exact"/>
              <w:rPr>
                <w:rFonts w:hint="eastAsia" w:ascii="宋体" w:hAnsi="宋体" w:cs="宋体"/>
                <w:color w:val="auto"/>
                <w:highlight w:val="none"/>
              </w:rPr>
            </w:pPr>
          </w:p>
        </w:tc>
      </w:tr>
    </w:tbl>
    <w:p w14:paraId="11CF13EC">
      <w:pPr>
        <w:spacing w:after="50" w:afterLines="0" w:line="400" w:lineRule="exact"/>
        <w:ind w:firstLine="482" w:firstLineChars="200"/>
        <w:rPr>
          <w:rFonts w:hint="eastAsia" w:ascii="宋体" w:hAnsi="宋体" w:cs="宋体"/>
          <w:b/>
          <w:bCs/>
          <w:color w:val="auto"/>
          <w:sz w:val="24"/>
          <w:highlight w:val="none"/>
        </w:rPr>
      </w:pPr>
    </w:p>
    <w:p w14:paraId="73EDBA29">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附表二  ⑵劳动力计划表</w:t>
      </w:r>
    </w:p>
    <w:p w14:paraId="5F2EBCD9">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劳动力计划表（格式）</w:t>
      </w:r>
    </w:p>
    <w:p w14:paraId="6594E7EA">
      <w:pPr>
        <w:spacing w:after="50" w:afterLines="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单位： 人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96"/>
        <w:gridCol w:w="1096"/>
        <w:gridCol w:w="1096"/>
        <w:gridCol w:w="1096"/>
        <w:gridCol w:w="1279"/>
        <w:gridCol w:w="1279"/>
        <w:gridCol w:w="1380"/>
      </w:tblGrid>
      <w:tr w14:paraId="4DF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restart"/>
            <w:noWrap w:val="0"/>
            <w:vAlign w:val="center"/>
          </w:tcPr>
          <w:p w14:paraId="0DDBEDB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工种</w:t>
            </w:r>
          </w:p>
        </w:tc>
        <w:tc>
          <w:tcPr>
            <w:tcW w:w="8322" w:type="dxa"/>
            <w:gridSpan w:val="7"/>
            <w:noWrap w:val="0"/>
            <w:vAlign w:val="center"/>
          </w:tcPr>
          <w:p w14:paraId="6CC97D0C">
            <w:pPr>
              <w:spacing w:after="50" w:afterLines="0" w:line="400" w:lineRule="exact"/>
              <w:rPr>
                <w:rFonts w:hint="eastAsia"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szCs w:val="20"/>
                <w:highlight w:val="none"/>
              </w:rPr>
              <w:t>项目</w:t>
            </w:r>
            <w:r>
              <w:rPr>
                <w:rFonts w:hint="eastAsia" w:ascii="宋体" w:hAnsi="宋体" w:cs="宋体"/>
                <w:color w:val="auto"/>
                <w:highlight w:val="none"/>
              </w:rPr>
              <w:t>施工阶段投入劳动力情况</w:t>
            </w:r>
          </w:p>
        </w:tc>
      </w:tr>
      <w:tr w14:paraId="0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2" w:type="dxa"/>
            <w:vMerge w:val="continue"/>
            <w:noWrap w:val="0"/>
            <w:vAlign w:val="center"/>
          </w:tcPr>
          <w:p w14:paraId="37BDB024">
            <w:pPr>
              <w:spacing w:after="50" w:afterLines="0" w:line="400" w:lineRule="exact"/>
              <w:rPr>
                <w:rFonts w:hint="eastAsia" w:ascii="宋体" w:hAnsi="宋体" w:cs="宋体"/>
                <w:color w:val="auto"/>
                <w:sz w:val="24"/>
                <w:highlight w:val="none"/>
              </w:rPr>
            </w:pPr>
          </w:p>
        </w:tc>
        <w:tc>
          <w:tcPr>
            <w:tcW w:w="1096" w:type="dxa"/>
            <w:noWrap w:val="0"/>
            <w:vAlign w:val="center"/>
          </w:tcPr>
          <w:p w14:paraId="25767970">
            <w:pPr>
              <w:spacing w:after="50" w:afterLines="0" w:line="400" w:lineRule="exact"/>
              <w:rPr>
                <w:rFonts w:hint="eastAsia" w:ascii="宋体" w:hAnsi="宋体" w:cs="宋体"/>
                <w:color w:val="auto"/>
                <w:sz w:val="24"/>
                <w:highlight w:val="none"/>
              </w:rPr>
            </w:pPr>
          </w:p>
        </w:tc>
        <w:tc>
          <w:tcPr>
            <w:tcW w:w="1096" w:type="dxa"/>
            <w:noWrap w:val="0"/>
            <w:vAlign w:val="center"/>
          </w:tcPr>
          <w:p w14:paraId="0DA38030">
            <w:pPr>
              <w:spacing w:after="50" w:afterLines="0" w:line="400" w:lineRule="exact"/>
              <w:rPr>
                <w:rFonts w:hint="eastAsia" w:ascii="宋体" w:hAnsi="宋体" w:cs="宋体"/>
                <w:color w:val="auto"/>
                <w:sz w:val="24"/>
                <w:highlight w:val="none"/>
              </w:rPr>
            </w:pPr>
          </w:p>
        </w:tc>
        <w:tc>
          <w:tcPr>
            <w:tcW w:w="1096" w:type="dxa"/>
            <w:noWrap w:val="0"/>
            <w:vAlign w:val="center"/>
          </w:tcPr>
          <w:p w14:paraId="70E503DF">
            <w:pPr>
              <w:spacing w:after="50" w:afterLines="0" w:line="400" w:lineRule="exact"/>
              <w:rPr>
                <w:rFonts w:hint="eastAsia" w:ascii="宋体" w:hAnsi="宋体" w:cs="宋体"/>
                <w:color w:val="auto"/>
                <w:sz w:val="24"/>
                <w:highlight w:val="none"/>
              </w:rPr>
            </w:pPr>
          </w:p>
        </w:tc>
        <w:tc>
          <w:tcPr>
            <w:tcW w:w="1096" w:type="dxa"/>
            <w:noWrap w:val="0"/>
            <w:vAlign w:val="center"/>
          </w:tcPr>
          <w:p w14:paraId="1A10DFFE">
            <w:pPr>
              <w:spacing w:after="50" w:afterLines="0" w:line="400" w:lineRule="exact"/>
              <w:rPr>
                <w:rFonts w:hint="eastAsia" w:ascii="宋体" w:hAnsi="宋体" w:cs="宋体"/>
                <w:color w:val="auto"/>
                <w:sz w:val="24"/>
                <w:highlight w:val="none"/>
              </w:rPr>
            </w:pPr>
          </w:p>
        </w:tc>
        <w:tc>
          <w:tcPr>
            <w:tcW w:w="1279" w:type="dxa"/>
            <w:noWrap w:val="0"/>
            <w:vAlign w:val="center"/>
          </w:tcPr>
          <w:p w14:paraId="7367EB2B">
            <w:pPr>
              <w:spacing w:after="50" w:afterLines="0" w:line="400" w:lineRule="exact"/>
              <w:rPr>
                <w:rFonts w:hint="eastAsia" w:ascii="宋体" w:hAnsi="宋体" w:cs="宋体"/>
                <w:color w:val="auto"/>
                <w:sz w:val="24"/>
                <w:highlight w:val="none"/>
              </w:rPr>
            </w:pPr>
          </w:p>
        </w:tc>
        <w:tc>
          <w:tcPr>
            <w:tcW w:w="1279" w:type="dxa"/>
            <w:noWrap w:val="0"/>
            <w:vAlign w:val="center"/>
          </w:tcPr>
          <w:p w14:paraId="6A2DDF2E">
            <w:pPr>
              <w:spacing w:after="50" w:afterLines="0" w:line="400" w:lineRule="exact"/>
              <w:rPr>
                <w:rFonts w:hint="eastAsia" w:ascii="宋体" w:hAnsi="宋体" w:cs="宋体"/>
                <w:color w:val="auto"/>
                <w:sz w:val="24"/>
                <w:highlight w:val="none"/>
              </w:rPr>
            </w:pPr>
          </w:p>
        </w:tc>
        <w:tc>
          <w:tcPr>
            <w:tcW w:w="1380" w:type="dxa"/>
            <w:noWrap w:val="0"/>
            <w:vAlign w:val="center"/>
          </w:tcPr>
          <w:p w14:paraId="0C5D86DE">
            <w:pPr>
              <w:spacing w:after="50" w:afterLines="0" w:line="400" w:lineRule="exact"/>
              <w:rPr>
                <w:rFonts w:hint="eastAsia" w:ascii="宋体" w:hAnsi="宋体" w:cs="宋体"/>
                <w:color w:val="auto"/>
                <w:sz w:val="24"/>
                <w:highlight w:val="none"/>
              </w:rPr>
            </w:pPr>
          </w:p>
        </w:tc>
      </w:tr>
      <w:tr w14:paraId="1BF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5B66D2CB">
            <w:pPr>
              <w:spacing w:after="50" w:afterLines="0" w:line="400" w:lineRule="exact"/>
              <w:rPr>
                <w:rFonts w:hint="eastAsia" w:ascii="宋体" w:hAnsi="宋体" w:cs="宋体"/>
                <w:color w:val="auto"/>
                <w:sz w:val="24"/>
                <w:highlight w:val="none"/>
              </w:rPr>
            </w:pPr>
          </w:p>
        </w:tc>
        <w:tc>
          <w:tcPr>
            <w:tcW w:w="1096" w:type="dxa"/>
            <w:noWrap w:val="0"/>
            <w:vAlign w:val="top"/>
          </w:tcPr>
          <w:p w14:paraId="6F31BF86">
            <w:pPr>
              <w:spacing w:after="50" w:afterLines="0" w:line="400" w:lineRule="exact"/>
              <w:rPr>
                <w:rFonts w:hint="eastAsia" w:ascii="宋体" w:hAnsi="宋体" w:cs="宋体"/>
                <w:color w:val="auto"/>
                <w:sz w:val="24"/>
                <w:highlight w:val="none"/>
              </w:rPr>
            </w:pPr>
          </w:p>
        </w:tc>
        <w:tc>
          <w:tcPr>
            <w:tcW w:w="1096" w:type="dxa"/>
            <w:noWrap w:val="0"/>
            <w:vAlign w:val="top"/>
          </w:tcPr>
          <w:p w14:paraId="40C409FB">
            <w:pPr>
              <w:spacing w:after="50" w:afterLines="0" w:line="400" w:lineRule="exact"/>
              <w:rPr>
                <w:rFonts w:hint="eastAsia" w:ascii="宋体" w:hAnsi="宋体" w:cs="宋体"/>
                <w:color w:val="auto"/>
                <w:sz w:val="24"/>
                <w:highlight w:val="none"/>
              </w:rPr>
            </w:pPr>
          </w:p>
        </w:tc>
        <w:tc>
          <w:tcPr>
            <w:tcW w:w="1096" w:type="dxa"/>
            <w:noWrap w:val="0"/>
            <w:vAlign w:val="top"/>
          </w:tcPr>
          <w:p w14:paraId="081A7AFC">
            <w:pPr>
              <w:spacing w:after="50" w:afterLines="0" w:line="400" w:lineRule="exact"/>
              <w:rPr>
                <w:rFonts w:hint="eastAsia" w:ascii="宋体" w:hAnsi="宋体" w:cs="宋体"/>
                <w:color w:val="auto"/>
                <w:sz w:val="24"/>
                <w:highlight w:val="none"/>
              </w:rPr>
            </w:pPr>
          </w:p>
        </w:tc>
        <w:tc>
          <w:tcPr>
            <w:tcW w:w="1096" w:type="dxa"/>
            <w:noWrap w:val="0"/>
            <w:vAlign w:val="top"/>
          </w:tcPr>
          <w:p w14:paraId="2E69C1EE">
            <w:pPr>
              <w:spacing w:after="50" w:afterLines="0" w:line="400" w:lineRule="exact"/>
              <w:rPr>
                <w:rFonts w:hint="eastAsia" w:ascii="宋体" w:hAnsi="宋体" w:cs="宋体"/>
                <w:color w:val="auto"/>
                <w:sz w:val="24"/>
                <w:highlight w:val="none"/>
              </w:rPr>
            </w:pPr>
          </w:p>
        </w:tc>
        <w:tc>
          <w:tcPr>
            <w:tcW w:w="1279" w:type="dxa"/>
            <w:noWrap w:val="0"/>
            <w:vAlign w:val="top"/>
          </w:tcPr>
          <w:p w14:paraId="7579CA98">
            <w:pPr>
              <w:spacing w:after="50" w:afterLines="0" w:line="400" w:lineRule="exact"/>
              <w:rPr>
                <w:rFonts w:hint="eastAsia" w:ascii="宋体" w:hAnsi="宋体" w:cs="宋体"/>
                <w:color w:val="auto"/>
                <w:sz w:val="24"/>
                <w:highlight w:val="none"/>
              </w:rPr>
            </w:pPr>
          </w:p>
        </w:tc>
        <w:tc>
          <w:tcPr>
            <w:tcW w:w="1279" w:type="dxa"/>
            <w:noWrap w:val="0"/>
            <w:vAlign w:val="top"/>
          </w:tcPr>
          <w:p w14:paraId="4C98F92E">
            <w:pPr>
              <w:spacing w:after="50" w:afterLines="0" w:line="400" w:lineRule="exact"/>
              <w:rPr>
                <w:rFonts w:hint="eastAsia" w:ascii="宋体" w:hAnsi="宋体" w:cs="宋体"/>
                <w:color w:val="auto"/>
                <w:sz w:val="24"/>
                <w:highlight w:val="none"/>
              </w:rPr>
            </w:pPr>
          </w:p>
        </w:tc>
        <w:tc>
          <w:tcPr>
            <w:tcW w:w="1380" w:type="dxa"/>
            <w:noWrap w:val="0"/>
            <w:vAlign w:val="top"/>
          </w:tcPr>
          <w:p w14:paraId="1DD472D1">
            <w:pPr>
              <w:spacing w:after="50" w:afterLines="0" w:line="400" w:lineRule="exact"/>
              <w:rPr>
                <w:rFonts w:hint="eastAsia" w:ascii="宋体" w:hAnsi="宋体" w:cs="宋体"/>
                <w:color w:val="auto"/>
                <w:sz w:val="24"/>
                <w:highlight w:val="none"/>
              </w:rPr>
            </w:pPr>
          </w:p>
        </w:tc>
      </w:tr>
      <w:tr w14:paraId="062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9534087">
            <w:pPr>
              <w:spacing w:after="50" w:afterLines="0" w:line="400" w:lineRule="exact"/>
              <w:rPr>
                <w:rFonts w:hint="eastAsia" w:ascii="宋体" w:hAnsi="宋体" w:cs="宋体"/>
                <w:color w:val="auto"/>
                <w:sz w:val="24"/>
                <w:highlight w:val="none"/>
              </w:rPr>
            </w:pPr>
          </w:p>
        </w:tc>
        <w:tc>
          <w:tcPr>
            <w:tcW w:w="1096" w:type="dxa"/>
            <w:noWrap w:val="0"/>
            <w:vAlign w:val="top"/>
          </w:tcPr>
          <w:p w14:paraId="14A4EFD3">
            <w:pPr>
              <w:spacing w:after="50" w:afterLines="0" w:line="400" w:lineRule="exact"/>
              <w:rPr>
                <w:rFonts w:hint="eastAsia" w:ascii="宋体" w:hAnsi="宋体" w:cs="宋体"/>
                <w:color w:val="auto"/>
                <w:sz w:val="24"/>
                <w:highlight w:val="none"/>
              </w:rPr>
            </w:pPr>
          </w:p>
        </w:tc>
        <w:tc>
          <w:tcPr>
            <w:tcW w:w="1096" w:type="dxa"/>
            <w:noWrap w:val="0"/>
            <w:vAlign w:val="top"/>
          </w:tcPr>
          <w:p w14:paraId="1F15B2FF">
            <w:pPr>
              <w:spacing w:after="50" w:afterLines="0" w:line="400" w:lineRule="exact"/>
              <w:rPr>
                <w:rFonts w:hint="eastAsia" w:ascii="宋体" w:hAnsi="宋体" w:cs="宋体"/>
                <w:color w:val="auto"/>
                <w:sz w:val="24"/>
                <w:highlight w:val="none"/>
              </w:rPr>
            </w:pPr>
          </w:p>
        </w:tc>
        <w:tc>
          <w:tcPr>
            <w:tcW w:w="1096" w:type="dxa"/>
            <w:noWrap w:val="0"/>
            <w:vAlign w:val="top"/>
          </w:tcPr>
          <w:p w14:paraId="2E88365E">
            <w:pPr>
              <w:spacing w:after="50" w:afterLines="0" w:line="400" w:lineRule="exact"/>
              <w:rPr>
                <w:rFonts w:hint="eastAsia" w:ascii="宋体" w:hAnsi="宋体" w:cs="宋体"/>
                <w:color w:val="auto"/>
                <w:sz w:val="24"/>
                <w:highlight w:val="none"/>
              </w:rPr>
            </w:pPr>
          </w:p>
        </w:tc>
        <w:tc>
          <w:tcPr>
            <w:tcW w:w="1096" w:type="dxa"/>
            <w:noWrap w:val="0"/>
            <w:vAlign w:val="top"/>
          </w:tcPr>
          <w:p w14:paraId="169145C7">
            <w:pPr>
              <w:spacing w:after="50" w:afterLines="0" w:line="400" w:lineRule="exact"/>
              <w:rPr>
                <w:rFonts w:hint="eastAsia" w:ascii="宋体" w:hAnsi="宋体" w:cs="宋体"/>
                <w:color w:val="auto"/>
                <w:sz w:val="24"/>
                <w:highlight w:val="none"/>
              </w:rPr>
            </w:pPr>
          </w:p>
        </w:tc>
        <w:tc>
          <w:tcPr>
            <w:tcW w:w="1279" w:type="dxa"/>
            <w:noWrap w:val="0"/>
            <w:vAlign w:val="top"/>
          </w:tcPr>
          <w:p w14:paraId="4B2ED1D4">
            <w:pPr>
              <w:pStyle w:val="18"/>
              <w:tabs>
                <w:tab w:val="right" w:leader="dot" w:pos="9174"/>
              </w:tabs>
              <w:rPr>
                <w:rFonts w:hint="eastAsia" w:ascii="宋体" w:hAnsi="宋体" w:cs="宋体"/>
                <w:color w:val="auto"/>
                <w:highlight w:val="none"/>
              </w:rPr>
            </w:pPr>
          </w:p>
        </w:tc>
        <w:tc>
          <w:tcPr>
            <w:tcW w:w="1279" w:type="dxa"/>
            <w:noWrap w:val="0"/>
            <w:vAlign w:val="top"/>
          </w:tcPr>
          <w:p w14:paraId="7793B2E0">
            <w:pPr>
              <w:spacing w:after="50" w:afterLines="0" w:line="400" w:lineRule="exact"/>
              <w:rPr>
                <w:rFonts w:hint="eastAsia" w:ascii="宋体" w:hAnsi="宋体" w:cs="宋体"/>
                <w:color w:val="auto"/>
                <w:sz w:val="24"/>
                <w:highlight w:val="none"/>
              </w:rPr>
            </w:pPr>
          </w:p>
        </w:tc>
        <w:tc>
          <w:tcPr>
            <w:tcW w:w="1380" w:type="dxa"/>
            <w:noWrap w:val="0"/>
            <w:vAlign w:val="top"/>
          </w:tcPr>
          <w:p w14:paraId="61268A4E">
            <w:pPr>
              <w:spacing w:after="50" w:afterLines="0" w:line="400" w:lineRule="exact"/>
              <w:rPr>
                <w:rFonts w:hint="eastAsia" w:ascii="宋体" w:hAnsi="宋体" w:cs="宋体"/>
                <w:color w:val="auto"/>
                <w:sz w:val="24"/>
                <w:highlight w:val="none"/>
              </w:rPr>
            </w:pPr>
          </w:p>
        </w:tc>
      </w:tr>
      <w:tr w14:paraId="4EF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04BA3F16">
            <w:pPr>
              <w:spacing w:after="50" w:afterLines="0" w:line="400" w:lineRule="exact"/>
              <w:rPr>
                <w:rFonts w:hint="eastAsia" w:ascii="宋体" w:hAnsi="宋体" w:cs="宋体"/>
                <w:color w:val="auto"/>
                <w:sz w:val="24"/>
                <w:highlight w:val="none"/>
              </w:rPr>
            </w:pPr>
          </w:p>
        </w:tc>
        <w:tc>
          <w:tcPr>
            <w:tcW w:w="1096" w:type="dxa"/>
            <w:noWrap w:val="0"/>
            <w:vAlign w:val="top"/>
          </w:tcPr>
          <w:p w14:paraId="134F315D">
            <w:pPr>
              <w:spacing w:after="50" w:afterLines="0" w:line="400" w:lineRule="exact"/>
              <w:rPr>
                <w:rFonts w:hint="eastAsia" w:ascii="宋体" w:hAnsi="宋体" w:cs="宋体"/>
                <w:color w:val="auto"/>
                <w:sz w:val="24"/>
                <w:highlight w:val="none"/>
              </w:rPr>
            </w:pPr>
          </w:p>
        </w:tc>
        <w:tc>
          <w:tcPr>
            <w:tcW w:w="1096" w:type="dxa"/>
            <w:noWrap w:val="0"/>
            <w:vAlign w:val="top"/>
          </w:tcPr>
          <w:p w14:paraId="2C37C7E5">
            <w:pPr>
              <w:spacing w:after="50" w:afterLines="0" w:line="400" w:lineRule="exact"/>
              <w:rPr>
                <w:rFonts w:hint="eastAsia" w:ascii="宋体" w:hAnsi="宋体" w:cs="宋体"/>
                <w:color w:val="auto"/>
                <w:sz w:val="24"/>
                <w:highlight w:val="none"/>
              </w:rPr>
            </w:pPr>
          </w:p>
        </w:tc>
        <w:tc>
          <w:tcPr>
            <w:tcW w:w="1096" w:type="dxa"/>
            <w:noWrap w:val="0"/>
            <w:vAlign w:val="top"/>
          </w:tcPr>
          <w:p w14:paraId="24F98CC1">
            <w:pPr>
              <w:spacing w:after="50" w:afterLines="0" w:line="400" w:lineRule="exact"/>
              <w:rPr>
                <w:rFonts w:hint="eastAsia" w:ascii="宋体" w:hAnsi="宋体" w:cs="宋体"/>
                <w:color w:val="auto"/>
                <w:sz w:val="24"/>
                <w:highlight w:val="none"/>
              </w:rPr>
            </w:pPr>
          </w:p>
        </w:tc>
        <w:tc>
          <w:tcPr>
            <w:tcW w:w="1096" w:type="dxa"/>
            <w:noWrap w:val="0"/>
            <w:vAlign w:val="top"/>
          </w:tcPr>
          <w:p w14:paraId="1BD4AD57">
            <w:pPr>
              <w:spacing w:after="50" w:afterLines="0" w:line="400" w:lineRule="exact"/>
              <w:rPr>
                <w:rFonts w:hint="eastAsia" w:ascii="宋体" w:hAnsi="宋体" w:cs="宋体"/>
                <w:color w:val="auto"/>
                <w:sz w:val="24"/>
                <w:highlight w:val="none"/>
              </w:rPr>
            </w:pPr>
          </w:p>
        </w:tc>
        <w:tc>
          <w:tcPr>
            <w:tcW w:w="1279" w:type="dxa"/>
            <w:noWrap w:val="0"/>
            <w:vAlign w:val="top"/>
          </w:tcPr>
          <w:p w14:paraId="3600DD25">
            <w:pPr>
              <w:spacing w:after="50" w:afterLines="0" w:line="400" w:lineRule="exact"/>
              <w:rPr>
                <w:rFonts w:hint="eastAsia" w:ascii="宋体" w:hAnsi="宋体" w:cs="宋体"/>
                <w:color w:val="auto"/>
                <w:sz w:val="24"/>
                <w:highlight w:val="none"/>
              </w:rPr>
            </w:pPr>
          </w:p>
        </w:tc>
        <w:tc>
          <w:tcPr>
            <w:tcW w:w="1279" w:type="dxa"/>
            <w:noWrap w:val="0"/>
            <w:vAlign w:val="top"/>
          </w:tcPr>
          <w:p w14:paraId="24429F86">
            <w:pPr>
              <w:spacing w:after="50" w:afterLines="0" w:line="400" w:lineRule="exact"/>
              <w:rPr>
                <w:rFonts w:hint="eastAsia" w:ascii="宋体" w:hAnsi="宋体" w:cs="宋体"/>
                <w:color w:val="auto"/>
                <w:sz w:val="24"/>
                <w:highlight w:val="none"/>
              </w:rPr>
            </w:pPr>
          </w:p>
        </w:tc>
        <w:tc>
          <w:tcPr>
            <w:tcW w:w="1380" w:type="dxa"/>
            <w:noWrap w:val="0"/>
            <w:vAlign w:val="top"/>
          </w:tcPr>
          <w:p w14:paraId="13F576C2">
            <w:pPr>
              <w:spacing w:after="50" w:afterLines="0" w:line="400" w:lineRule="exact"/>
              <w:rPr>
                <w:rFonts w:hint="eastAsia" w:ascii="宋体" w:hAnsi="宋体" w:cs="宋体"/>
                <w:color w:val="auto"/>
                <w:sz w:val="24"/>
                <w:highlight w:val="none"/>
              </w:rPr>
            </w:pPr>
          </w:p>
        </w:tc>
      </w:tr>
      <w:tr w14:paraId="51A4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373BCCA8">
            <w:pPr>
              <w:spacing w:after="50" w:afterLines="0" w:line="400" w:lineRule="exact"/>
              <w:rPr>
                <w:rFonts w:hint="eastAsia" w:ascii="宋体" w:hAnsi="宋体" w:cs="宋体"/>
                <w:color w:val="auto"/>
                <w:sz w:val="24"/>
                <w:highlight w:val="none"/>
              </w:rPr>
            </w:pPr>
          </w:p>
        </w:tc>
        <w:tc>
          <w:tcPr>
            <w:tcW w:w="1096" w:type="dxa"/>
            <w:noWrap w:val="0"/>
            <w:vAlign w:val="top"/>
          </w:tcPr>
          <w:p w14:paraId="00B4BE7D">
            <w:pPr>
              <w:spacing w:after="50" w:afterLines="0" w:line="400" w:lineRule="exact"/>
              <w:rPr>
                <w:rFonts w:hint="eastAsia" w:ascii="宋体" w:hAnsi="宋体" w:cs="宋体"/>
                <w:color w:val="auto"/>
                <w:sz w:val="24"/>
                <w:highlight w:val="none"/>
              </w:rPr>
            </w:pPr>
          </w:p>
        </w:tc>
        <w:tc>
          <w:tcPr>
            <w:tcW w:w="1096" w:type="dxa"/>
            <w:noWrap w:val="0"/>
            <w:vAlign w:val="top"/>
          </w:tcPr>
          <w:p w14:paraId="50A765D6">
            <w:pPr>
              <w:spacing w:after="50" w:afterLines="0" w:line="400" w:lineRule="exact"/>
              <w:rPr>
                <w:rFonts w:hint="eastAsia" w:ascii="宋体" w:hAnsi="宋体" w:cs="宋体"/>
                <w:color w:val="auto"/>
                <w:sz w:val="24"/>
                <w:highlight w:val="none"/>
              </w:rPr>
            </w:pPr>
          </w:p>
        </w:tc>
        <w:tc>
          <w:tcPr>
            <w:tcW w:w="1096" w:type="dxa"/>
            <w:noWrap w:val="0"/>
            <w:vAlign w:val="top"/>
          </w:tcPr>
          <w:p w14:paraId="73E43A32">
            <w:pPr>
              <w:spacing w:after="50" w:afterLines="0" w:line="400" w:lineRule="exact"/>
              <w:rPr>
                <w:rFonts w:hint="eastAsia" w:ascii="宋体" w:hAnsi="宋体" w:cs="宋体"/>
                <w:color w:val="auto"/>
                <w:sz w:val="24"/>
                <w:highlight w:val="none"/>
              </w:rPr>
            </w:pPr>
          </w:p>
        </w:tc>
        <w:tc>
          <w:tcPr>
            <w:tcW w:w="1096" w:type="dxa"/>
            <w:noWrap w:val="0"/>
            <w:vAlign w:val="top"/>
          </w:tcPr>
          <w:p w14:paraId="45C988A4">
            <w:pPr>
              <w:spacing w:after="50" w:afterLines="0" w:line="400" w:lineRule="exact"/>
              <w:rPr>
                <w:rFonts w:hint="eastAsia" w:ascii="宋体" w:hAnsi="宋体" w:cs="宋体"/>
                <w:color w:val="auto"/>
                <w:sz w:val="24"/>
                <w:highlight w:val="none"/>
              </w:rPr>
            </w:pPr>
          </w:p>
        </w:tc>
        <w:tc>
          <w:tcPr>
            <w:tcW w:w="1279" w:type="dxa"/>
            <w:noWrap w:val="0"/>
            <w:vAlign w:val="top"/>
          </w:tcPr>
          <w:p w14:paraId="394C8FD8">
            <w:pPr>
              <w:spacing w:after="50" w:afterLines="0" w:line="400" w:lineRule="exact"/>
              <w:rPr>
                <w:rFonts w:hint="eastAsia" w:ascii="宋体" w:hAnsi="宋体" w:cs="宋体"/>
                <w:color w:val="auto"/>
                <w:sz w:val="24"/>
                <w:highlight w:val="none"/>
              </w:rPr>
            </w:pPr>
          </w:p>
        </w:tc>
        <w:tc>
          <w:tcPr>
            <w:tcW w:w="1279" w:type="dxa"/>
            <w:noWrap w:val="0"/>
            <w:vAlign w:val="top"/>
          </w:tcPr>
          <w:p w14:paraId="25683B4A">
            <w:pPr>
              <w:spacing w:after="50" w:afterLines="0" w:line="400" w:lineRule="exact"/>
              <w:rPr>
                <w:rFonts w:hint="eastAsia" w:ascii="宋体" w:hAnsi="宋体" w:cs="宋体"/>
                <w:color w:val="auto"/>
                <w:sz w:val="24"/>
                <w:highlight w:val="none"/>
              </w:rPr>
            </w:pPr>
          </w:p>
        </w:tc>
        <w:tc>
          <w:tcPr>
            <w:tcW w:w="1380" w:type="dxa"/>
            <w:noWrap w:val="0"/>
            <w:vAlign w:val="top"/>
          </w:tcPr>
          <w:p w14:paraId="1A91687F">
            <w:pPr>
              <w:spacing w:after="50" w:afterLines="0" w:line="400" w:lineRule="exact"/>
              <w:rPr>
                <w:rFonts w:hint="eastAsia" w:ascii="宋体" w:hAnsi="宋体" w:cs="宋体"/>
                <w:color w:val="auto"/>
                <w:sz w:val="24"/>
                <w:highlight w:val="none"/>
              </w:rPr>
            </w:pPr>
          </w:p>
        </w:tc>
      </w:tr>
      <w:tr w14:paraId="0E01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noWrap w:val="0"/>
            <w:vAlign w:val="top"/>
          </w:tcPr>
          <w:p w14:paraId="60CBC781">
            <w:pPr>
              <w:spacing w:after="50" w:afterLines="0" w:line="400" w:lineRule="exact"/>
              <w:rPr>
                <w:rFonts w:hint="eastAsia" w:ascii="宋体" w:hAnsi="宋体" w:cs="宋体"/>
                <w:color w:val="auto"/>
                <w:sz w:val="24"/>
                <w:highlight w:val="none"/>
              </w:rPr>
            </w:pPr>
          </w:p>
        </w:tc>
        <w:tc>
          <w:tcPr>
            <w:tcW w:w="1096" w:type="dxa"/>
            <w:noWrap w:val="0"/>
            <w:vAlign w:val="top"/>
          </w:tcPr>
          <w:p w14:paraId="415FE30A">
            <w:pPr>
              <w:spacing w:after="50" w:afterLines="0" w:line="400" w:lineRule="exact"/>
              <w:rPr>
                <w:rFonts w:hint="eastAsia" w:ascii="宋体" w:hAnsi="宋体" w:cs="宋体"/>
                <w:color w:val="auto"/>
                <w:sz w:val="24"/>
                <w:highlight w:val="none"/>
              </w:rPr>
            </w:pPr>
          </w:p>
        </w:tc>
        <w:tc>
          <w:tcPr>
            <w:tcW w:w="1096" w:type="dxa"/>
            <w:noWrap w:val="0"/>
            <w:vAlign w:val="top"/>
          </w:tcPr>
          <w:p w14:paraId="6C2550C0">
            <w:pPr>
              <w:spacing w:after="50" w:afterLines="0" w:line="400" w:lineRule="exact"/>
              <w:rPr>
                <w:rFonts w:hint="eastAsia" w:ascii="宋体" w:hAnsi="宋体" w:cs="宋体"/>
                <w:color w:val="auto"/>
                <w:sz w:val="24"/>
                <w:highlight w:val="none"/>
              </w:rPr>
            </w:pPr>
          </w:p>
        </w:tc>
        <w:tc>
          <w:tcPr>
            <w:tcW w:w="1096" w:type="dxa"/>
            <w:noWrap w:val="0"/>
            <w:vAlign w:val="top"/>
          </w:tcPr>
          <w:p w14:paraId="589A88B3">
            <w:pPr>
              <w:spacing w:after="50" w:afterLines="0" w:line="400" w:lineRule="exact"/>
              <w:rPr>
                <w:rFonts w:hint="eastAsia" w:ascii="宋体" w:hAnsi="宋体" w:cs="宋体"/>
                <w:color w:val="auto"/>
                <w:sz w:val="24"/>
                <w:highlight w:val="none"/>
              </w:rPr>
            </w:pPr>
          </w:p>
        </w:tc>
        <w:tc>
          <w:tcPr>
            <w:tcW w:w="1096" w:type="dxa"/>
            <w:noWrap w:val="0"/>
            <w:vAlign w:val="top"/>
          </w:tcPr>
          <w:p w14:paraId="147F67F2">
            <w:pPr>
              <w:spacing w:after="50" w:afterLines="0" w:line="400" w:lineRule="exact"/>
              <w:rPr>
                <w:rFonts w:hint="eastAsia" w:ascii="宋体" w:hAnsi="宋体" w:cs="宋体"/>
                <w:color w:val="auto"/>
                <w:sz w:val="24"/>
                <w:highlight w:val="none"/>
              </w:rPr>
            </w:pPr>
          </w:p>
        </w:tc>
        <w:tc>
          <w:tcPr>
            <w:tcW w:w="1279" w:type="dxa"/>
            <w:noWrap w:val="0"/>
            <w:vAlign w:val="top"/>
          </w:tcPr>
          <w:p w14:paraId="669FF8A4">
            <w:pPr>
              <w:spacing w:after="50" w:afterLines="0" w:line="400" w:lineRule="exact"/>
              <w:rPr>
                <w:rFonts w:hint="eastAsia" w:ascii="宋体" w:hAnsi="宋体" w:cs="宋体"/>
                <w:color w:val="auto"/>
                <w:sz w:val="24"/>
                <w:highlight w:val="none"/>
              </w:rPr>
            </w:pPr>
          </w:p>
        </w:tc>
        <w:tc>
          <w:tcPr>
            <w:tcW w:w="1279" w:type="dxa"/>
            <w:noWrap w:val="0"/>
            <w:vAlign w:val="top"/>
          </w:tcPr>
          <w:p w14:paraId="318F10A4">
            <w:pPr>
              <w:spacing w:after="50" w:afterLines="0" w:line="400" w:lineRule="exact"/>
              <w:rPr>
                <w:rFonts w:hint="eastAsia" w:ascii="宋体" w:hAnsi="宋体" w:cs="宋体"/>
                <w:color w:val="auto"/>
                <w:sz w:val="24"/>
                <w:highlight w:val="none"/>
              </w:rPr>
            </w:pPr>
          </w:p>
        </w:tc>
        <w:tc>
          <w:tcPr>
            <w:tcW w:w="1380" w:type="dxa"/>
            <w:noWrap w:val="0"/>
            <w:vAlign w:val="top"/>
          </w:tcPr>
          <w:p w14:paraId="50B5C48A">
            <w:pPr>
              <w:spacing w:after="50" w:afterLines="0" w:line="400" w:lineRule="exact"/>
              <w:rPr>
                <w:rFonts w:hint="eastAsia" w:ascii="宋体" w:hAnsi="宋体" w:cs="宋体"/>
                <w:color w:val="auto"/>
                <w:sz w:val="24"/>
                <w:highlight w:val="none"/>
              </w:rPr>
            </w:pPr>
          </w:p>
        </w:tc>
      </w:tr>
    </w:tbl>
    <w:p w14:paraId="6398C762">
      <w:pPr>
        <w:spacing w:after="50" w:afterLines="0" w:line="40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注：1.供应商应按所列格式提交包括分包人在内的估计劳动力计划表。</w:t>
      </w:r>
    </w:p>
    <w:p w14:paraId="5B336E78">
      <w:pPr>
        <w:numPr>
          <w:ilvl w:val="0"/>
          <w:numId w:val="16"/>
        </w:numPr>
        <w:spacing w:after="50" w:afterLines="0" w:line="400" w:lineRule="exact"/>
        <w:ind w:firstLine="424" w:firstLineChars="200"/>
        <w:rPr>
          <w:rFonts w:hint="eastAsia" w:ascii="宋体" w:hAnsi="宋体" w:cs="宋体"/>
          <w:snapToGrid w:val="0"/>
          <w:color w:val="auto"/>
          <w:highlight w:val="none"/>
        </w:rPr>
      </w:pPr>
      <w:r>
        <w:rPr>
          <w:rFonts w:hint="eastAsia" w:ascii="宋体" w:hAnsi="宋体" w:cs="宋体"/>
          <w:snapToGrid w:val="0"/>
          <w:color w:val="auto"/>
          <w:spacing w:val="1"/>
          <w:highlight w:val="none"/>
        </w:rPr>
        <w:t>本计划表是以每班八小时工作制为基础编制</w:t>
      </w:r>
      <w:r>
        <w:rPr>
          <w:rFonts w:hint="eastAsia" w:ascii="宋体" w:hAnsi="宋体" w:cs="宋体"/>
          <w:snapToGrid w:val="0"/>
          <w:color w:val="auto"/>
          <w:spacing w:val="-7"/>
          <w:highlight w:val="none"/>
        </w:rPr>
        <w:t>的</w:t>
      </w:r>
      <w:r>
        <w:rPr>
          <w:rFonts w:hint="eastAsia" w:ascii="宋体" w:hAnsi="宋体" w:cs="宋体"/>
          <w:snapToGrid w:val="0"/>
          <w:color w:val="auto"/>
          <w:highlight w:val="none"/>
        </w:rPr>
        <w:t>。</w:t>
      </w:r>
    </w:p>
    <w:p w14:paraId="611531E4">
      <w:pPr>
        <w:spacing w:after="50" w:afterLines="0" w:line="400" w:lineRule="exact"/>
        <w:ind w:firstLine="482" w:firstLineChars="200"/>
        <w:rPr>
          <w:rFonts w:hint="eastAsia" w:ascii="宋体" w:hAnsi="宋体" w:cs="宋体"/>
          <w:b/>
          <w:snapToGrid w:val="0"/>
          <w:color w:val="auto"/>
          <w:sz w:val="24"/>
          <w:highlight w:val="none"/>
        </w:rPr>
      </w:pPr>
    </w:p>
    <w:p w14:paraId="6B7B2510">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snapToGrid w:val="0"/>
          <w:color w:val="auto"/>
          <w:sz w:val="24"/>
          <w:highlight w:val="none"/>
        </w:rPr>
        <w:t>附表三  ⑶</w:t>
      </w:r>
      <w:r>
        <w:rPr>
          <w:rFonts w:hint="eastAsia" w:ascii="宋体" w:hAnsi="宋体" w:cs="宋体"/>
          <w:b/>
          <w:bCs/>
          <w:color w:val="auto"/>
          <w:sz w:val="24"/>
          <w:highlight w:val="none"/>
        </w:rPr>
        <w:t>计划</w:t>
      </w:r>
      <w:r>
        <w:rPr>
          <w:rFonts w:hint="eastAsia" w:ascii="宋体" w:hAnsi="宋体" w:cs="宋体"/>
          <w:b/>
          <w:bCs/>
          <w:color w:val="auto"/>
          <w:sz w:val="24"/>
          <w:highlight w:val="none"/>
          <w:lang w:eastAsia="zh-CN"/>
        </w:rPr>
        <w:t>开工</w:t>
      </w:r>
      <w:r>
        <w:rPr>
          <w:rFonts w:hint="eastAsia" w:ascii="宋体" w:hAnsi="宋体" w:cs="宋体"/>
          <w:b/>
          <w:bCs/>
          <w:color w:val="auto"/>
          <w:sz w:val="24"/>
          <w:highlight w:val="none"/>
        </w:rPr>
        <w:t>、竣工日期和施工进度横道图</w:t>
      </w:r>
    </w:p>
    <w:p w14:paraId="402ED6EB">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1.供应商应提交施工进度横道图或施工进度表，说明按竞争性磋商采购文件要求的工期进行施工的各个关键日期。成交的供应商还应按合同条件有关条款的要求提交详细的施工进度计划。</w:t>
      </w:r>
    </w:p>
    <w:p w14:paraId="5C3A14BA">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2.施工进度表可采用横道图表示，说明计划开工日期和各分项工程各阶段的完工日期和分包合同签订的日期。</w:t>
      </w:r>
    </w:p>
    <w:p w14:paraId="25F59F1E">
      <w:pPr>
        <w:spacing w:after="156" w:afterLines="50" w:line="400" w:lineRule="exact"/>
        <w:ind w:firstLine="420" w:firstLineChars="200"/>
        <w:rPr>
          <w:rFonts w:hint="eastAsia" w:ascii="宋体" w:hAnsi="宋体" w:cs="宋体"/>
          <w:b/>
          <w:bCs/>
          <w:color w:val="auto"/>
          <w:sz w:val="24"/>
          <w:highlight w:val="none"/>
        </w:rPr>
      </w:pPr>
      <w:r>
        <w:rPr>
          <w:rFonts w:hint="eastAsia" w:ascii="宋体" w:hAnsi="宋体" w:cs="宋体"/>
          <w:color w:val="auto"/>
          <w:highlight w:val="none"/>
        </w:rPr>
        <w:t>3.施工进度计划应与施工组织设计相适应。</w:t>
      </w:r>
    </w:p>
    <w:p w14:paraId="12F41568">
      <w:pPr>
        <w:spacing w:after="50" w:afterLines="0"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附表四  ⑷施工总平面图</w:t>
      </w:r>
    </w:p>
    <w:p w14:paraId="00FF8813">
      <w:pPr>
        <w:pStyle w:val="19"/>
        <w:ind w:firstLine="420" w:firstLineChars="200"/>
        <w:rPr>
          <w:rFonts w:hint="eastAsia" w:ascii="宋体" w:hAnsi="宋体" w:cs="宋体"/>
          <w:b/>
          <w:bCs/>
          <w:color w:val="auto"/>
          <w:sz w:val="24"/>
          <w:highlight w:val="none"/>
        </w:rPr>
      </w:pPr>
      <w:r>
        <w:rPr>
          <w:rFonts w:hint="eastAsia" w:hAnsi="宋体" w:cs="宋体"/>
          <w:color w:val="auto"/>
          <w:highlight w:val="none"/>
        </w:rPr>
        <w:t>供应商应提交一份施工总平面图，绘出现场临时设施布置图表并附文字说明，说明临时设施、加工车间、现场办公、设备及仓储、供电、供水、卫生、生活等设施的情况和布置。</w:t>
      </w:r>
    </w:p>
    <w:p w14:paraId="6E9973B5">
      <w:pPr>
        <w:spacing w:after="50" w:afterLines="0"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附表五  ⑸临时用地表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366"/>
        <w:gridCol w:w="2336"/>
        <w:gridCol w:w="2336"/>
      </w:tblGrid>
      <w:tr w14:paraId="1746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5" w:type="dxa"/>
            <w:noWrap w:val="0"/>
            <w:vAlign w:val="center"/>
          </w:tcPr>
          <w:p w14:paraId="08B63377">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用 途</w:t>
            </w:r>
          </w:p>
        </w:tc>
        <w:tc>
          <w:tcPr>
            <w:tcW w:w="2366" w:type="dxa"/>
            <w:noWrap w:val="0"/>
            <w:vAlign w:val="center"/>
          </w:tcPr>
          <w:p w14:paraId="2762843D">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面 积（平方米）</w:t>
            </w:r>
          </w:p>
        </w:tc>
        <w:tc>
          <w:tcPr>
            <w:tcW w:w="2336" w:type="dxa"/>
            <w:noWrap w:val="0"/>
            <w:vAlign w:val="center"/>
          </w:tcPr>
          <w:p w14:paraId="2880CE0B">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位 置</w:t>
            </w:r>
          </w:p>
        </w:tc>
        <w:tc>
          <w:tcPr>
            <w:tcW w:w="2336" w:type="dxa"/>
            <w:noWrap w:val="0"/>
            <w:vAlign w:val="center"/>
          </w:tcPr>
          <w:p w14:paraId="43F8076F">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需用时间</w:t>
            </w:r>
          </w:p>
        </w:tc>
      </w:tr>
      <w:tr w14:paraId="0A6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52ED747E">
            <w:pPr>
              <w:spacing w:after="50" w:afterLines="0" w:line="400" w:lineRule="exact"/>
              <w:rPr>
                <w:rFonts w:hint="eastAsia" w:ascii="宋体" w:hAnsi="宋体" w:cs="宋体"/>
                <w:color w:val="auto"/>
                <w:highlight w:val="none"/>
              </w:rPr>
            </w:pPr>
          </w:p>
        </w:tc>
        <w:tc>
          <w:tcPr>
            <w:tcW w:w="2366" w:type="dxa"/>
            <w:noWrap w:val="0"/>
            <w:vAlign w:val="center"/>
          </w:tcPr>
          <w:p w14:paraId="6B6CEA32">
            <w:pPr>
              <w:spacing w:after="50" w:afterLines="0" w:line="400" w:lineRule="exact"/>
              <w:rPr>
                <w:rFonts w:hint="eastAsia" w:ascii="宋体" w:hAnsi="宋体" w:cs="宋体"/>
                <w:color w:val="auto"/>
                <w:highlight w:val="none"/>
              </w:rPr>
            </w:pPr>
          </w:p>
        </w:tc>
        <w:tc>
          <w:tcPr>
            <w:tcW w:w="2336" w:type="dxa"/>
            <w:noWrap w:val="0"/>
            <w:vAlign w:val="center"/>
          </w:tcPr>
          <w:p w14:paraId="6046B98D">
            <w:pPr>
              <w:spacing w:after="50" w:afterLines="0" w:line="400" w:lineRule="exact"/>
              <w:rPr>
                <w:rFonts w:hint="eastAsia" w:ascii="宋体" w:hAnsi="宋体" w:cs="宋体"/>
                <w:color w:val="auto"/>
                <w:highlight w:val="none"/>
              </w:rPr>
            </w:pPr>
          </w:p>
        </w:tc>
        <w:tc>
          <w:tcPr>
            <w:tcW w:w="2336" w:type="dxa"/>
            <w:noWrap w:val="0"/>
            <w:vAlign w:val="center"/>
          </w:tcPr>
          <w:p w14:paraId="426D74C8">
            <w:pPr>
              <w:spacing w:after="50" w:afterLines="0" w:line="400" w:lineRule="exact"/>
              <w:rPr>
                <w:rFonts w:hint="eastAsia" w:ascii="宋体" w:hAnsi="宋体" w:cs="宋体"/>
                <w:color w:val="auto"/>
                <w:highlight w:val="none"/>
              </w:rPr>
            </w:pPr>
          </w:p>
        </w:tc>
      </w:tr>
      <w:tr w14:paraId="2C38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41145577">
            <w:pPr>
              <w:spacing w:after="50" w:afterLines="0" w:line="400" w:lineRule="exact"/>
              <w:rPr>
                <w:rFonts w:hint="eastAsia" w:ascii="宋体" w:hAnsi="宋体" w:cs="宋体"/>
                <w:color w:val="auto"/>
                <w:highlight w:val="none"/>
              </w:rPr>
            </w:pPr>
          </w:p>
        </w:tc>
        <w:tc>
          <w:tcPr>
            <w:tcW w:w="2366" w:type="dxa"/>
            <w:noWrap w:val="0"/>
            <w:vAlign w:val="center"/>
          </w:tcPr>
          <w:p w14:paraId="63A64211">
            <w:pPr>
              <w:spacing w:after="50" w:afterLines="0" w:line="400" w:lineRule="exact"/>
              <w:rPr>
                <w:rFonts w:hint="eastAsia" w:ascii="宋体" w:hAnsi="宋体" w:cs="宋体"/>
                <w:color w:val="auto"/>
                <w:highlight w:val="none"/>
              </w:rPr>
            </w:pPr>
          </w:p>
        </w:tc>
        <w:tc>
          <w:tcPr>
            <w:tcW w:w="2336" w:type="dxa"/>
            <w:noWrap w:val="0"/>
            <w:vAlign w:val="center"/>
          </w:tcPr>
          <w:p w14:paraId="09324CFB">
            <w:pPr>
              <w:spacing w:after="50" w:afterLines="0" w:line="400" w:lineRule="exact"/>
              <w:rPr>
                <w:rFonts w:hint="eastAsia" w:ascii="宋体" w:hAnsi="宋体" w:cs="宋体"/>
                <w:color w:val="auto"/>
                <w:highlight w:val="none"/>
              </w:rPr>
            </w:pPr>
          </w:p>
        </w:tc>
        <w:tc>
          <w:tcPr>
            <w:tcW w:w="2336" w:type="dxa"/>
            <w:noWrap w:val="0"/>
            <w:vAlign w:val="center"/>
          </w:tcPr>
          <w:p w14:paraId="120321DB">
            <w:pPr>
              <w:spacing w:after="50" w:afterLines="0" w:line="400" w:lineRule="exact"/>
              <w:rPr>
                <w:rFonts w:hint="eastAsia" w:ascii="宋体" w:hAnsi="宋体" w:cs="宋体"/>
                <w:color w:val="auto"/>
                <w:highlight w:val="none"/>
              </w:rPr>
            </w:pPr>
          </w:p>
        </w:tc>
      </w:tr>
      <w:tr w14:paraId="706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35" w:type="dxa"/>
            <w:noWrap w:val="0"/>
            <w:vAlign w:val="center"/>
          </w:tcPr>
          <w:p w14:paraId="04AC3647">
            <w:pPr>
              <w:spacing w:after="50" w:afterLines="0" w:line="400" w:lineRule="exact"/>
              <w:rPr>
                <w:rFonts w:hint="eastAsia" w:ascii="宋体" w:hAnsi="宋体" w:cs="宋体"/>
                <w:color w:val="auto"/>
                <w:highlight w:val="none"/>
              </w:rPr>
            </w:pPr>
          </w:p>
        </w:tc>
        <w:tc>
          <w:tcPr>
            <w:tcW w:w="2366" w:type="dxa"/>
            <w:noWrap w:val="0"/>
            <w:vAlign w:val="center"/>
          </w:tcPr>
          <w:p w14:paraId="16C31A53">
            <w:pPr>
              <w:spacing w:after="50" w:afterLines="0" w:line="400" w:lineRule="exact"/>
              <w:rPr>
                <w:rFonts w:hint="eastAsia" w:ascii="宋体" w:hAnsi="宋体" w:cs="宋体"/>
                <w:color w:val="auto"/>
                <w:highlight w:val="none"/>
              </w:rPr>
            </w:pPr>
          </w:p>
        </w:tc>
        <w:tc>
          <w:tcPr>
            <w:tcW w:w="2336" w:type="dxa"/>
            <w:noWrap w:val="0"/>
            <w:vAlign w:val="center"/>
          </w:tcPr>
          <w:p w14:paraId="307202B0">
            <w:pPr>
              <w:spacing w:after="50" w:afterLines="0" w:line="400" w:lineRule="exact"/>
              <w:rPr>
                <w:rFonts w:hint="eastAsia" w:ascii="宋体" w:hAnsi="宋体" w:cs="宋体"/>
                <w:color w:val="auto"/>
                <w:highlight w:val="none"/>
              </w:rPr>
            </w:pPr>
          </w:p>
        </w:tc>
        <w:tc>
          <w:tcPr>
            <w:tcW w:w="2336" w:type="dxa"/>
            <w:noWrap w:val="0"/>
            <w:vAlign w:val="center"/>
          </w:tcPr>
          <w:p w14:paraId="385DA785">
            <w:pPr>
              <w:spacing w:after="50" w:afterLines="0" w:line="400" w:lineRule="exact"/>
              <w:rPr>
                <w:rFonts w:hint="eastAsia" w:ascii="宋体" w:hAnsi="宋体" w:cs="宋体"/>
                <w:color w:val="auto"/>
                <w:highlight w:val="none"/>
              </w:rPr>
            </w:pPr>
          </w:p>
        </w:tc>
      </w:tr>
      <w:tr w14:paraId="0ABA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35" w:type="dxa"/>
            <w:noWrap w:val="0"/>
            <w:vAlign w:val="center"/>
          </w:tcPr>
          <w:p w14:paraId="4067C9E1">
            <w:pPr>
              <w:spacing w:after="50" w:afterLines="0" w:line="400" w:lineRule="exact"/>
              <w:jc w:val="center"/>
              <w:rPr>
                <w:rFonts w:hint="eastAsia" w:ascii="宋体" w:hAnsi="宋体" w:cs="宋体"/>
                <w:color w:val="auto"/>
                <w:highlight w:val="none"/>
              </w:rPr>
            </w:pPr>
            <w:r>
              <w:rPr>
                <w:rFonts w:hint="eastAsia" w:ascii="宋体" w:hAnsi="宋体" w:cs="宋体"/>
                <w:color w:val="auto"/>
                <w:highlight w:val="none"/>
              </w:rPr>
              <w:t>合 计</w:t>
            </w:r>
          </w:p>
        </w:tc>
        <w:tc>
          <w:tcPr>
            <w:tcW w:w="2366" w:type="dxa"/>
            <w:noWrap w:val="0"/>
            <w:vAlign w:val="center"/>
          </w:tcPr>
          <w:p w14:paraId="630A8257">
            <w:pPr>
              <w:spacing w:after="50" w:afterLines="0" w:line="400" w:lineRule="exact"/>
              <w:rPr>
                <w:rFonts w:hint="eastAsia" w:ascii="宋体" w:hAnsi="宋体" w:cs="宋体"/>
                <w:color w:val="auto"/>
                <w:highlight w:val="none"/>
              </w:rPr>
            </w:pPr>
          </w:p>
        </w:tc>
        <w:tc>
          <w:tcPr>
            <w:tcW w:w="2336" w:type="dxa"/>
            <w:noWrap w:val="0"/>
            <w:vAlign w:val="center"/>
          </w:tcPr>
          <w:p w14:paraId="55C04666">
            <w:pPr>
              <w:spacing w:after="50" w:afterLines="0" w:line="400" w:lineRule="exact"/>
              <w:rPr>
                <w:rFonts w:hint="eastAsia" w:ascii="宋体" w:hAnsi="宋体" w:cs="宋体"/>
                <w:color w:val="auto"/>
                <w:highlight w:val="none"/>
              </w:rPr>
            </w:pPr>
          </w:p>
        </w:tc>
        <w:tc>
          <w:tcPr>
            <w:tcW w:w="2336" w:type="dxa"/>
            <w:noWrap w:val="0"/>
            <w:vAlign w:val="center"/>
          </w:tcPr>
          <w:p w14:paraId="417715FE">
            <w:pPr>
              <w:spacing w:after="50" w:afterLines="0" w:line="400" w:lineRule="exact"/>
              <w:rPr>
                <w:rFonts w:hint="eastAsia" w:ascii="宋体" w:hAnsi="宋体" w:cs="宋体"/>
                <w:color w:val="auto"/>
                <w:highlight w:val="none"/>
              </w:rPr>
            </w:pPr>
          </w:p>
        </w:tc>
      </w:tr>
    </w:tbl>
    <w:p w14:paraId="52C2AB2F">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注：1.供应商应逐项填写本表，指出全部临时设施用地面积以及详细用途。</w:t>
      </w:r>
    </w:p>
    <w:p w14:paraId="20FC19AD">
      <w:pPr>
        <w:spacing w:after="156" w:afterLines="5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2.若本表不够，可加附页。</w:t>
      </w:r>
    </w:p>
    <w:p w14:paraId="2C8D83FD">
      <w:pPr>
        <w:shd w:val="clear" w:color="auto" w:fill="FFFFFF"/>
        <w:jc w:val="both"/>
        <w:rPr>
          <w:rFonts w:hint="eastAsia" w:ascii="宋体" w:hAnsi="宋体" w:eastAsia="宋体" w:cs="宋体"/>
          <w:b/>
          <w:bCs/>
          <w:color w:val="auto"/>
          <w:sz w:val="24"/>
          <w:highlight w:val="none"/>
        </w:rPr>
        <w:sectPr>
          <w:headerReference r:id="rId7" w:type="default"/>
          <w:footerReference r:id="rId8" w:type="default"/>
          <w:pgSz w:w="11906" w:h="16838"/>
          <w:pgMar w:top="1758" w:right="1304" w:bottom="1021" w:left="1304" w:header="1247" w:footer="850" w:gutter="0"/>
          <w:pgNumType w:fmt="decimal"/>
          <w:cols w:space="720" w:num="1"/>
          <w:docGrid w:type="lines" w:linePitch="320" w:charSpace="0"/>
        </w:sectPr>
      </w:pPr>
    </w:p>
    <w:p w14:paraId="32E6A045">
      <w:pPr>
        <w:shd w:val="clear" w:color="auto" w:fill="FFFFFF"/>
        <w:ind w:firstLine="482" w:firstLineChars="200"/>
        <w:jc w:val="both"/>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6.项目管理机构及人员配备</w:t>
      </w:r>
    </w:p>
    <w:p w14:paraId="6F19877E">
      <w:pPr>
        <w:ind w:firstLine="482" w:firstLineChars="200"/>
        <w:jc w:val="center"/>
        <w:rPr>
          <w:rFonts w:hint="eastAsia" w:ascii="宋体" w:hAnsi="宋体" w:cs="宋体"/>
          <w:b/>
          <w:color w:val="auto"/>
          <w:sz w:val="24"/>
          <w:highlight w:val="none"/>
        </w:rPr>
      </w:pPr>
    </w:p>
    <w:p w14:paraId="21080695">
      <w:pPr>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项目管理机构配备情况表（格式）</w:t>
      </w:r>
    </w:p>
    <w:tbl>
      <w:tblPr>
        <w:tblStyle w:val="23"/>
        <w:tblW w:w="0" w:type="auto"/>
        <w:jc w:val="center"/>
        <w:tblLayout w:type="fixed"/>
        <w:tblCellMar>
          <w:top w:w="0" w:type="dxa"/>
          <w:left w:w="0" w:type="dxa"/>
          <w:bottom w:w="0" w:type="dxa"/>
          <w:right w:w="0" w:type="dxa"/>
        </w:tblCellMar>
      </w:tblPr>
      <w:tblGrid>
        <w:gridCol w:w="2835"/>
        <w:gridCol w:w="899"/>
        <w:gridCol w:w="751"/>
        <w:gridCol w:w="619"/>
        <w:gridCol w:w="708"/>
        <w:gridCol w:w="744"/>
        <w:gridCol w:w="1173"/>
        <w:gridCol w:w="735"/>
        <w:gridCol w:w="881"/>
      </w:tblGrid>
      <w:tr w14:paraId="54F1EEF2">
        <w:tblPrEx>
          <w:tblCellMar>
            <w:top w:w="0" w:type="dxa"/>
            <w:left w:w="0" w:type="dxa"/>
            <w:bottom w:w="0" w:type="dxa"/>
            <w:right w:w="0" w:type="dxa"/>
          </w:tblCellMar>
        </w:tblPrEx>
        <w:trPr>
          <w:trHeight w:val="141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4B1EF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工作岗位名称</w:t>
            </w:r>
          </w:p>
        </w:tc>
        <w:tc>
          <w:tcPr>
            <w:tcW w:w="8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22CA42">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5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ACB83E">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83C68">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工作职责</w:t>
            </w:r>
          </w:p>
        </w:tc>
        <w:tc>
          <w:tcPr>
            <w:tcW w:w="70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F6595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A036F5">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1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E2CDC74">
            <w:pPr>
              <w:adjustRightInd w:val="0"/>
              <w:spacing w:line="32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相关证书名称及编号</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33A41B">
            <w:pPr>
              <w:adjustRightIn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相关工作年限</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E84144">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工作</w:t>
            </w:r>
          </w:p>
          <w:p w14:paraId="270E27FC">
            <w:pPr>
              <w:adjustRightInd w:val="0"/>
              <w:spacing w:line="32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简历</w:t>
            </w:r>
          </w:p>
        </w:tc>
      </w:tr>
      <w:tr w14:paraId="49FAEE0D">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6860E">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1、项目经理</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9B1906">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6AFB7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5F57BD">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9D5841">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B91D83">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B7161C">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33B17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F766E7">
            <w:pPr>
              <w:adjustRightInd w:val="0"/>
              <w:spacing w:line="320" w:lineRule="exact"/>
              <w:rPr>
                <w:rFonts w:hint="eastAsia" w:ascii="宋体" w:hAnsi="宋体" w:cs="宋体"/>
                <w:color w:val="auto"/>
                <w:szCs w:val="21"/>
                <w:highlight w:val="none"/>
              </w:rPr>
            </w:pPr>
          </w:p>
        </w:tc>
      </w:tr>
      <w:tr w14:paraId="0A8A95E2">
        <w:tblPrEx>
          <w:tblCellMar>
            <w:top w:w="0" w:type="dxa"/>
            <w:left w:w="0" w:type="dxa"/>
            <w:bottom w:w="0" w:type="dxa"/>
            <w:right w:w="0" w:type="dxa"/>
          </w:tblCellMar>
        </w:tblPrEx>
        <w:trPr>
          <w:trHeight w:val="698" w:hRule="exact"/>
          <w:jc w:val="center"/>
        </w:trPr>
        <w:tc>
          <w:tcPr>
            <w:tcW w:w="28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FE3C85">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p>
        </w:tc>
        <w:tc>
          <w:tcPr>
            <w:tcW w:w="8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A905D">
            <w:pPr>
              <w:adjustRightInd w:val="0"/>
              <w:spacing w:line="320" w:lineRule="exact"/>
              <w:rPr>
                <w:rFonts w:hint="eastAsia" w:ascii="宋体" w:hAnsi="宋体" w:cs="宋体"/>
                <w:color w:val="auto"/>
                <w:szCs w:val="21"/>
                <w:highlight w:val="none"/>
              </w:rPr>
            </w:pPr>
          </w:p>
        </w:tc>
        <w:tc>
          <w:tcPr>
            <w:tcW w:w="7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BD1F83">
            <w:pPr>
              <w:adjustRightInd w:val="0"/>
              <w:spacing w:line="320" w:lineRule="exact"/>
              <w:rPr>
                <w:rFonts w:hint="eastAsia" w:ascii="宋体" w:hAnsi="宋体" w:cs="宋体"/>
                <w:color w:val="auto"/>
                <w:szCs w:val="21"/>
                <w:highlight w:val="none"/>
              </w:rPr>
            </w:pPr>
          </w:p>
        </w:tc>
        <w:tc>
          <w:tcPr>
            <w:tcW w:w="6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90F241">
            <w:pPr>
              <w:adjustRightInd w:val="0"/>
              <w:spacing w:line="320" w:lineRule="exact"/>
              <w:rPr>
                <w:rFonts w:hint="eastAsia" w:ascii="宋体" w:hAnsi="宋体" w:cs="宋体"/>
                <w:color w:val="auto"/>
                <w:szCs w:val="21"/>
                <w:highlight w:val="none"/>
              </w:rPr>
            </w:pPr>
          </w:p>
        </w:tc>
        <w:tc>
          <w:tcPr>
            <w:tcW w:w="70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915D39">
            <w:pPr>
              <w:adjustRightInd w:val="0"/>
              <w:spacing w:line="320" w:lineRule="exact"/>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2FD96B">
            <w:pPr>
              <w:adjustRightInd w:val="0"/>
              <w:spacing w:line="320" w:lineRule="exact"/>
              <w:rPr>
                <w:rFonts w:hint="eastAsia" w:ascii="宋体" w:hAnsi="宋体" w:cs="宋体"/>
                <w:color w:val="auto"/>
                <w:szCs w:val="21"/>
                <w:highlight w:val="none"/>
              </w:rPr>
            </w:pPr>
          </w:p>
        </w:tc>
        <w:tc>
          <w:tcPr>
            <w:tcW w:w="11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81269">
            <w:pPr>
              <w:adjustRightInd w:val="0"/>
              <w:spacing w:line="320" w:lineRule="exact"/>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524110">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E1BA19">
            <w:pPr>
              <w:adjustRightInd w:val="0"/>
              <w:spacing w:line="320" w:lineRule="exact"/>
              <w:rPr>
                <w:rFonts w:hint="eastAsia" w:ascii="宋体" w:hAnsi="宋体" w:cs="宋体"/>
                <w:color w:val="auto"/>
                <w:szCs w:val="21"/>
                <w:highlight w:val="none"/>
              </w:rPr>
            </w:pPr>
          </w:p>
        </w:tc>
      </w:tr>
      <w:tr w14:paraId="44F937F2">
        <w:tblPrEx>
          <w:tblCellMar>
            <w:top w:w="0" w:type="dxa"/>
            <w:left w:w="0" w:type="dxa"/>
            <w:bottom w:w="0" w:type="dxa"/>
            <w:right w:w="0" w:type="dxa"/>
          </w:tblCellMar>
        </w:tblPrEx>
        <w:trPr>
          <w:trHeight w:val="702"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FC4C7">
            <w:pPr>
              <w:adjustRightIn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1664A">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C819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ECD95B">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3EA54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EDF7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A5FA9">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6ACF5">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588951">
            <w:pPr>
              <w:adjustRightInd w:val="0"/>
              <w:spacing w:line="320" w:lineRule="exact"/>
              <w:rPr>
                <w:rFonts w:hint="eastAsia" w:ascii="宋体" w:hAnsi="宋体" w:cs="宋体"/>
                <w:color w:val="auto"/>
                <w:szCs w:val="21"/>
                <w:highlight w:val="none"/>
              </w:rPr>
            </w:pPr>
          </w:p>
        </w:tc>
      </w:tr>
      <w:tr w14:paraId="696BE7B7">
        <w:tblPrEx>
          <w:tblCellMar>
            <w:top w:w="0" w:type="dxa"/>
            <w:left w:w="0" w:type="dxa"/>
            <w:bottom w:w="0" w:type="dxa"/>
            <w:right w:w="0" w:type="dxa"/>
          </w:tblCellMar>
        </w:tblPrEx>
        <w:trPr>
          <w:trHeight w:val="733"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88C7A2">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88F45">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BC49B">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65F6F">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05DBB">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40406D">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B2E3CB">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D97E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7B217">
            <w:pPr>
              <w:adjustRightInd w:val="0"/>
              <w:spacing w:line="320" w:lineRule="exact"/>
              <w:rPr>
                <w:rFonts w:hint="eastAsia" w:ascii="宋体" w:hAnsi="宋体" w:cs="宋体"/>
                <w:color w:val="auto"/>
                <w:szCs w:val="21"/>
                <w:highlight w:val="none"/>
              </w:rPr>
            </w:pPr>
          </w:p>
        </w:tc>
      </w:tr>
      <w:tr w14:paraId="15B2874D">
        <w:tblPrEx>
          <w:tblCellMar>
            <w:top w:w="0" w:type="dxa"/>
            <w:left w:w="0" w:type="dxa"/>
            <w:bottom w:w="0" w:type="dxa"/>
            <w:right w:w="0" w:type="dxa"/>
          </w:tblCellMar>
        </w:tblPrEx>
        <w:trPr>
          <w:trHeight w:val="679"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02DC79">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BDCCC">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B658D">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147F5">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053422">
            <w:pPr>
              <w:pStyle w:val="48"/>
              <w:widowControl w:val="0"/>
              <w:overflowPunct/>
              <w:autoSpaceDE/>
              <w:autoSpaceDN/>
              <w:spacing w:before="0" w:beforeLines="0" w:line="320" w:lineRule="exact"/>
              <w:textAlignment w:val="auto"/>
              <w:rPr>
                <w:rFonts w:hint="eastAsia" w:ascii="宋体" w:hAnsi="宋体" w:cs="宋体"/>
                <w:color w:val="auto"/>
                <w:kern w:val="2"/>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2E96CE">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2BA06">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C6AD24">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E22D3">
            <w:pPr>
              <w:adjustRightInd w:val="0"/>
              <w:spacing w:line="320" w:lineRule="exact"/>
              <w:rPr>
                <w:rFonts w:hint="eastAsia" w:ascii="宋体" w:hAnsi="宋体" w:cs="宋体"/>
                <w:color w:val="auto"/>
                <w:szCs w:val="21"/>
                <w:highlight w:val="none"/>
              </w:rPr>
            </w:pPr>
          </w:p>
        </w:tc>
      </w:tr>
      <w:tr w14:paraId="60ECAD91">
        <w:tblPrEx>
          <w:tblCellMar>
            <w:top w:w="0" w:type="dxa"/>
            <w:left w:w="0" w:type="dxa"/>
            <w:bottom w:w="0" w:type="dxa"/>
            <w:right w:w="0" w:type="dxa"/>
          </w:tblCellMar>
        </w:tblPrEx>
        <w:trPr>
          <w:trHeight w:val="725" w:hRule="exact"/>
          <w:jc w:val="center"/>
        </w:trPr>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9A6E87">
            <w:pPr>
              <w:adjustRightInd w:val="0"/>
              <w:spacing w:line="320" w:lineRule="exact"/>
              <w:rPr>
                <w:rFonts w:hint="eastAsia" w:ascii="宋体" w:hAnsi="宋体" w:cs="宋体"/>
                <w:color w:val="auto"/>
                <w:szCs w:val="21"/>
                <w:highlight w:val="none"/>
              </w:rPr>
            </w:pPr>
          </w:p>
        </w:tc>
        <w:tc>
          <w:tcPr>
            <w:tcW w:w="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87619F">
            <w:pPr>
              <w:adjustRightInd w:val="0"/>
              <w:spacing w:line="320" w:lineRule="exact"/>
              <w:rPr>
                <w:rFonts w:hint="eastAsia" w:ascii="宋体" w:hAnsi="宋体" w:cs="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64E91">
            <w:pPr>
              <w:adjustRightInd w:val="0"/>
              <w:spacing w:line="320" w:lineRule="exact"/>
              <w:rPr>
                <w:rFonts w:hint="eastAsia" w:ascii="宋体" w:hAnsi="宋体" w:cs="宋体"/>
                <w:color w:val="auto"/>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24AFC">
            <w:pPr>
              <w:adjustRightInd w:val="0"/>
              <w:spacing w:line="320" w:lineRule="exact"/>
              <w:rPr>
                <w:rFonts w:hint="eastAsia" w:ascii="宋体" w:hAnsi="宋体" w:cs="宋体"/>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B06249">
            <w:pPr>
              <w:adjustRightInd w:val="0"/>
              <w:spacing w:line="320" w:lineRule="exact"/>
              <w:rPr>
                <w:rFonts w:hint="eastAsia" w:ascii="宋体" w:hAnsi="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37647A">
            <w:pPr>
              <w:adjustRightInd w:val="0"/>
              <w:spacing w:line="320" w:lineRule="exact"/>
              <w:rPr>
                <w:rFonts w:hint="eastAsia" w:ascii="宋体" w:hAnsi="宋体" w:cs="宋体"/>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BCD9F">
            <w:pPr>
              <w:adjustRightInd w:val="0"/>
              <w:spacing w:line="320" w:lineRule="exact"/>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384CB">
            <w:pPr>
              <w:adjustRightInd w:val="0"/>
              <w:spacing w:line="320" w:lineRule="exact"/>
              <w:rPr>
                <w:rFonts w:hint="eastAsia" w:ascii="宋体" w:hAnsi="宋体" w:cs="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CD27C">
            <w:pPr>
              <w:adjustRightInd w:val="0"/>
              <w:spacing w:line="320" w:lineRule="exact"/>
              <w:rPr>
                <w:rFonts w:hint="eastAsia" w:ascii="宋体" w:hAnsi="宋体" w:cs="宋体"/>
                <w:color w:val="auto"/>
                <w:szCs w:val="21"/>
                <w:highlight w:val="none"/>
              </w:rPr>
            </w:pPr>
          </w:p>
        </w:tc>
      </w:tr>
    </w:tbl>
    <w:p w14:paraId="359AA83F">
      <w:pPr>
        <w:shd w:val="clear" w:color="auto" w:fill="FFFFFF"/>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pacing w:val="8"/>
          <w:highlight w:val="none"/>
        </w:rPr>
        <w:t>电子</w:t>
      </w:r>
      <w:r>
        <w:rPr>
          <w:rFonts w:hint="eastAsia" w:ascii="宋体" w:hAnsi="宋体" w:cs="宋体"/>
          <w:color w:val="auto"/>
          <w:spacing w:val="8"/>
          <w:highlight w:val="none"/>
          <w:lang w:val="en-US" w:eastAsia="zh-CN"/>
        </w:rPr>
        <w:t>印</w:t>
      </w:r>
      <w:r>
        <w:rPr>
          <w:rFonts w:hint="eastAsia" w:ascii="宋体" w:hAnsi="宋体" w:eastAsia="宋体" w:cs="宋体"/>
          <w:color w:val="auto"/>
          <w:spacing w:val="8"/>
          <w:highlight w:val="none"/>
        </w:rPr>
        <w:t>章</w:t>
      </w:r>
      <w:r>
        <w:rPr>
          <w:rFonts w:hint="eastAsia" w:ascii="宋体" w:hAnsi="宋体" w:eastAsia="宋体" w:cs="宋体"/>
          <w:color w:val="auto"/>
          <w:szCs w:val="21"/>
          <w:highlight w:val="none"/>
        </w:rPr>
        <w:t>）：</w:t>
      </w:r>
    </w:p>
    <w:p w14:paraId="1F96C8F3">
      <w:pPr>
        <w:shd w:val="clear" w:color="auto" w:fill="FFFFFF"/>
        <w:spacing w:line="48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7FA734">
      <w:pPr>
        <w:adjustRightInd w:val="0"/>
        <w:spacing w:line="320" w:lineRule="exact"/>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说明：</w:t>
      </w:r>
    </w:p>
    <w:p w14:paraId="678AC318">
      <w:pPr>
        <w:adjustRightInd w:val="0"/>
        <w:spacing w:line="320" w:lineRule="exact"/>
        <w:ind w:firstLine="361" w:firstLineChars="200"/>
        <w:jc w:val="left"/>
        <w:rPr>
          <w:rFonts w:hint="eastAsia" w:ascii="宋体" w:hAnsi="宋体" w:cs="宋体"/>
          <w:b/>
          <w:color w:val="auto"/>
          <w:sz w:val="18"/>
          <w:szCs w:val="18"/>
          <w:highlight w:val="none"/>
        </w:rPr>
      </w:pPr>
      <w:r>
        <w:rPr>
          <w:rFonts w:hint="eastAsia" w:ascii="宋体" w:hAnsi="宋体" w:cs="宋体"/>
          <w:b/>
          <w:color w:val="auto"/>
          <w:sz w:val="18"/>
          <w:szCs w:val="18"/>
          <w:highlight w:val="none"/>
        </w:rPr>
        <w:t>1、本表所列岗位的所有管理人员的情况均应如实填写。可按以上格式扩展为多页填写，每一页均应加盖供应商单位</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11CB0FAA">
      <w:pPr>
        <w:shd w:val="clear" w:color="auto" w:fill="FFFFFF"/>
        <w:ind w:firstLine="361" w:firstLineChars="200"/>
        <w:jc w:val="left"/>
        <w:rPr>
          <w:rFonts w:hint="eastAsia" w:ascii="宋体" w:hAnsi="宋体" w:cs="宋体"/>
          <w:b/>
          <w:bCs/>
          <w:color w:val="auto"/>
          <w:sz w:val="24"/>
          <w:highlight w:val="none"/>
          <w:lang w:val="en-US" w:eastAsia="zh-CN"/>
        </w:rPr>
      </w:pPr>
      <w:r>
        <w:rPr>
          <w:rFonts w:hint="eastAsia" w:ascii="宋体" w:hAnsi="宋体" w:cs="宋体"/>
          <w:b/>
          <w:color w:val="auto"/>
          <w:sz w:val="18"/>
          <w:szCs w:val="18"/>
          <w:highlight w:val="none"/>
        </w:rPr>
        <w:t>2、本表后应附本表所列岗位的所有管理人员的身份证、相关证书</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lang w:val="en-US" w:eastAsia="zh-CN"/>
        </w:rPr>
        <w:t>如有</w:t>
      </w:r>
      <w:r>
        <w:rPr>
          <w:rFonts w:hint="eastAsia" w:ascii="宋体" w:hAnsi="宋体" w:cs="宋体"/>
          <w:b/>
          <w:color w:val="auto"/>
          <w:sz w:val="18"/>
          <w:szCs w:val="18"/>
          <w:highlight w:val="none"/>
          <w:lang w:eastAsia="zh-CN"/>
        </w:rPr>
        <w:t>）</w:t>
      </w:r>
      <w:r>
        <w:rPr>
          <w:rFonts w:hint="eastAsia" w:ascii="宋体" w:hAnsi="宋体" w:cs="宋体"/>
          <w:b/>
          <w:color w:val="auto"/>
          <w:sz w:val="18"/>
          <w:szCs w:val="18"/>
          <w:highlight w:val="none"/>
        </w:rPr>
        <w:t>的复印件，项目经理还须附上资格审查条件所要求其他相关证书（如建造师注册证书、安全生产考核合格证书等）的复印件，复印件均需加盖供应商</w:t>
      </w:r>
      <w:r>
        <w:rPr>
          <w:rFonts w:hint="eastAsia" w:ascii="宋体" w:hAnsi="宋体" w:cs="宋体"/>
          <w:b/>
          <w:color w:val="auto"/>
          <w:sz w:val="18"/>
          <w:szCs w:val="18"/>
          <w:highlight w:val="none"/>
          <w:lang w:val="en-US" w:eastAsia="zh-CN"/>
        </w:rPr>
        <w:t>电子印章</w:t>
      </w:r>
      <w:r>
        <w:rPr>
          <w:rFonts w:hint="eastAsia" w:ascii="宋体" w:hAnsi="宋体" w:cs="宋体"/>
          <w:b/>
          <w:color w:val="auto"/>
          <w:sz w:val="18"/>
          <w:szCs w:val="18"/>
          <w:highlight w:val="none"/>
        </w:rPr>
        <w:t>。</w:t>
      </w:r>
    </w:p>
    <w:p w14:paraId="3DBB8F0B">
      <w:pPr>
        <w:shd w:val="clear" w:color="auto" w:fill="FFFFFF"/>
        <w:ind w:firstLine="482" w:firstLineChars="200"/>
        <w:jc w:val="center"/>
        <w:rPr>
          <w:rFonts w:hint="eastAsia" w:ascii="宋体" w:hAnsi="宋体" w:eastAsia="宋体" w:cs="宋体"/>
          <w:b/>
          <w:bCs/>
          <w:color w:val="auto"/>
          <w:sz w:val="24"/>
          <w:highlight w:val="none"/>
        </w:rPr>
      </w:pPr>
    </w:p>
    <w:p w14:paraId="414A0D68">
      <w:pPr>
        <w:shd w:val="clear" w:color="auto" w:fill="FFFFFF"/>
        <w:ind w:firstLine="482" w:firstLineChars="200"/>
        <w:jc w:val="center"/>
        <w:rPr>
          <w:rFonts w:hint="eastAsia" w:ascii="宋体" w:hAnsi="宋体" w:eastAsia="宋体" w:cs="宋体"/>
          <w:b/>
          <w:bCs/>
          <w:color w:val="auto"/>
          <w:sz w:val="24"/>
          <w:highlight w:val="none"/>
        </w:rPr>
      </w:pPr>
    </w:p>
    <w:p w14:paraId="4D8CBB0F">
      <w:pPr>
        <w:shd w:val="clear" w:color="auto" w:fill="FFFFFF"/>
        <w:ind w:firstLine="482" w:firstLineChars="200"/>
        <w:jc w:val="center"/>
        <w:rPr>
          <w:rFonts w:hint="eastAsia" w:ascii="宋体" w:hAnsi="宋体" w:eastAsia="宋体" w:cs="宋体"/>
          <w:b/>
          <w:bCs/>
          <w:color w:val="auto"/>
          <w:sz w:val="24"/>
          <w:highlight w:val="none"/>
        </w:rPr>
      </w:pPr>
    </w:p>
    <w:p w14:paraId="65B1A353">
      <w:pPr>
        <w:shd w:val="clear" w:color="auto" w:fill="FFFFFF"/>
        <w:ind w:firstLine="482" w:firstLineChars="200"/>
        <w:jc w:val="both"/>
        <w:rPr>
          <w:rFonts w:hint="eastAsia" w:ascii="宋体" w:hAnsi="宋体" w:eastAsia="宋体" w:cs="宋体"/>
          <w:b/>
          <w:bCs/>
          <w:color w:val="auto"/>
          <w:sz w:val="24"/>
          <w:highlight w:val="none"/>
        </w:rPr>
      </w:pPr>
    </w:p>
    <w:p w14:paraId="312E9532">
      <w:pPr>
        <w:shd w:val="clear" w:color="auto" w:fill="FFFFFF"/>
        <w:ind w:firstLine="482" w:firstLineChars="200"/>
        <w:jc w:val="both"/>
        <w:rPr>
          <w:rFonts w:hint="eastAsia" w:ascii="宋体" w:hAnsi="宋体" w:eastAsia="宋体" w:cs="宋体"/>
          <w:b/>
          <w:bCs/>
          <w:color w:val="auto"/>
          <w:sz w:val="24"/>
          <w:highlight w:val="none"/>
        </w:rPr>
      </w:pP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除</w:t>
      </w:r>
      <w:r>
        <w:rPr>
          <w:rFonts w:hint="eastAsia" w:ascii="宋体" w:hAnsi="宋体" w:cs="宋体"/>
          <w:b/>
          <w:bCs/>
          <w:color w:val="auto"/>
          <w:sz w:val="24"/>
          <w:szCs w:val="24"/>
          <w:highlight w:val="none"/>
          <w:lang w:val="en-US" w:eastAsia="zh-CN"/>
        </w:rPr>
        <w:t>竞争性磋商</w:t>
      </w:r>
      <w:r>
        <w:rPr>
          <w:rFonts w:hint="eastAsia" w:ascii="宋体" w:hAnsi="宋体" w:cs="宋体"/>
          <w:b/>
          <w:bCs/>
          <w:color w:val="auto"/>
          <w:sz w:val="24"/>
          <w:szCs w:val="24"/>
          <w:highlight w:val="none"/>
        </w:rPr>
        <w:t>文件规定必须提供以外，供应商认为需要提供的</w:t>
      </w:r>
      <w:r>
        <w:rPr>
          <w:rFonts w:hint="eastAsia" w:ascii="宋体" w:hAnsi="宋体" w:cs="宋体"/>
          <w:b/>
          <w:bCs/>
          <w:color w:val="auto"/>
          <w:sz w:val="24"/>
          <w:szCs w:val="24"/>
          <w:highlight w:val="none"/>
          <w:lang w:eastAsia="zh-CN"/>
        </w:rPr>
        <w:t>其他</w:t>
      </w: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eastAsia="zh-CN"/>
        </w:rPr>
        <w:t>。</w:t>
      </w:r>
    </w:p>
    <w:p w14:paraId="532B6155">
      <w:pPr>
        <w:shd w:val="clear" w:color="auto" w:fill="FFFFFF"/>
        <w:ind w:firstLine="482" w:firstLineChars="200"/>
        <w:jc w:val="center"/>
        <w:rPr>
          <w:rFonts w:hint="eastAsia" w:ascii="宋体" w:hAnsi="宋体" w:eastAsia="宋体" w:cs="宋体"/>
          <w:b/>
          <w:bCs/>
          <w:color w:val="auto"/>
          <w:sz w:val="24"/>
          <w:highlight w:val="none"/>
        </w:rPr>
      </w:pPr>
    </w:p>
    <w:p w14:paraId="2C02BC87">
      <w:pPr>
        <w:shd w:val="clear" w:color="auto" w:fill="FFFFFF"/>
        <w:ind w:firstLine="482" w:firstLineChars="200"/>
        <w:jc w:val="center"/>
        <w:rPr>
          <w:rFonts w:hint="eastAsia" w:ascii="宋体" w:hAnsi="宋体" w:eastAsia="宋体" w:cs="宋体"/>
          <w:b/>
          <w:bCs/>
          <w:color w:val="auto"/>
          <w:sz w:val="24"/>
          <w:highlight w:val="none"/>
        </w:rPr>
      </w:pPr>
    </w:p>
    <w:p w14:paraId="0E4BBCBC">
      <w:pPr>
        <w:shd w:val="clear" w:color="auto" w:fill="FFFFFF"/>
        <w:ind w:firstLine="482" w:firstLineChars="200"/>
        <w:jc w:val="center"/>
        <w:rPr>
          <w:rFonts w:hint="eastAsia" w:ascii="宋体" w:hAnsi="宋体" w:eastAsia="宋体" w:cs="宋体"/>
          <w:b/>
          <w:bCs/>
          <w:color w:val="auto"/>
          <w:sz w:val="24"/>
          <w:highlight w:val="none"/>
        </w:rPr>
      </w:pPr>
    </w:p>
    <w:p w14:paraId="52614247">
      <w:pPr>
        <w:shd w:val="clear" w:color="auto" w:fill="FFFFFF"/>
        <w:ind w:firstLine="482" w:firstLineChars="200"/>
        <w:jc w:val="center"/>
        <w:rPr>
          <w:rFonts w:hint="eastAsia" w:ascii="宋体" w:hAnsi="宋体" w:eastAsia="宋体" w:cs="宋体"/>
          <w:b/>
          <w:bCs/>
          <w:color w:val="auto"/>
          <w:sz w:val="24"/>
          <w:highlight w:val="none"/>
        </w:rPr>
      </w:pPr>
    </w:p>
    <w:p w14:paraId="422BAF55">
      <w:pPr>
        <w:shd w:val="clear" w:color="auto" w:fill="FFFFFF"/>
        <w:ind w:firstLine="482" w:firstLineChars="200"/>
        <w:jc w:val="center"/>
        <w:rPr>
          <w:rFonts w:hint="eastAsia" w:ascii="宋体" w:hAnsi="宋体" w:eastAsia="宋体" w:cs="宋体"/>
          <w:b/>
          <w:bCs/>
          <w:color w:val="auto"/>
          <w:sz w:val="24"/>
          <w:highlight w:val="none"/>
        </w:rPr>
      </w:pPr>
    </w:p>
    <w:p w14:paraId="2A2955C7">
      <w:pPr>
        <w:shd w:val="clear" w:color="auto" w:fill="FFFFFF"/>
        <w:ind w:firstLine="482" w:firstLineChars="200"/>
        <w:jc w:val="center"/>
        <w:rPr>
          <w:rFonts w:hint="eastAsia" w:ascii="宋体" w:hAnsi="宋体" w:eastAsia="宋体" w:cs="宋体"/>
          <w:b/>
          <w:bCs/>
          <w:color w:val="auto"/>
          <w:sz w:val="24"/>
          <w:highlight w:val="none"/>
        </w:rPr>
      </w:pPr>
    </w:p>
    <w:p w14:paraId="17E838B0">
      <w:pPr>
        <w:shd w:val="clear" w:color="auto" w:fill="FFFFFF"/>
        <w:ind w:firstLine="482" w:firstLineChars="200"/>
        <w:jc w:val="center"/>
        <w:rPr>
          <w:rFonts w:hint="eastAsia" w:ascii="宋体" w:hAnsi="宋体" w:eastAsia="宋体" w:cs="宋体"/>
          <w:b/>
          <w:bCs/>
          <w:color w:val="auto"/>
          <w:sz w:val="24"/>
          <w:highlight w:val="none"/>
        </w:rPr>
      </w:pPr>
    </w:p>
    <w:p w14:paraId="4004D08D">
      <w:pPr>
        <w:shd w:val="clear" w:color="auto" w:fill="FFFFFF"/>
        <w:ind w:firstLine="482" w:firstLineChars="200"/>
        <w:jc w:val="center"/>
        <w:rPr>
          <w:rFonts w:hint="eastAsia" w:ascii="宋体" w:hAnsi="宋体" w:eastAsia="宋体" w:cs="宋体"/>
          <w:b/>
          <w:bCs/>
          <w:color w:val="auto"/>
          <w:sz w:val="24"/>
          <w:highlight w:val="none"/>
        </w:rPr>
      </w:pPr>
    </w:p>
    <w:p w14:paraId="5934445D">
      <w:pPr>
        <w:shd w:val="clear" w:color="auto" w:fill="FFFFFF"/>
        <w:ind w:firstLine="482" w:firstLineChars="200"/>
        <w:jc w:val="center"/>
        <w:rPr>
          <w:rFonts w:hint="eastAsia" w:ascii="宋体" w:hAnsi="宋体" w:eastAsia="宋体" w:cs="宋体"/>
          <w:b/>
          <w:bCs/>
          <w:color w:val="auto"/>
          <w:sz w:val="24"/>
          <w:highlight w:val="none"/>
        </w:rPr>
      </w:pPr>
    </w:p>
    <w:p w14:paraId="43D446A1">
      <w:pPr>
        <w:shd w:val="clear" w:color="auto" w:fill="FFFFFF"/>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（桂建质</w:t>
      </w:r>
      <w:r>
        <w:rPr>
          <w:rFonts w:hint="eastAsia" w:ascii="宋体" w:hAnsi="宋体" w:cs="宋体"/>
          <w:b/>
          <w:bCs/>
          <w:color w:val="auto"/>
          <w:sz w:val="24"/>
          <w:highlight w:val="none"/>
          <w:lang w:eastAsia="zh-CN"/>
        </w:rPr>
        <w:t>〔2015〕16号</w:t>
      </w:r>
      <w:r>
        <w:rPr>
          <w:rFonts w:hint="eastAsia" w:ascii="宋体" w:hAnsi="宋体" w:eastAsia="宋体" w:cs="宋体"/>
          <w:b/>
          <w:bCs/>
          <w:color w:val="auto"/>
          <w:sz w:val="24"/>
          <w:highlight w:val="none"/>
        </w:rPr>
        <w:t>文附件一）</w:t>
      </w:r>
    </w:p>
    <w:p w14:paraId="7EA5FBC7">
      <w:pPr>
        <w:shd w:val="clear" w:color="auto" w:fill="FFFFFF"/>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广西壮族自治区建筑工程安全防护、文明施工措施项目清单内容</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5EC2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099BE79">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6DC9F86A">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14EDE4E4">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3C0D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70E16AB6">
            <w:pPr>
              <w:pStyle w:val="45"/>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17A02A9C">
            <w:pPr>
              <w:pStyle w:val="45"/>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36460BBF">
            <w:pPr>
              <w:pStyle w:val="45"/>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158BEF44">
            <w:pPr>
              <w:pStyle w:val="45"/>
              <w:shd w:val="clear" w:color="auto" w:fill="FFFFFF"/>
              <w:spacing w:line="3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2070" w:type="dxa"/>
            <w:gridSpan w:val="2"/>
            <w:noWrap w:val="0"/>
            <w:vAlign w:val="center"/>
          </w:tcPr>
          <w:p w14:paraId="405EAF33">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410F3FBE">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645" w:type="dxa"/>
            <w:noWrap w:val="0"/>
            <w:vAlign w:val="center"/>
          </w:tcPr>
          <w:p w14:paraId="2A702C96">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51D32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F96356">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8A4724E">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645" w:type="dxa"/>
            <w:noWrap w:val="0"/>
            <w:vAlign w:val="center"/>
          </w:tcPr>
          <w:p w14:paraId="40FDFB5B">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现场采用封闭围挡，高度不小于1.8m。</w:t>
            </w:r>
          </w:p>
          <w:p w14:paraId="0CF6A086">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围挡材料可用彩色、定型钢板，砌块等墙体。</w:t>
            </w:r>
          </w:p>
        </w:tc>
      </w:tr>
      <w:tr w14:paraId="596D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A69C20">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7572BDC2">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645" w:type="dxa"/>
            <w:noWrap w:val="0"/>
            <w:vAlign w:val="center"/>
          </w:tcPr>
          <w:p w14:paraId="50BFC09E">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63A1E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58D91E7A">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D3C60D9">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645" w:type="dxa"/>
            <w:noWrap w:val="0"/>
            <w:vAlign w:val="center"/>
          </w:tcPr>
          <w:p w14:paraId="0B716FF1">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10A90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8D3D0E7">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46D4DB58">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645" w:type="dxa"/>
            <w:noWrap w:val="0"/>
            <w:vAlign w:val="center"/>
          </w:tcPr>
          <w:p w14:paraId="6C1C2224">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道路畅通。</w:t>
            </w:r>
          </w:p>
          <w:p w14:paraId="6FFA4864">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排水设施齐全畅通。</w:t>
            </w:r>
          </w:p>
          <w:p w14:paraId="24595B55">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工地地面硬化处理（办公区、生活区、现场道路、材料堆放、混凝土搅拌、砂浆搅拌、钢筋加工等场地和外脚手架基础等）。</w:t>
            </w:r>
          </w:p>
        </w:tc>
      </w:tr>
      <w:tr w14:paraId="55ABA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B6500B1">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0A9A776">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645" w:type="dxa"/>
            <w:noWrap w:val="0"/>
            <w:vAlign w:val="center"/>
          </w:tcPr>
          <w:p w14:paraId="1B8B162F">
            <w:pPr>
              <w:pStyle w:val="45"/>
              <w:numPr>
                <w:ilvl w:val="0"/>
                <w:numId w:val="17"/>
              </w:numPr>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材料、构件、料具等堆放时，应有名称、品种、规格等标牌。</w:t>
            </w:r>
          </w:p>
          <w:p w14:paraId="33FFFC4C">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水泥和其它易飞扬细颗粒建筑材料应封闭存放或采取覆盖等措施。</w:t>
            </w:r>
          </w:p>
          <w:p w14:paraId="63DE2F04">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易燃、易爆和有毒有害物品分类存放。</w:t>
            </w:r>
          </w:p>
        </w:tc>
      </w:tr>
      <w:tr w14:paraId="21E7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70D58DBB">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6EFD8F54">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645" w:type="dxa"/>
            <w:noWrap w:val="0"/>
            <w:vAlign w:val="center"/>
          </w:tcPr>
          <w:p w14:paraId="3EEECEE8">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254B8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DE259A">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4D446EF">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645" w:type="dxa"/>
            <w:noWrap w:val="0"/>
            <w:vAlign w:val="center"/>
          </w:tcPr>
          <w:p w14:paraId="7D960396">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施工现场应设置密闭式垃圾站，施工垃圾、生活垃圾应分类存放。</w:t>
            </w:r>
          </w:p>
          <w:p w14:paraId="15F9A6B9">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施工垃圾必须采用相应容器或管道运输。</w:t>
            </w:r>
          </w:p>
        </w:tc>
      </w:tr>
      <w:tr w14:paraId="1E97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C0C450">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AFDCCFD">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645" w:type="dxa"/>
            <w:noWrap w:val="0"/>
            <w:vAlign w:val="center"/>
          </w:tcPr>
          <w:p w14:paraId="349FA40C">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26C4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DA1333E">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2070" w:type="dxa"/>
            <w:gridSpan w:val="2"/>
            <w:noWrap w:val="0"/>
            <w:vAlign w:val="center"/>
          </w:tcPr>
          <w:p w14:paraId="232A7476">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46A472EB">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645" w:type="dxa"/>
            <w:noWrap w:val="0"/>
            <w:vAlign w:val="center"/>
          </w:tcPr>
          <w:p w14:paraId="132CDAD2">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施工现场办公、生活区与作业区分开设置，保持安全距离。</w:t>
            </w:r>
          </w:p>
          <w:p w14:paraId="4801C17A">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工地办公室、现场宿舍、食堂、厕所、饮水、沐浴、休息场所等符合卫生、消防安全要求。</w:t>
            </w:r>
          </w:p>
        </w:tc>
      </w:tr>
      <w:tr w14:paraId="7F5DD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FDAA333">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restart"/>
            <w:noWrap w:val="0"/>
            <w:vAlign w:val="center"/>
          </w:tcPr>
          <w:p w14:paraId="7703795E">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5C488663">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545" w:type="dxa"/>
            <w:noWrap w:val="0"/>
            <w:vAlign w:val="center"/>
          </w:tcPr>
          <w:p w14:paraId="44B6623A">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645" w:type="dxa"/>
            <w:noWrap w:val="0"/>
            <w:vAlign w:val="center"/>
          </w:tcPr>
          <w:p w14:paraId="7BB03D7D">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按照TN-S系统要求配备五芯电缆、四芯电缆和三芯电缆。</w:t>
            </w:r>
          </w:p>
          <w:p w14:paraId="3D848087">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按要求架设临时用电线路的电杆、横担、瓷夹、瓷瓶等，或电缆埋地的地沟。</w:t>
            </w:r>
          </w:p>
          <w:p w14:paraId="671FADE1">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对靠近施工现场的外电线路，设置木质、塑料等绝缘体的防护设施。</w:t>
            </w:r>
          </w:p>
        </w:tc>
      </w:tr>
      <w:tr w14:paraId="31635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704A856">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BB9014C">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D53F2F3">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799819F9">
            <w:pPr>
              <w:pStyle w:val="45"/>
              <w:shd w:val="clear" w:color="auto" w:fill="FFFFFF"/>
              <w:spacing w:line="30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645" w:type="dxa"/>
            <w:noWrap w:val="0"/>
            <w:vAlign w:val="center"/>
          </w:tcPr>
          <w:p w14:paraId="625C1430">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按三级配电要求，配备总配电箱、分配电箱、开关箱三类（铁质）标准电箱，开关箱应符合“一机、一箱、一闸、一漏”，三类电箱中的各类电器应是合格品。</w:t>
            </w:r>
          </w:p>
          <w:p w14:paraId="00DAFE1D">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按两级保护的要求，选取符合容量要求和质量合格的总配电箱和开关箱中的漏电保护器。</w:t>
            </w:r>
          </w:p>
          <w:p w14:paraId="2D327AC5">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对大型、落地式分配电箱、开关箱设置防护棚和通透式围挡。</w:t>
            </w:r>
          </w:p>
        </w:tc>
      </w:tr>
      <w:tr w14:paraId="276B9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43C862C4">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E5592C4">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2F0CE167">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接地装置</w:t>
            </w:r>
          </w:p>
        </w:tc>
        <w:tc>
          <w:tcPr>
            <w:tcW w:w="6645" w:type="dxa"/>
            <w:noWrap w:val="0"/>
            <w:vAlign w:val="center"/>
          </w:tcPr>
          <w:p w14:paraId="1E89F31C">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3D096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0EADE30">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3EE56C45">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3B73BC7">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645" w:type="dxa"/>
            <w:noWrap w:val="0"/>
            <w:vAlign w:val="center"/>
          </w:tcPr>
          <w:p w14:paraId="2C1ACEDF">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总配电房建筑材料必须达到消防防火要求，室内做硬地坪、电缆沟。</w:t>
            </w:r>
          </w:p>
        </w:tc>
      </w:tr>
      <w:tr w14:paraId="3794C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8D6F070">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noWrap w:val="0"/>
            <w:vAlign w:val="center"/>
          </w:tcPr>
          <w:p w14:paraId="146B9061">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noWrap w:val="0"/>
            <w:vAlign w:val="center"/>
          </w:tcPr>
          <w:p w14:paraId="5A7321E7">
            <w:pPr>
              <w:pStyle w:val="45"/>
              <w:shd w:val="clear" w:color="auto" w:fill="FFFFFF"/>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4AE82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29B7847E">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noWrap w:val="0"/>
            <w:vAlign w:val="center"/>
          </w:tcPr>
          <w:p w14:paraId="65D5E6D0">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高处作业防护</w:t>
            </w:r>
          </w:p>
        </w:tc>
        <w:tc>
          <w:tcPr>
            <w:tcW w:w="1545" w:type="dxa"/>
            <w:noWrap w:val="0"/>
            <w:vAlign w:val="center"/>
          </w:tcPr>
          <w:p w14:paraId="14CC0A78">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w:t>
            </w:r>
          </w:p>
        </w:tc>
        <w:tc>
          <w:tcPr>
            <w:tcW w:w="6645" w:type="dxa"/>
            <w:noWrap w:val="0"/>
            <w:vAlign w:val="center"/>
          </w:tcPr>
          <w:p w14:paraId="672D5F26">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20541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1D88BD0">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547E16E8">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93CB10E">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645" w:type="dxa"/>
            <w:noWrap w:val="0"/>
            <w:vAlign w:val="center"/>
          </w:tcPr>
          <w:p w14:paraId="37706323">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39D7F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9C2D022">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5E606C0">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7A6054C">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645" w:type="dxa"/>
            <w:noWrap w:val="0"/>
            <w:vAlign w:val="center"/>
          </w:tcPr>
          <w:p w14:paraId="399685ED">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5AFA3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5542C162">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A49DAC2">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543211F7">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645" w:type="dxa"/>
            <w:noWrap w:val="0"/>
            <w:vAlign w:val="center"/>
          </w:tcPr>
          <w:p w14:paraId="65D08A15">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设置定型化、工具化的防护门，在电梯井内每隔2层（不大于10m）设置一道水平防护。</w:t>
            </w:r>
          </w:p>
        </w:tc>
      </w:tr>
      <w:tr w14:paraId="53E52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83F018D">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F6EFC63">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D5B167E">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645" w:type="dxa"/>
            <w:noWrap w:val="0"/>
            <w:vAlign w:val="center"/>
          </w:tcPr>
          <w:p w14:paraId="5ACA7F4E">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1B9B3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4E604C">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161BA1A3">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F8F255A">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645" w:type="dxa"/>
            <w:noWrap w:val="0"/>
            <w:vAlign w:val="center"/>
          </w:tcPr>
          <w:p w14:paraId="229D0883">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429F2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9DF579E">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0020EDC4">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698BFDFB">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w:t>
            </w:r>
          </w:p>
        </w:tc>
        <w:tc>
          <w:tcPr>
            <w:tcW w:w="6645" w:type="dxa"/>
            <w:noWrap w:val="0"/>
            <w:vAlign w:val="center"/>
          </w:tcPr>
          <w:p w14:paraId="791C7E48">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有悬挂安全带的悬索或其它设施，有操作平台，有上下的梯子或其它形式的通道。</w:t>
            </w:r>
          </w:p>
        </w:tc>
      </w:tr>
      <w:tr w14:paraId="04D1D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7FCF3E6">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7481CDFC">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7B182393">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基坑、物料平台</w:t>
            </w:r>
          </w:p>
        </w:tc>
        <w:tc>
          <w:tcPr>
            <w:tcW w:w="6645" w:type="dxa"/>
            <w:noWrap w:val="0"/>
            <w:vAlign w:val="center"/>
          </w:tcPr>
          <w:p w14:paraId="70E243B0">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635B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86BCCF">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8899056">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645" w:type="dxa"/>
            <w:noWrap w:val="0"/>
            <w:vAlign w:val="center"/>
          </w:tcPr>
          <w:p w14:paraId="47A401B5">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78B9F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1D5B828B">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525" w:type="dxa"/>
            <w:vMerge w:val="restart"/>
            <w:noWrap w:val="0"/>
            <w:vAlign w:val="center"/>
          </w:tcPr>
          <w:p w14:paraId="55BCEEBE">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545" w:type="dxa"/>
            <w:noWrap w:val="0"/>
            <w:vAlign w:val="center"/>
          </w:tcPr>
          <w:p w14:paraId="546E1DBC">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645" w:type="dxa"/>
            <w:noWrap w:val="0"/>
            <w:vAlign w:val="center"/>
          </w:tcPr>
          <w:p w14:paraId="2D89D5D4">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2805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2822674">
            <w:pPr>
              <w:pStyle w:val="45"/>
              <w:shd w:val="clear" w:color="auto" w:fill="FFFFFF"/>
              <w:spacing w:line="300" w:lineRule="exact"/>
              <w:jc w:val="center"/>
              <w:rPr>
                <w:rFonts w:hint="eastAsia" w:ascii="宋体" w:hAnsi="宋体" w:eastAsia="宋体" w:cs="宋体"/>
                <w:color w:val="auto"/>
                <w:szCs w:val="21"/>
                <w:highlight w:val="none"/>
              </w:rPr>
            </w:pPr>
          </w:p>
        </w:tc>
        <w:tc>
          <w:tcPr>
            <w:tcW w:w="525" w:type="dxa"/>
            <w:vMerge w:val="continue"/>
            <w:noWrap w:val="0"/>
            <w:vAlign w:val="center"/>
          </w:tcPr>
          <w:p w14:paraId="26EBD264">
            <w:pPr>
              <w:pStyle w:val="45"/>
              <w:shd w:val="clear" w:color="auto" w:fill="FFFFFF"/>
              <w:spacing w:line="300" w:lineRule="exact"/>
              <w:jc w:val="center"/>
              <w:rPr>
                <w:rFonts w:hint="eastAsia" w:ascii="宋体" w:hAnsi="宋体" w:eastAsia="宋体" w:cs="宋体"/>
                <w:color w:val="auto"/>
                <w:szCs w:val="21"/>
                <w:highlight w:val="none"/>
              </w:rPr>
            </w:pPr>
          </w:p>
        </w:tc>
        <w:tc>
          <w:tcPr>
            <w:tcW w:w="1545" w:type="dxa"/>
            <w:noWrap w:val="0"/>
            <w:vAlign w:val="center"/>
          </w:tcPr>
          <w:p w14:paraId="375F6F05">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645" w:type="dxa"/>
            <w:noWrap w:val="0"/>
            <w:vAlign w:val="center"/>
          </w:tcPr>
          <w:p w14:paraId="40768CD2">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垂直运输设备检测、检验、日常维护、保养等。</w:t>
            </w:r>
          </w:p>
          <w:p w14:paraId="6C36BEDA">
            <w:pPr>
              <w:pStyle w:val="45"/>
              <w:shd w:val="clear" w:color="auto" w:fill="FFFFFF"/>
              <w:spacing w:line="3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物料提升机、施工电梯等物料平台搭设、外侧用密目式安全立网全封闭，有安全通道、安全防护门、防护棚等。</w:t>
            </w:r>
          </w:p>
        </w:tc>
      </w:tr>
      <w:tr w14:paraId="267EC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A2C27BC">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22547872">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645" w:type="dxa"/>
            <w:noWrap w:val="0"/>
            <w:vAlign w:val="center"/>
          </w:tcPr>
          <w:p w14:paraId="24734AE3">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超过一定规模的危险性较大分部分项工程专家论证审查。</w:t>
            </w:r>
          </w:p>
        </w:tc>
      </w:tr>
      <w:tr w14:paraId="6C279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294AB52D">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5711216E">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645" w:type="dxa"/>
            <w:noWrap w:val="0"/>
            <w:vAlign w:val="center"/>
          </w:tcPr>
          <w:p w14:paraId="2ACC40D5">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027CB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6BC5BF0">
            <w:pPr>
              <w:pStyle w:val="45"/>
              <w:shd w:val="clear" w:color="auto" w:fill="FFFFFF"/>
              <w:spacing w:line="300" w:lineRule="exact"/>
              <w:jc w:val="center"/>
              <w:rPr>
                <w:rFonts w:hint="eastAsia" w:ascii="宋体" w:hAnsi="宋体" w:eastAsia="宋体" w:cs="宋体"/>
                <w:color w:val="auto"/>
                <w:szCs w:val="21"/>
                <w:highlight w:val="none"/>
              </w:rPr>
            </w:pPr>
          </w:p>
        </w:tc>
        <w:tc>
          <w:tcPr>
            <w:tcW w:w="2070" w:type="dxa"/>
            <w:gridSpan w:val="2"/>
            <w:noWrap w:val="0"/>
            <w:vAlign w:val="center"/>
          </w:tcPr>
          <w:p w14:paraId="3CFAB41F">
            <w:pPr>
              <w:pStyle w:val="45"/>
              <w:shd w:val="clear" w:color="auto" w:fill="FFFFFF"/>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645" w:type="dxa"/>
            <w:noWrap w:val="0"/>
            <w:vAlign w:val="center"/>
          </w:tcPr>
          <w:p w14:paraId="46431164">
            <w:pPr>
              <w:pStyle w:val="45"/>
              <w:shd w:val="clear" w:color="auto" w:fill="FFFFFF"/>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4C753387">
      <w:pPr>
        <w:pStyle w:val="13"/>
        <w:shd w:val="clear" w:color="auto" w:fill="FFFFFF"/>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14:paraId="1A19CE1F">
      <w:pPr>
        <w:rPr>
          <w:rFonts w:hint="eastAsia" w:ascii="宋体" w:hAnsi="宋体" w:eastAsia="宋体" w:cs="宋体"/>
          <w:b/>
          <w:color w:val="auto"/>
          <w:highlight w:val="none"/>
        </w:rPr>
      </w:pPr>
    </w:p>
    <w:p w14:paraId="5D790596">
      <w:pPr>
        <w:pStyle w:val="15"/>
        <w:rPr>
          <w:rFonts w:hint="eastAsia" w:ascii="宋体" w:hAnsi="宋体" w:eastAsia="宋体" w:cs="宋体"/>
          <w:b/>
          <w:color w:val="auto"/>
          <w:highlight w:val="none"/>
        </w:rPr>
      </w:pPr>
    </w:p>
    <w:p w14:paraId="0C4A483E">
      <w:pPr>
        <w:rPr>
          <w:rFonts w:hint="eastAsia" w:ascii="宋体" w:hAnsi="宋体" w:eastAsia="宋体" w:cs="宋体"/>
          <w:b/>
          <w:color w:val="auto"/>
          <w:highlight w:val="none"/>
        </w:rPr>
      </w:pPr>
    </w:p>
    <w:p w14:paraId="7D738E36">
      <w:pPr>
        <w:pStyle w:val="15"/>
        <w:rPr>
          <w:rFonts w:hint="eastAsia" w:ascii="宋体" w:hAnsi="宋体" w:eastAsia="宋体" w:cs="宋体"/>
          <w:b/>
          <w:color w:val="auto"/>
          <w:highlight w:val="none"/>
        </w:rPr>
      </w:pPr>
    </w:p>
    <w:p w14:paraId="2F56A3BE">
      <w:pPr>
        <w:rPr>
          <w:rFonts w:hint="eastAsia" w:ascii="宋体" w:hAnsi="宋体" w:eastAsia="宋体" w:cs="宋体"/>
          <w:b/>
          <w:color w:val="auto"/>
          <w:highlight w:val="none"/>
        </w:rPr>
      </w:pPr>
    </w:p>
    <w:p w14:paraId="4CF7692B">
      <w:pPr>
        <w:pStyle w:val="15"/>
        <w:rPr>
          <w:rFonts w:hint="eastAsia" w:ascii="宋体" w:hAnsi="宋体" w:eastAsia="宋体" w:cs="宋体"/>
          <w:b/>
          <w:color w:val="auto"/>
          <w:highlight w:val="none"/>
        </w:rPr>
      </w:pPr>
    </w:p>
    <w:p w14:paraId="6DC234DD">
      <w:pPr>
        <w:rPr>
          <w:rFonts w:hint="eastAsia" w:ascii="宋体" w:hAnsi="宋体" w:eastAsia="宋体" w:cs="宋体"/>
          <w:b/>
          <w:color w:val="auto"/>
          <w:highlight w:val="none"/>
        </w:rPr>
      </w:pPr>
    </w:p>
    <w:p w14:paraId="5560E7E5">
      <w:pPr>
        <w:pStyle w:val="15"/>
        <w:rPr>
          <w:rFonts w:hint="eastAsia" w:ascii="宋体" w:hAnsi="宋体" w:eastAsia="宋体" w:cs="宋体"/>
          <w:b/>
          <w:color w:val="auto"/>
          <w:highlight w:val="none"/>
        </w:rPr>
      </w:pPr>
    </w:p>
    <w:p w14:paraId="0C6AAE5F">
      <w:pPr>
        <w:rPr>
          <w:rFonts w:hint="eastAsia"/>
          <w:color w:val="auto"/>
        </w:rPr>
      </w:pPr>
    </w:p>
    <w:p w14:paraId="0A24D038">
      <w:pPr>
        <w:pStyle w:val="15"/>
        <w:rPr>
          <w:rFonts w:hint="eastAsia"/>
          <w:color w:val="auto"/>
        </w:rPr>
      </w:pPr>
    </w:p>
    <w:p w14:paraId="0D2F8549">
      <w:pPr>
        <w:numPr>
          <w:ilvl w:val="0"/>
          <w:numId w:val="18"/>
        </w:numPr>
        <w:shd w:val="clear" w:color="auto" w:fill="FFFFFF"/>
        <w:spacing w:line="600" w:lineRule="exact"/>
        <w:ind w:firstLine="723" w:firstLineChars="200"/>
        <w:jc w:val="center"/>
        <w:outlineLvl w:val="0"/>
        <w:rPr>
          <w:rFonts w:hint="eastAsia" w:ascii="宋体" w:hAnsi="宋体" w:eastAsia="宋体" w:cs="宋体"/>
          <w:b/>
          <w:color w:val="auto"/>
          <w:sz w:val="36"/>
          <w:szCs w:val="36"/>
          <w:highlight w:val="none"/>
        </w:rPr>
      </w:pPr>
      <w:bookmarkStart w:id="1223" w:name="_Toc2422"/>
      <w:bookmarkStart w:id="1224" w:name="OLE_LINK24"/>
      <w:r>
        <w:rPr>
          <w:rFonts w:hint="eastAsia" w:ascii="宋体" w:hAnsi="宋体" w:eastAsia="宋体" w:cs="宋体"/>
          <w:b/>
          <w:color w:val="auto"/>
          <w:sz w:val="36"/>
          <w:szCs w:val="36"/>
          <w:highlight w:val="none"/>
        </w:rPr>
        <w:t>工程量清单</w:t>
      </w:r>
      <w:bookmarkEnd w:id="1223"/>
    </w:p>
    <w:bookmarkEnd w:id="1224"/>
    <w:p w14:paraId="3BD41712">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bookmarkStart w:id="1225" w:name="_Toc29999"/>
    </w:p>
    <w:bookmarkEnd w:id="1225"/>
    <w:p w14:paraId="7A469A14">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643" w:firstLineChars="200"/>
        <w:jc w:val="center"/>
        <w:textAlignment w:val="auto"/>
        <w:outlineLvl w:val="0"/>
        <w:rPr>
          <w:rFonts w:hint="eastAsia" w:ascii="宋体" w:hAnsi="宋体" w:cs="宋体"/>
          <w:color w:val="auto"/>
          <w:sz w:val="24"/>
          <w:highlight w:val="yellow"/>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42418647">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cs="宋体"/>
          <w:color w:val="auto"/>
          <w:sz w:val="24"/>
          <w:highlight w:val="yellow"/>
          <w:lang w:val="en-US" w:eastAsia="zh-CN"/>
        </w:rPr>
      </w:pPr>
    </w:p>
    <w:p w14:paraId="1B4F6FA3">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6" w:name="_Toc2377"/>
      <w:r>
        <w:rPr>
          <w:rFonts w:hint="eastAsia" w:ascii="宋体" w:hAnsi="宋体" w:eastAsia="宋体" w:cs="宋体"/>
          <w:b/>
          <w:color w:val="auto"/>
          <w:sz w:val="32"/>
          <w:szCs w:val="32"/>
          <w:highlight w:val="none"/>
          <w:lang w:val="en-US" w:eastAsia="zh-CN"/>
        </w:rPr>
        <w:t xml:space="preserve">第七章 </w:t>
      </w:r>
      <w:r>
        <w:rPr>
          <w:rFonts w:hint="eastAsia" w:ascii="宋体" w:hAnsi="宋体" w:eastAsia="宋体" w:cs="宋体"/>
          <w:b/>
          <w:color w:val="auto"/>
          <w:sz w:val="32"/>
          <w:szCs w:val="32"/>
          <w:highlight w:val="none"/>
        </w:rPr>
        <w:t>图纸</w:t>
      </w:r>
      <w:bookmarkEnd w:id="1226"/>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另附</w:t>
      </w:r>
      <w:r>
        <w:rPr>
          <w:rFonts w:hint="eastAsia" w:ascii="宋体" w:hAnsi="宋体" w:eastAsia="宋体" w:cs="宋体"/>
          <w:b/>
          <w:color w:val="auto"/>
          <w:sz w:val="32"/>
          <w:szCs w:val="32"/>
          <w:highlight w:val="none"/>
          <w:lang w:eastAsia="zh-CN"/>
        </w:rPr>
        <w:t>）</w:t>
      </w:r>
    </w:p>
    <w:p w14:paraId="3DA655C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bookmarkStart w:id="1227" w:name="_Toc29181"/>
    </w:p>
    <w:p w14:paraId="303B01EE">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4E8A87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90B694D">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6B400710">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4D5EF55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854AD9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77E5D322">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19592BEC">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06243436">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E74148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28214255">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56768D3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p>
    <w:p w14:paraId="378110D3">
      <w:pPr>
        <w:rPr>
          <w:rFonts w:hint="eastAsia" w:ascii="宋体" w:hAnsi="宋体" w:eastAsia="宋体" w:cs="宋体"/>
          <w:b/>
          <w:color w:val="auto"/>
          <w:sz w:val="32"/>
          <w:szCs w:val="32"/>
          <w:highlight w:val="none"/>
        </w:rPr>
      </w:pPr>
    </w:p>
    <w:p w14:paraId="6697B207">
      <w:pPr>
        <w:pStyle w:val="15"/>
        <w:rPr>
          <w:rFonts w:hint="eastAsia" w:ascii="宋体" w:hAnsi="宋体" w:eastAsia="宋体" w:cs="宋体"/>
          <w:b/>
          <w:color w:val="auto"/>
          <w:sz w:val="32"/>
          <w:szCs w:val="32"/>
          <w:highlight w:val="none"/>
        </w:rPr>
      </w:pPr>
    </w:p>
    <w:p w14:paraId="1EEB7961">
      <w:pPr>
        <w:pStyle w:val="2"/>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eastAsia="zh-CN"/>
        </w:rPr>
        <w:t>八</w:t>
      </w:r>
      <w:r>
        <w:rPr>
          <w:rFonts w:hint="eastAsia" w:ascii="宋体" w:hAnsi="宋体" w:eastAsia="宋体" w:cs="宋体"/>
          <w:b/>
          <w:color w:val="auto"/>
          <w:sz w:val="32"/>
          <w:szCs w:val="32"/>
          <w:highlight w:val="none"/>
        </w:rPr>
        <w:t>章  评定标准</w:t>
      </w:r>
      <w:bookmarkEnd w:id="1222"/>
      <w:bookmarkEnd w:id="1227"/>
    </w:p>
    <w:p w14:paraId="21F32A87">
      <w:pPr>
        <w:spacing w:line="360" w:lineRule="auto"/>
        <w:ind w:firstLine="643" w:firstLineChars="200"/>
        <w:jc w:val="center"/>
        <w:rPr>
          <w:rFonts w:hint="eastAsia" w:ascii="宋体" w:hAnsi="宋体" w:cs="Times New Roman"/>
          <w:b/>
          <w:color w:val="auto"/>
          <w:sz w:val="32"/>
          <w:szCs w:val="32"/>
          <w:highlight w:val="none"/>
        </w:rPr>
      </w:pPr>
      <w:bookmarkStart w:id="1228" w:name="_Toc80886938"/>
      <w:bookmarkStart w:id="1229" w:name="_Toc29067"/>
      <w:bookmarkStart w:id="1230" w:name="_Toc6051"/>
      <w:r>
        <w:rPr>
          <w:rFonts w:hint="eastAsia" w:ascii="宋体" w:hAnsi="宋体" w:cs="Times New Roman"/>
          <w:b/>
          <w:color w:val="auto"/>
          <w:sz w:val="32"/>
          <w:szCs w:val="32"/>
          <w:highlight w:val="none"/>
        </w:rPr>
        <w:t>第一节 评审程序和评审方法</w:t>
      </w:r>
      <w:bookmarkEnd w:id="1228"/>
      <w:bookmarkEnd w:id="1229"/>
      <w:bookmarkEnd w:id="1230"/>
    </w:p>
    <w:p w14:paraId="62B8484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27ED5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40948E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B61685B">
      <w:pPr>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35221A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05B925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eastAsia="宋体" w:cs="宋体"/>
          <w:b w:val="0"/>
          <w:bCs w:val="0"/>
          <w:color w:val="auto"/>
          <w:sz w:val="21"/>
          <w:szCs w:val="21"/>
          <w:highlight w:val="none"/>
          <w:lang w:val="en-US" w:eastAsia="zh-CN"/>
        </w:rPr>
        <w:t>广西政府采购云平台“信用中国”网站(</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"http://www.creditchina.gov.cn"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www.creditchina.gov.cn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)、中国政府采购网(</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"http://www.ccgp.gov.cn"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www.ccgp.gov.cn</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)链接入口</w:t>
      </w:r>
      <w:r>
        <w:rPr>
          <w:rFonts w:hint="eastAsia" w:ascii="宋体" w:hAnsi="宋体" w:cs="宋体"/>
          <w:color w:val="auto"/>
          <w:szCs w:val="21"/>
          <w:highlight w:val="none"/>
        </w:rPr>
        <w:t>。</w:t>
      </w:r>
    </w:p>
    <w:p w14:paraId="2C6047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8EA42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查询记录和证据留存方式：在查询网站中直接查询记录，截图另存为电子文档作为评审资料保存。</w:t>
      </w:r>
    </w:p>
    <w:p w14:paraId="056C1D9B">
      <w:pPr>
        <w:snapToGrid w:val="0"/>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（3）信用信息使用规则：对在“信用中国”网站(www.creditchina.gov.cn) 、中国政府采购网(www.ccgp.gov.cn)被列入失信被执行人、</w:t>
      </w:r>
      <w:r>
        <w:rPr>
          <w:rFonts w:hint="eastAsia" w:ascii="宋体" w:hAnsi="宋体" w:cs="Times New Roman"/>
          <w:color w:val="auto"/>
          <w:szCs w:val="21"/>
          <w:highlight w:val="none"/>
          <w:lang w:eastAsia="zh-CN"/>
        </w:rPr>
        <w:t>重大税收违法失信主体</w:t>
      </w:r>
      <w:r>
        <w:rPr>
          <w:rFonts w:hint="eastAsia" w:ascii="宋体" w:hAnsi="宋体" w:cs="Times New Roman"/>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9DF8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D24F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B555A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8EECED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（2）响应文件未按磋商文件要求签署、盖章</w:t>
      </w:r>
      <w:r>
        <w:rPr>
          <w:rFonts w:hint="eastAsia" w:ascii="宋体" w:hAnsi="宋体" w:cs="宋体"/>
          <w:color w:val="auto"/>
          <w:szCs w:val="21"/>
          <w:highlight w:val="none"/>
          <w:lang w:eastAsia="zh-CN"/>
        </w:rPr>
        <w:t>；</w:t>
      </w:r>
    </w:p>
    <w:p w14:paraId="05390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”资格证明文件规定的“必须提供”或者“委托时必须提供”的文件资料的；</w:t>
      </w:r>
    </w:p>
    <w:p w14:paraId="205680BD">
      <w:pPr>
        <w:spacing w:line="360" w:lineRule="auto"/>
        <w:ind w:firstLine="420" w:firstLineChars="200"/>
        <w:rPr>
          <w:rFonts w:hint="eastAsia" w:ascii="宋体" w:hAnsi="宋体" w:cs="宋体"/>
          <w:color w:val="auto"/>
          <w:szCs w:val="21"/>
          <w:highlight w:val="none"/>
        </w:rPr>
      </w:pPr>
      <w:bookmarkStart w:id="1231" w:name="_Hlk68601553"/>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委托代理人未能出具有效身份证明或者出具的身份证明与授权委托书中的信息不符； </w:t>
      </w:r>
    </w:p>
    <w:p w14:paraId="2761F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供应商不按要求提交农民工工资保障承诺书的；</w:t>
      </w:r>
    </w:p>
    <w:p w14:paraId="5CAF3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）提供虚假的项目负责人或者主要技术人员简历、劳动关系证明、社保证明等；</w:t>
      </w:r>
    </w:p>
    <w:p w14:paraId="4EFB43A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）响应文件提供的资格证明文件出现任一项不符合“供应商须知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”资格证明文件规定的“必须提供”或者“委托时必须提供”的文件资料要求或者无效的</w:t>
      </w:r>
      <w:r>
        <w:rPr>
          <w:rFonts w:hint="eastAsia" w:ascii="宋体" w:hAnsi="宋体" w:cs="宋体"/>
          <w:color w:val="auto"/>
          <w:szCs w:val="21"/>
          <w:highlight w:val="none"/>
          <w:lang w:eastAsia="zh-CN"/>
        </w:rPr>
        <w:t>；</w:t>
      </w:r>
    </w:p>
    <w:p w14:paraId="4E89D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78628C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w:t>
      </w:r>
      <w:bookmarkEnd w:id="1231"/>
    </w:p>
    <w:p w14:paraId="366F1B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应当重新开展采购活动。</w:t>
      </w:r>
    </w:p>
    <w:p w14:paraId="05BD55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B4E3C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由磋商小组</w:t>
      </w:r>
      <w:r>
        <w:rPr>
          <w:rFonts w:hint="eastAsia" w:ascii="宋体" w:hAnsi="宋体" w:eastAsia="宋体" w:cs="宋体"/>
          <w:color w:val="auto"/>
          <w:sz w:val="21"/>
          <w:szCs w:val="21"/>
          <w:highlight w:val="none"/>
        </w:rPr>
        <w:t>对符合资格的</w:t>
      </w:r>
      <w:r>
        <w:rPr>
          <w:rFonts w:hint="eastAsia" w:ascii="宋体" w:hAnsi="宋体"/>
          <w:color w:val="auto"/>
          <w:szCs w:val="21"/>
          <w:highlight w:val="none"/>
        </w:rPr>
        <w:t>供应商</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r>
        <w:rPr>
          <w:rFonts w:hint="eastAsia" w:ascii="宋体" w:hAnsi="宋体" w:eastAsia="宋体" w:cs="宋体"/>
          <w:color w:val="auto"/>
          <w:sz w:val="21"/>
          <w:szCs w:val="21"/>
          <w:highlight w:val="none"/>
        </w:rPr>
        <w:t>进行竞标报价、商务、技术等实质性要求符合性审查</w:t>
      </w:r>
      <w:r>
        <w:rPr>
          <w:rFonts w:hint="eastAsia" w:ascii="宋体" w:hAnsi="宋体" w:cs="宋体"/>
          <w:color w:val="auto"/>
          <w:szCs w:val="21"/>
          <w:highlight w:val="none"/>
        </w:rPr>
        <w:t>，以确定其是否满足磋商文件的实质性要求。</w:t>
      </w:r>
    </w:p>
    <w:p w14:paraId="6AFCA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240E2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cs="宋体"/>
          <w:color w:val="auto"/>
          <w:szCs w:val="21"/>
          <w:highlight w:val="none"/>
          <w:lang w:eastAsia="zh-CN"/>
        </w:rPr>
        <w:t>电子印章</w:t>
      </w:r>
      <w:r>
        <w:rPr>
          <w:rFonts w:hint="eastAsia" w:ascii="宋体" w:hAnsi="宋体" w:cs="宋体"/>
          <w:color w:val="auto"/>
          <w:spacing w:val="-6"/>
          <w:szCs w:val="21"/>
          <w:highlight w:val="none"/>
        </w:rPr>
        <w:t>。供应商为自然人的，必须由本人签字并附身份证明。</w:t>
      </w:r>
    </w:p>
    <w:p w14:paraId="4E4631BE">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w:t>
      </w:r>
      <w:r>
        <w:rPr>
          <w:rFonts w:ascii="宋体" w:hAnsi="宋体" w:cs="宋体"/>
          <w:color w:val="auto"/>
          <w:spacing w:val="-6"/>
          <w:szCs w:val="21"/>
          <w:highlight w:val="none"/>
        </w:rPr>
        <w:t>.4</w:t>
      </w:r>
      <w:r>
        <w:rPr>
          <w:rFonts w:hint="eastAsia" w:ascii="宋体" w:hAnsi="宋体" w:cs="宋体"/>
          <w:color w:val="auto"/>
          <w:szCs w:val="21"/>
          <w:highlight w:val="none"/>
        </w:rPr>
        <w:t xml:space="preserve">首次响应文件报价出现前后不一致的，按照下列规定修正： </w:t>
      </w:r>
    </w:p>
    <w:p w14:paraId="7A95D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报价表内容与响应文件中相应内容不一致的，以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报价表为准；</w:t>
      </w:r>
    </w:p>
    <w:p w14:paraId="5B08E1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8E7C7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报价表的总价为准，并修改单价；</w:t>
      </w:r>
    </w:p>
    <w:p w14:paraId="30FDDC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E7AB9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BA8BF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商务技术评审</w:t>
      </w:r>
    </w:p>
    <w:p w14:paraId="5C91F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68B1E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评审</w:t>
      </w:r>
    </w:p>
    <w:p w14:paraId="52C23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54AD4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2）工程量清单</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总价（封面）</w:t>
      </w:r>
      <w:r>
        <w:rPr>
          <w:rFonts w:hint="eastAsia" w:ascii="宋体" w:hAnsi="宋体" w:eastAsia="宋体" w:cs="宋体"/>
          <w:color w:val="auto"/>
          <w:szCs w:val="21"/>
          <w:highlight w:val="none"/>
          <w:lang w:val="en-US" w:eastAsia="zh-CN"/>
        </w:rPr>
        <w:t>没有按规定盖章</w:t>
      </w:r>
      <w:r>
        <w:rPr>
          <w:rFonts w:hint="eastAsia" w:ascii="宋体" w:hAnsi="宋体" w:eastAsia="宋体" w:cs="宋体"/>
          <w:color w:val="auto"/>
          <w:szCs w:val="21"/>
          <w:highlight w:val="none"/>
        </w:rPr>
        <w:t>；</w:t>
      </w:r>
    </w:p>
    <w:p w14:paraId="4AA65B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）未采用人民币报价或者未按照磋商文件标明的币种报价；</w:t>
      </w:r>
    </w:p>
    <w:p w14:paraId="1585DB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进行报价或者存在漏项报价；供应商未就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的单项内容作唯一报价；供应商未就</w:t>
      </w:r>
      <w:r>
        <w:rPr>
          <w:rFonts w:hint="eastAsia" w:ascii="宋体" w:hAnsi="宋体" w:eastAsia="宋体" w:cs="宋体"/>
          <w:color w:val="auto"/>
          <w:szCs w:val="21"/>
          <w:highlight w:val="none"/>
          <w:lang w:eastAsia="zh-CN"/>
        </w:rPr>
        <w:t>所竞标项目</w:t>
      </w:r>
      <w:r>
        <w:rPr>
          <w:rFonts w:hint="eastAsia" w:ascii="宋体" w:hAnsi="宋体" w:eastAsia="宋体" w:cs="宋体"/>
          <w:color w:val="auto"/>
          <w:szCs w:val="21"/>
          <w:highlight w:val="none"/>
        </w:rPr>
        <w:t>的全部内容作唯一总价报价；供应商响应文件中存在有选择、有条件报价的（磋商文件允许有备选方案或者其他约定的除外）；</w:t>
      </w:r>
    </w:p>
    <w:p w14:paraId="0FC058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2AD78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）修正后的报价，供应商不确认的；或者经供应商确认修正后的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规定的采购预算金额或者最高限价（如本项目公布了最高限价）；或者经供应商确认修正后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报价（包含首次报价、最后报价）超过磋商文件分项采购预算金额或者最高限价的（如本项目公布了最高限价）。</w:t>
      </w:r>
    </w:p>
    <w:p w14:paraId="1F7C9D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文件无效。</w:t>
      </w:r>
    </w:p>
    <w:p w14:paraId="7A5B87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未对竞标有效期作出响应或者响应文件承诺的竞标有效期不满足磋商文件要求；</w:t>
      </w:r>
    </w:p>
    <w:p w14:paraId="3B87F9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）响应文件的实质性内容未使用中文表述、使用计量单位不符合磋商文件要求；</w:t>
      </w:r>
    </w:p>
    <w:p w14:paraId="4BD11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）响应文件中的文件资料因填写不齐全或者内容虚假或者出现其他情形而导致被磋商小组认定无效；</w:t>
      </w:r>
    </w:p>
    <w:p w14:paraId="1F4CC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）响应文件含有采购人不能接受的附加条件；</w:t>
      </w:r>
    </w:p>
    <w:p w14:paraId="0B35CB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p>
    <w:p w14:paraId="3AC651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）虚假竞标，或者出现其他情形而导致被磋商小组认定无效；</w:t>
      </w:r>
    </w:p>
    <w:p w14:paraId="66DDB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）响应文件标注的项目名称或者项目编号与竞争性磋商文件标注的项目名称或者项目编号不一致的；</w:t>
      </w:r>
    </w:p>
    <w:p w14:paraId="6030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）未响应磋商文件实质性要求；</w:t>
      </w:r>
    </w:p>
    <w:p w14:paraId="4EA0EAE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eastAsia="宋体" w:cs="宋体"/>
          <w:color w:val="auto"/>
          <w:szCs w:val="21"/>
          <w:highlight w:val="none"/>
        </w:rPr>
        <w:t>提交的磋商保证金无效的或者未按照磋商文件的规定提交磋商保证金；</w:t>
      </w:r>
    </w:p>
    <w:p w14:paraId="6A867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和磋商文件规定的其他无效情形。</w:t>
      </w:r>
    </w:p>
    <w:p w14:paraId="42E07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评审</w:t>
      </w:r>
    </w:p>
    <w:p w14:paraId="0C091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响应文件未按磋商文件要求签署、盖章；</w:t>
      </w:r>
    </w:p>
    <w:p w14:paraId="3F5DE1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2）响应文件未提供任一项“供应商须知</w:t>
      </w:r>
      <w:r>
        <w:rPr>
          <w:rFonts w:hint="eastAsia" w:ascii="宋体" w:hAnsi="宋体" w:cs="宋体"/>
          <w:color w:val="auto"/>
          <w:szCs w:val="21"/>
          <w:highlight w:val="none"/>
          <w:lang w:val="en-US" w:eastAsia="zh-CN"/>
        </w:rPr>
        <w:t>正文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“必须提供”的文件资料；响应文件提供的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文件出现任一项不符合“供应商须知前附表”</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文件中 “必须提供”文件资料要求的规定或者提供的</w:t>
      </w:r>
      <w:r>
        <w:rPr>
          <w:rFonts w:hint="eastAsia" w:ascii="宋体" w:hAnsi="宋体" w:cs="宋体"/>
          <w:color w:val="auto"/>
          <w:szCs w:val="21"/>
          <w:highlight w:val="none"/>
          <w:lang w:val="en-US" w:eastAsia="zh-CN"/>
        </w:rPr>
        <w:t>商务技术</w:t>
      </w:r>
      <w:r>
        <w:rPr>
          <w:rFonts w:hint="eastAsia" w:ascii="宋体" w:hAnsi="宋体" w:cs="宋体"/>
          <w:color w:val="auto"/>
          <w:szCs w:val="21"/>
          <w:highlight w:val="none"/>
        </w:rPr>
        <w:t>文件无效</w:t>
      </w:r>
      <w:r>
        <w:rPr>
          <w:rFonts w:hint="eastAsia" w:ascii="宋体" w:hAnsi="宋体" w:cs="宋体"/>
          <w:color w:val="auto"/>
          <w:szCs w:val="21"/>
          <w:highlight w:val="none"/>
          <w:lang w:eastAsia="zh-CN"/>
        </w:rPr>
        <w:t>；</w:t>
      </w:r>
    </w:p>
    <w:p w14:paraId="7CCA1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）响应文件中的文件资料因填写不齐全或者内容虚假或者出现其他情形而导致被磋商小组认定无效；</w:t>
      </w:r>
    </w:p>
    <w:p w14:paraId="1DAAA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）响应文件含有采购人不能接受的附加条件；</w:t>
      </w:r>
    </w:p>
    <w:p w14:paraId="736D162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属于“供应商须知正文”第</w:t>
      </w:r>
      <w:r>
        <w:rPr>
          <w:rFonts w:hint="eastAsia" w:ascii="宋体" w:hAnsi="宋体" w:cs="宋体"/>
          <w:color w:val="auto"/>
          <w:szCs w:val="21"/>
          <w:highlight w:val="none"/>
          <w:lang w:val="en-US" w:eastAsia="zh-CN"/>
        </w:rPr>
        <w:t>24.5、24.6</w:t>
      </w:r>
      <w:r>
        <w:rPr>
          <w:rFonts w:hint="eastAsia" w:ascii="宋体" w:hAnsi="宋体" w:cs="宋体"/>
          <w:color w:val="auto"/>
          <w:szCs w:val="21"/>
          <w:highlight w:val="none"/>
        </w:rPr>
        <w:t>条情形</w:t>
      </w:r>
      <w:r>
        <w:rPr>
          <w:rFonts w:hint="eastAsia" w:ascii="宋体" w:hAnsi="宋体" w:cs="宋体"/>
          <w:color w:val="auto"/>
          <w:szCs w:val="21"/>
          <w:highlight w:val="none"/>
          <w:lang w:eastAsia="zh-CN"/>
        </w:rPr>
        <w:t>；</w:t>
      </w:r>
    </w:p>
    <w:p w14:paraId="56292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虚假竞标，或者出现其他情形而导致被磋商小组认定无效；</w:t>
      </w:r>
    </w:p>
    <w:p w14:paraId="5A838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B84AE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）响应文件标注的项目名称或者项目编号与竞争性磋商文件标注的项目名称或者项目编号不一致的；</w:t>
      </w:r>
    </w:p>
    <w:p w14:paraId="2AA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）未响应磋商文件实质性要求；</w:t>
      </w:r>
    </w:p>
    <w:p w14:paraId="62A6F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和磋商文件规定的其他无效情形。</w:t>
      </w:r>
    </w:p>
    <w:p w14:paraId="1FD07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9CA84F0">
      <w:pPr>
        <w:spacing w:line="360" w:lineRule="auto"/>
        <w:ind w:firstLine="420" w:firstLineChars="200"/>
        <w:rPr>
          <w:rFonts w:hint="eastAsia" w:ascii="黑体" w:hAnsi="黑体" w:eastAsia="黑体" w:cs="宋体"/>
          <w:b/>
          <w:bCs/>
          <w:color w:val="auto"/>
          <w:sz w:val="24"/>
          <w:highlight w:val="none"/>
        </w:rPr>
      </w:pPr>
      <w:bookmarkStart w:id="1232" w:name="OLE_LINK40"/>
      <w:r>
        <w:rPr>
          <w:rFonts w:hint="eastAsia" w:ascii="宋体" w:hAnsi="宋体" w:cs="宋体"/>
          <w:color w:val="auto"/>
          <w:szCs w:val="21"/>
          <w:highlight w:val="none"/>
        </w:rPr>
        <w:t>3</w:t>
      </w:r>
      <w:r>
        <w:rPr>
          <w:rFonts w:ascii="宋体" w:hAnsi="宋体" w:cs="宋体"/>
          <w:color w:val="auto"/>
          <w:szCs w:val="21"/>
          <w:highlight w:val="none"/>
        </w:rPr>
        <w:t>.7</w:t>
      </w:r>
      <w:bookmarkEnd w:id="1232"/>
      <w:r>
        <w:rPr>
          <w:rFonts w:hint="eastAsia" w:ascii="宋体" w:hAnsi="宋体" w:cs="宋体"/>
          <w:color w:val="auto"/>
          <w:szCs w:val="21"/>
          <w:highlight w:val="none"/>
        </w:rPr>
        <w:t>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6153BEE">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19BE1DF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D09F7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在磋商过程中，磋商小组可以根据磋商文件和磋商情况实质性变动</w:t>
      </w:r>
      <w:r>
        <w:rPr>
          <w:rFonts w:hint="eastAsia" w:ascii="宋体" w:hAnsi="宋体" w:cs="宋体"/>
          <w:color w:val="auto"/>
          <w:szCs w:val="21"/>
          <w:highlight w:val="none"/>
          <w:lang w:val="en-US" w:eastAsia="zh-CN"/>
        </w:rPr>
        <w:t>磋商文件</w:t>
      </w:r>
      <w:r>
        <w:rPr>
          <w:rFonts w:hint="eastAsia" w:ascii="宋体" w:hAnsi="宋体" w:cs="宋体"/>
          <w:color w:val="auto"/>
          <w:szCs w:val="21"/>
          <w:highlight w:val="none"/>
        </w:rPr>
        <w:t>中的技术、服务要求以及合同草案条款，但不得变动磋商文件中的其他内容。实质性变动的内容，须经采购人代表确认。可能实质性变动的内容为采购需求中的技术、服务要求以及合同草案条款。</w:t>
      </w:r>
    </w:p>
    <w:p w14:paraId="41255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7758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供应商必须按照磋商文件的变动情况和磋商小组的要求以回函的形式重新提交响应文件，并加盖</w:t>
      </w:r>
      <w:r>
        <w:rPr>
          <w:rFonts w:hint="eastAsia" w:ascii="宋体" w:hAnsi="宋体" w:cs="宋体"/>
          <w:color w:val="auto"/>
          <w:szCs w:val="21"/>
          <w:highlight w:val="none"/>
          <w:lang w:eastAsia="zh-CN"/>
        </w:rPr>
        <w:t>电子印章</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0875D4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7ACC88A">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.6</w:t>
      </w:r>
      <w:r>
        <w:rPr>
          <w:rFonts w:hint="eastAsia" w:ascii="宋体" w:hAnsi="宋体" w:cs="宋体"/>
          <w:color w:val="auto"/>
          <w:szCs w:val="21"/>
          <w:highlight w:val="none"/>
        </w:rPr>
        <w:t>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E1D1F6">
      <w:pPr>
        <w:pStyle w:val="46"/>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D7E0837">
      <w:pPr>
        <w:pStyle w:val="46"/>
        <w:spacing w:before="0"/>
        <w:ind w:firstLine="396" w:firstLineChars="200"/>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55EABFC8">
      <w:pPr>
        <w:pStyle w:val="46"/>
        <w:spacing w:before="0"/>
        <w:ind w:firstLine="396" w:firstLineChars="200"/>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4B8369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7</w:t>
      </w:r>
      <w:r>
        <w:rPr>
          <w:rFonts w:hint="eastAsia" w:ascii="宋体" w:hAnsi="宋体" w:cs="宋体"/>
          <w:color w:val="auto"/>
          <w:szCs w:val="21"/>
          <w:highlight w:val="none"/>
        </w:rPr>
        <w:t>磋商过程中重新提交的响应文件，供应商可以在开启前补充、修改。</w:t>
      </w:r>
    </w:p>
    <w:p w14:paraId="6980DC5B">
      <w:pPr>
        <w:tabs>
          <w:tab w:val="left" w:pos="2835"/>
        </w:tabs>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4</w:t>
      </w:r>
      <w:r>
        <w:rPr>
          <w:rFonts w:ascii="宋体" w:hAnsi="宋体" w:cs="宋体"/>
          <w:color w:val="auto"/>
          <w:szCs w:val="21"/>
          <w:highlight w:val="none"/>
        </w:rPr>
        <w:t>.8</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9C17517">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 最后报价</w:t>
      </w:r>
    </w:p>
    <w:p w14:paraId="7D5B6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eastAsia="宋体" w:cs="宋体"/>
          <w:color w:val="auto"/>
          <w:szCs w:val="21"/>
          <w:highlight w:val="none"/>
        </w:rPr>
        <w:t>磋商结束后，由磋商小组要求所有继续参加磋商的供应商在规定时间内</w:t>
      </w:r>
      <w:r>
        <w:rPr>
          <w:rFonts w:hint="eastAsia" w:ascii="宋体" w:hAnsi="宋体" w:cs="宋体"/>
          <w:color w:val="auto"/>
          <w:szCs w:val="21"/>
          <w:highlight w:val="none"/>
          <w:lang w:val="en-US" w:eastAsia="zh-CN"/>
        </w:rPr>
        <w:t>加密在线</w:t>
      </w:r>
      <w:r>
        <w:rPr>
          <w:rFonts w:hint="eastAsia" w:ascii="宋体" w:hAnsi="宋体" w:cs="宋体"/>
          <w:color w:val="auto"/>
          <w:szCs w:val="21"/>
          <w:highlight w:val="none"/>
        </w:rPr>
        <w:t>提交最后报价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报价如有变动必须按工程量清单报价文件的要求及格式编制</w:t>
      </w:r>
      <w:r>
        <w:rPr>
          <w:rFonts w:hint="eastAsia" w:ascii="宋体" w:hAnsi="宋体" w:cs="宋体"/>
          <w:b/>
          <w:bCs/>
          <w:color w:val="auto"/>
          <w:szCs w:val="21"/>
          <w:highlight w:val="none"/>
          <w:lang w:val="en-US" w:eastAsia="zh-CN"/>
        </w:rPr>
        <w:t>并加盖供应商电子印章及相关编制人员（如有要求）签字或盖章（此处所指“签字或盖章”为手写签字或盖章后扫描上传）</w:t>
      </w:r>
      <w:r>
        <w:rPr>
          <w:rFonts w:hint="eastAsia" w:ascii="宋体" w:hAnsi="宋体" w:eastAsia="宋体" w:cs="宋体"/>
          <w:b/>
          <w:bCs/>
          <w:color w:val="auto"/>
          <w:szCs w:val="21"/>
          <w:highlight w:val="none"/>
        </w:rPr>
        <w:t>，不得以总价下浮的方式做</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报价，否则，作无效</w:t>
      </w:r>
      <w:r>
        <w:rPr>
          <w:rFonts w:hint="eastAsia" w:ascii="宋体" w:hAnsi="宋体" w:cs="宋体"/>
          <w:b/>
          <w:bCs/>
          <w:color w:val="auto"/>
          <w:szCs w:val="21"/>
          <w:highlight w:val="none"/>
          <w:lang w:val="en-US" w:eastAsia="zh-CN"/>
        </w:rPr>
        <w:t>磋商</w:t>
      </w:r>
      <w:r>
        <w:rPr>
          <w:rFonts w:hint="eastAsia" w:ascii="宋体" w:hAnsi="宋体" w:eastAsia="宋体" w:cs="宋体"/>
          <w:b/>
          <w:bCs/>
          <w:color w:val="auto"/>
          <w:szCs w:val="21"/>
          <w:highlight w:val="none"/>
        </w:rPr>
        <w:t>处理，供应商须提前做好相关准备并按时递交</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以附件的方式上传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最后</w:t>
      </w:r>
      <w:r>
        <w:rPr>
          <w:rFonts w:hint="eastAsia" w:ascii="宋体" w:hAnsi="宋体" w:eastAsia="宋体" w:cs="宋体"/>
          <w:b/>
          <w:bCs/>
          <w:color w:val="auto"/>
          <w:szCs w:val="21"/>
          <w:highlight w:val="none"/>
        </w:rPr>
        <w:t>报价高于采购预算控制价的响应文件将被拒绝。</w:t>
      </w:r>
      <w:r>
        <w:rPr>
          <w:rFonts w:hint="eastAsia" w:ascii="宋体" w:hAnsi="宋体" w:cs="宋体"/>
          <w:color w:val="auto"/>
          <w:szCs w:val="21"/>
          <w:highlight w:val="none"/>
        </w:rPr>
        <w:t>除本章第5</w:t>
      </w:r>
      <w:r>
        <w:rPr>
          <w:rFonts w:ascii="宋体" w:hAnsi="宋体" w:cs="宋体"/>
          <w:color w:val="auto"/>
          <w:szCs w:val="21"/>
          <w:highlight w:val="none"/>
        </w:rPr>
        <w:t>.3</w:t>
      </w:r>
      <w:r>
        <w:rPr>
          <w:rFonts w:hint="eastAsia" w:ascii="宋体" w:hAnsi="宋体" w:cs="宋体"/>
          <w:color w:val="auto"/>
          <w:szCs w:val="21"/>
          <w:highlight w:val="none"/>
        </w:rPr>
        <w:t>条外，提交最后报价的供应商不得少于3家，否则必须重新采购。</w:t>
      </w:r>
    </w:p>
    <w:p w14:paraId="3FC92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w:t>
      </w:r>
      <w:r>
        <w:rPr>
          <w:rFonts w:hint="eastAsia" w:ascii="宋体" w:hAnsi="宋体" w:cs="宋体"/>
          <w:color w:val="auto"/>
          <w:szCs w:val="21"/>
          <w:highlight w:val="none"/>
          <w:lang w:val="en-US" w:eastAsia="zh-CN"/>
        </w:rPr>
        <w:t>在线</w:t>
      </w:r>
      <w:r>
        <w:rPr>
          <w:rFonts w:hint="eastAsia" w:ascii="宋体" w:hAnsi="宋体" w:cs="宋体"/>
          <w:color w:val="auto"/>
          <w:szCs w:val="21"/>
          <w:highlight w:val="none"/>
        </w:rPr>
        <w:t>提交最后报价。</w:t>
      </w:r>
    </w:p>
    <w:p w14:paraId="6E0A4C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.3</w:t>
      </w:r>
      <w:r>
        <w:rPr>
          <w:rFonts w:hint="eastAsia" w:ascii="宋体" w:hAnsi="宋体" w:cs="宋体"/>
          <w:color w:val="auto"/>
          <w:szCs w:val="21"/>
          <w:highlight w:val="none"/>
        </w:rPr>
        <w:t xml:space="preserve"> </w:t>
      </w:r>
      <w:bookmarkStart w:id="1233" w:name="OLE_LINK66"/>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w:t>
      </w:r>
      <w:bookmarkEnd w:id="1233"/>
      <w:r>
        <w:rPr>
          <w:rFonts w:hint="eastAsia" w:ascii="宋体" w:hAnsi="宋体" w:cs="宋体"/>
          <w:color w:val="auto"/>
          <w:szCs w:val="21"/>
          <w:highlight w:val="none"/>
        </w:rPr>
        <w:t>”的</w:t>
      </w:r>
      <w:r>
        <w:rPr>
          <w:rFonts w:hint="eastAsia" w:ascii="宋体" w:hAnsi="宋体"/>
          <w:color w:val="auto"/>
          <w:szCs w:val="21"/>
          <w:highlight w:val="none"/>
          <w:lang w:eastAsia="zh-CN"/>
        </w:rPr>
        <w:t>，</w:t>
      </w:r>
      <w:r>
        <w:rPr>
          <w:rFonts w:hint="eastAsia" w:ascii="宋体" w:hAnsi="宋体" w:cs="宋体"/>
          <w:color w:val="auto"/>
          <w:szCs w:val="21"/>
          <w:highlight w:val="none"/>
        </w:rPr>
        <w:t>提交最后报价的供应商可以为2家。</w:t>
      </w:r>
    </w:p>
    <w:p w14:paraId="168436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w:t>
      </w:r>
    </w:p>
    <w:p w14:paraId="638E20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供应商未在规定时间内提交最后报价的，视为退出磋商，其响应文件作无效处理。</w:t>
      </w:r>
    </w:p>
    <w:p w14:paraId="49536F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磋商小组收齐</w:t>
      </w: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最后报价后统一开启，磋商小组对最后报价进行有效性、完整性和响应程度的审查。</w:t>
      </w:r>
    </w:p>
    <w:p w14:paraId="5A7F79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.7</w:t>
      </w:r>
      <w:r>
        <w:rPr>
          <w:rFonts w:hint="eastAsia" w:ascii="宋体" w:hAnsi="宋体" w:cs="宋体"/>
          <w:color w:val="auto"/>
          <w:szCs w:val="21"/>
          <w:highlight w:val="none"/>
        </w:rPr>
        <w:t>最终响应文件的报价出现前后不一致的，按照</w:t>
      </w:r>
      <w:bookmarkStart w:id="1234" w:name="OLE_LINK41"/>
      <w:r>
        <w:rPr>
          <w:rFonts w:hint="eastAsia" w:ascii="宋体" w:hAnsi="宋体" w:cs="宋体"/>
          <w:color w:val="auto"/>
          <w:szCs w:val="21"/>
          <w:highlight w:val="none"/>
        </w:rPr>
        <w:t>本章第3</w:t>
      </w:r>
      <w:r>
        <w:rPr>
          <w:rFonts w:ascii="宋体" w:hAnsi="宋体" w:cs="宋体"/>
          <w:color w:val="auto"/>
          <w:szCs w:val="21"/>
          <w:highlight w:val="none"/>
        </w:rPr>
        <w:t>.4</w:t>
      </w:r>
      <w:r>
        <w:rPr>
          <w:rFonts w:hint="eastAsia" w:ascii="宋体" w:hAnsi="宋体" w:cs="宋体"/>
          <w:color w:val="auto"/>
          <w:szCs w:val="21"/>
          <w:highlight w:val="none"/>
        </w:rPr>
        <w:t>条</w:t>
      </w:r>
      <w:bookmarkEnd w:id="1234"/>
      <w:r>
        <w:rPr>
          <w:rFonts w:hint="eastAsia" w:ascii="宋体" w:hAnsi="宋体" w:cs="宋体"/>
          <w:color w:val="auto"/>
          <w:szCs w:val="21"/>
          <w:highlight w:val="none"/>
        </w:rPr>
        <w:t xml:space="preserve">的规定修正。 </w:t>
      </w:r>
    </w:p>
    <w:p w14:paraId="471E8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.8</w:t>
      </w:r>
      <w:r>
        <w:rPr>
          <w:rFonts w:hint="eastAsia" w:ascii="宋体" w:hAnsi="宋体" w:cs="宋体"/>
          <w:color w:val="auto"/>
          <w:szCs w:val="21"/>
          <w:highlight w:val="none"/>
        </w:rPr>
        <w:t>修正后的报价出现下列情形的，按无效响应处理：</w:t>
      </w:r>
    </w:p>
    <w:p w14:paraId="304AD6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EE454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w:t>
      </w:r>
      <w:r>
        <w:rPr>
          <w:rFonts w:hint="eastAsia" w:ascii="宋体" w:hAnsi="宋体" w:cs="宋体"/>
          <w:color w:val="auto"/>
          <w:szCs w:val="21"/>
          <w:highlight w:val="none"/>
          <w:lang w:eastAsia="zh-CN"/>
        </w:rPr>
        <w:t>所竞标项目</w:t>
      </w:r>
      <w:r>
        <w:rPr>
          <w:rFonts w:hint="eastAsia" w:ascii="宋体" w:hAnsi="宋体" w:cs="宋体"/>
          <w:color w:val="auto"/>
          <w:szCs w:val="21"/>
          <w:highlight w:val="none"/>
        </w:rPr>
        <w:t>规定的采购预算金额或者最高限价的（如本项目公布了最高限价）；</w:t>
      </w:r>
    </w:p>
    <w:p w14:paraId="3BC53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w:t>
      </w:r>
      <w:r>
        <w:rPr>
          <w:rFonts w:hint="eastAsia" w:ascii="宋体" w:hAnsi="宋体" w:cs="宋体"/>
          <w:color w:val="auto"/>
          <w:szCs w:val="21"/>
          <w:highlight w:val="none"/>
          <w:lang w:eastAsia="zh-CN"/>
        </w:rPr>
        <w:t>竞标报价</w:t>
      </w:r>
      <w:r>
        <w:rPr>
          <w:rFonts w:hint="eastAsia" w:ascii="宋体" w:hAnsi="宋体" w:cs="宋体"/>
          <w:color w:val="auto"/>
          <w:szCs w:val="21"/>
          <w:highlight w:val="none"/>
        </w:rPr>
        <w:t>（包含首次报价、最后报价）超过分项采购预算金额或者最高限价的（如本项目公布了最高限价）。</w:t>
      </w:r>
    </w:p>
    <w:p w14:paraId="7EA854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经供应商确认修正后的最后报价作为评审及签订合同的依据。</w:t>
      </w:r>
    </w:p>
    <w:p w14:paraId="55F31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9A4E8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10161BD6">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218C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评审方法：综合评分法。</w:t>
      </w:r>
    </w:p>
    <w:p w14:paraId="31FA4B9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1B0239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63938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261A1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D0237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49F0637">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6.5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olor w:val="auto"/>
          <w:kern w:val="0"/>
          <w:szCs w:val="21"/>
          <w:highlight w:val="none"/>
          <w:lang w:val="en-US" w:eastAsia="zh-CN"/>
        </w:rPr>
        <w:t>5</w:t>
      </w:r>
      <w:r>
        <w:rPr>
          <w:rFonts w:ascii="宋体" w:hAnsi="宋体"/>
          <w:color w:val="auto"/>
          <w:kern w:val="0"/>
          <w:szCs w:val="21"/>
          <w:highlight w:val="none"/>
        </w:rPr>
        <w:t>.3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r>
        <w:rPr>
          <w:rFonts w:hint="eastAsia" w:ascii="宋体" w:hAnsi="宋体" w:eastAsia="宋体" w:cs="宋体"/>
          <w:bCs/>
          <w:color w:val="auto"/>
          <w:szCs w:val="21"/>
          <w:highlight w:val="none"/>
        </w:rPr>
        <w:t>（按技术得分由高到低排序，技术得分相同的按照</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lang w:eastAsia="zh-CN"/>
        </w:rPr>
        <w:t>优劣</w:t>
      </w:r>
      <w:r>
        <w:rPr>
          <w:rFonts w:hint="eastAsia" w:ascii="宋体" w:hAnsi="宋体" w:eastAsia="宋体" w:cs="宋体"/>
          <w:bCs/>
          <w:color w:val="auto"/>
          <w:szCs w:val="21"/>
          <w:highlight w:val="none"/>
        </w:rPr>
        <w:t>排序）。评审得分、最后报价（不计算价格折扣）、技术得分、</w:t>
      </w:r>
      <w:bookmarkStart w:id="1235" w:name="OLE_LINK42"/>
      <w:r>
        <w:rPr>
          <w:rFonts w:hint="eastAsia" w:ascii="宋体" w:hAnsi="宋体" w:eastAsia="宋体" w:cs="宋体"/>
          <w:color w:val="auto"/>
          <w:highlight w:val="none"/>
          <w:lang w:eastAsia="zh-CN"/>
        </w:rPr>
        <w:t>承诺工期</w:t>
      </w:r>
      <w:bookmarkEnd w:id="1235"/>
      <w:r>
        <w:rPr>
          <w:rFonts w:hint="eastAsia" w:ascii="宋体" w:hAnsi="宋体" w:eastAsia="宋体" w:cs="宋体"/>
          <w:bCs/>
          <w:color w:val="auto"/>
          <w:szCs w:val="21"/>
          <w:highlight w:val="none"/>
        </w:rPr>
        <w:t>均相同的，由磋商小组随机抽取推荐</w:t>
      </w:r>
      <w:r>
        <w:rPr>
          <w:rFonts w:hint="eastAsia" w:ascii="宋体" w:hAnsi="宋体"/>
          <w:color w:val="auto"/>
          <w:kern w:val="0"/>
          <w:szCs w:val="21"/>
          <w:highlight w:val="none"/>
        </w:rPr>
        <w:t>。</w:t>
      </w:r>
    </w:p>
    <w:p w14:paraId="40A9A14C">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6.6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E55CCE4">
      <w:pPr>
        <w:spacing w:line="360" w:lineRule="auto"/>
        <w:ind w:firstLine="643" w:firstLineChars="200"/>
        <w:jc w:val="center"/>
        <w:rPr>
          <w:rFonts w:hint="eastAsia" w:ascii="宋体" w:hAnsi="宋体"/>
          <w:b/>
          <w:color w:val="auto"/>
          <w:sz w:val="32"/>
          <w:szCs w:val="32"/>
          <w:highlight w:val="none"/>
        </w:rPr>
      </w:pPr>
    </w:p>
    <w:p w14:paraId="08FF13DA">
      <w:pPr>
        <w:spacing w:line="360" w:lineRule="auto"/>
        <w:ind w:firstLine="643" w:firstLineChars="200"/>
        <w:jc w:val="center"/>
        <w:rPr>
          <w:rFonts w:hint="eastAsia" w:ascii="宋体" w:hAnsi="宋体"/>
          <w:b/>
          <w:color w:val="auto"/>
          <w:sz w:val="32"/>
          <w:szCs w:val="32"/>
          <w:highlight w:val="none"/>
        </w:rPr>
      </w:pPr>
    </w:p>
    <w:p w14:paraId="7107B377">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4877A30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7</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评审依据：磋商小组将以磋商响应文件为评审依据，对供应商的报价、技术等方面内容按百分制打分。（计分方法按四舍五入取至百分位）</w:t>
      </w:r>
    </w:p>
    <w:tbl>
      <w:tblPr>
        <w:tblStyle w:val="23"/>
        <w:tblpPr w:leftFromText="180" w:rightFromText="180" w:vertAnchor="text" w:horzAnchor="page" w:tblpX="1511" w:tblpY="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1D9E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FD021FF">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18" w:type="dxa"/>
            <w:noWrap w:val="0"/>
            <w:vAlign w:val="center"/>
          </w:tcPr>
          <w:p w14:paraId="0258ACB8">
            <w:pPr>
              <w:widowControl/>
              <w:spacing w:line="360" w:lineRule="auto"/>
              <w:jc w:val="center"/>
              <w:rPr>
                <w:rFonts w:hint="eastAsia" w:ascii="宋体" w:hAnsi="宋体" w:eastAsia="宋体" w:cs="宋体"/>
                <w:b/>
                <w:bCs/>
                <w:color w:val="auto"/>
                <w:kern w:val="0"/>
                <w:szCs w:val="21"/>
                <w:highlight w:val="none"/>
              </w:rPr>
            </w:pPr>
            <w:bookmarkStart w:id="1236" w:name="OLE_LINK52"/>
            <w:r>
              <w:rPr>
                <w:rFonts w:hint="eastAsia" w:ascii="宋体" w:hAnsi="宋体" w:eastAsia="宋体" w:cs="宋体"/>
                <w:b/>
                <w:bCs/>
                <w:color w:val="auto"/>
                <w:kern w:val="0"/>
                <w:szCs w:val="21"/>
                <w:highlight w:val="none"/>
              </w:rPr>
              <w:t>评审因素</w:t>
            </w:r>
            <w:bookmarkEnd w:id="1236"/>
          </w:p>
        </w:tc>
        <w:tc>
          <w:tcPr>
            <w:tcW w:w="6288" w:type="dxa"/>
            <w:noWrap w:val="0"/>
            <w:vAlign w:val="center"/>
          </w:tcPr>
          <w:p w14:paraId="6E287B3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51" w:type="dxa"/>
            <w:noWrap w:val="0"/>
            <w:vAlign w:val="center"/>
          </w:tcPr>
          <w:p w14:paraId="59280596">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439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27B04D9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18" w:type="dxa"/>
            <w:noWrap w:val="0"/>
            <w:vAlign w:val="center"/>
          </w:tcPr>
          <w:p w14:paraId="6F1EE90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价格分</w:t>
            </w:r>
            <w:r>
              <w:rPr>
                <w:rFonts w:hint="eastAsia" w:ascii="宋体" w:hAnsi="宋体" w:eastAsia="宋体" w:cs="宋体"/>
                <w:color w:val="auto"/>
                <w:kern w:val="0"/>
                <w:szCs w:val="21"/>
                <w:highlight w:val="none"/>
                <w:lang w:val="en-US" w:eastAsia="zh-CN"/>
              </w:rPr>
              <w:t>30分</w:t>
            </w:r>
          </w:p>
        </w:tc>
        <w:tc>
          <w:tcPr>
            <w:tcW w:w="6288" w:type="dxa"/>
            <w:noWrap w:val="0"/>
            <w:vAlign w:val="top"/>
          </w:tcPr>
          <w:p w14:paraId="09B617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w:t>
            </w:r>
            <w:r>
              <w:rPr>
                <w:rFonts w:hint="eastAsia" w:ascii="宋体" w:hAnsi="宋体" w:cs="宋体"/>
                <w:color w:val="auto"/>
                <w:sz w:val="21"/>
                <w:szCs w:val="21"/>
                <w:highlight w:val="none"/>
                <w:lang w:val="en-US" w:eastAsia="zh-CN"/>
              </w:rPr>
              <w:t>小微企业采购</w:t>
            </w:r>
            <w:r>
              <w:rPr>
                <w:rFonts w:hint="eastAsia" w:ascii="宋体" w:hAnsi="宋体" w:eastAsia="宋体" w:cs="宋体"/>
                <w:color w:val="auto"/>
                <w:sz w:val="21"/>
                <w:szCs w:val="21"/>
                <w:highlight w:val="none"/>
              </w:rPr>
              <w:t>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按照《政府采购促进中小企业发展管理办法》（财库〔2020〕46号）的规定</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highlight w:val="none"/>
                <w:lang w:eastAsia="zh-CN"/>
              </w:rPr>
              <w:t>不再执行价格评审优惠的扶持政策</w:t>
            </w:r>
            <w:r>
              <w:rPr>
                <w:rFonts w:hint="eastAsia" w:ascii="宋体" w:hAnsi="宋体" w:eastAsia="宋体" w:cs="宋体"/>
                <w:color w:val="auto"/>
                <w:sz w:val="21"/>
                <w:szCs w:val="21"/>
                <w:highlight w:val="none"/>
              </w:rPr>
              <w:t>。</w:t>
            </w:r>
          </w:p>
          <w:p w14:paraId="5EE605A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2.评审价为供应商的最后报价，评审价只是作为评审时使用。最终成交供应商的成交金额等于最后报价（如有修正，以确认修正后的最后报价为准）</w:t>
            </w:r>
            <w:r>
              <w:rPr>
                <w:rFonts w:hint="eastAsia" w:ascii="宋体" w:hAnsi="宋体" w:eastAsia="宋体" w:cs="宋体"/>
                <w:color w:val="auto"/>
                <w:sz w:val="21"/>
                <w:szCs w:val="21"/>
                <w:highlight w:val="none"/>
                <w:lang w:eastAsia="zh-CN"/>
              </w:rPr>
              <w:t>。</w:t>
            </w:r>
          </w:p>
          <w:p w14:paraId="2CD5D8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bookmarkStart w:id="1237" w:name="OLE_LINK43"/>
            <w:r>
              <w:rPr>
                <w:rFonts w:hint="eastAsia" w:ascii="宋体" w:hAnsi="宋体" w:eastAsia="宋体" w:cs="宋体"/>
                <w:color w:val="auto"/>
                <w:sz w:val="21"/>
                <w:szCs w:val="21"/>
                <w:highlight w:val="none"/>
              </w:rPr>
              <w:t>评审价</w:t>
            </w:r>
            <w:bookmarkEnd w:id="1237"/>
            <w:r>
              <w:rPr>
                <w:rFonts w:hint="eastAsia" w:ascii="宋体" w:hAnsi="宋体" w:eastAsia="宋体" w:cs="宋体"/>
                <w:color w:val="auto"/>
                <w:sz w:val="21"/>
                <w:szCs w:val="21"/>
                <w:highlight w:val="none"/>
              </w:rPr>
              <w:t>＝最后报价。</w:t>
            </w:r>
          </w:p>
          <w:p w14:paraId="695A3903">
            <w:pPr>
              <w:pStyle w:val="13"/>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4.</w:t>
            </w:r>
            <w:r>
              <w:rPr>
                <w:rFonts w:hint="eastAsia" w:ascii="宋体" w:hAnsi="宋体" w:eastAsia="宋体" w:cs="宋体"/>
                <w:bCs/>
                <w:color w:val="auto"/>
                <w:kern w:val="2"/>
                <w:sz w:val="21"/>
                <w:highlight w:val="none"/>
              </w:rPr>
              <w:t>以进入比较与评价环节的最低的评审价为基准价，基准价得分为</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szCs w:val="21"/>
                <w:highlight w:val="none"/>
                <w:u w:val="none"/>
              </w:rPr>
              <w:t>分</w:t>
            </w:r>
            <w:r>
              <w:rPr>
                <w:rFonts w:hint="eastAsia" w:ascii="宋体" w:hAnsi="宋体" w:eastAsia="宋体" w:cs="宋体"/>
                <w:bCs/>
                <w:color w:val="auto"/>
                <w:kern w:val="2"/>
                <w:sz w:val="21"/>
                <w:highlight w:val="none"/>
              </w:rPr>
              <w:t>。</w:t>
            </w:r>
          </w:p>
          <w:p w14:paraId="69355431">
            <w:pPr>
              <w:pStyle w:val="13"/>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lang w:val="en-US" w:eastAsia="zh-CN"/>
              </w:rPr>
              <w:t>5.</w:t>
            </w:r>
            <w:r>
              <w:rPr>
                <w:rFonts w:hint="eastAsia" w:ascii="宋体" w:hAnsi="宋体" w:eastAsia="宋体" w:cs="宋体"/>
                <w:bCs/>
                <w:color w:val="auto"/>
                <w:kern w:val="2"/>
                <w:sz w:val="21"/>
                <w:highlight w:val="none"/>
              </w:rPr>
              <w:t>价格分计算公式：</w:t>
            </w:r>
          </w:p>
          <w:p w14:paraId="77E3CC1C">
            <w:pPr>
              <w:pStyle w:val="13"/>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color w:val="auto"/>
                <w:sz w:val="21"/>
                <w:szCs w:val="21"/>
                <w:highlight w:val="none"/>
              </w:rPr>
              <w:t>评审价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none"/>
              </w:rPr>
              <w:t>分</w:t>
            </w:r>
          </w:p>
        </w:tc>
        <w:tc>
          <w:tcPr>
            <w:tcW w:w="851" w:type="dxa"/>
            <w:noWrap w:val="0"/>
            <w:vAlign w:val="center"/>
          </w:tcPr>
          <w:p w14:paraId="1904327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14:paraId="128A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3" w:type="dxa"/>
            <w:noWrap w:val="0"/>
            <w:vAlign w:val="center"/>
          </w:tcPr>
          <w:p w14:paraId="60BB50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418" w:type="dxa"/>
            <w:noWrap w:val="0"/>
            <w:vAlign w:val="center"/>
          </w:tcPr>
          <w:p w14:paraId="4E44FB6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139" w:type="dxa"/>
            <w:gridSpan w:val="2"/>
            <w:noWrap w:val="0"/>
            <w:vAlign w:val="top"/>
          </w:tcPr>
          <w:p w14:paraId="687BF20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14:paraId="5349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3" w:type="dxa"/>
            <w:noWrap w:val="0"/>
            <w:vAlign w:val="center"/>
          </w:tcPr>
          <w:p w14:paraId="0C809EC5">
            <w:pPr>
              <w:adjustRightInd w:val="0"/>
              <w:spacing w:line="360" w:lineRule="auto"/>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418" w:type="dxa"/>
            <w:noWrap w:val="0"/>
            <w:vAlign w:val="center"/>
          </w:tcPr>
          <w:p w14:paraId="138F9C4A">
            <w:pPr>
              <w:adjustRightInd w:val="0"/>
              <w:spacing w:line="360" w:lineRule="auto"/>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项目实施方案分</w:t>
            </w:r>
            <w:r>
              <w:rPr>
                <w:rFonts w:hint="eastAsia" w:ascii="宋体" w:hAnsi="宋体" w:eastAsia="宋体" w:cs="宋体"/>
                <w:bCs/>
                <w:color w:val="auto"/>
                <w:kern w:val="0"/>
                <w:szCs w:val="21"/>
                <w:highlight w:val="none"/>
                <w:lang w:eastAsia="zh-CN"/>
              </w:rPr>
              <w:t>（满分</w:t>
            </w:r>
            <w:r>
              <w:rPr>
                <w:rFonts w:hint="eastAsia" w:ascii="宋体" w:hAnsi="宋体" w:cs="宋体"/>
                <w:bCs/>
                <w:color w:val="auto"/>
                <w:kern w:val="0"/>
                <w:szCs w:val="21"/>
                <w:highlight w:val="none"/>
                <w:lang w:val="en-US" w:eastAsia="zh-CN"/>
              </w:rPr>
              <w:t>70</w:t>
            </w:r>
            <w:r>
              <w:rPr>
                <w:rFonts w:hint="eastAsia" w:ascii="宋体" w:hAnsi="宋体" w:eastAsia="宋体" w:cs="宋体"/>
                <w:bCs/>
                <w:color w:val="auto"/>
                <w:kern w:val="0"/>
                <w:szCs w:val="21"/>
                <w:highlight w:val="none"/>
                <w:lang w:val="en-US" w:eastAsia="zh-CN"/>
              </w:rPr>
              <w:t>分</w:t>
            </w:r>
            <w:r>
              <w:rPr>
                <w:rFonts w:hint="eastAsia" w:ascii="宋体" w:hAnsi="宋体" w:eastAsia="宋体" w:cs="宋体"/>
                <w:bCs/>
                <w:color w:val="auto"/>
                <w:kern w:val="0"/>
                <w:szCs w:val="21"/>
                <w:highlight w:val="none"/>
                <w:lang w:eastAsia="zh-CN"/>
              </w:rPr>
              <w:t>）</w:t>
            </w:r>
          </w:p>
        </w:tc>
        <w:tc>
          <w:tcPr>
            <w:tcW w:w="6288" w:type="dxa"/>
            <w:noWrap w:val="0"/>
            <w:vAlign w:val="center"/>
          </w:tcPr>
          <w:p w14:paraId="4CE5C7E6">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由磋商小组</w:t>
            </w:r>
            <w:r>
              <w:rPr>
                <w:rFonts w:hint="eastAsia" w:ascii="宋体" w:hAnsi="宋体" w:eastAsia="宋体" w:cs="宋体"/>
                <w:color w:val="auto"/>
                <w:sz w:val="21"/>
                <w:highlight w:val="none"/>
                <w:lang w:val="en-US" w:eastAsia="zh-CN"/>
              </w:rPr>
              <w:t>各成员</w:t>
            </w:r>
            <w:r>
              <w:rPr>
                <w:rFonts w:hint="eastAsia" w:ascii="宋体" w:hAnsi="宋体" w:eastAsia="宋体" w:cs="宋体"/>
                <w:color w:val="auto"/>
                <w:sz w:val="21"/>
                <w:highlight w:val="none"/>
              </w:rPr>
              <w:t>根据</w:t>
            </w:r>
            <w:r>
              <w:rPr>
                <w:rFonts w:hint="eastAsia" w:ascii="宋体" w:hAnsi="宋体" w:eastAsia="宋体" w:cs="宋体"/>
                <w:b w:val="0"/>
                <w:bCs w:val="0"/>
                <w:color w:val="auto"/>
                <w:sz w:val="21"/>
                <w:highlight w:val="none"/>
              </w:rPr>
              <w:t>供应商提供的</w:t>
            </w:r>
            <w:r>
              <w:rPr>
                <w:rFonts w:hint="eastAsia" w:hAnsi="宋体" w:cs="宋体"/>
                <w:b w:val="0"/>
                <w:bCs w:val="0"/>
                <w:color w:val="auto"/>
                <w:sz w:val="21"/>
                <w:highlight w:val="none"/>
                <w:lang w:val="en-US" w:eastAsia="zh-CN"/>
              </w:rPr>
              <w:t>商务</w:t>
            </w:r>
            <w:r>
              <w:rPr>
                <w:rFonts w:hint="eastAsia" w:ascii="宋体" w:hAnsi="宋体" w:eastAsia="宋体" w:cs="宋体"/>
                <w:b w:val="0"/>
                <w:bCs w:val="0"/>
                <w:color w:val="auto"/>
                <w:sz w:val="21"/>
                <w:highlight w:val="none"/>
                <w:lang w:val="en-US" w:eastAsia="zh-CN"/>
              </w:rPr>
              <w:t>技术文件，就</w:t>
            </w:r>
            <w:r>
              <w:rPr>
                <w:rFonts w:hint="eastAsia" w:ascii="宋体" w:hAnsi="宋体" w:eastAsia="宋体" w:cs="宋体"/>
                <w:b w:val="0"/>
                <w:bCs w:val="0"/>
                <w:color w:val="auto"/>
                <w:highlight w:val="none"/>
              </w:rPr>
              <w:t>主要施工方法</w:t>
            </w:r>
            <w:r>
              <w:rPr>
                <w:rFonts w:hint="eastAsia" w:ascii="宋体" w:hAnsi="宋体" w:eastAsia="宋体" w:cs="宋体"/>
                <w:b w:val="0"/>
                <w:bCs w:val="0"/>
                <w:color w:val="auto"/>
                <w:sz w:val="21"/>
                <w:highlight w:val="none"/>
                <w:lang w:val="en-US" w:eastAsia="zh-CN"/>
              </w:rPr>
              <w:t>、</w:t>
            </w:r>
            <w:r>
              <w:rPr>
                <w:rFonts w:hint="eastAsia" w:ascii="宋体" w:hAnsi="宋体" w:eastAsia="宋体" w:cs="宋体"/>
                <w:b w:val="0"/>
                <w:bCs w:val="0"/>
                <w:color w:val="auto"/>
                <w:highlight w:val="none"/>
              </w:rPr>
              <w:t>主要物资计划、劳动力安排计划</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确保工程质量的技术组织措施</w:t>
            </w:r>
            <w:r>
              <w:rPr>
                <w:rFonts w:hint="eastAsia" w:ascii="宋体" w:hAnsi="宋体" w:eastAsia="宋体" w:cs="宋体"/>
                <w:b w:val="0"/>
                <w:bCs w:val="0"/>
                <w:color w:val="auto"/>
                <w:highlight w:val="none"/>
                <w:lang w:eastAsia="zh-CN"/>
              </w:rPr>
              <w:t>、</w:t>
            </w:r>
            <w:bookmarkStart w:id="1238" w:name="OLE_LINK48"/>
            <w:r>
              <w:rPr>
                <w:rFonts w:hint="eastAsia" w:ascii="宋体" w:hAnsi="宋体" w:eastAsia="宋体" w:cs="宋体"/>
                <w:b w:val="0"/>
                <w:bCs w:val="0"/>
                <w:color w:val="auto"/>
                <w:highlight w:val="none"/>
              </w:rPr>
              <w:t>确保安全生产的技术组织措施</w:t>
            </w:r>
            <w:bookmarkEnd w:id="1238"/>
            <w:r>
              <w:rPr>
                <w:rFonts w:hint="eastAsia" w:ascii="宋体" w:hAnsi="宋体" w:eastAsia="宋体" w:cs="宋体"/>
                <w:b w:val="0"/>
                <w:bCs w:val="0"/>
                <w:color w:val="auto"/>
                <w:highlight w:val="none"/>
                <w:lang w:eastAsia="zh-CN"/>
              </w:rPr>
              <w:t>、</w:t>
            </w:r>
            <w:bookmarkStart w:id="1239" w:name="OLE_LINK47"/>
            <w:r>
              <w:rPr>
                <w:rFonts w:hint="eastAsia" w:ascii="宋体" w:hAnsi="宋体" w:eastAsia="宋体" w:cs="宋体"/>
                <w:b w:val="0"/>
                <w:bCs w:val="0"/>
                <w:color w:val="auto"/>
                <w:highlight w:val="none"/>
              </w:rPr>
              <w:t>确保工期的技术组织措施</w:t>
            </w:r>
            <w:bookmarkEnd w:id="1239"/>
            <w:r>
              <w:rPr>
                <w:rFonts w:hint="eastAsia" w:ascii="宋体" w:hAnsi="宋体" w:eastAsia="宋体" w:cs="宋体"/>
                <w:b w:val="0"/>
                <w:bCs w:val="0"/>
                <w:color w:val="auto"/>
                <w:highlight w:val="none"/>
                <w:lang w:eastAsia="zh-CN"/>
              </w:rPr>
              <w:t>、</w:t>
            </w:r>
            <w:bookmarkStart w:id="1240" w:name="OLE_LINK46"/>
            <w:r>
              <w:rPr>
                <w:rFonts w:hint="eastAsia" w:ascii="宋体" w:hAnsi="宋体" w:eastAsia="宋体" w:cs="宋体"/>
                <w:b w:val="0"/>
                <w:bCs w:val="0"/>
                <w:color w:val="auto"/>
                <w:highlight w:val="none"/>
              </w:rPr>
              <w:t>确保文明施工的技术组织措施</w:t>
            </w:r>
            <w:bookmarkEnd w:id="1240"/>
            <w:r>
              <w:rPr>
                <w:rFonts w:hint="eastAsia" w:ascii="宋体" w:hAnsi="宋体" w:eastAsia="宋体" w:cs="宋体"/>
                <w:b w:val="0"/>
                <w:bCs w:val="0"/>
                <w:color w:val="auto"/>
                <w:sz w:val="21"/>
                <w:highlight w:val="none"/>
                <w:lang w:val="en-US" w:eastAsia="zh-CN"/>
              </w:rPr>
              <w:t>等内容</w:t>
            </w:r>
            <w:r>
              <w:rPr>
                <w:rFonts w:hint="eastAsia" w:ascii="宋体" w:hAnsi="宋体" w:eastAsia="宋体" w:cs="宋体"/>
                <w:b w:val="0"/>
                <w:bCs w:val="0"/>
                <w:color w:val="auto"/>
                <w:sz w:val="21"/>
                <w:highlight w:val="none"/>
              </w:rPr>
              <w:t>进行独立</w:t>
            </w:r>
            <w:r>
              <w:rPr>
                <w:rFonts w:hint="eastAsia" w:ascii="宋体" w:hAnsi="宋体" w:eastAsia="宋体" w:cs="宋体"/>
                <w:b w:val="0"/>
                <w:bCs w:val="0"/>
                <w:color w:val="auto"/>
                <w:sz w:val="21"/>
                <w:highlight w:val="none"/>
                <w:lang w:val="en-US" w:eastAsia="zh-CN"/>
              </w:rPr>
              <w:t>评审</w:t>
            </w:r>
            <w:r>
              <w:rPr>
                <w:rFonts w:hint="eastAsia" w:ascii="宋体" w:hAnsi="宋体" w:eastAsia="宋体" w:cs="宋体"/>
                <w:b w:val="0"/>
                <w:bCs w:val="0"/>
                <w:color w:val="auto"/>
                <w:sz w:val="21"/>
                <w:highlight w:val="none"/>
              </w:rPr>
              <w:t>打分。</w:t>
            </w:r>
          </w:p>
          <w:p w14:paraId="6CD1B22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主要施工方法方案分（满分15分）</w:t>
            </w:r>
          </w:p>
          <w:p w14:paraId="6755E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 xml:space="preserve">分）：各主要分部施工方法符合项目需求，有施工技术方案。 </w:t>
            </w:r>
          </w:p>
          <w:p w14:paraId="36AB5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 xml:space="preserve">的施工技术方案，有主要分部工程施工步骤、施工要点，能指导具体施工并确保安全。 </w:t>
            </w:r>
          </w:p>
          <w:p w14:paraId="5AF0F50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w:t>
            </w:r>
            <w:r>
              <w:rPr>
                <w:rFonts w:hint="eastAsia" w:ascii="宋体" w:hAnsi="宋体" w:cs="宋体"/>
                <w:color w:val="auto"/>
                <w:highlight w:val="none"/>
                <w:lang w:val="en-US" w:eastAsia="zh-CN"/>
              </w:rPr>
              <w:t>科学合理</w:t>
            </w:r>
            <w:r>
              <w:rPr>
                <w:rFonts w:hint="eastAsia" w:ascii="宋体" w:hAnsi="宋体" w:eastAsia="宋体" w:cs="宋体"/>
                <w:color w:val="auto"/>
                <w:highlight w:val="none"/>
              </w:rPr>
              <w:t>，能指导具体施工并确保安全。</w:t>
            </w:r>
          </w:p>
          <w:p w14:paraId="581F4921">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档（15分）：各主要分部施工方法符合项目实际，有详</w:t>
            </w:r>
            <w:r>
              <w:rPr>
                <w:rFonts w:hint="eastAsia" w:ascii="宋体" w:hAnsi="宋体" w:cs="宋体"/>
                <w:color w:val="auto"/>
                <w:highlight w:val="none"/>
                <w:lang w:val="en-US" w:eastAsia="zh-CN"/>
              </w:rPr>
              <w:t>细</w:t>
            </w:r>
            <w:r>
              <w:rPr>
                <w:rFonts w:hint="eastAsia" w:ascii="宋体" w:hAnsi="宋体" w:eastAsia="宋体" w:cs="宋体"/>
                <w:color w:val="auto"/>
                <w:highlight w:val="none"/>
              </w:rPr>
              <w:t>的施工技术方案，</w:t>
            </w:r>
            <w:r>
              <w:rPr>
                <w:rFonts w:hint="eastAsia" w:ascii="宋体" w:hAnsi="宋体" w:cs="宋体"/>
                <w:color w:val="auto"/>
                <w:highlight w:val="none"/>
                <w:lang w:val="en-US" w:eastAsia="zh-CN"/>
              </w:rPr>
              <w:t>有</w:t>
            </w:r>
            <w:r>
              <w:rPr>
                <w:rFonts w:hint="eastAsia" w:ascii="宋体" w:hAnsi="宋体" w:eastAsia="宋体" w:cs="宋体"/>
                <w:color w:val="auto"/>
                <w:highlight w:val="none"/>
              </w:rPr>
              <w:t>主要分部工程施工工序、施工步骤、施工要点、施工工艺方案，施工准备、技术准备或交底、各工种施工配合方案具有针对性，能高效指导具体施工并确保安全。</w:t>
            </w:r>
          </w:p>
          <w:p w14:paraId="0547583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拟投入的主要物资计划、劳动力安排计划方案分（满分15分）</w:t>
            </w:r>
          </w:p>
          <w:p w14:paraId="5D37E4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分）：投入的施工材料有组织计划，基本满足施工需要。各主要施工工序有劳动力安排计划，有各工种劳动力安排计划，基本能满足施工需要。</w:t>
            </w:r>
          </w:p>
          <w:p w14:paraId="4C81DB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分）：投入的主要物资计划与进度计划呼应，满足施工需要，定量定点堆放物资。各主要施工工序有周密的劳动力安排计划，不窝工，有各工种劳动力安排计划，能满足施工需要。</w:t>
            </w:r>
          </w:p>
          <w:p w14:paraId="49FD3EC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分）：投入的主要物资计划与进度计划呼应，满足施工需要，材料物资采购及供应保证措施，定量定点堆放物资。各主要施工工序有周密的劳动力安排计划，不窝工，各工种劳动力安排</w:t>
            </w:r>
            <w:r>
              <w:rPr>
                <w:rFonts w:hint="eastAsia" w:ascii="宋体" w:hAnsi="宋体" w:cs="宋体"/>
                <w:color w:val="auto"/>
                <w:highlight w:val="none"/>
                <w:lang w:val="en-US" w:eastAsia="zh-CN"/>
              </w:rPr>
              <w:t>合理</w:t>
            </w:r>
            <w:r>
              <w:rPr>
                <w:rFonts w:hint="eastAsia" w:ascii="宋体" w:hAnsi="宋体" w:eastAsia="宋体" w:cs="宋体"/>
                <w:color w:val="auto"/>
                <w:highlight w:val="none"/>
              </w:rPr>
              <w:t>，有劳动力保障措施，能满足施工需要。</w:t>
            </w:r>
          </w:p>
          <w:p w14:paraId="57354354">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15分）：投入的主要物资计划与进度计划呼应，满足施工需要，材料物资采购及供应保证措施，定量定点堆放物资。各主要施工工序有周密的劳动力安排计划，不窝工，各工种劳动力安排计划切实高效，有切实有效的劳动力保障措施，能满足施工需要且衔接得当。</w:t>
            </w:r>
          </w:p>
          <w:p w14:paraId="5DAA95D9">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确保工程质量的技术组织措施方案分（满分15分）</w:t>
            </w:r>
          </w:p>
          <w:p w14:paraId="48EF4D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分）：有质量技术管理班子和制度，主要工序有质量技术保证措施和手段。</w:t>
            </w:r>
          </w:p>
          <w:p w14:paraId="0C33E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分）：有质量技术管理班子和制度，主要工序有质量技术保证措施和手段，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w:t>
            </w:r>
            <w:r>
              <w:rPr>
                <w:rFonts w:hint="eastAsia" w:ascii="宋体" w:hAnsi="宋体" w:eastAsia="宋体" w:cs="宋体"/>
                <w:color w:val="auto"/>
                <w:szCs w:val="21"/>
                <w:highlight w:val="none"/>
              </w:rPr>
              <w:t>，有施工准备阶段和施工过程质量控制措施，能保证技术质量，满足采购需求的质量要求及验收规范要求。</w:t>
            </w:r>
          </w:p>
          <w:p w14:paraId="54600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分）：有质量技术管理班子和制度，明确管理班子质量责任，主要工序有质量技术保证措施和手段，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，有施工准备阶段、施工过程、竣工验收方案，能有效保证技术质量，达到采购需求的质量要求及验收规范要求。</w:t>
            </w:r>
          </w:p>
          <w:p w14:paraId="58E1EEC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档（</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分）：有专门的质量技术管理班子和制度，明确管理班子质量责任，主要工序有质量技术保证措施和手段，</w:t>
            </w:r>
            <w:r>
              <w:rPr>
                <w:rFonts w:hint="eastAsia" w:ascii="宋体" w:hAnsi="宋体" w:eastAsia="宋体" w:cs="宋体"/>
                <w:color w:val="auto"/>
                <w:szCs w:val="21"/>
                <w:highlight w:val="none"/>
                <w:lang w:eastAsia="zh-CN"/>
              </w:rPr>
              <w:t>质量管理</w:t>
            </w:r>
            <w:r>
              <w:rPr>
                <w:rFonts w:hint="eastAsia" w:ascii="宋体" w:hAnsi="宋体" w:eastAsia="宋体" w:cs="宋体"/>
                <w:color w:val="auto"/>
                <w:szCs w:val="21"/>
                <w:highlight w:val="none"/>
              </w:rPr>
              <w:t>体系</w:t>
            </w:r>
            <w:r>
              <w:rPr>
                <w:rFonts w:hint="eastAsia" w:ascii="宋体" w:hAnsi="宋体" w:eastAsia="宋体" w:cs="宋体"/>
                <w:color w:val="auto"/>
                <w:szCs w:val="21"/>
                <w:highlight w:val="none"/>
                <w:lang w:val="en-US" w:eastAsia="zh-CN"/>
              </w:rPr>
              <w:t>内容详细、清晰</w:t>
            </w:r>
            <w:r>
              <w:rPr>
                <w:rFonts w:hint="eastAsia" w:ascii="宋体" w:hAnsi="宋体" w:eastAsia="宋体" w:cs="宋体"/>
                <w:color w:val="auto"/>
                <w:szCs w:val="21"/>
                <w:highlight w:val="none"/>
              </w:rPr>
              <w:t>，有施工准备阶段、施工过程、竣工验收及交工阶段质量控制措施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隐蔽工程检查制度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有施工质量验收制度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工程质量保修方案，能有效保证技术质量，达到承诺的质量标准及验收规范要求。</w:t>
            </w:r>
          </w:p>
          <w:p w14:paraId="1C06A5A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确保安全生产的技术组织措施方案分（满分10分）</w:t>
            </w:r>
          </w:p>
          <w:p w14:paraId="06884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w:t>
            </w:r>
          </w:p>
          <w:p w14:paraId="6C8A3BB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szCs w:val="21"/>
                <w:highlight w:val="none"/>
              </w:rPr>
              <w:t>有专门的安全管理人员和制度，有各道工序安全技术措施，确保</w:t>
            </w:r>
            <w:r>
              <w:rPr>
                <w:rFonts w:hint="eastAsia" w:ascii="宋体" w:hAnsi="宋体" w:eastAsia="宋体" w:cs="宋体"/>
                <w:bCs/>
                <w:color w:val="auto"/>
                <w:highlight w:val="none"/>
              </w:rPr>
              <w:t>工程质量的技术组织措施符合实际且满足有关安全技术标准要求。有现场防火、应急救援、社会治安安全措施。</w:t>
            </w:r>
          </w:p>
          <w:p w14:paraId="62AAD17F">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三档（</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分）：有专门的安全管理人员和制度，各道工序安全技术措施，确保工程质量的技术组织措施切合实际且优于有关安全技术标准要求。有现场防火、应急救援、社会治安安全措施。有安全生产责任、安全生产教育培训制度、施工现场临时用电方案及安全用电措施、安全管理目标。</w:t>
            </w:r>
          </w:p>
          <w:p w14:paraId="1333355A">
            <w:pPr>
              <w:widowControl/>
              <w:spacing w:line="360" w:lineRule="auto"/>
              <w:ind w:firstLine="420" w:firstLineChars="200"/>
              <w:jc w:val="left"/>
              <w:rPr>
                <w:rFonts w:hint="eastAsia" w:ascii="宋体" w:hAnsi="宋体" w:eastAsia="宋体" w:cs="宋体"/>
                <w:bCs/>
                <w:color w:val="auto"/>
                <w:highlight w:val="none"/>
              </w:rPr>
            </w:pP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档（10分）：有专门的安全管理人员和制度，各道工序安全技术措施具有针对性，确保工程质量的技术组织措施切合实际且优于有关安全技术标准要求。</w:t>
            </w:r>
            <w:r>
              <w:rPr>
                <w:rFonts w:hint="eastAsia" w:ascii="宋体" w:hAnsi="宋体" w:cs="宋体"/>
                <w:bCs/>
                <w:color w:val="auto"/>
                <w:highlight w:val="none"/>
                <w:lang w:eastAsia="zh-CN"/>
              </w:rPr>
              <w:t>有</w:t>
            </w:r>
            <w:r>
              <w:rPr>
                <w:rFonts w:hint="eastAsia" w:ascii="宋体" w:hAnsi="宋体" w:cs="宋体"/>
                <w:bCs/>
                <w:color w:val="auto"/>
                <w:highlight w:val="none"/>
                <w:lang w:val="en-US" w:eastAsia="zh-CN"/>
              </w:rPr>
              <w:t>保障性</w:t>
            </w:r>
            <w:r>
              <w:rPr>
                <w:rFonts w:hint="eastAsia" w:ascii="宋体" w:hAnsi="宋体" w:eastAsia="宋体" w:cs="宋体"/>
                <w:bCs/>
                <w:color w:val="auto"/>
                <w:highlight w:val="none"/>
              </w:rPr>
              <w:t>的现场防火、应急救援、社会治安安全措施。有安全生产责任、安全生产教育培训制度、施工现场临时用电方案及安全用电措施、安全管理目标。</w:t>
            </w:r>
          </w:p>
          <w:p w14:paraId="3FC370A2">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bookmarkStart w:id="1241" w:name="OLE_LINK38"/>
            <w:r>
              <w:rPr>
                <w:rFonts w:hint="eastAsia" w:ascii="宋体" w:hAnsi="宋体" w:eastAsia="宋体" w:cs="宋体"/>
                <w:b/>
                <w:bCs/>
                <w:color w:val="auto"/>
                <w:highlight w:val="none"/>
              </w:rPr>
              <w:t>确保工期的技术组织措施</w:t>
            </w:r>
            <w:bookmarkEnd w:id="1241"/>
            <w:r>
              <w:rPr>
                <w:rFonts w:hint="eastAsia" w:ascii="宋体" w:hAnsi="宋体" w:eastAsia="宋体" w:cs="宋体"/>
                <w:b/>
                <w:bCs/>
                <w:color w:val="auto"/>
                <w:highlight w:val="none"/>
              </w:rPr>
              <w:t>方案</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lang w:eastAsia="zh-CN"/>
              </w:rPr>
              <w:t>分）</w:t>
            </w:r>
          </w:p>
          <w:p w14:paraId="2A6CE6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2</w:t>
            </w:r>
            <w:r>
              <w:rPr>
                <w:rFonts w:hint="eastAsia" w:ascii="宋体" w:hAnsi="宋体" w:eastAsia="宋体" w:cs="宋体"/>
                <w:color w:val="auto"/>
                <w:highlight w:val="none"/>
              </w:rPr>
              <w:t>分）：在施工工艺、施工方法、材料选用、劳动力安排、技术方面有保证工期的措施。有控制工期的施工进度计划。</w:t>
            </w:r>
          </w:p>
          <w:p w14:paraId="600A52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4</w:t>
            </w:r>
            <w:r>
              <w:rPr>
                <w:rFonts w:hint="eastAsia" w:ascii="宋体" w:hAnsi="宋体" w:eastAsia="宋体" w:cs="宋体"/>
                <w:color w:val="auto"/>
                <w:highlight w:val="none"/>
              </w:rPr>
              <w:t>分）：在施工工艺、施工方法、材料选用、劳动力安排、技术方面有保证工期的措施。有控制工期的施工进度计划。有施工总进度表或施工网络图。</w:t>
            </w:r>
          </w:p>
          <w:p w14:paraId="618A0453">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6</w:t>
            </w:r>
            <w:r>
              <w:rPr>
                <w:rFonts w:hint="eastAsia" w:ascii="宋体" w:hAnsi="宋体" w:eastAsia="宋体" w:cs="宋体"/>
                <w:color w:val="auto"/>
                <w:highlight w:val="none"/>
              </w:rPr>
              <w:t>分）：在施工工艺、施工方法、材料选用、劳动力安排、技术方面有保证工期的措施切实符合项目需求。有控制工期的施工进度计划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w:t>
            </w:r>
          </w:p>
          <w:p w14:paraId="37E971B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8</w:t>
            </w:r>
            <w:r>
              <w:rPr>
                <w:rFonts w:hint="eastAsia" w:ascii="宋体" w:hAnsi="宋体" w:eastAsia="宋体" w:cs="宋体"/>
                <w:color w:val="auto"/>
                <w:highlight w:val="none"/>
              </w:rPr>
              <w:t>分）：在施工工艺、施工方法、材料选用、劳动力安排、技术方面有保证工期的措施切实符合项目需求，具有针对性。有控制工期的施工进度计划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施工进度计划的执行与控制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进度偏差管理措施。有施工总进度表或施工网络图，各项计划图表编制</w:t>
            </w:r>
            <w:r>
              <w:rPr>
                <w:rFonts w:hint="eastAsia" w:ascii="宋体" w:hAnsi="宋体" w:eastAsia="宋体" w:cs="宋体"/>
                <w:color w:val="auto"/>
                <w:highlight w:val="none"/>
                <w:lang w:val="en-US" w:eastAsia="zh-CN"/>
              </w:rPr>
              <w:t>详细</w:t>
            </w:r>
            <w:r>
              <w:rPr>
                <w:rFonts w:hint="eastAsia" w:ascii="宋体" w:hAnsi="宋体" w:eastAsia="宋体" w:cs="宋体"/>
                <w:color w:val="auto"/>
                <w:highlight w:val="none"/>
              </w:rPr>
              <w:t>。</w:t>
            </w:r>
          </w:p>
          <w:p w14:paraId="2F93AF08">
            <w:pPr>
              <w:widowControl/>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highlight w:val="none"/>
              </w:rPr>
              <w:t>确保文明施工的技术组织措施方案分</w:t>
            </w:r>
            <w:r>
              <w:rPr>
                <w:rFonts w:hint="eastAsia" w:ascii="宋体" w:hAnsi="宋体" w:eastAsia="宋体" w:cs="宋体"/>
                <w:b/>
                <w:bCs/>
                <w:color w:val="auto"/>
                <w:szCs w:val="21"/>
                <w:highlight w:val="none"/>
                <w:lang w:eastAsia="zh-CN"/>
              </w:rPr>
              <w:t>（满分</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eastAsia="zh-CN"/>
              </w:rPr>
              <w:t>分）</w:t>
            </w:r>
          </w:p>
          <w:p w14:paraId="10E98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1</w:t>
            </w:r>
            <w:r>
              <w:rPr>
                <w:rFonts w:hint="eastAsia" w:ascii="宋体" w:hAnsi="宋体" w:eastAsia="宋体" w:cs="宋体"/>
                <w:color w:val="auto"/>
                <w:highlight w:val="none"/>
              </w:rPr>
              <w:t>分）：文明施工方案达到《建筑施工安全生产检查标准》（JGJ59-2011）合格标准。</w:t>
            </w:r>
          </w:p>
          <w:p w14:paraId="30BDF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w:t>
            </w:r>
            <w:r>
              <w:rPr>
                <w:rFonts w:hint="eastAsia" w:ascii="宋体" w:hAnsi="宋体" w:cs="宋体"/>
                <w:color w:val="auto"/>
                <w:highlight w:val="none"/>
                <w:lang w:val="en-US" w:eastAsia="zh-CN"/>
              </w:rPr>
              <w:t>3</w:t>
            </w:r>
            <w:r>
              <w:rPr>
                <w:rFonts w:hint="eastAsia" w:ascii="宋体" w:hAnsi="宋体" w:eastAsia="宋体" w:cs="宋体"/>
                <w:color w:val="auto"/>
                <w:highlight w:val="none"/>
              </w:rPr>
              <w:t>分）：有现场文明施工措施，达到 《建筑施工安全生产检查标准》 （JGJ59-2011） 合格标准并符合《广西壮族自治区建筑工程文明施工导则》要求。</w:t>
            </w:r>
          </w:p>
          <w:p w14:paraId="43D9703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w:t>
            </w:r>
          </w:p>
          <w:p w14:paraId="123AC10D">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r>
              <w:rPr>
                <w:rFonts w:hint="eastAsia" w:ascii="宋体" w:hAnsi="宋体" w:eastAsia="宋体" w:cs="宋体"/>
                <w:color w:val="auto"/>
                <w:highlight w:val="none"/>
              </w:rPr>
              <w:t>档（</w:t>
            </w:r>
            <w:r>
              <w:rPr>
                <w:rFonts w:hint="eastAsia" w:ascii="宋体" w:hAnsi="宋体" w:cs="宋体"/>
                <w:color w:val="auto"/>
                <w:highlight w:val="none"/>
                <w:lang w:val="en-US" w:eastAsia="zh-CN"/>
              </w:rPr>
              <w:t>7</w:t>
            </w:r>
            <w:r>
              <w:rPr>
                <w:rFonts w:hint="eastAsia" w:ascii="宋体" w:hAnsi="宋体" w:eastAsia="宋体" w:cs="宋体"/>
                <w:color w:val="auto"/>
                <w:highlight w:val="none"/>
              </w:rPr>
              <w:t>分）：针对本工程项目特点，有现场文明施工、环境保护措施，且措施内容达到《建筑施工安全生产检查标准》（JGJ59-2011）合格标准并符合《广西壮族自治区建筑工程文明施工导则》要求。各项措施切合项目需求，具有针对性。</w:t>
            </w:r>
          </w:p>
        </w:tc>
        <w:tc>
          <w:tcPr>
            <w:tcW w:w="851" w:type="dxa"/>
            <w:noWrap w:val="0"/>
            <w:vAlign w:val="center"/>
          </w:tcPr>
          <w:p w14:paraId="79E7B5C8">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70</w:t>
            </w:r>
            <w:r>
              <w:rPr>
                <w:rFonts w:hint="eastAsia" w:ascii="宋体" w:hAnsi="宋体" w:eastAsia="宋体" w:cs="宋体"/>
                <w:color w:val="auto"/>
                <w:kern w:val="0"/>
                <w:szCs w:val="21"/>
                <w:highlight w:val="none"/>
                <w:lang w:eastAsia="zh-CN"/>
              </w:rPr>
              <w:t>分</w:t>
            </w:r>
          </w:p>
        </w:tc>
      </w:tr>
      <w:tr w14:paraId="5B5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39" w:type="dxa"/>
            <w:gridSpan w:val="3"/>
            <w:noWrap w:val="0"/>
            <w:vAlign w:val="top"/>
          </w:tcPr>
          <w:p w14:paraId="03BA7079">
            <w:pPr>
              <w:pStyle w:val="13"/>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总得分＝1＋2</w:t>
            </w:r>
          </w:p>
        </w:tc>
        <w:tc>
          <w:tcPr>
            <w:tcW w:w="851" w:type="dxa"/>
            <w:noWrap w:val="0"/>
            <w:vAlign w:val="center"/>
          </w:tcPr>
          <w:p w14:paraId="33BB58F8">
            <w:pPr>
              <w:widowControl/>
              <w:spacing w:line="360" w:lineRule="auto"/>
              <w:jc w:val="center"/>
              <w:rPr>
                <w:rFonts w:hint="eastAsia" w:ascii="宋体" w:hAnsi="宋体" w:eastAsia="宋体" w:cs="宋体"/>
                <w:color w:val="auto"/>
                <w:kern w:val="0"/>
                <w:szCs w:val="21"/>
                <w:highlight w:val="none"/>
              </w:rPr>
            </w:pPr>
          </w:p>
        </w:tc>
      </w:tr>
    </w:tbl>
    <w:p w14:paraId="1B98746D">
      <w:pPr>
        <w:spacing w:line="480" w:lineRule="auto"/>
        <w:ind w:firstLine="420" w:firstLineChars="200"/>
        <w:rPr>
          <w:rFonts w:hint="eastAsia" w:ascii="宋体" w:hAnsi="宋体" w:eastAsia="宋体" w:cs="宋体"/>
          <w:color w:val="auto"/>
          <w:szCs w:val="21"/>
          <w:highlight w:val="none"/>
        </w:rPr>
      </w:pPr>
    </w:p>
    <w:p w14:paraId="077EFC29">
      <w:pPr>
        <w:spacing w:line="48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cs="宋体"/>
          <w:color w:val="auto"/>
          <w:kern w:val="0"/>
          <w:szCs w:val="21"/>
          <w:highlight w:val="none"/>
          <w:lang w:val="en-US" w:eastAsia="zh-CN"/>
        </w:rPr>
        <w:t>5.3</w:t>
      </w:r>
      <w:r>
        <w:rPr>
          <w:rFonts w:hint="eastAsia" w:ascii="宋体" w:hAnsi="宋体" w:eastAsia="宋体" w:cs="宋体"/>
          <w:color w:val="auto"/>
          <w:kern w:val="0"/>
          <w:szCs w:val="21"/>
          <w:highlight w:val="none"/>
        </w:rPr>
        <w:t>条情形的，可以推荐2家成交候选供应商。</w:t>
      </w:r>
      <w:r>
        <w:rPr>
          <w:rFonts w:hint="eastAsia" w:ascii="宋体" w:hAnsi="宋体" w:eastAsia="宋体" w:cs="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eastAsia="宋体" w:cs="宋体"/>
          <w:color w:val="auto"/>
          <w:highlight w:val="none"/>
          <w:lang w:eastAsia="zh-CN"/>
        </w:rPr>
        <w:t>承</w:t>
      </w:r>
      <w:bookmarkStart w:id="1242" w:name="OLE_LINK49"/>
      <w:r>
        <w:rPr>
          <w:rFonts w:hint="eastAsia" w:ascii="宋体" w:hAnsi="宋体" w:eastAsia="宋体" w:cs="宋体"/>
          <w:color w:val="auto"/>
          <w:highlight w:val="none"/>
          <w:lang w:eastAsia="zh-CN"/>
        </w:rPr>
        <w:t>诺工期</w:t>
      </w:r>
      <w:r>
        <w:rPr>
          <w:rFonts w:hint="eastAsia" w:ascii="宋体" w:hAnsi="宋体" w:eastAsia="宋体" w:cs="宋体"/>
          <w:bCs/>
          <w:color w:val="auto"/>
          <w:szCs w:val="21"/>
          <w:highlight w:val="none"/>
          <w:lang w:eastAsia="zh-CN"/>
        </w:rPr>
        <w:t>优劣</w:t>
      </w:r>
      <w:bookmarkEnd w:id="1242"/>
      <w:r>
        <w:rPr>
          <w:rFonts w:hint="eastAsia" w:ascii="宋体" w:hAnsi="宋体" w:eastAsia="宋体" w:cs="宋体"/>
          <w:bCs/>
          <w:color w:val="auto"/>
          <w:szCs w:val="21"/>
          <w:highlight w:val="none"/>
        </w:rPr>
        <w:t>排序）。评审得分、最后报价（不计算价格折扣）、技术得分、</w:t>
      </w:r>
      <w:r>
        <w:rPr>
          <w:rFonts w:hint="eastAsia" w:ascii="宋体" w:hAnsi="宋体" w:eastAsia="宋体" w:cs="宋体"/>
          <w:color w:val="auto"/>
          <w:highlight w:val="none"/>
          <w:lang w:eastAsia="zh-CN"/>
        </w:rPr>
        <w:t>承诺工期</w:t>
      </w:r>
      <w:r>
        <w:rPr>
          <w:rFonts w:hint="eastAsia" w:ascii="宋体" w:hAnsi="宋体" w:eastAsia="宋体" w:cs="宋体"/>
          <w:bCs/>
          <w:color w:val="auto"/>
          <w:szCs w:val="21"/>
          <w:highlight w:val="none"/>
        </w:rPr>
        <w:t>均相同的，由磋商小组随机抽取推荐。</w:t>
      </w:r>
    </w:p>
    <w:p w14:paraId="4F20DFEC">
      <w:pPr>
        <w:pStyle w:val="15"/>
        <w:rPr>
          <w:rFonts w:hint="eastAsia" w:ascii="宋体" w:hAnsi="宋体" w:eastAsia="宋体" w:cs="宋体"/>
          <w:bCs/>
          <w:color w:val="auto"/>
          <w:szCs w:val="21"/>
          <w:highlight w:val="none"/>
        </w:rPr>
      </w:pPr>
    </w:p>
    <w:p w14:paraId="150771CF">
      <w:pPr>
        <w:rPr>
          <w:rFonts w:hint="eastAsia"/>
          <w:color w:val="auto"/>
        </w:rPr>
      </w:pPr>
    </w:p>
    <w:p w14:paraId="2824B031">
      <w:pPr>
        <w:pStyle w:val="15"/>
        <w:rPr>
          <w:rFonts w:hint="eastAsia" w:ascii="宋体" w:hAnsi="宋体" w:eastAsia="宋体" w:cs="宋体"/>
          <w:bCs/>
          <w:color w:val="auto"/>
          <w:szCs w:val="21"/>
          <w:highlight w:val="none"/>
        </w:rPr>
      </w:pPr>
    </w:p>
    <w:p w14:paraId="403B8ACE">
      <w:pPr>
        <w:rPr>
          <w:rFonts w:hint="eastAsia" w:ascii="宋体" w:hAnsi="宋体" w:eastAsia="宋体" w:cs="宋体"/>
          <w:bCs/>
          <w:color w:val="auto"/>
          <w:szCs w:val="21"/>
          <w:highlight w:val="none"/>
        </w:rPr>
      </w:pPr>
    </w:p>
    <w:p w14:paraId="62AED26F">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200"/>
        <w:jc w:val="both"/>
        <w:textAlignment w:val="auto"/>
        <w:rPr>
          <w:rFonts w:hint="eastAsia" w:ascii="宋体" w:hAnsi="宋体" w:cs="宋体"/>
          <w:b/>
          <w:color w:val="auto"/>
          <w:sz w:val="32"/>
          <w:szCs w:val="32"/>
          <w:highlight w:val="none"/>
          <w:lang w:val="en-US" w:eastAsia="zh-CN"/>
        </w:rPr>
      </w:pPr>
      <w:bookmarkStart w:id="1243" w:name="_Toc13011"/>
      <w:bookmarkStart w:id="1244" w:name="_Toc20915"/>
      <w:bookmarkStart w:id="1245" w:name="_Toc178"/>
      <w:bookmarkStart w:id="1246" w:name="_Toc610"/>
      <w:bookmarkStart w:id="1247" w:name="_Toc80886951"/>
      <w:bookmarkStart w:id="1248" w:name="_Toc25850"/>
      <w:bookmarkStart w:id="1249" w:name="_Toc29624"/>
      <w:bookmarkStart w:id="1250" w:name="_Toc8963"/>
      <w:bookmarkStart w:id="1251" w:name="_Toc28283"/>
    </w:p>
    <w:bookmarkEnd w:id="1243"/>
    <w:bookmarkEnd w:id="1244"/>
    <w:bookmarkEnd w:id="1245"/>
    <w:bookmarkEnd w:id="1246"/>
    <w:bookmarkEnd w:id="1247"/>
    <w:bookmarkEnd w:id="1248"/>
    <w:bookmarkEnd w:id="1249"/>
    <w:bookmarkEnd w:id="1250"/>
    <w:bookmarkEnd w:id="1251"/>
    <w:p w14:paraId="3A66F7FC">
      <w:pPr>
        <w:spacing w:line="360" w:lineRule="auto"/>
        <w:jc w:val="both"/>
        <w:rPr>
          <w:rFonts w:hint="eastAsia"/>
          <w:b/>
          <w:bCs/>
          <w:color w:val="auto"/>
          <w:sz w:val="32"/>
          <w:szCs w:val="32"/>
          <w:highlight w:val="none"/>
        </w:rPr>
      </w:pPr>
    </w:p>
    <w:p w14:paraId="0F00EF30">
      <w:pPr>
        <w:spacing w:line="360" w:lineRule="auto"/>
        <w:jc w:val="both"/>
        <w:rPr>
          <w:rFonts w:hint="eastAsia"/>
          <w:b/>
          <w:bCs/>
          <w:color w:val="auto"/>
          <w:sz w:val="32"/>
          <w:szCs w:val="32"/>
          <w:highlight w:val="none"/>
        </w:rPr>
      </w:pPr>
    </w:p>
    <w:p w14:paraId="5C0D86E3">
      <w:pPr>
        <w:spacing w:line="360" w:lineRule="auto"/>
        <w:jc w:val="both"/>
        <w:rPr>
          <w:rFonts w:hint="eastAsia"/>
          <w:b/>
          <w:bCs/>
          <w:color w:val="auto"/>
          <w:sz w:val="32"/>
          <w:szCs w:val="32"/>
          <w:highlight w:val="none"/>
        </w:rPr>
      </w:pPr>
    </w:p>
    <w:p w14:paraId="268A1605">
      <w:pPr>
        <w:spacing w:line="360" w:lineRule="auto"/>
        <w:jc w:val="both"/>
        <w:rPr>
          <w:rFonts w:hint="eastAsia"/>
          <w:b/>
          <w:bCs/>
          <w:color w:val="auto"/>
          <w:sz w:val="32"/>
          <w:szCs w:val="32"/>
          <w:highlight w:val="none"/>
        </w:rPr>
      </w:pPr>
    </w:p>
    <w:p w14:paraId="6E420019">
      <w:pPr>
        <w:spacing w:line="360" w:lineRule="auto"/>
        <w:jc w:val="both"/>
        <w:rPr>
          <w:rFonts w:hint="eastAsia"/>
          <w:b/>
          <w:bCs/>
          <w:color w:val="auto"/>
          <w:sz w:val="32"/>
          <w:szCs w:val="32"/>
          <w:highlight w:val="none"/>
        </w:rPr>
      </w:pPr>
    </w:p>
    <w:p w14:paraId="5FC9911A">
      <w:pPr>
        <w:spacing w:line="360" w:lineRule="auto"/>
        <w:jc w:val="both"/>
        <w:rPr>
          <w:rFonts w:hint="eastAsia"/>
          <w:b/>
          <w:bCs/>
          <w:color w:val="auto"/>
          <w:sz w:val="32"/>
          <w:szCs w:val="32"/>
          <w:highlight w:val="none"/>
        </w:rPr>
      </w:pPr>
    </w:p>
    <w:p w14:paraId="5A599759">
      <w:pPr>
        <w:spacing w:line="240" w:lineRule="auto"/>
        <w:ind w:firstLine="643" w:firstLineChars="200"/>
        <w:jc w:val="left"/>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31A75D80">
      <w:pPr>
        <w:spacing w:line="360" w:lineRule="auto"/>
        <w:ind w:firstLine="643" w:firstLineChars="20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第九章质疑、投诉材料</w:t>
      </w:r>
    </w:p>
    <w:p w14:paraId="6D461DF4">
      <w:pPr>
        <w:spacing w:line="360" w:lineRule="auto"/>
        <w:jc w:val="both"/>
        <w:rPr>
          <w:rFonts w:hint="eastAsia"/>
          <w:b/>
          <w:bCs/>
          <w:color w:val="auto"/>
          <w:sz w:val="32"/>
          <w:szCs w:val="32"/>
          <w:highlight w:val="none"/>
        </w:rPr>
      </w:pPr>
    </w:p>
    <w:p w14:paraId="333C3036">
      <w:pPr>
        <w:spacing w:line="360" w:lineRule="auto"/>
        <w:ind w:firstLine="643" w:firstLineChars="200"/>
        <w:jc w:val="both"/>
        <w:rPr>
          <w:rFonts w:hint="eastAsia"/>
          <w:b/>
          <w:bCs/>
          <w:color w:val="auto"/>
          <w:sz w:val="32"/>
          <w:szCs w:val="32"/>
          <w:highlight w:val="none"/>
        </w:rPr>
      </w:pPr>
      <w:r>
        <w:rPr>
          <w:rFonts w:hint="eastAsia"/>
          <w:b/>
          <w:bCs/>
          <w:color w:val="auto"/>
          <w:sz w:val="32"/>
          <w:szCs w:val="32"/>
          <w:highlight w:val="none"/>
        </w:rPr>
        <w:t>质疑函（格式）</w:t>
      </w:r>
    </w:p>
    <w:p w14:paraId="375F1406">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49A1847B">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DBE62C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D215108">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E75A002">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1E3646B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856C38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A9880E3">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280542E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89DB487">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446D3FB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17EAF079">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0DFBAD95">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632757EE">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315888E4">
      <w:pPr>
        <w:spacing w:line="360" w:lineRule="auto"/>
        <w:ind w:left="25" w:leftChars="12"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62653217">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077B84AF">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5561D921">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0547E5C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212C1D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5128C1B">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2F4AAF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75DAA3F4">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026373C">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5C9DC58">
      <w:pPr>
        <w:spacing w:line="360" w:lineRule="auto"/>
        <w:ind w:left="25" w:leftChars="12" w:firstLine="480" w:firstLineChars="200"/>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EF0CEEA">
      <w:pPr>
        <w:spacing w:line="360" w:lineRule="auto"/>
        <w:ind w:left="25" w:leftChars="12" w:firstLine="480" w:firstLineChars="200"/>
        <w:contextualSpacing/>
        <w:rPr>
          <w:rFonts w:hint="eastAsia" w:ascii="宋体" w:hAnsi="宋体" w:eastAsia="宋体" w:cs="宋体"/>
          <w:color w:val="auto"/>
          <w:kern w:val="0"/>
          <w:sz w:val="24"/>
          <w:highlight w:val="none"/>
        </w:rPr>
      </w:pPr>
    </w:p>
    <w:p w14:paraId="3EEA109F">
      <w:pPr>
        <w:spacing w:line="360" w:lineRule="auto"/>
        <w:ind w:firstLine="482" w:firstLineChars="200"/>
        <w:contextualSpacing/>
        <w:rPr>
          <w:rFonts w:hint="eastAsia"/>
          <w:b/>
          <w:color w:val="auto"/>
          <w:kern w:val="0"/>
          <w:sz w:val="24"/>
          <w:highlight w:val="none"/>
        </w:rPr>
      </w:pPr>
      <w:r>
        <w:rPr>
          <w:rFonts w:hint="eastAsia"/>
          <w:b/>
          <w:color w:val="auto"/>
          <w:kern w:val="0"/>
          <w:sz w:val="24"/>
          <w:highlight w:val="none"/>
        </w:rPr>
        <w:t>说明：</w:t>
      </w:r>
    </w:p>
    <w:p w14:paraId="68DF043A">
      <w:pPr>
        <w:spacing w:line="360" w:lineRule="auto"/>
        <w:ind w:left="25" w:leftChars="12"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3B2ADB2">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FCA97D6">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573EA2D9">
      <w:pPr>
        <w:spacing w:line="360" w:lineRule="auto"/>
        <w:ind w:left="25" w:leftChars="12" w:firstLine="482" w:firstLineChars="200"/>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6FB74A2">
      <w:pPr>
        <w:spacing w:line="360" w:lineRule="auto"/>
        <w:ind w:left="25" w:leftChars="12" w:firstLine="482" w:firstLineChars="200"/>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69FA1A58">
      <w:pPr>
        <w:spacing w:line="460" w:lineRule="exact"/>
        <w:ind w:firstLine="880" w:firstLineChars="200"/>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36CDF3A7">
      <w:pPr>
        <w:spacing w:line="360" w:lineRule="auto"/>
        <w:ind w:firstLine="643" w:firstLineChars="200"/>
        <w:jc w:val="center"/>
        <w:rPr>
          <w:rFonts w:hint="eastAsia"/>
          <w:b/>
          <w:bCs/>
          <w:color w:val="auto"/>
          <w:sz w:val="32"/>
          <w:szCs w:val="32"/>
          <w:highlight w:val="none"/>
        </w:rPr>
      </w:pPr>
      <w:r>
        <w:rPr>
          <w:rFonts w:hint="eastAsia"/>
          <w:b/>
          <w:bCs/>
          <w:color w:val="auto"/>
          <w:sz w:val="32"/>
          <w:szCs w:val="32"/>
          <w:highlight w:val="none"/>
        </w:rPr>
        <w:t>投诉书（格式）</w:t>
      </w:r>
    </w:p>
    <w:p w14:paraId="488F8D7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4B7E81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399D59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9D2FE0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1B521023">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0E8F06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A20573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6115FF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1C10FCE">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42D583B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5A5170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223401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CA6598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AD28C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397D275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5A9AEC89">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6865183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733DACE7">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7280C72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28F631B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60CDEC13">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429F9995">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F6DB9A7">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lang w:eastAsia="zh-CN"/>
        </w:rPr>
        <w:t>采购</w:t>
      </w:r>
      <w:r>
        <w:rPr>
          <w:rFonts w:hint="eastAsia" w:ascii="宋体" w:hAnsi="宋体" w:eastAsia="宋体" w:cs="宋体"/>
          <w:bCs/>
          <w:color w:val="auto"/>
          <w:kern w:val="0"/>
          <w:sz w:val="24"/>
          <w:highlight w:val="none"/>
        </w:rPr>
        <w:t>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6506A37">
      <w:pPr>
        <w:spacing w:line="360" w:lineRule="auto"/>
        <w:ind w:left="25" w:leftChars="12" w:firstLine="480" w:firstLineChars="200"/>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3646D192">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9776D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251D23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w:t>
      </w:r>
      <w:r>
        <w:rPr>
          <w:rFonts w:hint="eastAsia" w:ascii="宋体" w:hAnsi="宋体" w:eastAsia="宋体" w:cs="宋体"/>
          <w:bCs/>
          <w:color w:val="auto"/>
          <w:kern w:val="0"/>
          <w:sz w:val="24"/>
          <w:highlight w:val="none"/>
          <w:u w:val="single"/>
          <w:lang w:eastAsia="zh-CN"/>
        </w:rPr>
        <w:t>采购</w:t>
      </w:r>
      <w:r>
        <w:rPr>
          <w:rFonts w:hint="eastAsia" w:ascii="宋体" w:hAnsi="宋体" w:eastAsia="宋体" w:cs="宋体"/>
          <w:bCs/>
          <w:color w:val="auto"/>
          <w:kern w:val="0"/>
          <w:sz w:val="24"/>
          <w:highlight w:val="none"/>
          <w:u w:val="single"/>
        </w:rPr>
        <w:t>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729D5EC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7B525FEA">
      <w:pPr>
        <w:spacing w:line="360" w:lineRule="auto"/>
        <w:ind w:left="25" w:leftChars="12"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5934B835">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4E6973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08C2FCA">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207E5EF5">
      <w:pPr>
        <w:spacing w:line="360" w:lineRule="auto"/>
        <w:ind w:left="25" w:leftChars="12"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77374399">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34D22A40">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9C75BA9">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C63730E">
      <w:pPr>
        <w:spacing w:line="360" w:lineRule="auto"/>
        <w:ind w:left="25" w:leftChars="12"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3F20FD9A">
      <w:pPr>
        <w:snapToGrid w:val="0"/>
        <w:spacing w:line="360" w:lineRule="auto"/>
        <w:ind w:firstLine="482" w:firstLineChars="200"/>
        <w:rPr>
          <w:rFonts w:hint="eastAsia" w:ascii="宋体" w:hAnsi="宋体" w:eastAsia="宋体" w:cs="宋体"/>
          <w:b/>
          <w:color w:val="auto"/>
          <w:kern w:val="0"/>
          <w:sz w:val="24"/>
          <w:highlight w:val="none"/>
        </w:rPr>
      </w:pPr>
    </w:p>
    <w:p w14:paraId="76C2A682">
      <w:pPr>
        <w:snapToGrid w:val="0"/>
        <w:spacing w:line="360" w:lineRule="auto"/>
        <w:ind w:firstLine="482" w:firstLineChars="200"/>
        <w:rPr>
          <w:rFonts w:hint="eastAsia" w:ascii="宋体" w:hAnsi="宋体" w:eastAsia="宋体" w:cs="宋体"/>
          <w:b/>
          <w:color w:val="auto"/>
          <w:kern w:val="0"/>
          <w:sz w:val="24"/>
          <w:highlight w:val="none"/>
        </w:rPr>
      </w:pPr>
    </w:p>
    <w:p w14:paraId="0C4E3675">
      <w:pPr>
        <w:snapToGrid w:val="0"/>
        <w:spacing w:line="360" w:lineRule="auto"/>
        <w:ind w:firstLine="482" w:firstLineChars="200"/>
        <w:rPr>
          <w:rFonts w:hint="eastAsia" w:ascii="宋体" w:hAnsi="宋体" w:eastAsia="宋体" w:cs="宋体"/>
          <w:b/>
          <w:color w:val="auto"/>
          <w:kern w:val="0"/>
          <w:sz w:val="24"/>
          <w:highlight w:val="none"/>
        </w:rPr>
      </w:pPr>
    </w:p>
    <w:p w14:paraId="0760D036">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72AED5E4">
      <w:pPr>
        <w:spacing w:line="360" w:lineRule="auto"/>
        <w:ind w:left="25" w:leftChars="12" w:firstLine="482" w:firstLineChars="200"/>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513B0F27">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89948A">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545157EC">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60B69588">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47A81B0E">
      <w:pPr>
        <w:spacing w:line="360" w:lineRule="auto"/>
        <w:ind w:left="25" w:leftChars="12"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08805AE1">
      <w:pPr>
        <w:pStyle w:val="13"/>
        <w:spacing w:line="320" w:lineRule="exact"/>
        <w:ind w:firstLine="482" w:firstLineChars="200"/>
        <w:rPr>
          <w:rFonts w:hint="eastAsia" w:ascii="宋体" w:hAnsi="宋体" w:eastAsia="宋体" w:cs="宋体"/>
          <w:b/>
          <w:bCs/>
          <w:color w:val="auto"/>
          <w:sz w:val="24"/>
          <w:highlight w:val="none"/>
          <w:lang w:eastAsia="zh-CN"/>
        </w:rPr>
      </w:pPr>
    </w:p>
    <w:p w14:paraId="5A13CD02">
      <w:pPr>
        <w:pStyle w:val="13"/>
        <w:spacing w:line="320" w:lineRule="exact"/>
        <w:ind w:firstLine="482" w:firstLineChars="200"/>
        <w:rPr>
          <w:rFonts w:hint="eastAsia" w:ascii="宋体" w:hAnsi="宋体" w:eastAsia="宋体" w:cs="宋体"/>
          <w:b/>
          <w:bCs/>
          <w:color w:val="auto"/>
          <w:sz w:val="24"/>
          <w:highlight w:val="none"/>
          <w:lang w:eastAsia="zh-CN"/>
        </w:rPr>
      </w:pPr>
    </w:p>
    <w:p w14:paraId="4443A800">
      <w:pPr>
        <w:pStyle w:val="13"/>
        <w:spacing w:line="320" w:lineRule="exact"/>
        <w:ind w:firstLine="482" w:firstLineChars="200"/>
        <w:rPr>
          <w:rFonts w:hint="eastAsia" w:ascii="宋体" w:hAnsi="宋体" w:eastAsia="宋体" w:cs="宋体"/>
          <w:b/>
          <w:bCs/>
          <w:color w:val="auto"/>
          <w:sz w:val="24"/>
          <w:highlight w:val="none"/>
          <w:lang w:eastAsia="zh-CN"/>
        </w:rPr>
      </w:pPr>
    </w:p>
    <w:p w14:paraId="176F4A54">
      <w:pPr>
        <w:pStyle w:val="13"/>
        <w:spacing w:line="320" w:lineRule="exact"/>
        <w:ind w:firstLine="482" w:firstLineChars="200"/>
        <w:rPr>
          <w:rFonts w:hint="eastAsia" w:ascii="宋体" w:hAnsi="宋体" w:eastAsia="宋体" w:cs="宋体"/>
          <w:b/>
          <w:bCs/>
          <w:color w:val="auto"/>
          <w:sz w:val="24"/>
          <w:highlight w:val="none"/>
          <w:lang w:eastAsia="zh-CN"/>
        </w:rPr>
      </w:pPr>
    </w:p>
    <w:p w14:paraId="4F59C93A">
      <w:pPr>
        <w:pStyle w:val="13"/>
        <w:spacing w:line="320" w:lineRule="exact"/>
        <w:ind w:firstLine="482" w:firstLineChars="200"/>
        <w:rPr>
          <w:rFonts w:hint="eastAsia" w:ascii="宋体" w:hAnsi="宋体" w:eastAsia="宋体" w:cs="宋体"/>
          <w:b/>
          <w:bCs/>
          <w:color w:val="auto"/>
          <w:sz w:val="24"/>
          <w:highlight w:val="none"/>
          <w:lang w:eastAsia="zh-CN"/>
        </w:rPr>
      </w:pPr>
    </w:p>
    <w:p w14:paraId="59A17B4C">
      <w:pPr>
        <w:pStyle w:val="13"/>
        <w:spacing w:line="320" w:lineRule="exact"/>
        <w:ind w:firstLine="482" w:firstLineChars="200"/>
        <w:rPr>
          <w:rFonts w:hint="eastAsia" w:ascii="宋体" w:hAnsi="宋体" w:eastAsia="宋体" w:cs="宋体"/>
          <w:b/>
          <w:bCs/>
          <w:color w:val="auto"/>
          <w:sz w:val="24"/>
          <w:highlight w:val="none"/>
          <w:lang w:eastAsia="zh-CN"/>
        </w:rPr>
      </w:pPr>
    </w:p>
    <w:p w14:paraId="021BEFF3">
      <w:pPr>
        <w:pStyle w:val="13"/>
        <w:spacing w:line="320" w:lineRule="exact"/>
        <w:rPr>
          <w:rFonts w:hint="eastAsia" w:ascii="宋体" w:hAnsi="宋体" w:eastAsia="宋体" w:cs="宋体"/>
          <w:b/>
          <w:bCs/>
          <w:color w:val="auto"/>
          <w:sz w:val="24"/>
          <w:highlight w:val="none"/>
          <w:lang w:eastAsia="zh-CN"/>
        </w:rPr>
      </w:pPr>
    </w:p>
    <w:p w14:paraId="62B12532">
      <w:pPr>
        <w:pStyle w:val="13"/>
        <w:spacing w:line="3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附件</w:t>
      </w:r>
      <w:r>
        <w:rPr>
          <w:rFonts w:hint="eastAsia" w:hAnsi="宋体" w:cs="宋体"/>
          <w:b/>
          <w:bCs/>
          <w:color w:val="auto"/>
          <w:sz w:val="24"/>
          <w:highlight w:val="none"/>
          <w:lang w:val="en-US" w:eastAsia="zh-CN"/>
        </w:rPr>
        <w:t>二</w:t>
      </w:r>
      <w:r>
        <w:rPr>
          <w:rFonts w:hint="eastAsia" w:ascii="宋体" w:hAnsi="宋体" w:eastAsia="宋体" w:cs="宋体"/>
          <w:color w:val="auto"/>
          <w:sz w:val="24"/>
          <w:highlight w:val="none"/>
        </w:rPr>
        <w:t>：</w:t>
      </w:r>
    </w:p>
    <w:p w14:paraId="76350944">
      <w:pPr>
        <w:pStyle w:val="13"/>
        <w:spacing w:line="320" w:lineRule="exact"/>
        <w:ind w:firstLine="482" w:firstLineChars="20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广西壮族自治区政府采购项目合同验收书（格式）</w:t>
      </w:r>
    </w:p>
    <w:p w14:paraId="0D7D21C7">
      <w:pPr>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根据政府采购项目（</w:t>
      </w:r>
      <w:r>
        <w:rPr>
          <w:rFonts w:hint="eastAsia" w:ascii="宋体" w:hAnsi="宋体" w:eastAsia="宋体" w:cs="宋体"/>
          <w:color w:val="auto"/>
          <w:szCs w:val="21"/>
          <w:highlight w:val="none"/>
          <w:u w:val="single"/>
        </w:rPr>
        <w:t>采购合同编号：</w:t>
      </w:r>
      <w:r>
        <w:rPr>
          <w:rFonts w:hint="eastAsia" w:ascii="宋体" w:hAnsi="宋体" w:eastAsia="宋体" w:cs="宋体"/>
          <w:color w:val="auto"/>
          <w:szCs w:val="21"/>
          <w:highlight w:val="none"/>
          <w:u w:val="single"/>
        </w:rPr>
        <w:softHyphen/>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）的约定，我单位对（</w:t>
      </w:r>
      <w:r>
        <w:rPr>
          <w:rFonts w:hint="eastAsia" w:ascii="宋体" w:hAnsi="宋体" w:eastAsia="宋体" w:cs="宋体"/>
          <w:color w:val="auto"/>
          <w:szCs w:val="21"/>
          <w:highlight w:val="none"/>
          <w:u w:val="single"/>
        </w:rPr>
        <w:t xml:space="preserve">  项目名称   ）       </w:t>
      </w:r>
      <w:r>
        <w:rPr>
          <w:rFonts w:hint="eastAsia" w:ascii="宋体" w:hAnsi="宋体" w:eastAsia="宋体" w:cs="宋体"/>
          <w:color w:val="auto"/>
          <w:szCs w:val="21"/>
          <w:highlight w:val="none"/>
        </w:rPr>
        <w:t>政府采购项目中标（或成交）供应商</w:t>
      </w:r>
      <w:r>
        <w:rPr>
          <w:rFonts w:hint="eastAsia" w:ascii="宋体" w:hAnsi="宋体" w:eastAsia="宋体" w:cs="宋体"/>
          <w:color w:val="auto"/>
          <w:szCs w:val="21"/>
          <w:highlight w:val="none"/>
          <w:u w:val="single"/>
        </w:rPr>
        <w:t xml:space="preserve">（            公司名称              ）       </w:t>
      </w:r>
      <w:r>
        <w:rPr>
          <w:rFonts w:hint="eastAsia" w:ascii="宋体" w:hAnsi="宋体" w:eastAsia="宋体" w:cs="宋体"/>
          <w:color w:val="auto"/>
          <w:szCs w:val="21"/>
          <w:highlight w:val="none"/>
        </w:rPr>
        <w:t>提供的工程进行了验收，验收情况如下：</w:t>
      </w:r>
    </w:p>
    <w:tbl>
      <w:tblPr>
        <w:tblStyle w:val="2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2F01F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1CFA8D82">
            <w:pPr>
              <w:snapToGrid w:val="0"/>
              <w:spacing w:before="100" w:beforeAutospacing="1" w:after="100" w:afterAutospacing="1" w:line="320" w:lineRule="exact"/>
              <w:ind w:left="-3" w:firstLine="4" w:firstLineChars="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1B33B198">
            <w:pPr>
              <w:snapToGrid w:val="0"/>
              <w:spacing w:before="100" w:beforeAutospacing="1" w:after="100" w:afterAutospacing="1" w:line="320" w:lineRule="exact"/>
              <w:ind w:left="-3"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14:paraId="5FCBF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6AFB9517">
            <w:pPr>
              <w:snapToGrid w:val="0"/>
              <w:spacing w:before="100" w:beforeAutospacing="1" w:after="100" w:afterAutospacing="1" w:line="320" w:lineRule="exact"/>
              <w:ind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815767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CA3110">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CE7B692">
            <w:pPr>
              <w:snapToGrid w:val="0"/>
              <w:spacing w:before="100" w:beforeAutospacing="1" w:after="100" w:afterAutospacing="1"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32C8332A">
            <w:pPr>
              <w:snapToGrid w:val="0"/>
              <w:spacing w:before="100" w:beforeAutospacing="1" w:after="100" w:afterAutospacing="1" w:line="320" w:lineRule="exact"/>
              <w:ind w:left="-3" w:firstLine="2" w:firstLine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tc>
      </w:tr>
      <w:tr w14:paraId="4B996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570A309">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5AD079D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82A6164">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1737F1E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826009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B144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F0B62AB">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6F46C50E">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557C575">
            <w:pPr>
              <w:snapToGrid w:val="0"/>
              <w:spacing w:before="100" w:beforeAutospacing="1" w:after="100" w:afterAutospacing="1" w:line="320" w:lineRule="exact"/>
              <w:ind w:left="-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3D5DA00">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4D3F9301">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8EBB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0419A7C">
            <w:pPr>
              <w:snapToGrid w:val="0"/>
              <w:spacing w:before="100" w:beforeAutospacing="1" w:after="100" w:afterAutospacing="1" w:line="320" w:lineRule="exact"/>
              <w:ind w:left="-3" w:firstLine="4" w:firstLineChars="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8439D32">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A5DD9D5">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26002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578A9232">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14:paraId="4E853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04698AC0">
            <w:pPr>
              <w:snapToGrid w:val="0"/>
              <w:spacing w:before="100" w:beforeAutospacing="1" w:after="100" w:afterAutospacing="1" w:line="320" w:lineRule="exact"/>
              <w:ind w:firstLine="2" w:firstLine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BCBA6EC">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3F4FA075">
            <w:pPr>
              <w:snapToGrid w:val="0"/>
              <w:spacing w:before="100" w:beforeAutospacing="1" w:after="100" w:afterAutospacing="1" w:line="320" w:lineRule="exact"/>
              <w:ind w:firstLine="39" w:firstLineChars="19"/>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2A743E29">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20D1C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6D3C18E">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34760508">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72B012B2">
            <w:pPr>
              <w:snapToGrid w:val="0"/>
              <w:spacing w:before="100" w:beforeAutospacing="1" w:after="100" w:afterAutospacing="1" w:line="320" w:lineRule="exact"/>
              <w:ind w:left="590" w:firstLine="420" w:firstLineChars="200"/>
              <w:jc w:val="left"/>
              <w:rPr>
                <w:rFonts w:hint="eastAsia" w:ascii="宋体" w:hAnsi="宋体" w:eastAsia="宋体" w:cs="宋体"/>
                <w:color w:val="auto"/>
                <w:szCs w:val="21"/>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7E42542D">
            <w:pPr>
              <w:snapToGrid w:val="0"/>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p>
        </w:tc>
      </w:tr>
      <w:tr w14:paraId="4DEA7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E4D188">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5F0DDD">
            <w:pPr>
              <w:snapToGrid w:val="0"/>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投标响应文件及验收方案等进行验收；并核对中标或者成交人在安装调试等方面是否违反合同约定或服务规范要求、提供的质量保证证明材料是否齐全、应有的配件及附件是否达到合同约定等。可附件)</w:t>
            </w:r>
          </w:p>
        </w:tc>
      </w:tr>
      <w:tr w14:paraId="1E16D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EA8C9">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47C52E5">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验收结论性意见：</w:t>
            </w:r>
          </w:p>
        </w:tc>
      </w:tr>
      <w:tr w14:paraId="2994E6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14:paraId="16979740">
            <w:pPr>
              <w:spacing w:line="320" w:lineRule="exact"/>
              <w:jc w:val="left"/>
              <w:rPr>
                <w:rFonts w:hint="eastAsia" w:ascii="宋体" w:hAnsi="宋体" w:eastAsia="宋体" w:cs="宋体"/>
                <w:color w:val="auto"/>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6B4765A9">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3B4CD94D">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057C4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A96DD1">
            <w:pPr>
              <w:spacing w:before="100" w:beforeAutospacing="1" w:after="100" w:afterAutospacing="1"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2CFF2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89C40B">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14:paraId="059AC3DA">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14:paraId="760DC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8430AA0">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中标或者成交人负责人签字或盖章：</w:t>
            </w:r>
          </w:p>
          <w:p w14:paraId="39392FF3">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576AD776">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采购人或受托机构的意见（盖章）：</w:t>
            </w:r>
          </w:p>
          <w:p w14:paraId="398B8752">
            <w:pPr>
              <w:spacing w:before="100" w:beforeAutospacing="1" w:after="100" w:afterAutospacing="1"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14:paraId="296AED2A">
      <w:pPr>
        <w:pStyle w:val="15"/>
        <w:rPr>
          <w:rFonts w:hint="eastAsia"/>
          <w:color w:val="auto"/>
          <w:highlight w:val="none"/>
        </w:rPr>
      </w:pPr>
    </w:p>
    <w:sectPr>
      <w:headerReference r:id="rId9" w:type="default"/>
      <w:footerReference r:id="rId10" w:type="default"/>
      <w:footerReference r:id="rId11" w:type="even"/>
      <w:pgSz w:w="11906" w:h="16838"/>
      <w:pgMar w:top="1758" w:right="1304" w:bottom="1021" w:left="1304" w:header="1247"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618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AFF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A9AFF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B0FC">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033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B0332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7B43">
    <w:pPr>
      <w:pStyle w:val="15"/>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07240B6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DE4D">
    <w:pPr>
      <w:pStyle w:val="15"/>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14:paraId="3315839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A7D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011AC1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CA3F">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lang w:val="zh-CN"/>
      </w:rPr>
      <w:t>1</w:t>
    </w:r>
    <w:r>
      <w:fldChar w:fldCharType="end"/>
    </w:r>
  </w:p>
  <w:p w14:paraId="437A792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248">
    <w:pPr>
      <w:pStyle w:val="17"/>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4EC5">
    <w:pPr>
      <w:pStyle w:val="17"/>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1E4A">
    <w:pPr>
      <w:pStyle w:val="17"/>
      <w:pBdr>
        <w:bottom w:val="none" w:color="auto" w:sz="0" w:space="0"/>
      </w:pBdr>
      <w:jc w:val="both"/>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12A55"/>
    <w:multiLevelType w:val="singleLevel"/>
    <w:tmpl w:val="AB512A55"/>
    <w:lvl w:ilvl="0" w:tentative="0">
      <w:start w:val="7"/>
      <w:numFmt w:val="chineseCounting"/>
      <w:suff w:val="nothing"/>
      <w:lvlText w:val="%1、"/>
      <w:lvlJc w:val="left"/>
      <w:rPr>
        <w:rFonts w:hint="eastAsia"/>
      </w:rPr>
    </w:lvl>
  </w:abstractNum>
  <w:abstractNum w:abstractNumId="1">
    <w:nsid w:val="B1ABE982"/>
    <w:multiLevelType w:val="singleLevel"/>
    <w:tmpl w:val="B1ABE982"/>
    <w:lvl w:ilvl="0" w:tentative="0">
      <w:start w:val="6"/>
      <w:numFmt w:val="chineseCounting"/>
      <w:suff w:val="space"/>
      <w:lvlText w:val="第%1章"/>
      <w:lvlJc w:val="left"/>
      <w:rPr>
        <w:rFonts w:hint="eastAsia"/>
      </w:rPr>
    </w:lvl>
  </w:abstractNum>
  <w:abstractNum w:abstractNumId="2">
    <w:nsid w:val="D427A5AF"/>
    <w:multiLevelType w:val="singleLevel"/>
    <w:tmpl w:val="D427A5AF"/>
    <w:lvl w:ilvl="0" w:tentative="0">
      <w:start w:val="10"/>
      <w:numFmt w:val="chineseCounting"/>
      <w:suff w:val="nothing"/>
      <w:lvlText w:val="%1、"/>
      <w:lvlJc w:val="left"/>
      <w:rPr>
        <w:rFonts w:hint="eastAsia"/>
      </w:rPr>
    </w:lvl>
  </w:abstractNum>
  <w:abstractNum w:abstractNumId="3">
    <w:nsid w:val="00000007"/>
    <w:multiLevelType w:val="multilevel"/>
    <w:tmpl w:val="00000007"/>
    <w:lvl w:ilvl="0" w:tentative="0">
      <w:start w:val="1"/>
      <w:numFmt w:val="decimal"/>
      <w:pStyle w:val="53"/>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2"/>
      <w:numFmt w:val="decimal"/>
      <w:suff w:val="nothing"/>
      <w:lvlText w:val="%1."/>
      <w:lvlJc w:val="left"/>
    </w:lvl>
  </w:abstractNum>
  <w:abstractNum w:abstractNumId="5">
    <w:nsid w:val="174D14CB"/>
    <w:multiLevelType w:val="singleLevel"/>
    <w:tmpl w:val="174D14CB"/>
    <w:lvl w:ilvl="0" w:tentative="0">
      <w:start w:val="1"/>
      <w:numFmt w:val="chineseCounting"/>
      <w:suff w:val="space"/>
      <w:lvlText w:val="第%1章"/>
      <w:lvlJc w:val="left"/>
      <w:rPr>
        <w:rFonts w:hint="eastAsia"/>
      </w:rPr>
    </w:lvl>
  </w:abstractNum>
  <w:abstractNum w:abstractNumId="6">
    <w:nsid w:val="3E5E7BC9"/>
    <w:multiLevelType w:val="singleLevel"/>
    <w:tmpl w:val="3E5E7BC9"/>
    <w:lvl w:ilvl="0" w:tentative="0">
      <w:start w:val="1"/>
      <w:numFmt w:val="decimal"/>
      <w:suff w:val="nothing"/>
      <w:lvlText w:val="（%1）"/>
      <w:lvlJc w:val="left"/>
    </w:lvl>
  </w:abstractNum>
  <w:abstractNum w:abstractNumId="7">
    <w:nsid w:val="55E62055"/>
    <w:multiLevelType w:val="singleLevel"/>
    <w:tmpl w:val="55E62055"/>
    <w:lvl w:ilvl="0" w:tentative="0">
      <w:start w:val="3"/>
      <w:numFmt w:val="chineseCounting"/>
      <w:suff w:val="space"/>
      <w:lvlText w:val="第%1章"/>
      <w:lvlJc w:val="left"/>
      <w:rPr>
        <w:rFonts w:hint="eastAsia"/>
      </w:rPr>
    </w:lvl>
  </w:abstractNum>
  <w:abstractNum w:abstractNumId="8">
    <w:nsid w:val="6EDD6596"/>
    <w:multiLevelType w:val="singleLevel"/>
    <w:tmpl w:val="6EDD6596"/>
    <w:lvl w:ilvl="0" w:tentative="0">
      <w:start w:val="1"/>
      <w:numFmt w:val="decimal"/>
      <w:suff w:val="space"/>
      <w:lvlText w:val="%1."/>
      <w:lvlJc w:val="left"/>
    </w:lvl>
  </w:abstractNum>
  <w:abstractNum w:abstractNumId="9">
    <w:nsid w:val="6EDD6597"/>
    <w:multiLevelType w:val="singleLevel"/>
    <w:tmpl w:val="6EDD6597"/>
    <w:lvl w:ilvl="0" w:tentative="0">
      <w:start w:val="1"/>
      <w:numFmt w:val="decimal"/>
      <w:suff w:val="nothing"/>
      <w:lvlText w:val="(%1)"/>
      <w:lvlJc w:val="left"/>
    </w:lvl>
  </w:abstractNum>
  <w:abstractNum w:abstractNumId="10">
    <w:nsid w:val="6EDD6598"/>
    <w:multiLevelType w:val="singleLevel"/>
    <w:tmpl w:val="6EDD6598"/>
    <w:lvl w:ilvl="0" w:tentative="0">
      <w:start w:val="11"/>
      <w:numFmt w:val="decimal"/>
      <w:suff w:val="space"/>
      <w:lvlText w:val="%1."/>
      <w:lvlJc w:val="left"/>
    </w:lvl>
  </w:abstractNum>
  <w:abstractNum w:abstractNumId="11">
    <w:nsid w:val="6EDD6599"/>
    <w:multiLevelType w:val="multilevel"/>
    <w:tmpl w:val="6EDD65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EDD659A"/>
    <w:multiLevelType w:val="multilevel"/>
    <w:tmpl w:val="6EDD659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EDD659B"/>
    <w:multiLevelType w:val="multilevel"/>
    <w:tmpl w:val="6EDD659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DD659C"/>
    <w:multiLevelType w:val="multilevel"/>
    <w:tmpl w:val="6EDD659C"/>
    <w:lvl w:ilvl="0" w:tentative="0">
      <w:start w:val="1"/>
      <w:numFmt w:val="decimal"/>
      <w:lvlText w:val="（%1）"/>
      <w:lvlJc w:val="left"/>
      <w:pPr>
        <w:ind w:left="1560" w:hanging="720"/>
      </w:pPr>
      <w:rPr>
        <w:rFonts w:hint="default"/>
      </w:rPr>
    </w:lvl>
    <w:lvl w:ilvl="1" w:tentative="0">
      <w:start w:val="1"/>
      <w:numFmt w:val="decimal"/>
      <w:lvlText w:val="%2)"/>
      <w:lvlJc w:val="left"/>
      <w:pPr>
        <w:ind w:left="1260" w:hanging="4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DD659D"/>
    <w:multiLevelType w:val="multilevel"/>
    <w:tmpl w:val="6EDD65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EDD659E"/>
    <w:multiLevelType w:val="multilevel"/>
    <w:tmpl w:val="6EDD65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EDD659F"/>
    <w:multiLevelType w:val="multilevel"/>
    <w:tmpl w:val="6EDD659F"/>
    <w:lvl w:ilvl="0" w:tentative="0">
      <w:start w:val="1"/>
      <w:numFmt w:val="upperLetter"/>
      <w:lvlText w:val="%1."/>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5"/>
  </w:num>
  <w:num w:numId="3">
    <w:abstractNumId w:val="0"/>
  </w:num>
  <w:num w:numId="4">
    <w:abstractNumId w:val="2"/>
  </w:num>
  <w:num w:numId="5">
    <w:abstractNumId w:val="7"/>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6"/>
  </w:num>
  <w:num w:numId="16">
    <w:abstractNumId w:val="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16344B64"/>
    <w:rsid w:val="000769C6"/>
    <w:rsid w:val="00292E98"/>
    <w:rsid w:val="00391CF2"/>
    <w:rsid w:val="00876B84"/>
    <w:rsid w:val="008C2C82"/>
    <w:rsid w:val="00B5103D"/>
    <w:rsid w:val="013363E4"/>
    <w:rsid w:val="01435D27"/>
    <w:rsid w:val="014B09B3"/>
    <w:rsid w:val="0165313D"/>
    <w:rsid w:val="01703541"/>
    <w:rsid w:val="019451CC"/>
    <w:rsid w:val="019A117A"/>
    <w:rsid w:val="01A52705"/>
    <w:rsid w:val="01D41215"/>
    <w:rsid w:val="01D42121"/>
    <w:rsid w:val="01E85CB8"/>
    <w:rsid w:val="01F64D0F"/>
    <w:rsid w:val="02057DBE"/>
    <w:rsid w:val="02224369"/>
    <w:rsid w:val="02333E82"/>
    <w:rsid w:val="023B4DEC"/>
    <w:rsid w:val="02453514"/>
    <w:rsid w:val="02460EB6"/>
    <w:rsid w:val="028A0DA9"/>
    <w:rsid w:val="02D169DB"/>
    <w:rsid w:val="03001EE1"/>
    <w:rsid w:val="035E59F6"/>
    <w:rsid w:val="038A7BB5"/>
    <w:rsid w:val="03972500"/>
    <w:rsid w:val="039F67AA"/>
    <w:rsid w:val="03A9358B"/>
    <w:rsid w:val="03D251CE"/>
    <w:rsid w:val="03E219EE"/>
    <w:rsid w:val="03EB220E"/>
    <w:rsid w:val="03ED7190"/>
    <w:rsid w:val="040E0AFD"/>
    <w:rsid w:val="04304467"/>
    <w:rsid w:val="043D01D6"/>
    <w:rsid w:val="043E6C3C"/>
    <w:rsid w:val="044E20D8"/>
    <w:rsid w:val="045D2E23"/>
    <w:rsid w:val="0469012C"/>
    <w:rsid w:val="04781A0B"/>
    <w:rsid w:val="04793104"/>
    <w:rsid w:val="047C0BCC"/>
    <w:rsid w:val="05033049"/>
    <w:rsid w:val="052A45EE"/>
    <w:rsid w:val="056D5429"/>
    <w:rsid w:val="05B30A98"/>
    <w:rsid w:val="05CE5247"/>
    <w:rsid w:val="05D2338D"/>
    <w:rsid w:val="05F94DCD"/>
    <w:rsid w:val="060D56D1"/>
    <w:rsid w:val="0644195F"/>
    <w:rsid w:val="06556B9B"/>
    <w:rsid w:val="067A36AA"/>
    <w:rsid w:val="068046A5"/>
    <w:rsid w:val="06867C76"/>
    <w:rsid w:val="0687062B"/>
    <w:rsid w:val="06A40442"/>
    <w:rsid w:val="06A55497"/>
    <w:rsid w:val="06B605BA"/>
    <w:rsid w:val="06BF3139"/>
    <w:rsid w:val="06F16788"/>
    <w:rsid w:val="070211A3"/>
    <w:rsid w:val="0733410C"/>
    <w:rsid w:val="07467D48"/>
    <w:rsid w:val="077166FC"/>
    <w:rsid w:val="077D02B2"/>
    <w:rsid w:val="07AB560D"/>
    <w:rsid w:val="07B00DB5"/>
    <w:rsid w:val="07EE0856"/>
    <w:rsid w:val="07EF5437"/>
    <w:rsid w:val="082958EE"/>
    <w:rsid w:val="08382DE5"/>
    <w:rsid w:val="08590257"/>
    <w:rsid w:val="086B310B"/>
    <w:rsid w:val="08782A74"/>
    <w:rsid w:val="08EC40D2"/>
    <w:rsid w:val="09026A3E"/>
    <w:rsid w:val="09192DFD"/>
    <w:rsid w:val="09922E2F"/>
    <w:rsid w:val="09B7036B"/>
    <w:rsid w:val="0A1925F0"/>
    <w:rsid w:val="0A39280F"/>
    <w:rsid w:val="0A3D4A0C"/>
    <w:rsid w:val="0A4B5D54"/>
    <w:rsid w:val="0A57550F"/>
    <w:rsid w:val="0A6749FB"/>
    <w:rsid w:val="0A6C2012"/>
    <w:rsid w:val="0A6E2124"/>
    <w:rsid w:val="0A733489"/>
    <w:rsid w:val="0A7526BF"/>
    <w:rsid w:val="0A78296A"/>
    <w:rsid w:val="0A7A55CE"/>
    <w:rsid w:val="0A8C6F1B"/>
    <w:rsid w:val="0A912E56"/>
    <w:rsid w:val="0A9A26C8"/>
    <w:rsid w:val="0AAE65CC"/>
    <w:rsid w:val="0AB52C23"/>
    <w:rsid w:val="0AD83CD8"/>
    <w:rsid w:val="0AE16A2B"/>
    <w:rsid w:val="0AE21360"/>
    <w:rsid w:val="0B237BA9"/>
    <w:rsid w:val="0B2C193F"/>
    <w:rsid w:val="0B372620"/>
    <w:rsid w:val="0B3C6B2A"/>
    <w:rsid w:val="0B4934D4"/>
    <w:rsid w:val="0B7A5702"/>
    <w:rsid w:val="0B975623"/>
    <w:rsid w:val="0BC66934"/>
    <w:rsid w:val="0BD04408"/>
    <w:rsid w:val="0BD75F20"/>
    <w:rsid w:val="0C040834"/>
    <w:rsid w:val="0C0E3DC8"/>
    <w:rsid w:val="0C127A9F"/>
    <w:rsid w:val="0C421E03"/>
    <w:rsid w:val="0C4D22BF"/>
    <w:rsid w:val="0C783F77"/>
    <w:rsid w:val="0C8406AF"/>
    <w:rsid w:val="0C8F3EC5"/>
    <w:rsid w:val="0C9845FB"/>
    <w:rsid w:val="0C9E5BEF"/>
    <w:rsid w:val="0CB46FF3"/>
    <w:rsid w:val="0CC03127"/>
    <w:rsid w:val="0CC961F6"/>
    <w:rsid w:val="0CDD71F7"/>
    <w:rsid w:val="0CE53015"/>
    <w:rsid w:val="0CF652A1"/>
    <w:rsid w:val="0D3A6E59"/>
    <w:rsid w:val="0D4D2858"/>
    <w:rsid w:val="0D6D35A4"/>
    <w:rsid w:val="0D881D7B"/>
    <w:rsid w:val="0D8D2972"/>
    <w:rsid w:val="0D8F6463"/>
    <w:rsid w:val="0D903F33"/>
    <w:rsid w:val="0E1235A8"/>
    <w:rsid w:val="0E172295"/>
    <w:rsid w:val="0E1D072F"/>
    <w:rsid w:val="0E323F57"/>
    <w:rsid w:val="0E501BC4"/>
    <w:rsid w:val="0E713147"/>
    <w:rsid w:val="0E835165"/>
    <w:rsid w:val="0E896B1A"/>
    <w:rsid w:val="0E8D122A"/>
    <w:rsid w:val="0EB832CB"/>
    <w:rsid w:val="0EBC4225"/>
    <w:rsid w:val="0EC536A4"/>
    <w:rsid w:val="0EC54DF5"/>
    <w:rsid w:val="0EEB2F22"/>
    <w:rsid w:val="0F0D457E"/>
    <w:rsid w:val="0F137A6E"/>
    <w:rsid w:val="0F152AA6"/>
    <w:rsid w:val="0F166E28"/>
    <w:rsid w:val="0F1F407A"/>
    <w:rsid w:val="0F255D7B"/>
    <w:rsid w:val="0F292C57"/>
    <w:rsid w:val="0F3C72EE"/>
    <w:rsid w:val="0F582B65"/>
    <w:rsid w:val="0F711E78"/>
    <w:rsid w:val="0F9E4A0D"/>
    <w:rsid w:val="0FA568B9"/>
    <w:rsid w:val="0FA83B24"/>
    <w:rsid w:val="0FB326C7"/>
    <w:rsid w:val="0FCD285F"/>
    <w:rsid w:val="0FE91A0F"/>
    <w:rsid w:val="0FEB1231"/>
    <w:rsid w:val="0FEE7612"/>
    <w:rsid w:val="100B56B6"/>
    <w:rsid w:val="100E76C7"/>
    <w:rsid w:val="102706CA"/>
    <w:rsid w:val="103A1282"/>
    <w:rsid w:val="108D0181"/>
    <w:rsid w:val="10AD6AD9"/>
    <w:rsid w:val="10B178E5"/>
    <w:rsid w:val="10C4368F"/>
    <w:rsid w:val="10C85AC8"/>
    <w:rsid w:val="10C96446"/>
    <w:rsid w:val="110D46FC"/>
    <w:rsid w:val="110F721E"/>
    <w:rsid w:val="111C17C4"/>
    <w:rsid w:val="11242549"/>
    <w:rsid w:val="11350618"/>
    <w:rsid w:val="11704727"/>
    <w:rsid w:val="11797307"/>
    <w:rsid w:val="118B719F"/>
    <w:rsid w:val="11BE0577"/>
    <w:rsid w:val="11C139BB"/>
    <w:rsid w:val="11C15E5E"/>
    <w:rsid w:val="11C70925"/>
    <w:rsid w:val="12083E84"/>
    <w:rsid w:val="120D0882"/>
    <w:rsid w:val="12305553"/>
    <w:rsid w:val="123251FD"/>
    <w:rsid w:val="126747D0"/>
    <w:rsid w:val="126E0E31"/>
    <w:rsid w:val="12727028"/>
    <w:rsid w:val="12A9357F"/>
    <w:rsid w:val="130612C1"/>
    <w:rsid w:val="130F7236"/>
    <w:rsid w:val="13144FF5"/>
    <w:rsid w:val="13161C63"/>
    <w:rsid w:val="13475083"/>
    <w:rsid w:val="13477178"/>
    <w:rsid w:val="134961F2"/>
    <w:rsid w:val="13632396"/>
    <w:rsid w:val="13913395"/>
    <w:rsid w:val="13950464"/>
    <w:rsid w:val="139C0611"/>
    <w:rsid w:val="13E30B42"/>
    <w:rsid w:val="13EA6286"/>
    <w:rsid w:val="13F25D54"/>
    <w:rsid w:val="13F26814"/>
    <w:rsid w:val="14004C93"/>
    <w:rsid w:val="14305965"/>
    <w:rsid w:val="145511F1"/>
    <w:rsid w:val="146076B0"/>
    <w:rsid w:val="14972464"/>
    <w:rsid w:val="149809ED"/>
    <w:rsid w:val="14C1100B"/>
    <w:rsid w:val="14D05F3E"/>
    <w:rsid w:val="14D41A3E"/>
    <w:rsid w:val="14EC05ED"/>
    <w:rsid w:val="14F96B98"/>
    <w:rsid w:val="151170E1"/>
    <w:rsid w:val="15364883"/>
    <w:rsid w:val="153B2BB3"/>
    <w:rsid w:val="156469AC"/>
    <w:rsid w:val="156E6948"/>
    <w:rsid w:val="157B5BC9"/>
    <w:rsid w:val="158E235B"/>
    <w:rsid w:val="15977A11"/>
    <w:rsid w:val="15CE60D5"/>
    <w:rsid w:val="15D91999"/>
    <w:rsid w:val="15E41D29"/>
    <w:rsid w:val="15F84C59"/>
    <w:rsid w:val="160E205C"/>
    <w:rsid w:val="16344B64"/>
    <w:rsid w:val="163E6233"/>
    <w:rsid w:val="16457EB7"/>
    <w:rsid w:val="16514A32"/>
    <w:rsid w:val="1651790F"/>
    <w:rsid w:val="16644988"/>
    <w:rsid w:val="167D5C38"/>
    <w:rsid w:val="16AA1A1F"/>
    <w:rsid w:val="16AF1939"/>
    <w:rsid w:val="16BE4B10"/>
    <w:rsid w:val="16C97128"/>
    <w:rsid w:val="16D42C63"/>
    <w:rsid w:val="16D67B4D"/>
    <w:rsid w:val="16E6314C"/>
    <w:rsid w:val="16F16621"/>
    <w:rsid w:val="16F66562"/>
    <w:rsid w:val="17057AB0"/>
    <w:rsid w:val="1722662B"/>
    <w:rsid w:val="1728549D"/>
    <w:rsid w:val="173151C4"/>
    <w:rsid w:val="173C32B6"/>
    <w:rsid w:val="174316CF"/>
    <w:rsid w:val="17705F66"/>
    <w:rsid w:val="178176F0"/>
    <w:rsid w:val="17941A0B"/>
    <w:rsid w:val="17CA2D47"/>
    <w:rsid w:val="17DE7609"/>
    <w:rsid w:val="17E15EFC"/>
    <w:rsid w:val="17E46E8B"/>
    <w:rsid w:val="186326CD"/>
    <w:rsid w:val="189015C1"/>
    <w:rsid w:val="18B43502"/>
    <w:rsid w:val="18B90CB1"/>
    <w:rsid w:val="18DC4A8F"/>
    <w:rsid w:val="18DD46F6"/>
    <w:rsid w:val="18E52696"/>
    <w:rsid w:val="18E733F2"/>
    <w:rsid w:val="18EE6E9D"/>
    <w:rsid w:val="190855FC"/>
    <w:rsid w:val="19235F91"/>
    <w:rsid w:val="19373188"/>
    <w:rsid w:val="194014CF"/>
    <w:rsid w:val="19952838"/>
    <w:rsid w:val="19A246EC"/>
    <w:rsid w:val="19B4308D"/>
    <w:rsid w:val="19C812C8"/>
    <w:rsid w:val="19DB12ED"/>
    <w:rsid w:val="1A0A3AD8"/>
    <w:rsid w:val="1A547350"/>
    <w:rsid w:val="1A937147"/>
    <w:rsid w:val="1AA72C3B"/>
    <w:rsid w:val="1AAA0C58"/>
    <w:rsid w:val="1AAA10CE"/>
    <w:rsid w:val="1AB765E6"/>
    <w:rsid w:val="1AC3196F"/>
    <w:rsid w:val="1AC7726A"/>
    <w:rsid w:val="1AD82220"/>
    <w:rsid w:val="1B0D38D7"/>
    <w:rsid w:val="1B310344"/>
    <w:rsid w:val="1B334C64"/>
    <w:rsid w:val="1B540A26"/>
    <w:rsid w:val="1B6D7998"/>
    <w:rsid w:val="1B9F58CE"/>
    <w:rsid w:val="1BD657A9"/>
    <w:rsid w:val="1BFA2FC3"/>
    <w:rsid w:val="1C211E34"/>
    <w:rsid w:val="1C792991"/>
    <w:rsid w:val="1CA7489F"/>
    <w:rsid w:val="1D095F63"/>
    <w:rsid w:val="1D2B64AD"/>
    <w:rsid w:val="1D320E6E"/>
    <w:rsid w:val="1D3B1545"/>
    <w:rsid w:val="1D540E0F"/>
    <w:rsid w:val="1D6C6F35"/>
    <w:rsid w:val="1D72263D"/>
    <w:rsid w:val="1D79054E"/>
    <w:rsid w:val="1D7A4260"/>
    <w:rsid w:val="1D965BEF"/>
    <w:rsid w:val="1DA125C3"/>
    <w:rsid w:val="1DB45D52"/>
    <w:rsid w:val="1DBF10E6"/>
    <w:rsid w:val="1DC17C39"/>
    <w:rsid w:val="1E6D4AAE"/>
    <w:rsid w:val="1E8D59FB"/>
    <w:rsid w:val="1E8E1732"/>
    <w:rsid w:val="1E913906"/>
    <w:rsid w:val="1E9B1611"/>
    <w:rsid w:val="1EBD275C"/>
    <w:rsid w:val="1ECA0720"/>
    <w:rsid w:val="1EFE225E"/>
    <w:rsid w:val="1F0F3395"/>
    <w:rsid w:val="1F2E0AC9"/>
    <w:rsid w:val="1F3B6052"/>
    <w:rsid w:val="1F65056F"/>
    <w:rsid w:val="1F8563B1"/>
    <w:rsid w:val="1FA77EFE"/>
    <w:rsid w:val="1FAC7ADB"/>
    <w:rsid w:val="1FB57B5F"/>
    <w:rsid w:val="1FDA574F"/>
    <w:rsid w:val="1FDE32B5"/>
    <w:rsid w:val="2020053C"/>
    <w:rsid w:val="202D34A1"/>
    <w:rsid w:val="20310280"/>
    <w:rsid w:val="20323948"/>
    <w:rsid w:val="203A77D5"/>
    <w:rsid w:val="204408F1"/>
    <w:rsid w:val="20463296"/>
    <w:rsid w:val="2050445F"/>
    <w:rsid w:val="205D447F"/>
    <w:rsid w:val="20656879"/>
    <w:rsid w:val="207F6714"/>
    <w:rsid w:val="20B039D3"/>
    <w:rsid w:val="20BA6A7D"/>
    <w:rsid w:val="20BC4D54"/>
    <w:rsid w:val="20BE2C1F"/>
    <w:rsid w:val="20C12DDC"/>
    <w:rsid w:val="20D53AB5"/>
    <w:rsid w:val="21191420"/>
    <w:rsid w:val="211C0DBB"/>
    <w:rsid w:val="212F26E9"/>
    <w:rsid w:val="21462BEF"/>
    <w:rsid w:val="21495DF5"/>
    <w:rsid w:val="21724C17"/>
    <w:rsid w:val="2172749F"/>
    <w:rsid w:val="21753196"/>
    <w:rsid w:val="217F3D25"/>
    <w:rsid w:val="21B343B3"/>
    <w:rsid w:val="21D72FC6"/>
    <w:rsid w:val="21E64AA1"/>
    <w:rsid w:val="221D798C"/>
    <w:rsid w:val="223324D4"/>
    <w:rsid w:val="226664B7"/>
    <w:rsid w:val="2284740D"/>
    <w:rsid w:val="22A73B3E"/>
    <w:rsid w:val="22AA546F"/>
    <w:rsid w:val="22DA19B2"/>
    <w:rsid w:val="22F92EA7"/>
    <w:rsid w:val="230102B6"/>
    <w:rsid w:val="231B4679"/>
    <w:rsid w:val="23280110"/>
    <w:rsid w:val="234D2500"/>
    <w:rsid w:val="238B62C4"/>
    <w:rsid w:val="238B72AE"/>
    <w:rsid w:val="239756EE"/>
    <w:rsid w:val="23B428FE"/>
    <w:rsid w:val="23FF76F8"/>
    <w:rsid w:val="24336DA7"/>
    <w:rsid w:val="243E0123"/>
    <w:rsid w:val="24430D47"/>
    <w:rsid w:val="244A2F6C"/>
    <w:rsid w:val="244E1ECC"/>
    <w:rsid w:val="24567DD6"/>
    <w:rsid w:val="245B000B"/>
    <w:rsid w:val="247618AC"/>
    <w:rsid w:val="24921C2D"/>
    <w:rsid w:val="25070E5D"/>
    <w:rsid w:val="252407DE"/>
    <w:rsid w:val="25413A34"/>
    <w:rsid w:val="25445C0D"/>
    <w:rsid w:val="25535E50"/>
    <w:rsid w:val="255C04C8"/>
    <w:rsid w:val="255D282B"/>
    <w:rsid w:val="25651C1A"/>
    <w:rsid w:val="256576FC"/>
    <w:rsid w:val="256666C5"/>
    <w:rsid w:val="258129BE"/>
    <w:rsid w:val="258D1BD9"/>
    <w:rsid w:val="25994203"/>
    <w:rsid w:val="25AD3484"/>
    <w:rsid w:val="25B016CF"/>
    <w:rsid w:val="261047C5"/>
    <w:rsid w:val="264D1C3A"/>
    <w:rsid w:val="265044EA"/>
    <w:rsid w:val="265C0D35"/>
    <w:rsid w:val="266165C3"/>
    <w:rsid w:val="268D7140"/>
    <w:rsid w:val="269B0243"/>
    <w:rsid w:val="26B612F4"/>
    <w:rsid w:val="26BE19EF"/>
    <w:rsid w:val="26D91416"/>
    <w:rsid w:val="26F80BAE"/>
    <w:rsid w:val="27274607"/>
    <w:rsid w:val="273D0F55"/>
    <w:rsid w:val="274E0EEF"/>
    <w:rsid w:val="274F2647"/>
    <w:rsid w:val="275545B7"/>
    <w:rsid w:val="275A70B5"/>
    <w:rsid w:val="276A5C79"/>
    <w:rsid w:val="276C144B"/>
    <w:rsid w:val="2771321A"/>
    <w:rsid w:val="277C759E"/>
    <w:rsid w:val="27C1510D"/>
    <w:rsid w:val="27C72DDE"/>
    <w:rsid w:val="27C97ADC"/>
    <w:rsid w:val="27CD54D1"/>
    <w:rsid w:val="27DB2224"/>
    <w:rsid w:val="280160A5"/>
    <w:rsid w:val="280947ED"/>
    <w:rsid w:val="28151036"/>
    <w:rsid w:val="2818512F"/>
    <w:rsid w:val="28243C0D"/>
    <w:rsid w:val="282E2931"/>
    <w:rsid w:val="283B580B"/>
    <w:rsid w:val="28531690"/>
    <w:rsid w:val="287E4328"/>
    <w:rsid w:val="28C3509B"/>
    <w:rsid w:val="29096ABC"/>
    <w:rsid w:val="29131644"/>
    <w:rsid w:val="29422464"/>
    <w:rsid w:val="29504EF8"/>
    <w:rsid w:val="296D5AAF"/>
    <w:rsid w:val="29930F11"/>
    <w:rsid w:val="29C93357"/>
    <w:rsid w:val="29D22FED"/>
    <w:rsid w:val="2A215161"/>
    <w:rsid w:val="2A21651D"/>
    <w:rsid w:val="2A486BB9"/>
    <w:rsid w:val="2A59120D"/>
    <w:rsid w:val="2A653706"/>
    <w:rsid w:val="2A657603"/>
    <w:rsid w:val="2A7D18B9"/>
    <w:rsid w:val="2A9213B0"/>
    <w:rsid w:val="2AC0284D"/>
    <w:rsid w:val="2ADA0D7A"/>
    <w:rsid w:val="2ADE2BED"/>
    <w:rsid w:val="2AE95980"/>
    <w:rsid w:val="2AF05D00"/>
    <w:rsid w:val="2B0143CE"/>
    <w:rsid w:val="2B151462"/>
    <w:rsid w:val="2B18086E"/>
    <w:rsid w:val="2B4662D1"/>
    <w:rsid w:val="2B4D4859"/>
    <w:rsid w:val="2B50164C"/>
    <w:rsid w:val="2B606BD1"/>
    <w:rsid w:val="2B681FF8"/>
    <w:rsid w:val="2B7E372B"/>
    <w:rsid w:val="2B9E2CF3"/>
    <w:rsid w:val="2BA14861"/>
    <w:rsid w:val="2BCA4ACE"/>
    <w:rsid w:val="2BD1187D"/>
    <w:rsid w:val="2BE133C4"/>
    <w:rsid w:val="2BE25B67"/>
    <w:rsid w:val="2BF0108D"/>
    <w:rsid w:val="2C445F61"/>
    <w:rsid w:val="2C9B7AB3"/>
    <w:rsid w:val="2CB43860"/>
    <w:rsid w:val="2CD44AF8"/>
    <w:rsid w:val="2CD97A0B"/>
    <w:rsid w:val="2CDA1172"/>
    <w:rsid w:val="2CEE501C"/>
    <w:rsid w:val="2CFB12A7"/>
    <w:rsid w:val="2D0A387C"/>
    <w:rsid w:val="2D20628D"/>
    <w:rsid w:val="2D293BB8"/>
    <w:rsid w:val="2D3C3519"/>
    <w:rsid w:val="2D4B565F"/>
    <w:rsid w:val="2D58023A"/>
    <w:rsid w:val="2D59578F"/>
    <w:rsid w:val="2D65288F"/>
    <w:rsid w:val="2D7543F8"/>
    <w:rsid w:val="2DA859DE"/>
    <w:rsid w:val="2DE51610"/>
    <w:rsid w:val="2DED7A59"/>
    <w:rsid w:val="2DF9330D"/>
    <w:rsid w:val="2E024EC2"/>
    <w:rsid w:val="2E1C2EF5"/>
    <w:rsid w:val="2E404FEA"/>
    <w:rsid w:val="2E4B78A6"/>
    <w:rsid w:val="2E5414BC"/>
    <w:rsid w:val="2E881533"/>
    <w:rsid w:val="2EBD5A03"/>
    <w:rsid w:val="2ED33CEA"/>
    <w:rsid w:val="2ED51AEB"/>
    <w:rsid w:val="2EFE48DE"/>
    <w:rsid w:val="2F2E7897"/>
    <w:rsid w:val="2F397563"/>
    <w:rsid w:val="2F3A2C0B"/>
    <w:rsid w:val="2F4176C0"/>
    <w:rsid w:val="2F535070"/>
    <w:rsid w:val="2F5C1DA5"/>
    <w:rsid w:val="2F9D575C"/>
    <w:rsid w:val="2FA37312"/>
    <w:rsid w:val="2FA8323D"/>
    <w:rsid w:val="2FDA7AF5"/>
    <w:rsid w:val="2FDC2D07"/>
    <w:rsid w:val="2FF164DD"/>
    <w:rsid w:val="30145DCA"/>
    <w:rsid w:val="3030528B"/>
    <w:rsid w:val="30406F9E"/>
    <w:rsid w:val="30456D72"/>
    <w:rsid w:val="30582CC7"/>
    <w:rsid w:val="306B1C3D"/>
    <w:rsid w:val="30714FED"/>
    <w:rsid w:val="30764FE7"/>
    <w:rsid w:val="30821396"/>
    <w:rsid w:val="308235EB"/>
    <w:rsid w:val="3087288E"/>
    <w:rsid w:val="30953B76"/>
    <w:rsid w:val="309612E7"/>
    <w:rsid w:val="30B729DB"/>
    <w:rsid w:val="30C101E2"/>
    <w:rsid w:val="30C54BAF"/>
    <w:rsid w:val="30CB0C8C"/>
    <w:rsid w:val="30CB3B9B"/>
    <w:rsid w:val="30CC4D09"/>
    <w:rsid w:val="30CC6F4A"/>
    <w:rsid w:val="30CE282F"/>
    <w:rsid w:val="30D20666"/>
    <w:rsid w:val="30DD371A"/>
    <w:rsid w:val="30ED5B24"/>
    <w:rsid w:val="30EF505A"/>
    <w:rsid w:val="30F027A5"/>
    <w:rsid w:val="30F261AE"/>
    <w:rsid w:val="31166F86"/>
    <w:rsid w:val="312E2E77"/>
    <w:rsid w:val="313A1C72"/>
    <w:rsid w:val="316F5349"/>
    <w:rsid w:val="317E0366"/>
    <w:rsid w:val="31A30A4A"/>
    <w:rsid w:val="31A33AA1"/>
    <w:rsid w:val="31B54688"/>
    <w:rsid w:val="31C21E27"/>
    <w:rsid w:val="31D0106A"/>
    <w:rsid w:val="31E47035"/>
    <w:rsid w:val="31E70E77"/>
    <w:rsid w:val="31F854E1"/>
    <w:rsid w:val="31F93309"/>
    <w:rsid w:val="31FC2FF6"/>
    <w:rsid w:val="31FD78E9"/>
    <w:rsid w:val="32364B30"/>
    <w:rsid w:val="326B110E"/>
    <w:rsid w:val="326C06C8"/>
    <w:rsid w:val="326E0D3B"/>
    <w:rsid w:val="32A712BA"/>
    <w:rsid w:val="32B264A1"/>
    <w:rsid w:val="32B44946"/>
    <w:rsid w:val="32BA479B"/>
    <w:rsid w:val="32C11ADD"/>
    <w:rsid w:val="32CA196C"/>
    <w:rsid w:val="32F10326"/>
    <w:rsid w:val="32FA333F"/>
    <w:rsid w:val="330B7CAD"/>
    <w:rsid w:val="33146C22"/>
    <w:rsid w:val="33211CFA"/>
    <w:rsid w:val="332874AD"/>
    <w:rsid w:val="33533D94"/>
    <w:rsid w:val="33B60F0F"/>
    <w:rsid w:val="33C204A7"/>
    <w:rsid w:val="33D94143"/>
    <w:rsid w:val="33FD3084"/>
    <w:rsid w:val="3413690A"/>
    <w:rsid w:val="34454265"/>
    <w:rsid w:val="345E24D1"/>
    <w:rsid w:val="346A7BCF"/>
    <w:rsid w:val="34814BCF"/>
    <w:rsid w:val="34824778"/>
    <w:rsid w:val="34973F47"/>
    <w:rsid w:val="34A33B07"/>
    <w:rsid w:val="34DB376C"/>
    <w:rsid w:val="34E348BE"/>
    <w:rsid w:val="35110CC8"/>
    <w:rsid w:val="351F3659"/>
    <w:rsid w:val="35220001"/>
    <w:rsid w:val="35590374"/>
    <w:rsid w:val="356B2A0F"/>
    <w:rsid w:val="357A3838"/>
    <w:rsid w:val="358A6C10"/>
    <w:rsid w:val="359A3A8C"/>
    <w:rsid w:val="35AC01F2"/>
    <w:rsid w:val="35CE6E2D"/>
    <w:rsid w:val="3613585B"/>
    <w:rsid w:val="36321290"/>
    <w:rsid w:val="36424C3B"/>
    <w:rsid w:val="3647794D"/>
    <w:rsid w:val="3658358C"/>
    <w:rsid w:val="36A56635"/>
    <w:rsid w:val="36A60D62"/>
    <w:rsid w:val="36AD162D"/>
    <w:rsid w:val="36B90A97"/>
    <w:rsid w:val="36C92741"/>
    <w:rsid w:val="36EB4174"/>
    <w:rsid w:val="36FE61AE"/>
    <w:rsid w:val="370F19F3"/>
    <w:rsid w:val="37102263"/>
    <w:rsid w:val="372D3EF5"/>
    <w:rsid w:val="373D2DFA"/>
    <w:rsid w:val="3753434C"/>
    <w:rsid w:val="379F59C1"/>
    <w:rsid w:val="37B46714"/>
    <w:rsid w:val="380946B6"/>
    <w:rsid w:val="380A513E"/>
    <w:rsid w:val="38116B11"/>
    <w:rsid w:val="383028B0"/>
    <w:rsid w:val="383864ED"/>
    <w:rsid w:val="38703B97"/>
    <w:rsid w:val="389E6A5F"/>
    <w:rsid w:val="38CC3AF8"/>
    <w:rsid w:val="38D33B52"/>
    <w:rsid w:val="38D64556"/>
    <w:rsid w:val="391C380C"/>
    <w:rsid w:val="391F2AFD"/>
    <w:rsid w:val="39897C3B"/>
    <w:rsid w:val="398E6FFF"/>
    <w:rsid w:val="39BE465E"/>
    <w:rsid w:val="39C86FD5"/>
    <w:rsid w:val="39CA4E68"/>
    <w:rsid w:val="39EE4294"/>
    <w:rsid w:val="3A031F92"/>
    <w:rsid w:val="3A0C0228"/>
    <w:rsid w:val="3A127ACC"/>
    <w:rsid w:val="3A272246"/>
    <w:rsid w:val="3A2C18CA"/>
    <w:rsid w:val="3A3E06CA"/>
    <w:rsid w:val="3A445846"/>
    <w:rsid w:val="3A557B1D"/>
    <w:rsid w:val="3A68325A"/>
    <w:rsid w:val="3A6957DB"/>
    <w:rsid w:val="3A865F28"/>
    <w:rsid w:val="3AAC06E8"/>
    <w:rsid w:val="3ABA4BA7"/>
    <w:rsid w:val="3AEC11B5"/>
    <w:rsid w:val="3AF03860"/>
    <w:rsid w:val="3B013C77"/>
    <w:rsid w:val="3B0F00F5"/>
    <w:rsid w:val="3B163750"/>
    <w:rsid w:val="3B210E72"/>
    <w:rsid w:val="3B36794F"/>
    <w:rsid w:val="3B6B0250"/>
    <w:rsid w:val="3B702F3D"/>
    <w:rsid w:val="3B822B94"/>
    <w:rsid w:val="3B842323"/>
    <w:rsid w:val="3B8442F2"/>
    <w:rsid w:val="3BBA3BCF"/>
    <w:rsid w:val="3BC02A74"/>
    <w:rsid w:val="3BD77022"/>
    <w:rsid w:val="3BF34A1D"/>
    <w:rsid w:val="3BFF5BE1"/>
    <w:rsid w:val="3C21315F"/>
    <w:rsid w:val="3C2A0477"/>
    <w:rsid w:val="3C4F08ED"/>
    <w:rsid w:val="3C5723FA"/>
    <w:rsid w:val="3C7A72EF"/>
    <w:rsid w:val="3C8B5A78"/>
    <w:rsid w:val="3CCC056A"/>
    <w:rsid w:val="3CE86A81"/>
    <w:rsid w:val="3CF960EF"/>
    <w:rsid w:val="3D3C4E79"/>
    <w:rsid w:val="3D452CE3"/>
    <w:rsid w:val="3D576BE7"/>
    <w:rsid w:val="3D5E3EE5"/>
    <w:rsid w:val="3DA20451"/>
    <w:rsid w:val="3DA87911"/>
    <w:rsid w:val="3DBF3C2B"/>
    <w:rsid w:val="3DCD548E"/>
    <w:rsid w:val="3DF00289"/>
    <w:rsid w:val="3E102BC8"/>
    <w:rsid w:val="3E285C74"/>
    <w:rsid w:val="3E436645"/>
    <w:rsid w:val="3E443DD0"/>
    <w:rsid w:val="3E5772FE"/>
    <w:rsid w:val="3E787087"/>
    <w:rsid w:val="3E7E4B3D"/>
    <w:rsid w:val="3E80225A"/>
    <w:rsid w:val="3E9950B7"/>
    <w:rsid w:val="3EA4715D"/>
    <w:rsid w:val="3EAA68CD"/>
    <w:rsid w:val="3EE30A30"/>
    <w:rsid w:val="3EEF005D"/>
    <w:rsid w:val="3EF56ECB"/>
    <w:rsid w:val="3EFF0708"/>
    <w:rsid w:val="3F051B12"/>
    <w:rsid w:val="3F0A3424"/>
    <w:rsid w:val="3F0E05B1"/>
    <w:rsid w:val="3F1222A6"/>
    <w:rsid w:val="3F1C007A"/>
    <w:rsid w:val="3F2C4C85"/>
    <w:rsid w:val="3F3F5F1E"/>
    <w:rsid w:val="3F5234C8"/>
    <w:rsid w:val="3F54165D"/>
    <w:rsid w:val="3F966C0E"/>
    <w:rsid w:val="3F9F6718"/>
    <w:rsid w:val="3FA46762"/>
    <w:rsid w:val="3FD36CD7"/>
    <w:rsid w:val="3FD6237F"/>
    <w:rsid w:val="3FF8777C"/>
    <w:rsid w:val="3FFF4F2D"/>
    <w:rsid w:val="40215BD4"/>
    <w:rsid w:val="408348BC"/>
    <w:rsid w:val="40BA6DA3"/>
    <w:rsid w:val="40DC2040"/>
    <w:rsid w:val="40F1294E"/>
    <w:rsid w:val="40F4509D"/>
    <w:rsid w:val="40FF5C23"/>
    <w:rsid w:val="41024717"/>
    <w:rsid w:val="41270465"/>
    <w:rsid w:val="413F4274"/>
    <w:rsid w:val="414C522F"/>
    <w:rsid w:val="417411D1"/>
    <w:rsid w:val="41AF62F6"/>
    <w:rsid w:val="41E04080"/>
    <w:rsid w:val="420F1253"/>
    <w:rsid w:val="424B1F31"/>
    <w:rsid w:val="426E51C1"/>
    <w:rsid w:val="42760BE7"/>
    <w:rsid w:val="427D6F5C"/>
    <w:rsid w:val="4293483E"/>
    <w:rsid w:val="429C4F38"/>
    <w:rsid w:val="42B6049B"/>
    <w:rsid w:val="42B70E39"/>
    <w:rsid w:val="42C2592E"/>
    <w:rsid w:val="42CF2B89"/>
    <w:rsid w:val="42D862E7"/>
    <w:rsid w:val="430F56AE"/>
    <w:rsid w:val="431149D7"/>
    <w:rsid w:val="4316534F"/>
    <w:rsid w:val="434D0785"/>
    <w:rsid w:val="435C338F"/>
    <w:rsid w:val="43A53C00"/>
    <w:rsid w:val="43C65E5E"/>
    <w:rsid w:val="43E522F1"/>
    <w:rsid w:val="440165E1"/>
    <w:rsid w:val="440A3E06"/>
    <w:rsid w:val="44324DDE"/>
    <w:rsid w:val="4445623B"/>
    <w:rsid w:val="444C3DF3"/>
    <w:rsid w:val="446049E5"/>
    <w:rsid w:val="44660972"/>
    <w:rsid w:val="446C1B10"/>
    <w:rsid w:val="44752BF3"/>
    <w:rsid w:val="449E6563"/>
    <w:rsid w:val="44B040D7"/>
    <w:rsid w:val="44BA2076"/>
    <w:rsid w:val="44D73F50"/>
    <w:rsid w:val="44D822D6"/>
    <w:rsid w:val="44F168F4"/>
    <w:rsid w:val="45085497"/>
    <w:rsid w:val="450D204D"/>
    <w:rsid w:val="45231D5E"/>
    <w:rsid w:val="45240818"/>
    <w:rsid w:val="45321187"/>
    <w:rsid w:val="4533216F"/>
    <w:rsid w:val="453D6C8A"/>
    <w:rsid w:val="45467398"/>
    <w:rsid w:val="45672093"/>
    <w:rsid w:val="456A7A63"/>
    <w:rsid w:val="4588349D"/>
    <w:rsid w:val="45884F7C"/>
    <w:rsid w:val="45A470E5"/>
    <w:rsid w:val="45B23B00"/>
    <w:rsid w:val="45CE61D4"/>
    <w:rsid w:val="45D10D46"/>
    <w:rsid w:val="45DD2BDA"/>
    <w:rsid w:val="45FA2B93"/>
    <w:rsid w:val="460348D1"/>
    <w:rsid w:val="461B60BF"/>
    <w:rsid w:val="461F45F4"/>
    <w:rsid w:val="464B6AB0"/>
    <w:rsid w:val="46710BCE"/>
    <w:rsid w:val="46746CBB"/>
    <w:rsid w:val="46794B93"/>
    <w:rsid w:val="4687226F"/>
    <w:rsid w:val="46C30911"/>
    <w:rsid w:val="46D631B6"/>
    <w:rsid w:val="46F5183A"/>
    <w:rsid w:val="46F7741A"/>
    <w:rsid w:val="47144B64"/>
    <w:rsid w:val="47176CAE"/>
    <w:rsid w:val="47266AC9"/>
    <w:rsid w:val="47516D0C"/>
    <w:rsid w:val="476E0B50"/>
    <w:rsid w:val="479A72E7"/>
    <w:rsid w:val="47E15B31"/>
    <w:rsid w:val="48037BDA"/>
    <w:rsid w:val="48110DAD"/>
    <w:rsid w:val="48265BAB"/>
    <w:rsid w:val="48376F2A"/>
    <w:rsid w:val="48557286"/>
    <w:rsid w:val="485A27D8"/>
    <w:rsid w:val="485F12D7"/>
    <w:rsid w:val="48720648"/>
    <w:rsid w:val="48937786"/>
    <w:rsid w:val="48A96FD5"/>
    <w:rsid w:val="48C219B3"/>
    <w:rsid w:val="48FB1966"/>
    <w:rsid w:val="490D706B"/>
    <w:rsid w:val="493A7349"/>
    <w:rsid w:val="495913F6"/>
    <w:rsid w:val="49710B97"/>
    <w:rsid w:val="49752A94"/>
    <w:rsid w:val="497D74FE"/>
    <w:rsid w:val="4990049A"/>
    <w:rsid w:val="49A04487"/>
    <w:rsid w:val="49A33E79"/>
    <w:rsid w:val="49AE2F4E"/>
    <w:rsid w:val="49B341B6"/>
    <w:rsid w:val="49D022EA"/>
    <w:rsid w:val="49D927B0"/>
    <w:rsid w:val="49E5343B"/>
    <w:rsid w:val="49FA3056"/>
    <w:rsid w:val="4A486552"/>
    <w:rsid w:val="4A510BD5"/>
    <w:rsid w:val="4A822555"/>
    <w:rsid w:val="4AB81764"/>
    <w:rsid w:val="4AE54BC6"/>
    <w:rsid w:val="4B0A6530"/>
    <w:rsid w:val="4B4E2A92"/>
    <w:rsid w:val="4B5D7098"/>
    <w:rsid w:val="4B871835"/>
    <w:rsid w:val="4BA74520"/>
    <w:rsid w:val="4BEF1B80"/>
    <w:rsid w:val="4C1859E4"/>
    <w:rsid w:val="4C3032BC"/>
    <w:rsid w:val="4C943F2C"/>
    <w:rsid w:val="4C9920F5"/>
    <w:rsid w:val="4C9C27E6"/>
    <w:rsid w:val="4CA778DF"/>
    <w:rsid w:val="4CAC7EDE"/>
    <w:rsid w:val="4CC53416"/>
    <w:rsid w:val="4CE54EAA"/>
    <w:rsid w:val="4CFE5DF2"/>
    <w:rsid w:val="4D0E24D9"/>
    <w:rsid w:val="4D115085"/>
    <w:rsid w:val="4D1D36CF"/>
    <w:rsid w:val="4D292A26"/>
    <w:rsid w:val="4D374DAA"/>
    <w:rsid w:val="4D7A615F"/>
    <w:rsid w:val="4DA348A5"/>
    <w:rsid w:val="4DA73800"/>
    <w:rsid w:val="4DD9098D"/>
    <w:rsid w:val="4DD9508F"/>
    <w:rsid w:val="4DE566F3"/>
    <w:rsid w:val="4DF70A34"/>
    <w:rsid w:val="4E081392"/>
    <w:rsid w:val="4E102281"/>
    <w:rsid w:val="4E2E504E"/>
    <w:rsid w:val="4E3F13E0"/>
    <w:rsid w:val="4E676348"/>
    <w:rsid w:val="4E6D6F9E"/>
    <w:rsid w:val="4EAF7F93"/>
    <w:rsid w:val="4ED466A8"/>
    <w:rsid w:val="4EE370A0"/>
    <w:rsid w:val="4F4D6230"/>
    <w:rsid w:val="4F523BA7"/>
    <w:rsid w:val="4F811CEE"/>
    <w:rsid w:val="4F886166"/>
    <w:rsid w:val="4F893350"/>
    <w:rsid w:val="4F8A4A15"/>
    <w:rsid w:val="4F8E16AF"/>
    <w:rsid w:val="4FA01D19"/>
    <w:rsid w:val="4FAC4C61"/>
    <w:rsid w:val="4FB12D62"/>
    <w:rsid w:val="4FD70E84"/>
    <w:rsid w:val="4FDD43E5"/>
    <w:rsid w:val="50061F1C"/>
    <w:rsid w:val="500813B6"/>
    <w:rsid w:val="500814FB"/>
    <w:rsid w:val="50093785"/>
    <w:rsid w:val="5046693C"/>
    <w:rsid w:val="504C24BB"/>
    <w:rsid w:val="50574928"/>
    <w:rsid w:val="50613B94"/>
    <w:rsid w:val="50852BD8"/>
    <w:rsid w:val="508F2479"/>
    <w:rsid w:val="509727E6"/>
    <w:rsid w:val="50984C98"/>
    <w:rsid w:val="50A33A98"/>
    <w:rsid w:val="50AE593F"/>
    <w:rsid w:val="50C11611"/>
    <w:rsid w:val="50D17EF7"/>
    <w:rsid w:val="512C7A8E"/>
    <w:rsid w:val="51331F49"/>
    <w:rsid w:val="51380B46"/>
    <w:rsid w:val="513F302A"/>
    <w:rsid w:val="513F339B"/>
    <w:rsid w:val="514646E8"/>
    <w:rsid w:val="51562A2F"/>
    <w:rsid w:val="518112F3"/>
    <w:rsid w:val="519525A0"/>
    <w:rsid w:val="51CD379C"/>
    <w:rsid w:val="51CF595A"/>
    <w:rsid w:val="51F1174E"/>
    <w:rsid w:val="52000675"/>
    <w:rsid w:val="52031183"/>
    <w:rsid w:val="520A1160"/>
    <w:rsid w:val="52190F59"/>
    <w:rsid w:val="52603DB4"/>
    <w:rsid w:val="52AC1B5C"/>
    <w:rsid w:val="52C86D6D"/>
    <w:rsid w:val="52CF0A44"/>
    <w:rsid w:val="52D71D3A"/>
    <w:rsid w:val="52DC6BD6"/>
    <w:rsid w:val="52DE177E"/>
    <w:rsid w:val="530413B6"/>
    <w:rsid w:val="533F13F6"/>
    <w:rsid w:val="536410A5"/>
    <w:rsid w:val="539002A8"/>
    <w:rsid w:val="53966D85"/>
    <w:rsid w:val="53A935F0"/>
    <w:rsid w:val="53BB6EC7"/>
    <w:rsid w:val="53C11E92"/>
    <w:rsid w:val="53D9122C"/>
    <w:rsid w:val="53DA1367"/>
    <w:rsid w:val="53DE2435"/>
    <w:rsid w:val="540A7A37"/>
    <w:rsid w:val="54111ADD"/>
    <w:rsid w:val="544407AB"/>
    <w:rsid w:val="544A46A5"/>
    <w:rsid w:val="547A3496"/>
    <w:rsid w:val="547E0966"/>
    <w:rsid w:val="547F4C50"/>
    <w:rsid w:val="54834172"/>
    <w:rsid w:val="548B68C9"/>
    <w:rsid w:val="548E73B7"/>
    <w:rsid w:val="54936357"/>
    <w:rsid w:val="54AA4354"/>
    <w:rsid w:val="54E374CE"/>
    <w:rsid w:val="550D249D"/>
    <w:rsid w:val="551B4D39"/>
    <w:rsid w:val="552D6DD8"/>
    <w:rsid w:val="553824CA"/>
    <w:rsid w:val="5559726C"/>
    <w:rsid w:val="556644E1"/>
    <w:rsid w:val="556756D6"/>
    <w:rsid w:val="55A04672"/>
    <w:rsid w:val="55A16D1C"/>
    <w:rsid w:val="55A22D19"/>
    <w:rsid w:val="55C81EEC"/>
    <w:rsid w:val="55EB07FC"/>
    <w:rsid w:val="55F74817"/>
    <w:rsid w:val="561129C4"/>
    <w:rsid w:val="561C39C0"/>
    <w:rsid w:val="564210CC"/>
    <w:rsid w:val="56427054"/>
    <w:rsid w:val="564B1124"/>
    <w:rsid w:val="566413BC"/>
    <w:rsid w:val="56696900"/>
    <w:rsid w:val="56893FCC"/>
    <w:rsid w:val="568C2568"/>
    <w:rsid w:val="56B15C7D"/>
    <w:rsid w:val="56C9121F"/>
    <w:rsid w:val="56D51F0A"/>
    <w:rsid w:val="57073816"/>
    <w:rsid w:val="573C40E7"/>
    <w:rsid w:val="575603D6"/>
    <w:rsid w:val="57691A9E"/>
    <w:rsid w:val="5778274A"/>
    <w:rsid w:val="57B079EB"/>
    <w:rsid w:val="57BC7D52"/>
    <w:rsid w:val="57CC3CD5"/>
    <w:rsid w:val="57CD70EC"/>
    <w:rsid w:val="57FE5FA5"/>
    <w:rsid w:val="580764A3"/>
    <w:rsid w:val="580C32E9"/>
    <w:rsid w:val="580C4CD1"/>
    <w:rsid w:val="58173245"/>
    <w:rsid w:val="581E5741"/>
    <w:rsid w:val="582809F8"/>
    <w:rsid w:val="58295E6C"/>
    <w:rsid w:val="5834289E"/>
    <w:rsid w:val="58464FA6"/>
    <w:rsid w:val="58493820"/>
    <w:rsid w:val="58666EB9"/>
    <w:rsid w:val="58831FCD"/>
    <w:rsid w:val="589C1452"/>
    <w:rsid w:val="58A60C7F"/>
    <w:rsid w:val="58B905F4"/>
    <w:rsid w:val="58D73C77"/>
    <w:rsid w:val="58E0187E"/>
    <w:rsid w:val="58E4724B"/>
    <w:rsid w:val="58E74B94"/>
    <w:rsid w:val="58EB2CD9"/>
    <w:rsid w:val="58FF1AD9"/>
    <w:rsid w:val="58FF3869"/>
    <w:rsid w:val="590D2CC0"/>
    <w:rsid w:val="59157EF0"/>
    <w:rsid w:val="59296DD7"/>
    <w:rsid w:val="593516B6"/>
    <w:rsid w:val="59920011"/>
    <w:rsid w:val="59B53C22"/>
    <w:rsid w:val="59CD1026"/>
    <w:rsid w:val="59DA1206"/>
    <w:rsid w:val="59E36A9C"/>
    <w:rsid w:val="59EE16C8"/>
    <w:rsid w:val="59F26EC9"/>
    <w:rsid w:val="59FA2DF6"/>
    <w:rsid w:val="5A326C3E"/>
    <w:rsid w:val="5A4E15BC"/>
    <w:rsid w:val="5A530D01"/>
    <w:rsid w:val="5A5A68D3"/>
    <w:rsid w:val="5A743DED"/>
    <w:rsid w:val="5A7C0AF6"/>
    <w:rsid w:val="5A8C0B94"/>
    <w:rsid w:val="5AAD14E0"/>
    <w:rsid w:val="5ADD36EF"/>
    <w:rsid w:val="5AF86E69"/>
    <w:rsid w:val="5B056192"/>
    <w:rsid w:val="5B081AB1"/>
    <w:rsid w:val="5B153001"/>
    <w:rsid w:val="5B1A5B33"/>
    <w:rsid w:val="5B500B59"/>
    <w:rsid w:val="5B640C96"/>
    <w:rsid w:val="5B7763B9"/>
    <w:rsid w:val="5B810E0B"/>
    <w:rsid w:val="5B812FDC"/>
    <w:rsid w:val="5B8955D8"/>
    <w:rsid w:val="5B911B5A"/>
    <w:rsid w:val="5BA6424D"/>
    <w:rsid w:val="5BA8378D"/>
    <w:rsid w:val="5BBB00A3"/>
    <w:rsid w:val="5BD5525B"/>
    <w:rsid w:val="5BE36C26"/>
    <w:rsid w:val="5BEB5F37"/>
    <w:rsid w:val="5BF1063E"/>
    <w:rsid w:val="5BF43C20"/>
    <w:rsid w:val="5BFE1777"/>
    <w:rsid w:val="5C0C44F2"/>
    <w:rsid w:val="5C2443E2"/>
    <w:rsid w:val="5C313AEE"/>
    <w:rsid w:val="5C65668A"/>
    <w:rsid w:val="5C6F65BF"/>
    <w:rsid w:val="5C702869"/>
    <w:rsid w:val="5C9212C4"/>
    <w:rsid w:val="5CD64EEC"/>
    <w:rsid w:val="5CFA284C"/>
    <w:rsid w:val="5D1C1C6E"/>
    <w:rsid w:val="5D680F80"/>
    <w:rsid w:val="5D717F20"/>
    <w:rsid w:val="5D7F6ADB"/>
    <w:rsid w:val="5D8068D9"/>
    <w:rsid w:val="5D84025D"/>
    <w:rsid w:val="5DA42F24"/>
    <w:rsid w:val="5DB46280"/>
    <w:rsid w:val="5DC666FD"/>
    <w:rsid w:val="5DDB3323"/>
    <w:rsid w:val="5DF4238F"/>
    <w:rsid w:val="5E2B7310"/>
    <w:rsid w:val="5E35109B"/>
    <w:rsid w:val="5E3B0012"/>
    <w:rsid w:val="5E3C7C68"/>
    <w:rsid w:val="5E4966A0"/>
    <w:rsid w:val="5E506C8B"/>
    <w:rsid w:val="5E520C3C"/>
    <w:rsid w:val="5E6B0F24"/>
    <w:rsid w:val="5E8659F7"/>
    <w:rsid w:val="5E896645"/>
    <w:rsid w:val="5E8E28E2"/>
    <w:rsid w:val="5EAD2E69"/>
    <w:rsid w:val="5EB12A83"/>
    <w:rsid w:val="5EBA601D"/>
    <w:rsid w:val="5ED864A3"/>
    <w:rsid w:val="5EE07BBC"/>
    <w:rsid w:val="5EE50805"/>
    <w:rsid w:val="5F0F069E"/>
    <w:rsid w:val="5F13572D"/>
    <w:rsid w:val="5F5B4E14"/>
    <w:rsid w:val="5FA34D03"/>
    <w:rsid w:val="5FB80CF6"/>
    <w:rsid w:val="5FD61386"/>
    <w:rsid w:val="5FDA7074"/>
    <w:rsid w:val="604240FA"/>
    <w:rsid w:val="604525D2"/>
    <w:rsid w:val="60466D0C"/>
    <w:rsid w:val="604C3E0B"/>
    <w:rsid w:val="60546730"/>
    <w:rsid w:val="606269D2"/>
    <w:rsid w:val="60756245"/>
    <w:rsid w:val="60957760"/>
    <w:rsid w:val="60A05F88"/>
    <w:rsid w:val="60CE58E9"/>
    <w:rsid w:val="60D158A0"/>
    <w:rsid w:val="60E9235E"/>
    <w:rsid w:val="610C5FBE"/>
    <w:rsid w:val="612A5A76"/>
    <w:rsid w:val="61321F33"/>
    <w:rsid w:val="61474017"/>
    <w:rsid w:val="615734ED"/>
    <w:rsid w:val="61796912"/>
    <w:rsid w:val="61873935"/>
    <w:rsid w:val="61A43CBB"/>
    <w:rsid w:val="620233A5"/>
    <w:rsid w:val="622C736C"/>
    <w:rsid w:val="623F53EF"/>
    <w:rsid w:val="62630B6D"/>
    <w:rsid w:val="629579D6"/>
    <w:rsid w:val="62A626FF"/>
    <w:rsid w:val="62A928F8"/>
    <w:rsid w:val="62BC7819"/>
    <w:rsid w:val="62D71347"/>
    <w:rsid w:val="62EF11BC"/>
    <w:rsid w:val="630158AC"/>
    <w:rsid w:val="630A1CA7"/>
    <w:rsid w:val="6322756F"/>
    <w:rsid w:val="63333538"/>
    <w:rsid w:val="63377425"/>
    <w:rsid w:val="639421FE"/>
    <w:rsid w:val="63955021"/>
    <w:rsid w:val="63A953A9"/>
    <w:rsid w:val="63C42F10"/>
    <w:rsid w:val="641928F9"/>
    <w:rsid w:val="643F0903"/>
    <w:rsid w:val="644948BF"/>
    <w:rsid w:val="64A7206F"/>
    <w:rsid w:val="64EF09EB"/>
    <w:rsid w:val="651E21F5"/>
    <w:rsid w:val="65256072"/>
    <w:rsid w:val="652B4479"/>
    <w:rsid w:val="65517745"/>
    <w:rsid w:val="65644919"/>
    <w:rsid w:val="65737874"/>
    <w:rsid w:val="65793D01"/>
    <w:rsid w:val="65811949"/>
    <w:rsid w:val="65942F53"/>
    <w:rsid w:val="65A13A93"/>
    <w:rsid w:val="65B71DD9"/>
    <w:rsid w:val="65D33E8A"/>
    <w:rsid w:val="65FD7793"/>
    <w:rsid w:val="66490E35"/>
    <w:rsid w:val="664C7C3C"/>
    <w:rsid w:val="66530429"/>
    <w:rsid w:val="66606EE4"/>
    <w:rsid w:val="66636925"/>
    <w:rsid w:val="6672633E"/>
    <w:rsid w:val="669B2BD8"/>
    <w:rsid w:val="66B3569C"/>
    <w:rsid w:val="66D76C8E"/>
    <w:rsid w:val="66E36E75"/>
    <w:rsid w:val="66EC51E2"/>
    <w:rsid w:val="66FA182D"/>
    <w:rsid w:val="67015827"/>
    <w:rsid w:val="670D4B76"/>
    <w:rsid w:val="67121D97"/>
    <w:rsid w:val="672148B0"/>
    <w:rsid w:val="67294DB6"/>
    <w:rsid w:val="674C5C80"/>
    <w:rsid w:val="67693F7C"/>
    <w:rsid w:val="6775783B"/>
    <w:rsid w:val="677B0220"/>
    <w:rsid w:val="679030DF"/>
    <w:rsid w:val="67923636"/>
    <w:rsid w:val="679E25C6"/>
    <w:rsid w:val="67A97026"/>
    <w:rsid w:val="67BE797F"/>
    <w:rsid w:val="67C3669A"/>
    <w:rsid w:val="67E354FC"/>
    <w:rsid w:val="680E0640"/>
    <w:rsid w:val="681275B0"/>
    <w:rsid w:val="68250FEF"/>
    <w:rsid w:val="682A225F"/>
    <w:rsid w:val="682B20B4"/>
    <w:rsid w:val="6895394D"/>
    <w:rsid w:val="689773CF"/>
    <w:rsid w:val="68B06BF9"/>
    <w:rsid w:val="69454135"/>
    <w:rsid w:val="694F27C3"/>
    <w:rsid w:val="69A7339A"/>
    <w:rsid w:val="69AA3796"/>
    <w:rsid w:val="69B37821"/>
    <w:rsid w:val="69B8088F"/>
    <w:rsid w:val="69BC751C"/>
    <w:rsid w:val="69D72179"/>
    <w:rsid w:val="69EE5D15"/>
    <w:rsid w:val="69F02E55"/>
    <w:rsid w:val="69F24FAA"/>
    <w:rsid w:val="69F523FA"/>
    <w:rsid w:val="6A0C2C21"/>
    <w:rsid w:val="6A1D6D2A"/>
    <w:rsid w:val="6A394F59"/>
    <w:rsid w:val="6A3A1933"/>
    <w:rsid w:val="6A3E3C80"/>
    <w:rsid w:val="6A49164F"/>
    <w:rsid w:val="6A6756F6"/>
    <w:rsid w:val="6AB47D15"/>
    <w:rsid w:val="6AC34A2B"/>
    <w:rsid w:val="6ACB0346"/>
    <w:rsid w:val="6AD97B8E"/>
    <w:rsid w:val="6B20150E"/>
    <w:rsid w:val="6B3E2D6F"/>
    <w:rsid w:val="6B5B505D"/>
    <w:rsid w:val="6B7F5867"/>
    <w:rsid w:val="6B823440"/>
    <w:rsid w:val="6BA6402E"/>
    <w:rsid w:val="6BAD26B6"/>
    <w:rsid w:val="6BC41038"/>
    <w:rsid w:val="6BE7241B"/>
    <w:rsid w:val="6BE827B5"/>
    <w:rsid w:val="6BF30BB0"/>
    <w:rsid w:val="6BF87C10"/>
    <w:rsid w:val="6C040D59"/>
    <w:rsid w:val="6C0905E4"/>
    <w:rsid w:val="6C0D16A3"/>
    <w:rsid w:val="6C780605"/>
    <w:rsid w:val="6CC4103A"/>
    <w:rsid w:val="6CCF5389"/>
    <w:rsid w:val="6CDB6004"/>
    <w:rsid w:val="6CE612E6"/>
    <w:rsid w:val="6D3B40D5"/>
    <w:rsid w:val="6D601DB9"/>
    <w:rsid w:val="6D6A50B2"/>
    <w:rsid w:val="6D6E1FFA"/>
    <w:rsid w:val="6D890EF7"/>
    <w:rsid w:val="6DA902A3"/>
    <w:rsid w:val="6DB04422"/>
    <w:rsid w:val="6DC968E5"/>
    <w:rsid w:val="6DE26B1F"/>
    <w:rsid w:val="6DEE34C4"/>
    <w:rsid w:val="6DEE7EE7"/>
    <w:rsid w:val="6E0B6AD2"/>
    <w:rsid w:val="6E334A3E"/>
    <w:rsid w:val="6E3D4411"/>
    <w:rsid w:val="6E456486"/>
    <w:rsid w:val="6E522C6A"/>
    <w:rsid w:val="6E7F3A9C"/>
    <w:rsid w:val="6EC35B23"/>
    <w:rsid w:val="6EDB7958"/>
    <w:rsid w:val="6F023E6B"/>
    <w:rsid w:val="6F316A46"/>
    <w:rsid w:val="6F4E40B7"/>
    <w:rsid w:val="6F6E3BAD"/>
    <w:rsid w:val="6F995775"/>
    <w:rsid w:val="6FA0300D"/>
    <w:rsid w:val="6FCD36D6"/>
    <w:rsid w:val="6FEF2E16"/>
    <w:rsid w:val="70133404"/>
    <w:rsid w:val="701A6E16"/>
    <w:rsid w:val="7023779A"/>
    <w:rsid w:val="702F613F"/>
    <w:rsid w:val="70416CD5"/>
    <w:rsid w:val="705D2CAC"/>
    <w:rsid w:val="70614013"/>
    <w:rsid w:val="70626E4F"/>
    <w:rsid w:val="70665787"/>
    <w:rsid w:val="707E364B"/>
    <w:rsid w:val="70821CE6"/>
    <w:rsid w:val="709C7ACC"/>
    <w:rsid w:val="70A43855"/>
    <w:rsid w:val="70B43440"/>
    <w:rsid w:val="70EC44E1"/>
    <w:rsid w:val="710A1F8A"/>
    <w:rsid w:val="710B7794"/>
    <w:rsid w:val="711F25AE"/>
    <w:rsid w:val="71221911"/>
    <w:rsid w:val="712D3BEC"/>
    <w:rsid w:val="71453E6C"/>
    <w:rsid w:val="7163218B"/>
    <w:rsid w:val="71722787"/>
    <w:rsid w:val="717464B1"/>
    <w:rsid w:val="71826B5A"/>
    <w:rsid w:val="71867A36"/>
    <w:rsid w:val="71867FE1"/>
    <w:rsid w:val="71935BC5"/>
    <w:rsid w:val="71A67C09"/>
    <w:rsid w:val="71F43C81"/>
    <w:rsid w:val="724539F8"/>
    <w:rsid w:val="72547143"/>
    <w:rsid w:val="72772E62"/>
    <w:rsid w:val="72786C16"/>
    <w:rsid w:val="728B2A6E"/>
    <w:rsid w:val="729A1E42"/>
    <w:rsid w:val="729C5F87"/>
    <w:rsid w:val="72A921D9"/>
    <w:rsid w:val="72B63498"/>
    <w:rsid w:val="72C07522"/>
    <w:rsid w:val="72C64E68"/>
    <w:rsid w:val="72CA4C65"/>
    <w:rsid w:val="72D37AAA"/>
    <w:rsid w:val="732064F5"/>
    <w:rsid w:val="732921BC"/>
    <w:rsid w:val="73353307"/>
    <w:rsid w:val="734F5D55"/>
    <w:rsid w:val="737E512D"/>
    <w:rsid w:val="73801F1C"/>
    <w:rsid w:val="73AA78BF"/>
    <w:rsid w:val="73B84014"/>
    <w:rsid w:val="73BB68C1"/>
    <w:rsid w:val="73D03CCD"/>
    <w:rsid w:val="73EA6F03"/>
    <w:rsid w:val="747129CB"/>
    <w:rsid w:val="747C1AD0"/>
    <w:rsid w:val="74C03C91"/>
    <w:rsid w:val="74DB0C04"/>
    <w:rsid w:val="7508758A"/>
    <w:rsid w:val="75752846"/>
    <w:rsid w:val="75753492"/>
    <w:rsid w:val="75867CAE"/>
    <w:rsid w:val="759743C7"/>
    <w:rsid w:val="75A31DBF"/>
    <w:rsid w:val="75AF3FAA"/>
    <w:rsid w:val="76233D33"/>
    <w:rsid w:val="76291BD2"/>
    <w:rsid w:val="763E30F9"/>
    <w:rsid w:val="768156E1"/>
    <w:rsid w:val="76A82028"/>
    <w:rsid w:val="76E3334B"/>
    <w:rsid w:val="76F45827"/>
    <w:rsid w:val="76F55E05"/>
    <w:rsid w:val="76F82B81"/>
    <w:rsid w:val="772E50FC"/>
    <w:rsid w:val="773E5311"/>
    <w:rsid w:val="77594FF5"/>
    <w:rsid w:val="776C53D2"/>
    <w:rsid w:val="778C4FA8"/>
    <w:rsid w:val="77B87C8B"/>
    <w:rsid w:val="77D91893"/>
    <w:rsid w:val="77F32054"/>
    <w:rsid w:val="780A1888"/>
    <w:rsid w:val="78206BA3"/>
    <w:rsid w:val="78511348"/>
    <w:rsid w:val="785901FD"/>
    <w:rsid w:val="786D224E"/>
    <w:rsid w:val="78726176"/>
    <w:rsid w:val="7873256A"/>
    <w:rsid w:val="78A142BA"/>
    <w:rsid w:val="78E44541"/>
    <w:rsid w:val="78E57C1F"/>
    <w:rsid w:val="78FE7F71"/>
    <w:rsid w:val="7921573F"/>
    <w:rsid w:val="7942061F"/>
    <w:rsid w:val="79466F9B"/>
    <w:rsid w:val="794E1F48"/>
    <w:rsid w:val="7982097E"/>
    <w:rsid w:val="79D30F2A"/>
    <w:rsid w:val="79F07B0C"/>
    <w:rsid w:val="79FE6DF2"/>
    <w:rsid w:val="7A033B5E"/>
    <w:rsid w:val="7A153F30"/>
    <w:rsid w:val="7A1E6533"/>
    <w:rsid w:val="7A23345F"/>
    <w:rsid w:val="7A242A7E"/>
    <w:rsid w:val="7A3E3457"/>
    <w:rsid w:val="7A49775F"/>
    <w:rsid w:val="7A8014AE"/>
    <w:rsid w:val="7A835F11"/>
    <w:rsid w:val="7AAB462C"/>
    <w:rsid w:val="7AB14320"/>
    <w:rsid w:val="7AB23C18"/>
    <w:rsid w:val="7AB3603F"/>
    <w:rsid w:val="7AB94F83"/>
    <w:rsid w:val="7ABE13C2"/>
    <w:rsid w:val="7AC52BDF"/>
    <w:rsid w:val="7ACC4980"/>
    <w:rsid w:val="7B0D52CF"/>
    <w:rsid w:val="7B195CC0"/>
    <w:rsid w:val="7B231D39"/>
    <w:rsid w:val="7B340BB7"/>
    <w:rsid w:val="7B3C5F03"/>
    <w:rsid w:val="7B505CF9"/>
    <w:rsid w:val="7B64348B"/>
    <w:rsid w:val="7B931E08"/>
    <w:rsid w:val="7B950121"/>
    <w:rsid w:val="7BAD40AB"/>
    <w:rsid w:val="7BC66FBB"/>
    <w:rsid w:val="7BDC1277"/>
    <w:rsid w:val="7BF70327"/>
    <w:rsid w:val="7C05113B"/>
    <w:rsid w:val="7C1C16A8"/>
    <w:rsid w:val="7C1E4CB6"/>
    <w:rsid w:val="7C3574C5"/>
    <w:rsid w:val="7C556F2D"/>
    <w:rsid w:val="7C6C1F48"/>
    <w:rsid w:val="7C7B4E8F"/>
    <w:rsid w:val="7CA12173"/>
    <w:rsid w:val="7CB301D6"/>
    <w:rsid w:val="7CBE0071"/>
    <w:rsid w:val="7CC40AA1"/>
    <w:rsid w:val="7CCC7C1A"/>
    <w:rsid w:val="7CDD6860"/>
    <w:rsid w:val="7CE56503"/>
    <w:rsid w:val="7D0C6A16"/>
    <w:rsid w:val="7D141B57"/>
    <w:rsid w:val="7D9849F6"/>
    <w:rsid w:val="7DA43CC8"/>
    <w:rsid w:val="7DAB526F"/>
    <w:rsid w:val="7DAC239D"/>
    <w:rsid w:val="7DBA34EC"/>
    <w:rsid w:val="7DBE2413"/>
    <w:rsid w:val="7DD722F0"/>
    <w:rsid w:val="7DEB6A33"/>
    <w:rsid w:val="7DF32EA2"/>
    <w:rsid w:val="7DFB10E4"/>
    <w:rsid w:val="7E142C45"/>
    <w:rsid w:val="7E4A04FA"/>
    <w:rsid w:val="7E813E59"/>
    <w:rsid w:val="7E8D6E52"/>
    <w:rsid w:val="7E991183"/>
    <w:rsid w:val="7EA0112B"/>
    <w:rsid w:val="7EA92B69"/>
    <w:rsid w:val="7EAF6D66"/>
    <w:rsid w:val="7EC17CD0"/>
    <w:rsid w:val="7EE3607C"/>
    <w:rsid w:val="7F2723EA"/>
    <w:rsid w:val="7F370D75"/>
    <w:rsid w:val="7F57223B"/>
    <w:rsid w:val="7F582404"/>
    <w:rsid w:val="7F6208AB"/>
    <w:rsid w:val="7FAE2491"/>
    <w:rsid w:val="7FCB600D"/>
    <w:rsid w:val="7FDA047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autoRedefine/>
    <w:qFormat/>
    <w:uiPriority w:val="0"/>
    <w:pPr>
      <w:keepNext/>
      <w:keepLines/>
      <w:spacing w:line="360" w:lineRule="auto"/>
      <w:outlineLvl w:val="2"/>
    </w:pPr>
    <w:rPr>
      <w:rFonts w:eastAsia="黑体"/>
      <w:b/>
      <w:bCs/>
      <w:szCs w:val="32"/>
    </w:rPr>
  </w:style>
  <w:style w:type="paragraph" w:styleId="5">
    <w:name w:val="heading 4"/>
    <w:basedOn w:val="1"/>
    <w:next w:val="1"/>
    <w:autoRedefine/>
    <w:qFormat/>
    <w:uiPriority w:val="9"/>
    <w:pPr>
      <w:keepNext/>
      <w:keepLines/>
      <w:widowControl/>
      <w:spacing w:before="120" w:beforeLines="0" w:after="120" w:afterLines="0" w:line="360" w:lineRule="auto"/>
      <w:jc w:val="center"/>
      <w:outlineLvl w:val="3"/>
    </w:pPr>
    <w:rPr>
      <w:rFonts w:eastAsia="Ђˎ̥"/>
      <w:kern w:val="0"/>
      <w:sz w:val="28"/>
      <w:szCs w:val="20"/>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Document Map"/>
    <w:basedOn w:val="1"/>
    <w:autoRedefine/>
    <w:qFormat/>
    <w:uiPriority w:val="0"/>
    <w:rPr>
      <w:rFonts w:ascii="Calibri Light"/>
      <w:sz w:val="18"/>
      <w:szCs w:val="18"/>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customStyle="1" w:styleId="11">
    <w:name w:val="目录 82"/>
    <w:next w:val="1"/>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styleId="12">
    <w:name w:val="Body Text Indent"/>
    <w:basedOn w:val="1"/>
    <w:next w:val="1"/>
    <w:autoRedefine/>
    <w:qFormat/>
    <w:uiPriority w:val="0"/>
    <w:pPr>
      <w:ind w:firstLine="830" w:firstLineChars="352"/>
    </w:pPr>
    <w:rPr>
      <w:rFonts w:ascii="仿宋_GB2312" w:eastAsia="仿宋_GB2312"/>
      <w:sz w:val="32"/>
      <w:szCs w:val="20"/>
    </w:rPr>
  </w:style>
  <w:style w:type="paragraph" w:styleId="13">
    <w:name w:val="Plain Text"/>
    <w:basedOn w:val="1"/>
    <w:autoRedefine/>
    <w:qFormat/>
    <w:uiPriority w:val="0"/>
    <w:rPr>
      <w:rFonts w:ascii="宋体" w:hAnsi="Courier New" w:cs="Courier New"/>
      <w:szCs w:val="21"/>
    </w:rPr>
  </w:style>
  <w:style w:type="paragraph" w:styleId="14">
    <w:name w:val="Body Text Indent 2"/>
    <w:basedOn w:val="1"/>
    <w:autoRedefine/>
    <w:qFormat/>
    <w:uiPriority w:val="0"/>
    <w:pPr>
      <w:spacing w:line="420" w:lineRule="exact"/>
      <w:ind w:firstLine="409" w:firstLineChars="195"/>
    </w:pPr>
  </w:style>
  <w:style w:type="paragraph" w:styleId="15">
    <w:name w:val="footer"/>
    <w:basedOn w:val="1"/>
    <w:next w:val="1"/>
    <w:autoRedefine/>
    <w:qFormat/>
    <w:uiPriority w:val="0"/>
    <w:pPr>
      <w:tabs>
        <w:tab w:val="center" w:pos="4153"/>
        <w:tab w:val="right" w:pos="8306"/>
      </w:tabs>
      <w:snapToGrid w:val="0"/>
      <w:jc w:val="left"/>
    </w:pPr>
    <w:rPr>
      <w:sz w:val="18"/>
      <w:szCs w:val="18"/>
    </w:rPr>
  </w:style>
  <w:style w:type="paragraph" w:styleId="16">
    <w:name w:val="envelope return"/>
    <w:basedOn w:val="1"/>
    <w:autoRedefine/>
    <w:unhideWhenUsed/>
    <w:qFormat/>
    <w:uiPriority w:val="0"/>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Body Text Indent 3"/>
    <w:basedOn w:val="1"/>
    <w:autoRedefine/>
    <w:qFormat/>
    <w:uiPriority w:val="0"/>
    <w:pPr>
      <w:spacing w:line="480" w:lineRule="exact"/>
      <w:ind w:firstLine="420" w:firstLineChars="200"/>
    </w:pPr>
    <w:rPr>
      <w:rFonts w:ascii="宋体" w:hAnsi="Courier New" w:cs="Courier New"/>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spacing w:before="240" w:after="60"/>
      <w:jc w:val="center"/>
      <w:outlineLvl w:val="0"/>
    </w:pPr>
    <w:rPr>
      <w:rFonts w:ascii="Cambria" w:hAnsi="Cambria"/>
      <w:b/>
      <w:bCs/>
      <w:sz w:val="32"/>
      <w:szCs w:val="32"/>
    </w:rPr>
  </w:style>
  <w:style w:type="paragraph" w:styleId="22">
    <w:name w:val="Body Text First Indent 2"/>
    <w:basedOn w:val="1"/>
    <w:autoRedefine/>
    <w:qFormat/>
    <w:uiPriority w:val="0"/>
    <w:pPr>
      <w:autoSpaceDE w:val="0"/>
      <w:autoSpaceDN w:val="0"/>
      <w:spacing w:after="120" w:line="360" w:lineRule="auto"/>
      <w:ind w:left="420" w:leftChars="200" w:firstLine="420" w:firstLineChars="200"/>
    </w:pPr>
    <w:rPr>
      <w:sz w:val="21"/>
      <w:szCs w:val="24"/>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FollowedHyperlink"/>
    <w:basedOn w:val="25"/>
    <w:autoRedefine/>
    <w:unhideWhenUsed/>
    <w:qFormat/>
    <w:uiPriority w:val="99"/>
    <w:rPr>
      <w:color w:val="800080"/>
      <w:u w:val="single"/>
    </w:rPr>
  </w:style>
  <w:style w:type="character" w:styleId="28">
    <w:name w:val="Hyperlink"/>
    <w:autoRedefine/>
    <w:unhideWhenUsed/>
    <w:qFormat/>
    <w:uiPriority w:val="99"/>
    <w:rPr>
      <w:color w:val="0000FF"/>
      <w:u w:val="single"/>
    </w:rPr>
  </w:style>
  <w:style w:type="character" w:styleId="29">
    <w:name w:val="annotation reference"/>
    <w:basedOn w:val="25"/>
    <w:autoRedefine/>
    <w:qFormat/>
    <w:uiPriority w:val="0"/>
    <w:rPr>
      <w:sz w:val="21"/>
      <w:szCs w:val="21"/>
    </w:rPr>
  </w:style>
  <w:style w:type="character" w:styleId="30">
    <w:name w:val="HTML Sample"/>
    <w:basedOn w:val="25"/>
    <w:autoRedefine/>
    <w:qFormat/>
    <w:uiPriority w:val="0"/>
    <w:rPr>
      <w:rFonts w:ascii="Courier New" w:hAnsi="Courier New"/>
    </w:rPr>
  </w:style>
  <w:style w:type="paragraph" w:customStyle="1" w:styleId="31">
    <w:name w:val="Default"/>
    <w:autoRedefine/>
    <w:qFormat/>
    <w:uiPriority w:val="0"/>
    <w:pPr>
      <w:widowControl w:val="0"/>
      <w:autoSpaceDE w:val="0"/>
      <w:autoSpaceDN w:val="0"/>
      <w:adjustRightInd w:val="0"/>
    </w:pPr>
    <w:rPr>
      <w:rFonts w:ascii="新宋体" w:hAnsi="Tahoma" w:eastAsia="宋体" w:cs="新宋体"/>
      <w:color w:val="000000"/>
      <w:sz w:val="24"/>
      <w:szCs w:val="24"/>
      <w:lang w:val="en-US" w:eastAsia="zh-CN" w:bidi="ar-SA"/>
    </w:rPr>
  </w:style>
  <w:style w:type="paragraph" w:customStyle="1" w:styleId="32">
    <w:name w:val="表格文字"/>
    <w:basedOn w:val="12"/>
    <w:next w:val="10"/>
    <w:autoRedefine/>
    <w:qFormat/>
    <w:uiPriority w:val="99"/>
    <w:pPr>
      <w:spacing w:before="25" w:after="25" w:line="240" w:lineRule="auto"/>
      <w:ind w:firstLine="0"/>
    </w:pPr>
    <w:rPr>
      <w:bCs/>
      <w:spacing w:val="10"/>
      <w:kern w:val="0"/>
    </w:rPr>
  </w:style>
  <w:style w:type="paragraph" w:customStyle="1" w:styleId="33">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34">
    <w:name w:val="正文小标题"/>
    <w:basedOn w:val="2"/>
    <w:autoRedefine/>
    <w:qFormat/>
    <w:uiPriority w:val="0"/>
    <w:pPr>
      <w:spacing w:line="420" w:lineRule="exact"/>
    </w:pPr>
    <w:rPr>
      <w:sz w:val="21"/>
      <w:szCs w:val="21"/>
    </w:rPr>
  </w:style>
  <w:style w:type="paragraph" w:customStyle="1" w:styleId="35">
    <w:name w:val="正文呀2"/>
    <w:basedOn w:val="36"/>
    <w:link w:val="37"/>
    <w:autoRedefine/>
    <w:qFormat/>
    <w:uiPriority w:val="0"/>
    <w:rPr>
      <w:rFonts w:ascii="Times New Roman" w:hAnsi="Times New Roman"/>
    </w:rPr>
  </w:style>
  <w:style w:type="paragraph" w:customStyle="1" w:styleId="36">
    <w:name w:val="正文呀"/>
    <w:basedOn w:val="1"/>
    <w:autoRedefine/>
    <w:qFormat/>
    <w:uiPriority w:val="0"/>
    <w:pPr>
      <w:spacing w:line="420" w:lineRule="exact"/>
      <w:ind w:firstLine="420" w:firstLineChars="200"/>
    </w:pPr>
    <w:rPr>
      <w:rFonts w:ascii="宋体" w:hAnsi="宋体"/>
    </w:rPr>
  </w:style>
  <w:style w:type="character" w:customStyle="1" w:styleId="37">
    <w:name w:val="正文呀2 Char"/>
    <w:basedOn w:val="25"/>
    <w:link w:val="35"/>
    <w:autoRedefine/>
    <w:qFormat/>
    <w:uiPriority w:val="0"/>
    <w:rPr>
      <w:rFonts w:ascii="Times New Roman" w:hAnsi="Times New Roman"/>
    </w:rPr>
  </w:style>
  <w:style w:type="paragraph" w:customStyle="1" w:styleId="38">
    <w:name w:val="正文_2"/>
    <w:next w:val="3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标题 4_1"/>
    <w:basedOn w:val="38"/>
    <w:next w:val="38"/>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40">
    <w:name w:val="标题 3_0"/>
    <w:basedOn w:val="38"/>
    <w:next w:val="41"/>
    <w:autoRedefine/>
    <w:qFormat/>
    <w:uiPriority w:val="99"/>
    <w:pPr>
      <w:keepNext/>
      <w:keepLines/>
      <w:spacing w:line="360" w:lineRule="auto"/>
      <w:outlineLvl w:val="2"/>
    </w:pPr>
    <w:rPr>
      <w:rFonts w:eastAsia="黑体"/>
      <w:b/>
      <w:bCs/>
      <w:szCs w:val="32"/>
    </w:rPr>
  </w:style>
  <w:style w:type="paragraph" w:customStyle="1" w:styleId="41">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3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7">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cs="宋体"/>
      <w:bCs w:val="0"/>
      <w:sz w:val="28"/>
      <w:szCs w:val="20"/>
    </w:rPr>
  </w:style>
  <w:style w:type="paragraph" w:customStyle="1" w:styleId="48">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49">
    <w:name w:val="1"/>
    <w:basedOn w:val="1"/>
    <w:next w:val="13"/>
    <w:autoRedefine/>
    <w:qFormat/>
    <w:uiPriority w:val="0"/>
    <w:rPr>
      <w:rFonts w:ascii="宋体" w:hAnsi="Courier New"/>
      <w:szCs w:val="20"/>
    </w:rPr>
  </w:style>
  <w:style w:type="paragraph" w:customStyle="1" w:styleId="50">
    <w:name w:val="样式 标题 3 + (中文) 黑体 小四 非加粗 段前: 7.8 磅 段后: 0 磅 行距: 固定值 20 磅"/>
    <w:basedOn w:val="4"/>
    <w:autoRedefine/>
    <w:qFormat/>
    <w:uiPriority w:val="0"/>
    <w:pPr>
      <w:spacing w:line="400" w:lineRule="exact"/>
      <w:jc w:val="both"/>
    </w:pPr>
    <w:rPr>
      <w:rFonts w:hint="default" w:ascii="Times New Roman" w:hAnsi="Times New Roman" w:cs="宋体"/>
      <w:bCs w:val="0"/>
      <w:kern w:val="2"/>
      <w:sz w:val="21"/>
      <w:szCs w:val="20"/>
    </w:rPr>
  </w:style>
  <w:style w:type="paragraph" w:styleId="51">
    <w:name w:val="List Paragraph"/>
    <w:basedOn w:val="1"/>
    <w:autoRedefine/>
    <w:qFormat/>
    <w:uiPriority w:val="1"/>
    <w:pPr>
      <w:ind w:left="424" w:firstLine="480"/>
    </w:pPr>
    <w:rPr>
      <w:rFonts w:ascii="宋体" w:hAnsi="宋体" w:eastAsia="宋体" w:cs="宋体"/>
      <w:lang w:val="zh-CN" w:eastAsia="zh-CN" w:bidi="zh-CN"/>
    </w:rPr>
  </w:style>
  <w:style w:type="paragraph" w:customStyle="1" w:styleId="52">
    <w:name w:val="BodyText"/>
    <w:basedOn w:val="1"/>
    <w:autoRedefine/>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53">
    <w:name w:val="Char Char Char Char Char Char Char Char Char Char"/>
    <w:basedOn w:val="8"/>
    <w:autoRedefine/>
    <w:qFormat/>
    <w:uiPriority w:val="0"/>
    <w:pPr>
      <w:keepNext/>
      <w:numPr>
        <w:ilvl w:val="0"/>
        <w:numId w:val="1"/>
      </w:numPr>
      <w:tabs>
        <w:tab w:val="left" w:pos="360"/>
        <w:tab w:val="clear" w:pos="420"/>
      </w:tabs>
      <w:spacing w:before="312" w:beforeLines="100"/>
    </w:pPr>
    <w:rPr>
      <w:rFonts w:ascii="Tahoma" w:hAnsi="Tahoma" w:eastAsia="Times New Roman"/>
      <w:kern w:val="0"/>
      <w:sz w:val="24"/>
      <w:szCs w:val="20"/>
    </w:rPr>
  </w:style>
  <w:style w:type="paragraph" w:customStyle="1" w:styleId="54">
    <w:name w:val="正文文本_0"/>
    <w:basedOn w:val="55"/>
    <w:autoRedefine/>
    <w:qFormat/>
    <w:uiPriority w:val="0"/>
    <w:pPr>
      <w:adjustRightInd w:val="0"/>
      <w:spacing w:after="60" w:line="360" w:lineRule="atLeast"/>
      <w:ind w:left="30" w:leftChars="30" w:right="30" w:rightChars="30"/>
      <w:jc w:val="center"/>
    </w:pPr>
    <w:rPr>
      <w:rFonts w:ascii="宋体" w:hAnsi="宋体"/>
      <w:kern w:val="0"/>
      <w:sz w:val="20"/>
      <w:szCs w:val="20"/>
    </w:rPr>
  </w:style>
  <w:style w:type="paragraph" w:customStyle="1" w:styleId="55">
    <w:name w:val="正文_4"/>
    <w:next w:val="5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页脚_0"/>
    <w:basedOn w:val="55"/>
    <w:unhideWhenUsed/>
    <w:qFormat/>
    <w:uiPriority w:val="99"/>
    <w:pPr>
      <w:tabs>
        <w:tab w:val="center" w:pos="4153"/>
        <w:tab w:val="right" w:pos="8306"/>
      </w:tabs>
      <w:snapToGrid w:val="0"/>
      <w:jc w:val="left"/>
    </w:pPr>
    <w:rPr>
      <w:rFonts w:ascii="Calibri" w:hAnsi="Calibri"/>
      <w:sz w:val="18"/>
      <w:szCs w:val="18"/>
    </w:rPr>
  </w:style>
  <w:style w:type="paragraph" w:customStyle="1" w:styleId="57">
    <w:name w:val="纯文本_0"/>
    <w:basedOn w:val="55"/>
    <w:autoRedefine/>
    <w:semiHidden/>
    <w:qFormat/>
    <w:uiPriority w:val="0"/>
    <w:rPr>
      <w:rFonts w:ascii="宋体" w:hAnsi="Courier New"/>
      <w:kern w:val="0"/>
      <w:sz w:val="20"/>
      <w:szCs w:val="24"/>
    </w:rPr>
  </w:style>
  <w:style w:type="paragraph" w:customStyle="1" w:styleId="58">
    <w:name w:val="列出段落_0"/>
    <w:basedOn w:val="59"/>
    <w:autoRedefine/>
    <w:qFormat/>
    <w:uiPriority w:val="34"/>
    <w:pPr>
      <w:ind w:firstLine="420" w:firstLineChars="200"/>
    </w:pPr>
    <w:rPr>
      <w:rFonts w:ascii="Calibri" w:hAnsi="Calibri"/>
    </w:rPr>
  </w:style>
  <w:style w:type="paragraph" w:customStyle="1" w:styleId="59">
    <w:name w:val="正文_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标题 1_2"/>
    <w:basedOn w:val="55"/>
    <w:next w:val="55"/>
    <w:autoRedefine/>
    <w:semiHidden/>
    <w:qFormat/>
    <w:uiPriority w:val="0"/>
    <w:pPr>
      <w:keepNext/>
      <w:keepLines/>
      <w:spacing w:line="360" w:lineRule="auto"/>
      <w:outlineLvl w:val="0"/>
    </w:pPr>
    <w:rPr>
      <w:b/>
      <w:bCs/>
      <w:kern w:val="44"/>
      <w:sz w:val="32"/>
      <w:szCs w:val="44"/>
    </w:rPr>
  </w:style>
  <w:style w:type="paragraph" w:customStyle="1" w:styleId="61">
    <w:name w:val="正文_2_1"/>
    <w:basedOn w:val="55"/>
    <w:autoRedefine/>
    <w:qFormat/>
    <w:uiPriority w:val="0"/>
    <w:rPr>
      <w:rFonts w:ascii="Calibri" w:hAnsi="Calibri" w:cs="Calibri"/>
      <w:szCs w:val="21"/>
    </w:rPr>
  </w:style>
  <w:style w:type="paragraph" w:customStyle="1" w:styleId="62">
    <w:name w:val="标题 4_1_0"/>
    <w:basedOn w:val="61"/>
    <w:next w:val="61"/>
    <w:autoRedefine/>
    <w:qFormat/>
    <w:uiPriority w:val="0"/>
    <w:pPr>
      <w:keepNext/>
      <w:keepLines/>
      <w:spacing w:before="280" w:after="290" w:line="374" w:lineRule="auto"/>
      <w:outlineLvl w:val="3"/>
    </w:pPr>
    <w:rPr>
      <w:rFonts w:ascii="Arial" w:hAnsi="Arial" w:eastAsia="黑体" w:cs="Arial"/>
      <w:b/>
      <w:bCs/>
      <w:sz w:val="28"/>
      <w:szCs w:val="28"/>
    </w:rPr>
  </w:style>
  <w:style w:type="character" w:customStyle="1" w:styleId="63">
    <w:name w:val="10_1"/>
    <w:autoRedefine/>
    <w:qFormat/>
    <w:uiPriority w:val="0"/>
    <w:rPr>
      <w:rFonts w:hint="default" w:ascii="Times New Roman" w:hAnsi="Times New Roman" w:cs="Times New Roman"/>
    </w:rPr>
  </w:style>
  <w:style w:type="paragraph" w:customStyle="1" w:styleId="64">
    <w:name w:val="Default_0"/>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5">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15_0"/>
    <w:autoRedefine/>
    <w:qFormat/>
    <w:uiPriority w:val="0"/>
    <w:rPr>
      <w:rFonts w:hint="default" w:ascii="Times New Roman" w:hAnsi="Times New Roman" w:cs="Times New Roman"/>
    </w:rPr>
  </w:style>
  <w:style w:type="character" w:customStyle="1" w:styleId="67">
    <w:name w:val="10_0"/>
    <w:autoRedefine/>
    <w:qFormat/>
    <w:uiPriority w:val="0"/>
    <w:rPr>
      <w:rFonts w:hint="default" w:ascii="Times New Roman" w:hAnsi="Times New Roman" w:cs="Times New Roman"/>
    </w:rPr>
  </w:style>
  <w:style w:type="paragraph" w:customStyle="1" w:styleId="68">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6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标题 2_0_0"/>
    <w:basedOn w:val="41"/>
    <w:next w:val="4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72">
    <w:name w:val="标题 3_0_0"/>
    <w:basedOn w:val="41"/>
    <w:next w:val="41"/>
    <w:unhideWhenUsed/>
    <w:qFormat/>
    <w:uiPriority w:val="0"/>
    <w:pPr>
      <w:keepNext/>
      <w:keepLines/>
      <w:spacing w:line="360" w:lineRule="auto"/>
      <w:outlineLvl w:val="2"/>
    </w:pPr>
    <w:rPr>
      <w:rFonts w:ascii="Calibri" w:hAnsi="Calibri" w:eastAsia="黑体"/>
      <w:b/>
      <w:bCs/>
      <w:kern w:val="0"/>
      <w:sz w:val="32"/>
      <w:szCs w:val="32"/>
      <w:lang w:val="zh-CN"/>
    </w:rPr>
  </w:style>
  <w:style w:type="paragraph" w:customStyle="1" w:styleId="73">
    <w:name w:val="正文_2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21414</Words>
  <Characters>22483</Characters>
  <Lines>0</Lines>
  <Paragraphs>0</Paragraphs>
  <TotalTime>3</TotalTime>
  <ScaleCrop>false</ScaleCrop>
  <LinksUpToDate>false</LinksUpToDate>
  <CharactersWithSpaces>23319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2022-04-29T12:51:00Z</dcterms:created>
  <dc:creator>米格格</dc:creator>
  <cp:lastModifiedBy>oho</cp:lastModifiedBy>
  <cp:lastPrinted>2025-07-04T09:58:00Z</cp:lastPrinted>
  <dcterms:modified xsi:type="dcterms:W3CDTF">2025-07-07T03:19:51Z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77C5B831FBF64C5B89A970A24D788039_13</vt:lpwstr>
  </property>
  <property fmtid="{D5CDD505-2E9C-101B-9397-08002B2CF9AE}" pid="4" name="KSOTemplateDocerSaveRecord">
    <vt:lpwstr>eyJoZGlkIjoiOTYxZjEyODIzZDgwNTQwYjJmMzJiYzBjZDdlNTkzYTEiLCJ1c2VySWQiOiIzODEwOTA4NzUifQ==</vt:lpwstr>
  </property>
</Properties>
</file>